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B60243" w:rsidRDefault="00B072C2" w:rsidP="00B072C2">
      <w:pPr>
        <w:pStyle w:val="Heading1"/>
      </w:pPr>
      <w:bookmarkStart w:id="0" w:name="ChapterNumber"/>
      <w:bookmarkStart w:id="1" w:name="_GoBack"/>
      <w:bookmarkEnd w:id="1"/>
      <w:r w:rsidRPr="00B60243">
        <w:t>5</w:t>
      </w:r>
      <w:bookmarkEnd w:id="0"/>
      <w:r w:rsidRPr="00B60243">
        <w:tab/>
      </w:r>
      <w:bookmarkStart w:id="2" w:name="ChapterTitle"/>
      <w:r w:rsidRPr="00B60243">
        <w:t>Productivity in Food, beverage and tobacco products</w:t>
      </w:r>
      <w:bookmarkEnd w:id="2"/>
    </w:p>
    <w:p w:rsidR="0043484F" w:rsidRPr="00B60243" w:rsidRDefault="008E7D37" w:rsidP="004126DC">
      <w:pPr>
        <w:pStyle w:val="BodyText"/>
      </w:pPr>
      <w:bookmarkStart w:id="3" w:name="begin"/>
      <w:bookmarkEnd w:id="3"/>
      <w:r>
        <w:t>Multifactor productivity (</w:t>
      </w:r>
      <w:r w:rsidR="004119BB" w:rsidRPr="00B60243">
        <w:t>MFP</w:t>
      </w:r>
      <w:r>
        <w:t>)</w:t>
      </w:r>
      <w:r w:rsidR="004119BB" w:rsidRPr="00B60243">
        <w:t xml:space="preserve"> growth in the </w:t>
      </w:r>
      <w:r w:rsidR="0043484F" w:rsidRPr="00B60243">
        <w:t xml:space="preserve">Food, beverage </w:t>
      </w:r>
      <w:r w:rsidR="00C138FB" w:rsidRPr="00B60243">
        <w:t>and</w:t>
      </w:r>
      <w:r w:rsidR="0043484F" w:rsidRPr="00B60243">
        <w:t xml:space="preserve"> tobacco products </w:t>
      </w:r>
      <w:r w:rsidR="007636FF" w:rsidRPr="00B60243">
        <w:t>(</w:t>
      </w:r>
      <w:proofErr w:type="spellStart"/>
      <w:r w:rsidR="007636FF" w:rsidRPr="00B60243">
        <w:t>FBT</w:t>
      </w:r>
      <w:proofErr w:type="spellEnd"/>
      <w:r w:rsidR="007636FF" w:rsidRPr="00B60243">
        <w:t xml:space="preserve">) </w:t>
      </w:r>
      <w:r w:rsidR="0043484F" w:rsidRPr="00B60243">
        <w:t>subsector</w:t>
      </w:r>
      <w:r w:rsidR="00647B8E" w:rsidRPr="00B60243">
        <w:rPr>
          <w:rStyle w:val="FootnoteReference"/>
        </w:rPr>
        <w:footnoteReference w:id="1"/>
      </w:r>
      <w:r w:rsidR="0043484F" w:rsidRPr="00B60243">
        <w:t xml:space="preserve"> </w:t>
      </w:r>
      <w:r w:rsidR="004119BB" w:rsidRPr="00B60243">
        <w:t xml:space="preserve">declined significantly between the last two complete productivity cycles — making the second largest negative contribution of any subsector to the MFP decline in </w:t>
      </w:r>
      <w:r w:rsidR="00753370" w:rsidRPr="00B60243">
        <w:t>M</w:t>
      </w:r>
      <w:r w:rsidR="004119BB" w:rsidRPr="00B60243">
        <w:t>anufacturing</w:t>
      </w:r>
      <w:r w:rsidR="00021D17" w:rsidRPr="00B60243">
        <w:t xml:space="preserve"> (P</w:t>
      </w:r>
      <w:r w:rsidR="00F631D5" w:rsidRPr="00B60243">
        <w:t xml:space="preserve">etroleum, coal, chemical and rubber products </w:t>
      </w:r>
      <w:r w:rsidR="00753370" w:rsidRPr="00B60243">
        <w:t>making</w:t>
      </w:r>
      <w:r w:rsidR="00021D17" w:rsidRPr="00B60243">
        <w:t xml:space="preserve"> the largest)</w:t>
      </w:r>
      <w:r w:rsidR="004119BB" w:rsidRPr="00B60243">
        <w:t xml:space="preserve">. The decline in </w:t>
      </w:r>
      <w:proofErr w:type="spellStart"/>
      <w:r w:rsidR="004119BB" w:rsidRPr="00B60243">
        <w:t>FBT</w:t>
      </w:r>
      <w:proofErr w:type="spellEnd"/>
      <w:r w:rsidR="004119BB" w:rsidRPr="00B60243">
        <w:t xml:space="preserve"> MFP was driven by a slowdown in </w:t>
      </w:r>
      <w:r w:rsidR="000D290E" w:rsidRPr="00B60243">
        <w:t>value added (</w:t>
      </w:r>
      <w:r w:rsidR="004119BB" w:rsidRPr="00B60243">
        <w:t>VA</w:t>
      </w:r>
      <w:r w:rsidR="000D290E" w:rsidRPr="00B60243">
        <w:t>)</w:t>
      </w:r>
      <w:r w:rsidR="004119BB" w:rsidRPr="00B60243">
        <w:t xml:space="preserve"> growth while there was </w:t>
      </w:r>
      <w:r w:rsidR="00222A89" w:rsidRPr="00B60243">
        <w:t xml:space="preserve">a </w:t>
      </w:r>
      <w:r w:rsidR="004119BB" w:rsidRPr="00B60243">
        <w:t xml:space="preserve">strong </w:t>
      </w:r>
      <w:r w:rsidR="00222A89" w:rsidRPr="00B60243">
        <w:t>rebound</w:t>
      </w:r>
      <w:r w:rsidR="004119BB" w:rsidRPr="00B60243">
        <w:t xml:space="preserve"> in hours worked</w:t>
      </w:r>
      <w:r w:rsidR="00222A89" w:rsidRPr="00B60243">
        <w:t xml:space="preserve"> and continued growth in capital services</w:t>
      </w:r>
      <w:r w:rsidR="004119BB" w:rsidRPr="00B60243">
        <w:t xml:space="preserve">. </w:t>
      </w:r>
      <w:r w:rsidR="0043484F" w:rsidRPr="00B60243">
        <w:t xml:space="preserve">This chapter </w:t>
      </w:r>
      <w:r w:rsidR="004119BB" w:rsidRPr="00B60243">
        <w:t>outlines</w:t>
      </w:r>
      <w:r w:rsidR="0043484F" w:rsidRPr="00B60243">
        <w:t xml:space="preserve"> </w:t>
      </w:r>
      <w:r w:rsidR="004119BB" w:rsidRPr="00B60243">
        <w:t xml:space="preserve">the </w:t>
      </w:r>
      <w:r w:rsidR="00637C13" w:rsidRPr="00B60243">
        <w:t>scope</w:t>
      </w:r>
      <w:r w:rsidR="004119BB" w:rsidRPr="00B60243">
        <w:t xml:space="preserve"> </w:t>
      </w:r>
      <w:r w:rsidR="00637C13" w:rsidRPr="00B60243">
        <w:t xml:space="preserve">and size </w:t>
      </w:r>
      <w:r w:rsidR="004119BB" w:rsidRPr="00B60243">
        <w:t xml:space="preserve">of </w:t>
      </w:r>
      <w:proofErr w:type="spellStart"/>
      <w:r w:rsidR="004119BB" w:rsidRPr="00B60243">
        <w:t>FBT</w:t>
      </w:r>
      <w:proofErr w:type="spellEnd"/>
      <w:r w:rsidR="004119BB" w:rsidRPr="00B60243">
        <w:t xml:space="preserve"> before examining factors likely to have influenced </w:t>
      </w:r>
      <w:r w:rsidR="005849B8" w:rsidRPr="00B60243">
        <w:t>the</w:t>
      </w:r>
      <w:r w:rsidR="00D37D21" w:rsidRPr="00B60243">
        <w:t>se</w:t>
      </w:r>
      <w:r w:rsidR="005849B8" w:rsidRPr="00B60243">
        <w:t xml:space="preserve"> </w:t>
      </w:r>
      <w:r w:rsidR="00604962" w:rsidRPr="00B60243">
        <w:t>change</w:t>
      </w:r>
      <w:r w:rsidR="00637C13" w:rsidRPr="00B60243">
        <w:t>s</w:t>
      </w:r>
      <w:r w:rsidR="00604962" w:rsidRPr="00B60243">
        <w:t xml:space="preserve"> in </w:t>
      </w:r>
      <w:r w:rsidR="00637C13" w:rsidRPr="00B60243">
        <w:t xml:space="preserve">its </w:t>
      </w:r>
      <w:r w:rsidR="00817E31" w:rsidRPr="00B60243">
        <w:t>VA</w:t>
      </w:r>
      <w:r w:rsidR="00604962" w:rsidRPr="00B60243">
        <w:t>, inputs and MFP growth</w:t>
      </w:r>
      <w:r w:rsidR="00807387" w:rsidRPr="00B60243">
        <w:t>.</w:t>
      </w:r>
    </w:p>
    <w:p w:rsidR="00673E10" w:rsidRPr="00B60243" w:rsidRDefault="00B072C2" w:rsidP="00673E10">
      <w:pPr>
        <w:pStyle w:val="Heading2"/>
      </w:pPr>
      <w:r w:rsidRPr="00B60243">
        <w:t>5.</w:t>
      </w:r>
      <w:r w:rsidR="002E061A">
        <w:rPr>
          <w:noProof/>
        </w:rPr>
        <w:t>1</w:t>
      </w:r>
      <w:r w:rsidR="00673E10" w:rsidRPr="00B60243">
        <w:tab/>
      </w:r>
      <w:proofErr w:type="spellStart"/>
      <w:r w:rsidR="00390D8C" w:rsidRPr="00B60243">
        <w:t>FBT</w:t>
      </w:r>
      <w:proofErr w:type="spellEnd"/>
      <w:r w:rsidR="009B3571" w:rsidRPr="00B60243">
        <w:t xml:space="preserve"> </w:t>
      </w:r>
      <w:r w:rsidR="00740DDF" w:rsidRPr="00B60243">
        <w:t>subsector scope and structure</w:t>
      </w:r>
    </w:p>
    <w:p w:rsidR="00A22275" w:rsidRPr="00B60243" w:rsidRDefault="00200961" w:rsidP="00A22275">
      <w:pPr>
        <w:pStyle w:val="BodyText"/>
      </w:pPr>
      <w:proofErr w:type="spellStart"/>
      <w:r w:rsidRPr="00B60243">
        <w:t>FBT</w:t>
      </w:r>
      <w:proofErr w:type="spellEnd"/>
      <w:r w:rsidRPr="00B60243">
        <w:t xml:space="preserve"> is the largest </w:t>
      </w:r>
      <w:r w:rsidR="00753370" w:rsidRPr="00B60243">
        <w:t>M</w:t>
      </w:r>
      <w:r w:rsidRPr="00B60243">
        <w:t>anufacturing subsector</w:t>
      </w:r>
      <w:r w:rsidR="00060B69" w:rsidRPr="00B60243">
        <w:t xml:space="preserve"> </w:t>
      </w:r>
      <w:r w:rsidRPr="00B60243">
        <w:t>— in 2009</w:t>
      </w:r>
      <w:r w:rsidR="00E36E7F">
        <w:noBreakHyphen/>
      </w:r>
      <w:r w:rsidRPr="00B60243">
        <w:t xml:space="preserve">10 it </w:t>
      </w:r>
      <w:r w:rsidR="00753370" w:rsidRPr="00B60243">
        <w:t>accounted for</w:t>
      </w:r>
      <w:r w:rsidRPr="00B60243">
        <w:t xml:space="preserve"> 22 per cent of </w:t>
      </w:r>
      <w:r w:rsidR="00A72C11">
        <w:t>VA</w:t>
      </w:r>
      <w:r w:rsidRPr="00B60243">
        <w:t xml:space="preserve"> </w:t>
      </w:r>
      <w:r w:rsidR="00060B69" w:rsidRPr="00B60243">
        <w:t>and 2</w:t>
      </w:r>
      <w:r w:rsidR="00B4118F" w:rsidRPr="00B60243">
        <w:t>5</w:t>
      </w:r>
      <w:r w:rsidR="00060B69" w:rsidRPr="00B60243">
        <w:t xml:space="preserve"> per cent of </w:t>
      </w:r>
      <w:r w:rsidR="00753370" w:rsidRPr="00B60243">
        <w:t>those</w:t>
      </w:r>
      <w:r w:rsidR="00060B69" w:rsidRPr="00B60243">
        <w:t xml:space="preserve"> </w:t>
      </w:r>
      <w:r w:rsidR="00021D17" w:rsidRPr="00B60243">
        <w:t>employ</w:t>
      </w:r>
      <w:r w:rsidR="00753370" w:rsidRPr="00B60243">
        <w:t>ed in Manufacturing</w:t>
      </w:r>
      <w:r w:rsidRPr="00B60243">
        <w:t xml:space="preserve">. </w:t>
      </w:r>
      <w:proofErr w:type="spellStart"/>
      <w:r w:rsidR="00A22275" w:rsidRPr="00B60243">
        <w:t>FBT</w:t>
      </w:r>
      <w:proofErr w:type="spellEnd"/>
      <w:r w:rsidR="00A22275" w:rsidRPr="00B60243">
        <w:t xml:space="preserve"> manufacturing includes processing of agricultural products but also more transformed products</w:t>
      </w:r>
      <w:r w:rsidR="00021D17" w:rsidRPr="00B60243">
        <w:t xml:space="preserve"> such as bak</w:t>
      </w:r>
      <w:r w:rsidR="0096576D" w:rsidRPr="00B60243">
        <w:t>ery</w:t>
      </w:r>
      <w:r w:rsidR="00021D17" w:rsidRPr="00B60243">
        <w:t xml:space="preserve"> and confectionery</w:t>
      </w:r>
      <w:r w:rsidR="0096576D" w:rsidRPr="00B60243">
        <w:t xml:space="preserve"> products</w:t>
      </w:r>
      <w:r w:rsidR="00A22275" w:rsidRPr="00B60243">
        <w:t>. As well as providing finished good</w:t>
      </w:r>
      <w:r w:rsidR="00D4005D" w:rsidRPr="00B60243">
        <w:t>s</w:t>
      </w:r>
      <w:r w:rsidR="00A22275" w:rsidRPr="00B60243">
        <w:t xml:space="preserve"> for final consumption, it also provides intermediate inputs to other parts of the economy</w:t>
      </w:r>
      <w:r w:rsidR="0096576D" w:rsidRPr="00B60243">
        <w:t>, such as retail food services and restaurants</w:t>
      </w:r>
      <w:r w:rsidR="00A22275" w:rsidRPr="00B60243">
        <w:t xml:space="preserve">. </w:t>
      </w:r>
    </w:p>
    <w:p w:rsidR="00817E31" w:rsidRPr="00B60243" w:rsidRDefault="000D47D2" w:rsidP="000D47D2">
      <w:pPr>
        <w:pStyle w:val="BodyText"/>
      </w:pPr>
      <w:r w:rsidRPr="00B60243">
        <w:t xml:space="preserve">The </w:t>
      </w:r>
      <w:proofErr w:type="spellStart"/>
      <w:r w:rsidRPr="00B60243">
        <w:t>FBT</w:t>
      </w:r>
      <w:proofErr w:type="spellEnd"/>
      <w:r w:rsidRPr="00B60243">
        <w:t xml:space="preserve"> subsector includes two industry subdivisions under the ABS</w:t>
      </w:r>
      <w:r w:rsidR="00AD4931" w:rsidRPr="00B60243">
        <w:t xml:space="preserve"> </w:t>
      </w:r>
      <w:r w:rsidRPr="00B60243">
        <w:rPr>
          <w:i/>
        </w:rPr>
        <w:t xml:space="preserve">Australian and New Zealand Standard Industrial Classification 2006 </w:t>
      </w:r>
      <w:r w:rsidRPr="00B60243">
        <w:t>(</w:t>
      </w:r>
      <w:proofErr w:type="spellStart"/>
      <w:r w:rsidRPr="00B60243">
        <w:t>ANZSIC06</w:t>
      </w:r>
      <w:proofErr w:type="spellEnd"/>
      <w:r w:rsidRPr="00B60243">
        <w:t>) — Food product manufacturing</w:t>
      </w:r>
      <w:r w:rsidR="00DE4CAF" w:rsidRPr="00B60243">
        <w:t xml:space="preserve"> (</w:t>
      </w:r>
      <w:r w:rsidR="00034F0C">
        <w:t>‘</w:t>
      </w:r>
      <w:r w:rsidR="00DE4CAF" w:rsidRPr="00B60243">
        <w:t>Food</w:t>
      </w:r>
      <w:r w:rsidR="00034F0C">
        <w:t>’</w:t>
      </w:r>
      <w:r w:rsidR="00DE4CAF" w:rsidRPr="00B60243">
        <w:t>)</w:t>
      </w:r>
      <w:r w:rsidRPr="00B60243">
        <w:t>, and Beverage and tobacco product manufacturing</w:t>
      </w:r>
      <w:r w:rsidR="00DE4CAF" w:rsidRPr="00B60243">
        <w:t xml:space="preserve"> (</w:t>
      </w:r>
      <w:r w:rsidR="00034F0C">
        <w:t>‘</w:t>
      </w:r>
      <w:r w:rsidR="00DE4CAF" w:rsidRPr="00B60243">
        <w:t>BT</w:t>
      </w:r>
      <w:r w:rsidR="00034F0C">
        <w:t>’</w:t>
      </w:r>
      <w:r w:rsidR="00DE4CAF" w:rsidRPr="00B60243">
        <w:t>).</w:t>
      </w:r>
      <w:r w:rsidR="006C2640" w:rsidRPr="00B60243">
        <w:t xml:space="preserve"> Food is the largest subdivision — </w:t>
      </w:r>
      <w:r w:rsidR="002C712C" w:rsidRPr="00B60243">
        <w:t>71</w:t>
      </w:r>
      <w:r w:rsidR="00F014E1" w:rsidRPr="00B60243">
        <w:t xml:space="preserve"> per cent</w:t>
      </w:r>
      <w:r w:rsidR="006C2640" w:rsidRPr="00B60243">
        <w:t xml:space="preserve"> of </w:t>
      </w:r>
      <w:proofErr w:type="spellStart"/>
      <w:r w:rsidR="006C2640" w:rsidRPr="00B60243">
        <w:t>FBT’s</w:t>
      </w:r>
      <w:proofErr w:type="spellEnd"/>
      <w:r w:rsidR="006C2640" w:rsidRPr="00B60243">
        <w:t xml:space="preserve"> VA and </w:t>
      </w:r>
      <w:r w:rsidR="002C712C" w:rsidRPr="00B60243">
        <w:t>87</w:t>
      </w:r>
      <w:r w:rsidR="00F014E1" w:rsidRPr="00B60243">
        <w:t xml:space="preserve"> per cent of </w:t>
      </w:r>
      <w:proofErr w:type="spellStart"/>
      <w:r w:rsidR="00F014E1" w:rsidRPr="00B60243">
        <w:t>FBT’s</w:t>
      </w:r>
      <w:proofErr w:type="spellEnd"/>
      <w:r w:rsidR="00F014E1" w:rsidRPr="00B60243">
        <w:t xml:space="preserve"> </w:t>
      </w:r>
      <w:r w:rsidR="006C2640" w:rsidRPr="00B60243">
        <w:t>employment in 2009</w:t>
      </w:r>
      <w:r w:rsidR="00E36E7F">
        <w:noBreakHyphen/>
      </w:r>
      <w:r w:rsidR="006C2640" w:rsidRPr="00B60243">
        <w:t>10</w:t>
      </w:r>
      <w:r w:rsidR="006D3F87" w:rsidRPr="00B60243">
        <w:t>.</w:t>
      </w:r>
    </w:p>
    <w:p w:rsidR="000D47D2" w:rsidRPr="00B60243" w:rsidRDefault="00817E31" w:rsidP="000D47D2">
      <w:pPr>
        <w:pStyle w:val="BodyText"/>
      </w:pPr>
      <w:r w:rsidRPr="00B60243">
        <w:t xml:space="preserve">There </w:t>
      </w:r>
      <w:r w:rsidR="00100295" w:rsidRPr="00B60243">
        <w:t>is</w:t>
      </w:r>
      <w:r w:rsidRPr="00B60243">
        <w:t xml:space="preserve"> a diverse range of products </w:t>
      </w:r>
      <w:r w:rsidR="00753370" w:rsidRPr="00B60243">
        <w:t xml:space="preserve">found </w:t>
      </w:r>
      <w:r w:rsidRPr="00B60243">
        <w:t xml:space="preserve">within each subdivision. </w:t>
      </w:r>
      <w:r w:rsidR="000D41D9" w:rsidRPr="00B60243">
        <w:t>Food manufacturing</w:t>
      </w:r>
      <w:r w:rsidR="000D47D2" w:rsidRPr="00B60243">
        <w:t xml:space="preserve"> include</w:t>
      </w:r>
      <w:r w:rsidR="000D41D9" w:rsidRPr="00B60243">
        <w:t>s</w:t>
      </w:r>
      <w:r w:rsidR="000D47D2" w:rsidRPr="00B60243">
        <w:t xml:space="preserve"> </w:t>
      </w:r>
      <w:r w:rsidR="00A43F56" w:rsidRPr="00B60243">
        <w:t xml:space="preserve">nine </w:t>
      </w:r>
      <w:proofErr w:type="spellStart"/>
      <w:r w:rsidR="00A43F56" w:rsidRPr="00B60243">
        <w:t>ANZSIC</w:t>
      </w:r>
      <w:proofErr w:type="spellEnd"/>
      <w:r w:rsidR="00A43F56" w:rsidRPr="00B60243">
        <w:t xml:space="preserve"> groups, </w:t>
      </w:r>
      <w:r w:rsidR="00021D17" w:rsidRPr="00B60243">
        <w:t xml:space="preserve">being the </w:t>
      </w:r>
      <w:r w:rsidR="000D47D2" w:rsidRPr="00B60243">
        <w:t xml:space="preserve">manufacture </w:t>
      </w:r>
      <w:r w:rsidR="00021D17" w:rsidRPr="00B60243">
        <w:t xml:space="preserve">of </w:t>
      </w:r>
      <w:r w:rsidR="000D47D2" w:rsidRPr="00B60243">
        <w:t xml:space="preserve">meat and meat products, processed seafood, dairy products, processed fruit and vegetables, oils and fat, grain mill and cereal products, bakery products, sugar and confectionery products, </w:t>
      </w:r>
      <w:r w:rsidR="000D41D9" w:rsidRPr="00B60243">
        <w:t xml:space="preserve">and </w:t>
      </w:r>
      <w:r w:rsidR="000D47D2" w:rsidRPr="00B60243">
        <w:t xml:space="preserve">other food products (such as potato crisps, frozen </w:t>
      </w:r>
      <w:r w:rsidR="000D47D2" w:rsidRPr="00B60243">
        <w:lastRenderedPageBreak/>
        <w:t>meals, and pet food)</w:t>
      </w:r>
      <w:r w:rsidR="000D41D9" w:rsidRPr="00B60243">
        <w:t xml:space="preserve">. BT includes </w:t>
      </w:r>
      <w:r w:rsidR="00A43F56" w:rsidRPr="00B60243">
        <w:t xml:space="preserve">two </w:t>
      </w:r>
      <w:proofErr w:type="spellStart"/>
      <w:r w:rsidR="00A43F56" w:rsidRPr="00B60243">
        <w:t>ANZSIC</w:t>
      </w:r>
      <w:proofErr w:type="spellEnd"/>
      <w:r w:rsidR="00A43F56" w:rsidRPr="00B60243">
        <w:t xml:space="preserve"> groups, </w:t>
      </w:r>
      <w:r w:rsidR="00021D17" w:rsidRPr="00B60243">
        <w:t>being the</w:t>
      </w:r>
      <w:r w:rsidR="00A43F56" w:rsidRPr="00B60243">
        <w:t xml:space="preserve"> </w:t>
      </w:r>
      <w:r w:rsidR="00521AF6" w:rsidRPr="00B60243">
        <w:t xml:space="preserve">manufacture </w:t>
      </w:r>
      <w:r w:rsidR="00021D17" w:rsidRPr="00B60243">
        <w:t xml:space="preserve">of </w:t>
      </w:r>
      <w:r w:rsidR="0026242A">
        <w:t>beverages (</w:t>
      </w:r>
      <w:r w:rsidR="000D41D9" w:rsidRPr="00B60243">
        <w:t xml:space="preserve">soft drinks, wine, beer, </w:t>
      </w:r>
      <w:r w:rsidR="0026242A">
        <w:t xml:space="preserve">and </w:t>
      </w:r>
      <w:r w:rsidR="0061381B" w:rsidRPr="00B60243">
        <w:t>spirits</w:t>
      </w:r>
      <w:r w:rsidR="0026242A">
        <w:t>)</w:t>
      </w:r>
      <w:r w:rsidR="0061381B" w:rsidRPr="00B60243">
        <w:t xml:space="preserve"> </w:t>
      </w:r>
      <w:r w:rsidR="000D41D9" w:rsidRPr="00B60243">
        <w:t xml:space="preserve">and </w:t>
      </w:r>
      <w:r w:rsidR="000D47D2" w:rsidRPr="00B60243">
        <w:t xml:space="preserve">tobacco products. </w:t>
      </w:r>
      <w:r w:rsidR="00D4005D" w:rsidRPr="00B60243">
        <w:t xml:space="preserve">There have been some shifts in classification over time for the data presented, which can affect comparability </w:t>
      </w:r>
      <w:r w:rsidR="000D47D2" w:rsidRPr="00B60243">
        <w:t>(</w:t>
      </w:r>
      <w:r w:rsidR="00D4005D" w:rsidRPr="00B60243">
        <w:t>box</w:t>
      </w:r>
      <w:r w:rsidR="00F20093" w:rsidRPr="00B60243">
        <w:t> </w:t>
      </w:r>
      <w:bookmarkStart w:id="4" w:name="OLE_LINK44"/>
      <w:r w:rsidR="0061381B" w:rsidRPr="00B60243">
        <w:t>5.1</w:t>
      </w:r>
      <w:bookmarkEnd w:id="4"/>
      <w:r w:rsidR="00D4005D" w:rsidRPr="00B60243">
        <w:t>).</w:t>
      </w:r>
      <w:r w:rsidR="00171C3E" w:rsidRPr="00B60243">
        <w:t xml:space="preserve"> </w:t>
      </w:r>
    </w:p>
    <w:p w:rsidR="002E7E2C" w:rsidRPr="00B60243" w:rsidRDefault="002E7E2C" w:rsidP="002E7E2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E2C" w:rsidRPr="009D3338" w:rsidTr="000972B6">
        <w:tc>
          <w:tcPr>
            <w:tcW w:w="8771" w:type="dxa"/>
            <w:tcBorders>
              <w:top w:val="single" w:sz="6" w:space="0" w:color="auto"/>
              <w:bottom w:val="nil"/>
            </w:tcBorders>
          </w:tcPr>
          <w:p w:rsidR="002E7E2C" w:rsidRPr="00523C8A" w:rsidRDefault="002E7E2C" w:rsidP="00171C3E">
            <w:pPr>
              <w:pStyle w:val="BoxTitle"/>
              <w:rPr>
                <w:sz w:val="24"/>
              </w:rPr>
            </w:pPr>
            <w:r w:rsidRPr="00523C8A">
              <w:rPr>
                <w:b w:val="0"/>
                <w:sz w:val="24"/>
              </w:rPr>
              <w:t xml:space="preserve">Box </w:t>
            </w:r>
            <w:bookmarkStart w:id="5" w:name="OLE_LINK23"/>
            <w:r w:rsidR="00523C8A">
              <w:rPr>
                <w:b w:val="0"/>
                <w:sz w:val="24"/>
              </w:rPr>
              <w:t>5.</w:t>
            </w:r>
            <w:r w:rsidR="002E061A">
              <w:rPr>
                <w:b w:val="0"/>
                <w:noProof/>
                <w:sz w:val="24"/>
              </w:rPr>
              <w:t>1</w:t>
            </w:r>
            <w:bookmarkEnd w:id="5"/>
            <w:r w:rsidRPr="00523C8A">
              <w:rPr>
                <w:sz w:val="24"/>
              </w:rPr>
              <w:tab/>
            </w:r>
            <w:r w:rsidR="00171C3E" w:rsidRPr="00523C8A">
              <w:rPr>
                <w:sz w:val="24"/>
              </w:rPr>
              <w:t>I</w:t>
            </w:r>
            <w:r w:rsidR="00074CFA" w:rsidRPr="00523C8A">
              <w:rPr>
                <w:sz w:val="24"/>
              </w:rPr>
              <w:t>ndustry classification</w:t>
            </w:r>
            <w:r w:rsidR="00171C3E" w:rsidRPr="00523C8A">
              <w:rPr>
                <w:sz w:val="24"/>
              </w:rPr>
              <w:t xml:space="preserve"> for </w:t>
            </w:r>
            <w:proofErr w:type="spellStart"/>
            <w:r w:rsidR="00171C3E" w:rsidRPr="00523C8A">
              <w:rPr>
                <w:sz w:val="24"/>
              </w:rPr>
              <w:t>FBT</w:t>
            </w:r>
            <w:proofErr w:type="spellEnd"/>
          </w:p>
        </w:tc>
      </w:tr>
      <w:tr w:rsidR="00171C3E" w:rsidRPr="00B60243" w:rsidTr="000972B6">
        <w:trPr>
          <w:cantSplit/>
        </w:trPr>
        <w:tc>
          <w:tcPr>
            <w:tcW w:w="8771" w:type="dxa"/>
            <w:tcBorders>
              <w:top w:val="nil"/>
              <w:left w:val="single" w:sz="6" w:space="0" w:color="auto"/>
              <w:bottom w:val="nil"/>
              <w:right w:val="single" w:sz="6" w:space="0" w:color="auto"/>
            </w:tcBorders>
          </w:tcPr>
          <w:p w:rsidR="00171C3E" w:rsidRPr="00B60243" w:rsidRDefault="00171C3E" w:rsidP="00171C3E">
            <w:pPr>
              <w:pStyle w:val="Box"/>
            </w:pPr>
            <w:r w:rsidRPr="00B60243">
              <w:t xml:space="preserve">The </w:t>
            </w:r>
            <w:proofErr w:type="spellStart"/>
            <w:r w:rsidR="00397A18" w:rsidRPr="00B60243">
              <w:t>FBT</w:t>
            </w:r>
            <w:proofErr w:type="spellEnd"/>
            <w:r w:rsidR="00397A18" w:rsidRPr="00B60243">
              <w:t xml:space="preserve"> subsector </w:t>
            </w:r>
            <w:r w:rsidR="00C138FB" w:rsidRPr="00B60243">
              <w:t xml:space="preserve">consists of the following </w:t>
            </w:r>
            <w:r w:rsidRPr="00B60243">
              <w:t xml:space="preserve">ABS </w:t>
            </w:r>
            <w:r w:rsidRPr="00B60243">
              <w:rPr>
                <w:i/>
              </w:rPr>
              <w:t>Australian and New Zealand Standard Industrial Classification</w:t>
            </w:r>
            <w:r w:rsidRPr="00B60243">
              <w:t xml:space="preserve"> </w:t>
            </w:r>
            <w:r w:rsidR="00857057" w:rsidRPr="00B60243">
              <w:t xml:space="preserve">subdivisions and groups. </w:t>
            </w:r>
          </w:p>
          <w:p w:rsidR="00171C3E" w:rsidRPr="00B60243" w:rsidRDefault="00171C3E" w:rsidP="00C345BF">
            <w:pPr>
              <w:pStyle w:val="Box"/>
              <w:spacing w:before="240"/>
              <w:rPr>
                <w:b/>
              </w:rPr>
            </w:pPr>
            <w:proofErr w:type="spellStart"/>
            <w:r w:rsidRPr="00B60243">
              <w:rPr>
                <w:b/>
              </w:rPr>
              <w:t>ANZSIC</w:t>
            </w:r>
            <w:proofErr w:type="spellEnd"/>
            <w:r w:rsidRPr="00B60243">
              <w:rPr>
                <w:b/>
              </w:rPr>
              <w:t xml:space="preserve"> subdivisions and groups within </w:t>
            </w:r>
            <w:proofErr w:type="spellStart"/>
            <w:r w:rsidRPr="00B60243">
              <w:rPr>
                <w:b/>
              </w:rPr>
              <w:t>FBT</w:t>
            </w:r>
            <w:proofErr w:type="spellEnd"/>
            <w:r w:rsidRPr="00B60243">
              <w:rPr>
                <w:b/>
              </w:rPr>
              <w:t xml:space="preserve"> subsector</w:t>
            </w:r>
          </w:p>
          <w:tbl>
            <w:tblPr>
              <w:tblW w:w="5000" w:type="pct"/>
              <w:tblLayout w:type="fixed"/>
              <w:tblCellMar>
                <w:left w:w="0" w:type="dxa"/>
                <w:right w:w="0" w:type="dxa"/>
              </w:tblCellMar>
              <w:tblLook w:val="0000" w:firstRow="0" w:lastRow="0" w:firstColumn="0" w:lastColumn="0" w:noHBand="0" w:noVBand="0"/>
            </w:tblPr>
            <w:tblGrid>
              <w:gridCol w:w="1339"/>
              <w:gridCol w:w="7148"/>
            </w:tblGrid>
            <w:tr w:rsidR="00171C3E" w:rsidRPr="00B60243" w:rsidTr="00397A18">
              <w:tc>
                <w:tcPr>
                  <w:tcW w:w="789" w:type="pct"/>
                  <w:tcBorders>
                    <w:top w:val="single" w:sz="6" w:space="0" w:color="auto"/>
                    <w:bottom w:val="single" w:sz="6" w:space="0" w:color="auto"/>
                  </w:tcBorders>
                  <w:shd w:val="clear" w:color="auto" w:fill="auto"/>
                </w:tcPr>
                <w:p w:rsidR="00171C3E" w:rsidRPr="00B60243" w:rsidRDefault="00171C3E" w:rsidP="00397A18">
                  <w:pPr>
                    <w:pStyle w:val="TableColumnHeading"/>
                    <w:jc w:val="left"/>
                  </w:pPr>
                  <w:r w:rsidRPr="00B60243">
                    <w:t>Subdivision</w:t>
                  </w:r>
                </w:p>
              </w:tc>
              <w:tc>
                <w:tcPr>
                  <w:tcW w:w="4211" w:type="pct"/>
                  <w:tcBorders>
                    <w:top w:val="single" w:sz="6" w:space="0" w:color="auto"/>
                    <w:bottom w:val="single" w:sz="6" w:space="0" w:color="auto"/>
                  </w:tcBorders>
                  <w:shd w:val="clear" w:color="auto" w:fill="auto"/>
                </w:tcPr>
                <w:p w:rsidR="00171C3E" w:rsidRPr="00B60243" w:rsidRDefault="00171C3E" w:rsidP="00397A18">
                  <w:pPr>
                    <w:pStyle w:val="TableColumnHeading"/>
                    <w:ind w:right="28"/>
                    <w:jc w:val="left"/>
                  </w:pPr>
                  <w:r w:rsidRPr="00B60243">
                    <w:t>Group</w:t>
                  </w:r>
                </w:p>
              </w:tc>
            </w:tr>
            <w:tr w:rsidR="00171C3E" w:rsidRPr="00B60243" w:rsidTr="00D9217E">
              <w:tc>
                <w:tcPr>
                  <w:tcW w:w="5000" w:type="pct"/>
                  <w:gridSpan w:val="2"/>
                  <w:shd w:val="clear" w:color="auto" w:fill="D9D9D9" w:themeFill="background1" w:themeFillShade="D9"/>
                </w:tcPr>
                <w:p w:rsidR="00171C3E" w:rsidRPr="005966E5" w:rsidRDefault="005966E5" w:rsidP="00F643DD">
                  <w:pPr>
                    <w:pStyle w:val="TableBodyText"/>
                    <w:tabs>
                      <w:tab w:val="left" w:pos="3805"/>
                    </w:tabs>
                    <w:ind w:right="28"/>
                    <w:jc w:val="left"/>
                    <w:rPr>
                      <w:b/>
                    </w:rPr>
                  </w:pPr>
                  <w:r>
                    <w:rPr>
                      <w:b/>
                    </w:rPr>
                    <w:t xml:space="preserve">11 </w:t>
                  </w:r>
                  <w:r w:rsidR="00171C3E" w:rsidRPr="005966E5">
                    <w:rPr>
                      <w:b/>
                    </w:rPr>
                    <w:t>Food product manufacturing</w:t>
                  </w:r>
                </w:p>
              </w:tc>
            </w:tr>
            <w:tr w:rsidR="00171C3E" w:rsidRPr="00B60243" w:rsidTr="00397A18">
              <w:tc>
                <w:tcPr>
                  <w:tcW w:w="789" w:type="pct"/>
                  <w:shd w:val="clear" w:color="auto" w:fill="auto"/>
                </w:tcPr>
                <w:p w:rsidR="00171C3E" w:rsidRPr="00B60243" w:rsidRDefault="00171C3E" w:rsidP="00397A18">
                  <w:pPr>
                    <w:pStyle w:val="TableBodyText"/>
                    <w:jc w:val="left"/>
                  </w:pPr>
                </w:p>
              </w:tc>
              <w:tc>
                <w:tcPr>
                  <w:tcW w:w="4211" w:type="pct"/>
                  <w:shd w:val="clear" w:color="auto" w:fill="auto"/>
                </w:tcPr>
                <w:p w:rsidR="00171C3E" w:rsidRPr="00B60243" w:rsidRDefault="00171C3E" w:rsidP="003C121E">
                  <w:pPr>
                    <w:pStyle w:val="TableBodyText"/>
                    <w:ind w:left="456" w:right="28" w:hanging="425"/>
                    <w:jc w:val="left"/>
                  </w:pPr>
                  <w:r w:rsidRPr="00B60243">
                    <w:t>111 Meat</w:t>
                  </w:r>
                  <w:r w:rsidR="004219DD">
                    <w:t xml:space="preserve"> and </w:t>
                  </w:r>
                  <w:r w:rsidR="003C121E">
                    <w:t>m</w:t>
                  </w:r>
                  <w:r w:rsidR="004219DD">
                    <w:t xml:space="preserve">eat </w:t>
                  </w:r>
                  <w:r w:rsidR="003C121E">
                    <w:t>p</w:t>
                  </w:r>
                  <w:r w:rsidR="004219DD">
                    <w:t xml:space="preserve">roduct </w:t>
                  </w:r>
                  <w:r w:rsidR="003C121E">
                    <w:t>m</w:t>
                  </w:r>
                  <w:r w:rsidR="004219DD">
                    <w:t>anufacturing</w:t>
                  </w:r>
                </w:p>
              </w:tc>
            </w:tr>
            <w:tr w:rsidR="00171C3E" w:rsidRPr="00B60243" w:rsidTr="00D9217E">
              <w:tc>
                <w:tcPr>
                  <w:tcW w:w="789" w:type="pct"/>
                  <w:shd w:val="clear" w:color="auto" w:fill="D9D9D9" w:themeFill="background1" w:themeFillShade="D9"/>
                </w:tcPr>
                <w:p w:rsidR="00171C3E" w:rsidRPr="00B60243" w:rsidRDefault="00171C3E" w:rsidP="00397A18">
                  <w:pPr>
                    <w:pStyle w:val="TableBodyText"/>
                    <w:jc w:val="left"/>
                  </w:pPr>
                </w:p>
              </w:tc>
              <w:tc>
                <w:tcPr>
                  <w:tcW w:w="4211" w:type="pct"/>
                  <w:shd w:val="clear" w:color="auto" w:fill="D9D9D9" w:themeFill="background1" w:themeFillShade="D9"/>
                </w:tcPr>
                <w:p w:rsidR="00171C3E" w:rsidRPr="00B60243" w:rsidRDefault="00171C3E" w:rsidP="003C121E">
                  <w:pPr>
                    <w:pStyle w:val="TableBodyText"/>
                    <w:ind w:left="456" w:right="28" w:hanging="425"/>
                    <w:jc w:val="left"/>
                  </w:pPr>
                  <w:r w:rsidRPr="00B60243">
                    <w:t xml:space="preserve">112 Seafood </w:t>
                  </w:r>
                  <w:r w:rsidR="003C121E">
                    <w:t>p</w:t>
                  </w:r>
                  <w:r w:rsidRPr="00B60243">
                    <w:t>rocessing</w:t>
                  </w:r>
                </w:p>
              </w:tc>
            </w:tr>
            <w:tr w:rsidR="00171C3E" w:rsidRPr="00B60243" w:rsidTr="00397A18">
              <w:tc>
                <w:tcPr>
                  <w:tcW w:w="789" w:type="pct"/>
                  <w:shd w:val="clear" w:color="auto" w:fill="auto"/>
                </w:tcPr>
                <w:p w:rsidR="00171C3E" w:rsidRPr="00B60243" w:rsidRDefault="00171C3E" w:rsidP="00397A18">
                  <w:pPr>
                    <w:pStyle w:val="TableBodyText"/>
                    <w:jc w:val="left"/>
                  </w:pPr>
                </w:p>
              </w:tc>
              <w:tc>
                <w:tcPr>
                  <w:tcW w:w="4211" w:type="pct"/>
                  <w:shd w:val="clear" w:color="auto" w:fill="auto"/>
                </w:tcPr>
                <w:p w:rsidR="00171C3E" w:rsidRPr="00B60243" w:rsidRDefault="00171C3E" w:rsidP="003C121E">
                  <w:pPr>
                    <w:pStyle w:val="TableBodyText"/>
                    <w:ind w:left="456" w:right="28" w:hanging="425"/>
                    <w:jc w:val="left"/>
                  </w:pPr>
                  <w:r w:rsidRPr="00B60243">
                    <w:t xml:space="preserve">113 Dairy </w:t>
                  </w:r>
                  <w:r w:rsidR="003C121E">
                    <w:t>p</w:t>
                  </w:r>
                  <w:r w:rsidRPr="00B60243">
                    <w:t xml:space="preserve">roduct </w:t>
                  </w:r>
                  <w:r w:rsidR="003C121E">
                    <w:t>m</w:t>
                  </w:r>
                  <w:r w:rsidRPr="00B60243">
                    <w:t>anufacturing</w:t>
                  </w:r>
                </w:p>
              </w:tc>
            </w:tr>
            <w:tr w:rsidR="00171C3E" w:rsidRPr="00B60243" w:rsidTr="00D9217E">
              <w:tc>
                <w:tcPr>
                  <w:tcW w:w="789" w:type="pct"/>
                  <w:shd w:val="clear" w:color="auto" w:fill="D9D9D9" w:themeFill="background1" w:themeFillShade="D9"/>
                </w:tcPr>
                <w:p w:rsidR="00171C3E" w:rsidRPr="00B60243" w:rsidRDefault="00171C3E" w:rsidP="00397A18">
                  <w:pPr>
                    <w:pStyle w:val="TableBodyText"/>
                    <w:jc w:val="left"/>
                  </w:pPr>
                </w:p>
              </w:tc>
              <w:tc>
                <w:tcPr>
                  <w:tcW w:w="4211" w:type="pct"/>
                  <w:shd w:val="clear" w:color="auto" w:fill="D9D9D9" w:themeFill="background1" w:themeFillShade="D9"/>
                </w:tcPr>
                <w:p w:rsidR="00171C3E" w:rsidRPr="00B60243" w:rsidRDefault="00171C3E" w:rsidP="003C121E">
                  <w:pPr>
                    <w:pStyle w:val="TableBodyText"/>
                    <w:ind w:left="456" w:right="28" w:hanging="425"/>
                    <w:jc w:val="left"/>
                  </w:pPr>
                  <w:r w:rsidRPr="00B60243">
                    <w:t xml:space="preserve">114 Fruit and </w:t>
                  </w:r>
                  <w:r w:rsidR="003C121E">
                    <w:t>v</w:t>
                  </w:r>
                  <w:r w:rsidRPr="00B60243">
                    <w:t xml:space="preserve">egetable </w:t>
                  </w:r>
                  <w:r w:rsidR="003C121E">
                    <w:t>p</w:t>
                  </w:r>
                  <w:r w:rsidRPr="00B60243">
                    <w:t>rocessing</w:t>
                  </w:r>
                </w:p>
              </w:tc>
            </w:tr>
            <w:tr w:rsidR="00171C3E" w:rsidRPr="00B60243" w:rsidTr="00397A18">
              <w:tc>
                <w:tcPr>
                  <w:tcW w:w="789" w:type="pct"/>
                  <w:shd w:val="clear" w:color="auto" w:fill="auto"/>
                </w:tcPr>
                <w:p w:rsidR="00171C3E" w:rsidRPr="00B60243" w:rsidRDefault="00171C3E" w:rsidP="00397A18">
                  <w:pPr>
                    <w:pStyle w:val="TableBodyText"/>
                    <w:jc w:val="left"/>
                  </w:pPr>
                </w:p>
              </w:tc>
              <w:tc>
                <w:tcPr>
                  <w:tcW w:w="4211" w:type="pct"/>
                  <w:shd w:val="clear" w:color="auto" w:fill="auto"/>
                </w:tcPr>
                <w:p w:rsidR="00171C3E" w:rsidRPr="00B60243" w:rsidRDefault="00171C3E" w:rsidP="003C121E">
                  <w:pPr>
                    <w:pStyle w:val="TableBodyText"/>
                    <w:ind w:left="456" w:right="28" w:hanging="425"/>
                    <w:jc w:val="left"/>
                  </w:pPr>
                  <w:r w:rsidRPr="00B60243">
                    <w:t xml:space="preserve">115 Oil and </w:t>
                  </w:r>
                  <w:r w:rsidR="003C121E">
                    <w:t>f</w:t>
                  </w:r>
                  <w:r w:rsidRPr="00B60243">
                    <w:t xml:space="preserve">at </w:t>
                  </w:r>
                  <w:r w:rsidR="003C121E">
                    <w:t>m</w:t>
                  </w:r>
                  <w:r w:rsidRPr="00B60243">
                    <w:t>anufacturing</w:t>
                  </w:r>
                </w:p>
              </w:tc>
            </w:tr>
            <w:tr w:rsidR="00171C3E" w:rsidRPr="00B60243" w:rsidTr="00D9217E">
              <w:tc>
                <w:tcPr>
                  <w:tcW w:w="789" w:type="pct"/>
                  <w:shd w:val="clear" w:color="auto" w:fill="D9D9D9" w:themeFill="background1" w:themeFillShade="D9"/>
                </w:tcPr>
                <w:p w:rsidR="00171C3E" w:rsidRPr="00B60243" w:rsidRDefault="00171C3E" w:rsidP="00397A18">
                  <w:pPr>
                    <w:pStyle w:val="TableBodyText"/>
                    <w:jc w:val="left"/>
                  </w:pPr>
                </w:p>
              </w:tc>
              <w:tc>
                <w:tcPr>
                  <w:tcW w:w="4211" w:type="pct"/>
                  <w:shd w:val="clear" w:color="auto" w:fill="D9D9D9" w:themeFill="background1" w:themeFillShade="D9"/>
                </w:tcPr>
                <w:p w:rsidR="00171C3E" w:rsidRPr="00B60243" w:rsidRDefault="00171C3E" w:rsidP="003C121E">
                  <w:pPr>
                    <w:pStyle w:val="TableBodyText"/>
                    <w:ind w:left="456" w:right="28" w:hanging="425"/>
                    <w:jc w:val="left"/>
                  </w:pPr>
                  <w:r w:rsidRPr="00B60243">
                    <w:t xml:space="preserve">116 Grain </w:t>
                  </w:r>
                  <w:r w:rsidR="003C121E">
                    <w:t>m</w:t>
                  </w:r>
                  <w:r w:rsidRPr="00B60243">
                    <w:t xml:space="preserve">ill and </w:t>
                  </w:r>
                  <w:r w:rsidR="003C121E">
                    <w:t>c</w:t>
                  </w:r>
                  <w:r w:rsidRPr="00B60243">
                    <w:t xml:space="preserve">ereal </w:t>
                  </w:r>
                  <w:r w:rsidR="003C121E">
                    <w:t>p</w:t>
                  </w:r>
                  <w:r w:rsidRPr="00B60243">
                    <w:t xml:space="preserve">roduct </w:t>
                  </w:r>
                  <w:r w:rsidR="003C121E">
                    <w:t>m</w:t>
                  </w:r>
                  <w:r w:rsidRPr="00B60243">
                    <w:t>anufacturing</w:t>
                  </w:r>
                </w:p>
              </w:tc>
            </w:tr>
            <w:tr w:rsidR="00171C3E" w:rsidRPr="00B60243" w:rsidTr="00397A18">
              <w:tc>
                <w:tcPr>
                  <w:tcW w:w="789" w:type="pct"/>
                  <w:shd w:val="clear" w:color="auto" w:fill="auto"/>
                </w:tcPr>
                <w:p w:rsidR="00171C3E" w:rsidRPr="00B60243" w:rsidRDefault="00171C3E" w:rsidP="00397A18">
                  <w:pPr>
                    <w:pStyle w:val="TableBodyText"/>
                    <w:jc w:val="left"/>
                  </w:pPr>
                </w:p>
              </w:tc>
              <w:tc>
                <w:tcPr>
                  <w:tcW w:w="4211" w:type="pct"/>
                  <w:shd w:val="clear" w:color="auto" w:fill="auto"/>
                </w:tcPr>
                <w:p w:rsidR="00171C3E" w:rsidRPr="00B60243" w:rsidRDefault="00171C3E" w:rsidP="003C121E">
                  <w:pPr>
                    <w:pStyle w:val="TableBodyText"/>
                    <w:ind w:left="456" w:right="28" w:hanging="425"/>
                    <w:jc w:val="left"/>
                  </w:pPr>
                  <w:r w:rsidRPr="00B60243">
                    <w:t xml:space="preserve">117 Bakery </w:t>
                  </w:r>
                  <w:r w:rsidR="003C121E">
                    <w:t>p</w:t>
                  </w:r>
                  <w:r w:rsidRPr="00B60243">
                    <w:t xml:space="preserve">roduct </w:t>
                  </w:r>
                  <w:r w:rsidR="003C121E">
                    <w:t>m</w:t>
                  </w:r>
                  <w:r w:rsidRPr="00B60243">
                    <w:t>anufacturing</w:t>
                  </w:r>
                </w:p>
              </w:tc>
            </w:tr>
            <w:tr w:rsidR="00171C3E" w:rsidRPr="00B60243" w:rsidTr="00D9217E">
              <w:tc>
                <w:tcPr>
                  <w:tcW w:w="789" w:type="pct"/>
                  <w:shd w:val="clear" w:color="auto" w:fill="D9D9D9" w:themeFill="background1" w:themeFillShade="D9"/>
                </w:tcPr>
                <w:p w:rsidR="00171C3E" w:rsidRPr="00B60243" w:rsidRDefault="00171C3E" w:rsidP="00397A18">
                  <w:pPr>
                    <w:pStyle w:val="TableBodyText"/>
                    <w:jc w:val="left"/>
                  </w:pPr>
                </w:p>
              </w:tc>
              <w:tc>
                <w:tcPr>
                  <w:tcW w:w="4211" w:type="pct"/>
                  <w:shd w:val="clear" w:color="auto" w:fill="D9D9D9" w:themeFill="background1" w:themeFillShade="D9"/>
                </w:tcPr>
                <w:p w:rsidR="00171C3E" w:rsidRPr="00B60243" w:rsidRDefault="00171C3E" w:rsidP="003C121E">
                  <w:pPr>
                    <w:pStyle w:val="TableBodyText"/>
                    <w:ind w:left="456" w:right="28" w:hanging="425"/>
                    <w:jc w:val="left"/>
                  </w:pPr>
                  <w:r w:rsidRPr="00B60243">
                    <w:t xml:space="preserve">118 Sugar and </w:t>
                  </w:r>
                  <w:r w:rsidR="003C121E">
                    <w:t>c</w:t>
                  </w:r>
                  <w:r w:rsidRPr="00B60243">
                    <w:t xml:space="preserve">onfectionery </w:t>
                  </w:r>
                  <w:r w:rsidR="003C121E">
                    <w:t>m</w:t>
                  </w:r>
                  <w:r w:rsidRPr="00B60243">
                    <w:t xml:space="preserve">anufacturing </w:t>
                  </w:r>
                </w:p>
              </w:tc>
            </w:tr>
            <w:tr w:rsidR="00171C3E" w:rsidRPr="00B60243" w:rsidTr="00397A18">
              <w:tc>
                <w:tcPr>
                  <w:tcW w:w="789" w:type="pct"/>
                  <w:shd w:val="clear" w:color="auto" w:fill="auto"/>
                </w:tcPr>
                <w:p w:rsidR="00171C3E" w:rsidRPr="00B60243" w:rsidRDefault="00171C3E" w:rsidP="00397A18">
                  <w:pPr>
                    <w:pStyle w:val="TableBodyText"/>
                    <w:jc w:val="left"/>
                  </w:pPr>
                </w:p>
              </w:tc>
              <w:tc>
                <w:tcPr>
                  <w:tcW w:w="4211" w:type="pct"/>
                  <w:shd w:val="clear" w:color="auto" w:fill="auto"/>
                </w:tcPr>
                <w:p w:rsidR="00171C3E" w:rsidRPr="00B60243" w:rsidRDefault="00171C3E" w:rsidP="003C121E">
                  <w:pPr>
                    <w:pStyle w:val="TableBodyText"/>
                    <w:ind w:left="456" w:right="28" w:hanging="425"/>
                    <w:jc w:val="left"/>
                  </w:pPr>
                  <w:r w:rsidRPr="00B60243">
                    <w:t xml:space="preserve">119 Other </w:t>
                  </w:r>
                  <w:r w:rsidR="003C121E">
                    <w:t>f</w:t>
                  </w:r>
                  <w:r w:rsidRPr="00B60243">
                    <w:t xml:space="preserve">ood </w:t>
                  </w:r>
                  <w:r w:rsidR="003C121E">
                    <w:t>p</w:t>
                  </w:r>
                  <w:r w:rsidRPr="00B60243">
                    <w:t xml:space="preserve">roduct </w:t>
                  </w:r>
                  <w:r w:rsidR="003C121E">
                    <w:t>m</w:t>
                  </w:r>
                  <w:r w:rsidRPr="00B60243">
                    <w:t xml:space="preserve">anufacturing </w:t>
                  </w:r>
                </w:p>
              </w:tc>
            </w:tr>
            <w:tr w:rsidR="00171C3E" w:rsidRPr="00B60243" w:rsidTr="00D9217E">
              <w:tc>
                <w:tcPr>
                  <w:tcW w:w="5000" w:type="pct"/>
                  <w:gridSpan w:val="2"/>
                  <w:shd w:val="clear" w:color="auto" w:fill="D9D9D9" w:themeFill="background1" w:themeFillShade="D9"/>
                </w:tcPr>
                <w:p w:rsidR="00171C3E" w:rsidRPr="005966E5" w:rsidRDefault="00171C3E" w:rsidP="00397A18">
                  <w:pPr>
                    <w:pStyle w:val="TableBodyText"/>
                    <w:ind w:right="28"/>
                    <w:jc w:val="left"/>
                    <w:rPr>
                      <w:b/>
                    </w:rPr>
                  </w:pPr>
                  <w:r w:rsidRPr="005966E5">
                    <w:rPr>
                      <w:b/>
                    </w:rPr>
                    <w:t>12 Beverage and tobacco product manufacturing</w:t>
                  </w:r>
                </w:p>
              </w:tc>
            </w:tr>
            <w:tr w:rsidR="00171C3E" w:rsidRPr="00B60243" w:rsidTr="00397A18">
              <w:tc>
                <w:tcPr>
                  <w:tcW w:w="789" w:type="pct"/>
                  <w:shd w:val="clear" w:color="auto" w:fill="auto"/>
                </w:tcPr>
                <w:p w:rsidR="00171C3E" w:rsidRPr="00B60243" w:rsidRDefault="00171C3E" w:rsidP="00397A18">
                  <w:pPr>
                    <w:pStyle w:val="TableBodyText"/>
                    <w:jc w:val="left"/>
                  </w:pPr>
                </w:p>
              </w:tc>
              <w:tc>
                <w:tcPr>
                  <w:tcW w:w="4211" w:type="pct"/>
                  <w:shd w:val="clear" w:color="auto" w:fill="auto"/>
                </w:tcPr>
                <w:p w:rsidR="00171C3E" w:rsidRPr="00B60243" w:rsidRDefault="00171C3E" w:rsidP="003C121E">
                  <w:pPr>
                    <w:pStyle w:val="TableBodyText"/>
                    <w:ind w:left="456" w:right="28" w:hanging="425"/>
                    <w:jc w:val="left"/>
                  </w:pPr>
                  <w:r w:rsidRPr="00B60243">
                    <w:t xml:space="preserve">121 Beverage </w:t>
                  </w:r>
                  <w:r w:rsidR="003C121E">
                    <w:t>m</w:t>
                  </w:r>
                  <w:r w:rsidRPr="00B60243">
                    <w:t xml:space="preserve">anufacturing </w:t>
                  </w:r>
                </w:p>
              </w:tc>
            </w:tr>
            <w:tr w:rsidR="00171C3E" w:rsidRPr="00B60243" w:rsidTr="00D9217E">
              <w:tc>
                <w:tcPr>
                  <w:tcW w:w="789" w:type="pct"/>
                  <w:tcBorders>
                    <w:bottom w:val="single" w:sz="6" w:space="0" w:color="auto"/>
                  </w:tcBorders>
                  <w:shd w:val="clear" w:color="auto" w:fill="D9D9D9" w:themeFill="background1" w:themeFillShade="D9"/>
                </w:tcPr>
                <w:p w:rsidR="00171C3E" w:rsidRPr="00B60243" w:rsidRDefault="00171C3E" w:rsidP="00397A18">
                  <w:pPr>
                    <w:pStyle w:val="TableBodyText"/>
                    <w:jc w:val="left"/>
                  </w:pPr>
                </w:p>
              </w:tc>
              <w:tc>
                <w:tcPr>
                  <w:tcW w:w="4211" w:type="pct"/>
                  <w:tcBorders>
                    <w:bottom w:val="single" w:sz="6" w:space="0" w:color="auto"/>
                  </w:tcBorders>
                  <w:shd w:val="clear" w:color="auto" w:fill="D9D9D9" w:themeFill="background1" w:themeFillShade="D9"/>
                </w:tcPr>
                <w:p w:rsidR="00171C3E" w:rsidRPr="00B60243" w:rsidRDefault="00171C3E" w:rsidP="003C121E">
                  <w:pPr>
                    <w:pStyle w:val="TableBodyText"/>
                    <w:ind w:right="28"/>
                    <w:jc w:val="left"/>
                  </w:pPr>
                  <w:r w:rsidRPr="00B60243">
                    <w:t xml:space="preserve">122 Cigarette and </w:t>
                  </w:r>
                  <w:r w:rsidR="003C121E">
                    <w:t>t</w:t>
                  </w:r>
                  <w:r w:rsidRPr="00B60243">
                    <w:t xml:space="preserve">obacco </w:t>
                  </w:r>
                  <w:r w:rsidR="003C121E">
                    <w:t>p</w:t>
                  </w:r>
                  <w:r w:rsidRPr="00B60243">
                    <w:t xml:space="preserve">roduct </w:t>
                  </w:r>
                  <w:r w:rsidR="003C121E">
                    <w:t>m</w:t>
                  </w:r>
                  <w:r w:rsidRPr="00B60243">
                    <w:t>anufacturing</w:t>
                  </w:r>
                </w:p>
              </w:tc>
            </w:tr>
          </w:tbl>
          <w:p w:rsidR="00171C3E" w:rsidRPr="00B60243" w:rsidRDefault="00171C3E" w:rsidP="00EC7AB0">
            <w:pPr>
              <w:pStyle w:val="Source"/>
              <w:spacing w:after="0"/>
            </w:pPr>
            <w:r w:rsidRPr="00B60243">
              <w:rPr>
                <w:i/>
              </w:rPr>
              <w:t>Source</w:t>
            </w:r>
            <w:r w:rsidRPr="00B60243">
              <w:t>: ABS (</w:t>
            </w:r>
            <w:r w:rsidR="00A96AEC" w:rsidRPr="00B60243">
              <w:rPr>
                <w:i/>
              </w:rPr>
              <w:t xml:space="preserve">Australian and New Zealand Standard </w:t>
            </w:r>
            <w:r w:rsidR="00EC7AB0" w:rsidRPr="00B60243">
              <w:rPr>
                <w:i/>
              </w:rPr>
              <w:t>Industrial Classification, 2006</w:t>
            </w:r>
            <w:r w:rsidRPr="00B60243">
              <w:rPr>
                <w:i/>
              </w:rPr>
              <w:t>,</w:t>
            </w:r>
            <w:r w:rsidRPr="00B60243">
              <w:t xml:space="preserve"> Cat. no. 1292.0).</w:t>
            </w:r>
          </w:p>
        </w:tc>
      </w:tr>
      <w:tr w:rsidR="002E7E2C" w:rsidRPr="00B60243" w:rsidTr="000972B6">
        <w:trPr>
          <w:cantSplit/>
        </w:trPr>
        <w:tc>
          <w:tcPr>
            <w:tcW w:w="8771" w:type="dxa"/>
            <w:tcBorders>
              <w:top w:val="nil"/>
              <w:left w:val="single" w:sz="6" w:space="0" w:color="auto"/>
              <w:bottom w:val="nil"/>
              <w:right w:val="single" w:sz="6" w:space="0" w:color="auto"/>
            </w:tcBorders>
          </w:tcPr>
          <w:p w:rsidR="002E7E2C" w:rsidRPr="00B60243" w:rsidRDefault="000435E9" w:rsidP="000972B6">
            <w:pPr>
              <w:pStyle w:val="Box"/>
            </w:pPr>
            <w:r w:rsidRPr="00B60243">
              <w:t xml:space="preserve">The </w:t>
            </w:r>
            <w:r w:rsidR="002E7E2C" w:rsidRPr="00B60243">
              <w:t xml:space="preserve">shift from </w:t>
            </w:r>
            <w:r w:rsidR="0068761A" w:rsidRPr="00B60243">
              <w:t xml:space="preserve">the 1993 edition of </w:t>
            </w:r>
            <w:proofErr w:type="spellStart"/>
            <w:r w:rsidR="00857057" w:rsidRPr="00B60243">
              <w:t>ANZSIC</w:t>
            </w:r>
            <w:proofErr w:type="spellEnd"/>
            <w:r w:rsidR="002E7E2C" w:rsidRPr="00B60243">
              <w:t xml:space="preserve"> </w:t>
            </w:r>
            <w:r w:rsidR="00FC3C27">
              <w:t>(</w:t>
            </w:r>
            <w:proofErr w:type="spellStart"/>
            <w:r w:rsidR="00FC3C27">
              <w:t>ANZSIC93</w:t>
            </w:r>
            <w:proofErr w:type="spellEnd"/>
            <w:r w:rsidR="00FC3C27">
              <w:t xml:space="preserve">) </w:t>
            </w:r>
            <w:r w:rsidR="002E7E2C" w:rsidRPr="00B60243">
              <w:t xml:space="preserve">to </w:t>
            </w:r>
            <w:r w:rsidR="001B3F77" w:rsidRPr="00B60243">
              <w:t xml:space="preserve">the </w:t>
            </w:r>
            <w:r w:rsidR="00C138FB" w:rsidRPr="00B60243">
              <w:t>2006 edition (</w:t>
            </w:r>
            <w:proofErr w:type="spellStart"/>
            <w:r w:rsidR="002E7E2C" w:rsidRPr="00B60243">
              <w:t>ANZSIC06</w:t>
            </w:r>
            <w:proofErr w:type="spellEnd"/>
            <w:r w:rsidR="00C138FB" w:rsidRPr="00B60243">
              <w:t>)</w:t>
            </w:r>
            <w:r w:rsidR="006E759B" w:rsidRPr="00B60243">
              <w:t xml:space="preserve"> affects</w:t>
            </w:r>
            <w:r w:rsidRPr="00B60243">
              <w:t xml:space="preserve"> the </w:t>
            </w:r>
            <w:r w:rsidR="006E759B" w:rsidRPr="00B60243">
              <w:t xml:space="preserve">extent to which </w:t>
            </w:r>
            <w:r w:rsidRPr="00B60243">
              <w:t xml:space="preserve">data for </w:t>
            </w:r>
            <w:proofErr w:type="spellStart"/>
            <w:r w:rsidRPr="00B60243">
              <w:t>FBT</w:t>
            </w:r>
            <w:proofErr w:type="spellEnd"/>
            <w:r w:rsidRPr="00B60243">
              <w:t xml:space="preserve"> manufacturing</w:t>
            </w:r>
            <w:r w:rsidR="006E759B" w:rsidRPr="00B60243">
              <w:t xml:space="preserve"> can be compared over time</w:t>
            </w:r>
            <w:r w:rsidR="0061381B" w:rsidRPr="00B60243">
              <w:t xml:space="preserve">. </w:t>
            </w:r>
            <w:r w:rsidR="00486FA1" w:rsidRPr="00B60243">
              <w:t xml:space="preserve">There were numerous shifts into </w:t>
            </w:r>
            <w:proofErr w:type="spellStart"/>
            <w:r w:rsidR="00486FA1" w:rsidRPr="00B60243">
              <w:t>FBT</w:t>
            </w:r>
            <w:proofErr w:type="spellEnd"/>
            <w:r w:rsidR="00486FA1" w:rsidRPr="00B60243">
              <w:t xml:space="preserve"> from outside Manufacturing and between industry groups within </w:t>
            </w:r>
            <w:proofErr w:type="spellStart"/>
            <w:r w:rsidR="00486FA1" w:rsidRPr="00B60243">
              <w:t>FBT</w:t>
            </w:r>
            <w:proofErr w:type="spellEnd"/>
            <w:r w:rsidR="00486FA1" w:rsidRPr="00B60243">
              <w:t xml:space="preserve"> — but t</w:t>
            </w:r>
            <w:r w:rsidR="002E7E2C" w:rsidRPr="00B60243">
              <w:t xml:space="preserve">he most significant </w:t>
            </w:r>
            <w:r w:rsidR="00486FA1" w:rsidRPr="00B60243">
              <w:t xml:space="preserve">change was moving </w:t>
            </w:r>
            <w:r w:rsidR="002E7E2C" w:rsidRPr="00B60243">
              <w:t>non</w:t>
            </w:r>
            <w:r w:rsidR="00E36E7F">
              <w:noBreakHyphen/>
            </w:r>
            <w:r w:rsidR="002E7E2C" w:rsidRPr="00B60243">
              <w:t>factory baking (</w:t>
            </w:r>
            <w:r w:rsidR="000535B7" w:rsidRPr="00B60243">
              <w:t xml:space="preserve">for example, </w:t>
            </w:r>
            <w:r w:rsidR="002E7E2C" w:rsidRPr="00B60243">
              <w:t xml:space="preserve">hot bread shops) from Retail trade to </w:t>
            </w:r>
            <w:proofErr w:type="spellStart"/>
            <w:r w:rsidR="002E7E2C" w:rsidRPr="00B60243">
              <w:t>FBT</w:t>
            </w:r>
            <w:proofErr w:type="spellEnd"/>
            <w:r w:rsidR="002E7E2C" w:rsidRPr="00B60243">
              <w:t xml:space="preserve"> manufacturing</w:t>
            </w:r>
            <w:r w:rsidR="0068761A" w:rsidRPr="00B60243">
              <w:t xml:space="preserve">. </w:t>
            </w:r>
            <w:r w:rsidR="004A71A6" w:rsidRPr="00B60243">
              <w:t>Non</w:t>
            </w:r>
            <w:r w:rsidR="00E36E7F">
              <w:noBreakHyphen/>
            </w:r>
            <w:r w:rsidR="004A71A6" w:rsidRPr="00B60243">
              <w:t xml:space="preserve">factory baking is a large share of total Bakery — </w:t>
            </w:r>
            <w:r w:rsidR="002E7E2C" w:rsidRPr="00B60243">
              <w:t>4</w:t>
            </w:r>
            <w:r w:rsidR="00B25881" w:rsidRPr="00B60243">
              <w:t>6</w:t>
            </w:r>
            <w:r w:rsidR="002E7E2C" w:rsidRPr="00B60243">
              <w:t xml:space="preserve"> per cent of </w:t>
            </w:r>
            <w:r w:rsidR="0068761A" w:rsidRPr="00B60243">
              <w:t xml:space="preserve">VA </w:t>
            </w:r>
            <w:r w:rsidR="00B25881" w:rsidRPr="00B60243">
              <w:t>and 60 per cent of employment</w:t>
            </w:r>
            <w:r w:rsidR="004A71A6" w:rsidRPr="00B60243">
              <w:t xml:space="preserve"> in 2009</w:t>
            </w:r>
            <w:r w:rsidR="00E36E7F">
              <w:noBreakHyphen/>
            </w:r>
            <w:r w:rsidR="004A71A6" w:rsidRPr="00B60243">
              <w:t>10</w:t>
            </w:r>
            <w:r w:rsidR="002E7E2C" w:rsidRPr="00B60243">
              <w:t xml:space="preserve">. </w:t>
            </w:r>
          </w:p>
          <w:p w:rsidR="004A71A6" w:rsidRPr="00B60243" w:rsidRDefault="004A71A6" w:rsidP="004A71A6">
            <w:pPr>
              <w:pStyle w:val="Box"/>
            </w:pPr>
            <w:r w:rsidRPr="00B60243">
              <w:t>T</w:t>
            </w:r>
            <w:r w:rsidR="000F4641" w:rsidRPr="00B60243">
              <w:t xml:space="preserve">he </w:t>
            </w:r>
            <w:r w:rsidRPr="00B60243">
              <w:t xml:space="preserve">year in which the </w:t>
            </w:r>
            <w:r w:rsidR="000F4641" w:rsidRPr="00B60243">
              <w:t xml:space="preserve">ABS introduced </w:t>
            </w:r>
            <w:proofErr w:type="spellStart"/>
            <w:r w:rsidR="000F4641" w:rsidRPr="00B60243">
              <w:t>ANZSIC06</w:t>
            </w:r>
            <w:proofErr w:type="spellEnd"/>
            <w:r w:rsidR="000F4641" w:rsidRPr="00B60243">
              <w:t xml:space="preserve"> </w:t>
            </w:r>
            <w:r w:rsidRPr="00B60243">
              <w:t>differ</w:t>
            </w:r>
            <w:r w:rsidR="0061381B" w:rsidRPr="00B60243">
              <w:t>ed</w:t>
            </w:r>
            <w:r w:rsidR="000F4641" w:rsidRPr="00B60243">
              <w:t xml:space="preserve"> </w:t>
            </w:r>
            <w:r w:rsidR="00B25881" w:rsidRPr="00B60243">
              <w:t>across surveys</w:t>
            </w:r>
            <w:r w:rsidR="000F4641" w:rsidRPr="00B60243">
              <w:t>.</w:t>
            </w:r>
            <w:r w:rsidR="00B25881" w:rsidRPr="00B60243">
              <w:t xml:space="preserve"> </w:t>
            </w:r>
            <w:r w:rsidR="001B3F77" w:rsidRPr="00B60243">
              <w:t>O</w:t>
            </w:r>
            <w:r w:rsidR="000F4641" w:rsidRPr="00B60243">
              <w:t>nly for some surve</w:t>
            </w:r>
            <w:r w:rsidR="00637C13" w:rsidRPr="00B60243">
              <w:t xml:space="preserve">ys did the </w:t>
            </w:r>
            <w:r w:rsidR="00D70E17" w:rsidRPr="00B60243">
              <w:t xml:space="preserve">ABS </w:t>
            </w:r>
            <w:proofErr w:type="spellStart"/>
            <w:r w:rsidR="00637C13" w:rsidRPr="00B60243">
              <w:t>backcast</w:t>
            </w:r>
            <w:proofErr w:type="spellEnd"/>
            <w:r w:rsidR="00637C13" w:rsidRPr="00B60243">
              <w:t xml:space="preserve"> data </w:t>
            </w:r>
            <w:r w:rsidR="0061381B" w:rsidRPr="00B60243">
              <w:t xml:space="preserve">to increase comparability over time </w:t>
            </w:r>
            <w:r w:rsidRPr="00B60243">
              <w:t xml:space="preserve">(that is, convert earlier </w:t>
            </w:r>
            <w:proofErr w:type="spellStart"/>
            <w:r w:rsidRPr="00B60243">
              <w:t>ANZSIC</w:t>
            </w:r>
            <w:proofErr w:type="spellEnd"/>
            <w:r w:rsidRPr="00B60243">
              <w:t xml:space="preserve"> data into </w:t>
            </w:r>
            <w:proofErr w:type="spellStart"/>
            <w:r w:rsidRPr="00B60243">
              <w:t>ANZSIC06</w:t>
            </w:r>
            <w:proofErr w:type="spellEnd"/>
            <w:r w:rsidRPr="00B60243">
              <w:t>)</w:t>
            </w:r>
            <w:r w:rsidR="002E7E2C" w:rsidRPr="00B60243">
              <w:t xml:space="preserve">. </w:t>
            </w:r>
          </w:p>
          <w:p w:rsidR="004A71A6" w:rsidRPr="00B60243" w:rsidRDefault="002E7E2C" w:rsidP="004A71A6">
            <w:pPr>
              <w:pStyle w:val="BoxListBullet"/>
            </w:pPr>
            <w:r w:rsidRPr="00B60243">
              <w:t>Where possible</w:t>
            </w:r>
            <w:r w:rsidR="00793115" w:rsidRPr="00B60243">
              <w:t>,</w:t>
            </w:r>
            <w:r w:rsidRPr="00B60243">
              <w:t xml:space="preserve"> </w:t>
            </w:r>
            <w:proofErr w:type="spellStart"/>
            <w:r w:rsidR="00637C13" w:rsidRPr="00B60243">
              <w:t>backcast</w:t>
            </w:r>
            <w:proofErr w:type="spellEnd"/>
            <w:r w:rsidR="00637C13" w:rsidRPr="00B60243">
              <w:t xml:space="preserve"> </w:t>
            </w:r>
            <w:r w:rsidRPr="00B60243">
              <w:t>data are used</w:t>
            </w:r>
            <w:r w:rsidR="004A71A6" w:rsidRPr="00B60243">
              <w:t>.</w:t>
            </w:r>
            <w:r w:rsidRPr="00B60243">
              <w:t xml:space="preserve"> </w:t>
            </w:r>
            <w:r w:rsidR="004A71A6" w:rsidRPr="00B60243">
              <w:t>H</w:t>
            </w:r>
            <w:r w:rsidRPr="00B60243">
              <w:t xml:space="preserve">owever, it should be borne in mind </w:t>
            </w:r>
            <w:r w:rsidR="00637C13" w:rsidRPr="00B60243">
              <w:t xml:space="preserve">that </w:t>
            </w:r>
            <w:proofErr w:type="spellStart"/>
            <w:r w:rsidR="00637C13" w:rsidRPr="00B60243">
              <w:t>backcast</w:t>
            </w:r>
            <w:proofErr w:type="spellEnd"/>
            <w:r w:rsidR="00092175" w:rsidRPr="00B60243">
              <w:t xml:space="preserve"> data may not be as accurate </w:t>
            </w:r>
            <w:r w:rsidRPr="00B60243">
              <w:t xml:space="preserve">as data collected on an </w:t>
            </w:r>
            <w:proofErr w:type="spellStart"/>
            <w:r w:rsidRPr="00B60243">
              <w:t>ANZSIC06</w:t>
            </w:r>
            <w:proofErr w:type="spellEnd"/>
            <w:r w:rsidRPr="00B60243">
              <w:t xml:space="preserve"> basis. </w:t>
            </w:r>
          </w:p>
          <w:p w:rsidR="002E7E2C" w:rsidRPr="00B60243" w:rsidRDefault="00092175" w:rsidP="004A71A6">
            <w:pPr>
              <w:pStyle w:val="BoxListBullet"/>
            </w:pPr>
            <w:r w:rsidRPr="00B60243">
              <w:t xml:space="preserve">Where </w:t>
            </w:r>
            <w:proofErr w:type="spellStart"/>
            <w:r w:rsidR="00637C13" w:rsidRPr="00B60243">
              <w:t>backcast</w:t>
            </w:r>
            <w:proofErr w:type="spellEnd"/>
            <w:r w:rsidRPr="00B60243">
              <w:t xml:space="preserve"> data are not available</w:t>
            </w:r>
            <w:r w:rsidR="00793115" w:rsidRPr="00B60243">
              <w:t>,</w:t>
            </w:r>
            <w:r w:rsidR="00FF397B" w:rsidRPr="00B60243">
              <w:t xml:space="preserve"> it has been necessary to refer to unadjusted data</w:t>
            </w:r>
            <w:r w:rsidR="004A71A6" w:rsidRPr="00B60243">
              <w:t>. Breaks</w:t>
            </w:r>
            <w:r w:rsidR="002E7E2C" w:rsidRPr="00B60243">
              <w:t xml:space="preserve"> in series are identified</w:t>
            </w:r>
            <w:r w:rsidR="00FF397B" w:rsidRPr="00B60243">
              <w:t xml:space="preserve"> and their implications noted. </w:t>
            </w:r>
          </w:p>
          <w:p w:rsidR="0061381B" w:rsidRPr="00B60243" w:rsidRDefault="0061381B" w:rsidP="008124B4">
            <w:pPr>
              <w:pStyle w:val="Box"/>
            </w:pPr>
            <w:r w:rsidRPr="00B60243">
              <w:t xml:space="preserve">Further details are provided in appendix </w:t>
            </w:r>
            <w:r w:rsidR="008124B4" w:rsidRPr="00B60243">
              <w:t>G</w:t>
            </w:r>
            <w:r w:rsidRPr="00B60243">
              <w:t>.</w:t>
            </w:r>
          </w:p>
        </w:tc>
      </w:tr>
      <w:tr w:rsidR="002E7E2C" w:rsidRPr="00B60243" w:rsidTr="000972B6">
        <w:trPr>
          <w:cantSplit/>
        </w:trPr>
        <w:tc>
          <w:tcPr>
            <w:tcW w:w="8771" w:type="dxa"/>
            <w:tcBorders>
              <w:top w:val="nil"/>
              <w:left w:val="single" w:sz="6" w:space="0" w:color="auto"/>
              <w:bottom w:val="single" w:sz="6" w:space="0" w:color="auto"/>
              <w:right w:val="single" w:sz="6" w:space="0" w:color="auto"/>
            </w:tcBorders>
          </w:tcPr>
          <w:p w:rsidR="002E7E2C" w:rsidRPr="00B60243" w:rsidRDefault="002E7E2C" w:rsidP="000972B6">
            <w:pPr>
              <w:pStyle w:val="Box"/>
              <w:spacing w:before="0" w:line="120" w:lineRule="exact"/>
            </w:pPr>
          </w:p>
        </w:tc>
      </w:tr>
      <w:tr w:rsidR="002E7E2C" w:rsidRPr="00B60243" w:rsidTr="000972B6">
        <w:tc>
          <w:tcPr>
            <w:tcW w:w="8771" w:type="dxa"/>
            <w:tcBorders>
              <w:top w:val="nil"/>
              <w:left w:val="nil"/>
              <w:bottom w:val="nil"/>
              <w:right w:val="nil"/>
            </w:tcBorders>
          </w:tcPr>
          <w:p w:rsidR="002E7E2C" w:rsidRPr="00B60243" w:rsidRDefault="002E7E2C" w:rsidP="000972B6">
            <w:pPr>
              <w:pStyle w:val="BoxSpaceBelow"/>
            </w:pPr>
          </w:p>
        </w:tc>
      </w:tr>
    </w:tbl>
    <w:p w:rsidR="006E1278" w:rsidRDefault="006E1278" w:rsidP="006E1278">
      <w:pPr>
        <w:pStyle w:val="BodyText"/>
      </w:pPr>
      <w:r>
        <w:br w:type="page"/>
      </w:r>
    </w:p>
    <w:p w:rsidR="007A4E13" w:rsidRPr="00B60243" w:rsidRDefault="007A4E13" w:rsidP="00B01BB7">
      <w:pPr>
        <w:pStyle w:val="BodyText"/>
        <w:widowControl w:val="0"/>
      </w:pPr>
      <w:r w:rsidRPr="00B60243">
        <w:lastRenderedPageBreak/>
        <w:t>In 2009</w:t>
      </w:r>
      <w:r w:rsidR="00E36E7F">
        <w:noBreakHyphen/>
      </w:r>
      <w:r w:rsidRPr="00B60243">
        <w:t>10, the largest contributor to Food VA w</w:t>
      </w:r>
      <w:r w:rsidR="00F43895" w:rsidRPr="00B60243">
        <w:t>as</w:t>
      </w:r>
      <w:r w:rsidRPr="00B60243">
        <w:t xml:space="preserve"> Meat and meat products, followed by Bakery products</w:t>
      </w:r>
      <w:r w:rsidR="00C11A1D" w:rsidRPr="00B60243">
        <w:t xml:space="preserve"> (figure </w:t>
      </w:r>
      <w:r w:rsidR="00B072C2" w:rsidRPr="00B60243">
        <w:t>5.1</w:t>
      </w:r>
      <w:r w:rsidR="00C11A1D" w:rsidRPr="00B60243">
        <w:t>, left panel)</w:t>
      </w:r>
      <w:r w:rsidRPr="00B60243">
        <w:t xml:space="preserve">. Within BT, Soft drink and Wine </w:t>
      </w:r>
      <w:r w:rsidR="00B3195A">
        <w:t>we</w:t>
      </w:r>
      <w:r w:rsidRPr="00B60243">
        <w:t>re of similar size</w:t>
      </w:r>
      <w:r w:rsidR="00B3195A">
        <w:t>, b</w:t>
      </w:r>
      <w:r w:rsidRPr="00B60243">
        <w:t xml:space="preserve">ut </w:t>
      </w:r>
      <w:r w:rsidR="0054623B">
        <w:t xml:space="preserve">more than half of </w:t>
      </w:r>
      <w:r w:rsidR="00B3195A">
        <w:t xml:space="preserve">total </w:t>
      </w:r>
      <w:r w:rsidR="0054623B">
        <w:t xml:space="preserve">BT </w:t>
      </w:r>
      <w:r w:rsidR="00B3195A">
        <w:t>wa</w:t>
      </w:r>
      <w:r w:rsidR="0054623B">
        <w:t xml:space="preserve">s </w:t>
      </w:r>
      <w:r w:rsidR="0054623B" w:rsidRPr="00B60243">
        <w:t>Other beverages and tobacco</w:t>
      </w:r>
      <w:r w:rsidR="00C25800">
        <w:t xml:space="preserve"> (includ</w:t>
      </w:r>
      <w:r w:rsidR="006667A8">
        <w:t>ing</w:t>
      </w:r>
      <w:r w:rsidR="00C25800">
        <w:t xml:space="preserve"> </w:t>
      </w:r>
      <w:r w:rsidR="006667A8">
        <w:t xml:space="preserve">beer, </w:t>
      </w:r>
      <w:r w:rsidR="00C25800">
        <w:t xml:space="preserve">spirits and tobacco </w:t>
      </w:r>
      <w:r w:rsidR="006667A8">
        <w:t xml:space="preserve">for which data </w:t>
      </w:r>
      <w:r w:rsidR="00C25800">
        <w:t xml:space="preserve">were not separately </w:t>
      </w:r>
      <w:r w:rsidR="00743711">
        <w:t>available</w:t>
      </w:r>
      <w:r w:rsidR="00C25800">
        <w:t xml:space="preserve">). </w:t>
      </w:r>
    </w:p>
    <w:p w:rsidR="007A4E13" w:rsidRPr="00B60243" w:rsidRDefault="007A4E13" w:rsidP="007A4E13">
      <w:pPr>
        <w:pStyle w:val="BodyText"/>
      </w:pPr>
      <w:r w:rsidRPr="00B60243">
        <w:t xml:space="preserve">Differences in the labour intensity of production across types of </w:t>
      </w:r>
      <w:proofErr w:type="spellStart"/>
      <w:r w:rsidRPr="00B60243">
        <w:t>FBT</w:t>
      </w:r>
      <w:proofErr w:type="spellEnd"/>
      <w:r w:rsidRPr="00B60243">
        <w:t xml:space="preserve"> manufacturing lead to a different picture for </w:t>
      </w:r>
      <w:r w:rsidR="00DE1046" w:rsidRPr="00B60243">
        <w:t>employment</w:t>
      </w:r>
      <w:r w:rsidR="00040AE6" w:rsidRPr="00B60243">
        <w:t xml:space="preserve"> shares</w:t>
      </w:r>
      <w:r w:rsidRPr="00B60243">
        <w:t xml:space="preserve"> (figure </w:t>
      </w:r>
      <w:r w:rsidR="00B072C2" w:rsidRPr="00B60243">
        <w:t>5.1</w:t>
      </w:r>
      <w:r w:rsidRPr="00B60243">
        <w:t>, right panel). In 2009</w:t>
      </w:r>
      <w:r w:rsidR="00C25800">
        <w:noBreakHyphen/>
      </w:r>
      <w:r w:rsidRPr="00B60243">
        <w:t xml:space="preserve">10, Bakery was the largest employer, followed by Meat and </w:t>
      </w:r>
      <w:r w:rsidR="00E07CE4" w:rsidRPr="00B60243">
        <w:t>meat products. Within BT, Wine wa</w:t>
      </w:r>
      <w:r w:rsidRPr="00B60243">
        <w:t>s the largest employer, followed by Soft drink</w:t>
      </w:r>
      <w:r w:rsidR="006C49CA" w:rsidRPr="00B60243">
        <w:t>.</w:t>
      </w:r>
      <w:r w:rsidRPr="00B60243">
        <w:t xml:space="preserve"> Other beverages and tobacco had a considerably lower share of employment than of VA. </w:t>
      </w:r>
    </w:p>
    <w:p w:rsidR="00200961" w:rsidRPr="00B60243" w:rsidRDefault="00200961" w:rsidP="00200961">
      <w:pPr>
        <w:pStyle w:val="FigureTitle"/>
      </w:pPr>
      <w:r w:rsidRPr="00B60243">
        <w:rPr>
          <w:b w:val="0"/>
        </w:rPr>
        <w:t xml:space="preserve">Figure </w:t>
      </w:r>
      <w:bookmarkStart w:id="6" w:name="OLE_LINK7"/>
      <w:r w:rsidR="00B072C2" w:rsidRPr="00B60243">
        <w:rPr>
          <w:b w:val="0"/>
        </w:rPr>
        <w:t>5.</w:t>
      </w:r>
      <w:r w:rsidR="002E061A">
        <w:rPr>
          <w:b w:val="0"/>
          <w:noProof/>
        </w:rPr>
        <w:t>1</w:t>
      </w:r>
      <w:bookmarkEnd w:id="6"/>
      <w:r w:rsidRPr="00B60243">
        <w:tab/>
      </w:r>
      <w:r w:rsidR="00F20093" w:rsidRPr="00B60243">
        <w:t xml:space="preserve">Composition of </w:t>
      </w:r>
      <w:proofErr w:type="spellStart"/>
      <w:r w:rsidR="00F20093" w:rsidRPr="00B60243">
        <w:t>FBT</w:t>
      </w:r>
      <w:proofErr w:type="spellEnd"/>
      <w:r w:rsidR="00F20093" w:rsidRPr="00B60243">
        <w:t xml:space="preserve"> value added and employment</w:t>
      </w:r>
      <w:r w:rsidRPr="00B60243">
        <w:t>, 2009</w:t>
      </w:r>
      <w:r w:rsidR="00040AE6" w:rsidRPr="00B60243">
        <w:noBreakHyphen/>
      </w:r>
      <w:r w:rsidRPr="00B60243">
        <w:t>10</w:t>
      </w:r>
      <w:r w:rsidR="000D41D9" w:rsidRPr="00B60243">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8C2115" w:rsidRPr="008C2115" w:rsidTr="00521AF6">
        <w:tc>
          <w:tcPr>
            <w:tcW w:w="4388" w:type="dxa"/>
          </w:tcPr>
          <w:p w:rsidR="008C2115" w:rsidRPr="008C2115" w:rsidRDefault="008C2115" w:rsidP="00F2133D">
            <w:pPr>
              <w:pStyle w:val="Figure"/>
              <w:spacing w:after="0"/>
              <w:rPr>
                <w:i/>
                <w:sz w:val="22"/>
                <w:szCs w:val="22"/>
              </w:rPr>
            </w:pPr>
            <w:r w:rsidRPr="008C2115">
              <w:rPr>
                <w:i/>
                <w:sz w:val="22"/>
                <w:szCs w:val="22"/>
              </w:rPr>
              <w:t>Value added</w:t>
            </w:r>
          </w:p>
        </w:tc>
        <w:tc>
          <w:tcPr>
            <w:tcW w:w="4389" w:type="dxa"/>
          </w:tcPr>
          <w:p w:rsidR="008C2115" w:rsidRPr="008C2115" w:rsidRDefault="008C2115" w:rsidP="00F2133D">
            <w:pPr>
              <w:pStyle w:val="Figure"/>
              <w:spacing w:after="0"/>
              <w:rPr>
                <w:i/>
                <w:sz w:val="22"/>
                <w:szCs w:val="22"/>
              </w:rPr>
            </w:pPr>
            <w:r w:rsidRPr="008C2115">
              <w:rPr>
                <w:i/>
                <w:sz w:val="22"/>
                <w:szCs w:val="22"/>
              </w:rPr>
              <w:t>Employment (persons)</w:t>
            </w:r>
          </w:p>
        </w:tc>
      </w:tr>
      <w:tr w:rsidR="00521AF6" w:rsidRPr="00B60243" w:rsidTr="00521AF6">
        <w:tc>
          <w:tcPr>
            <w:tcW w:w="4388" w:type="dxa"/>
          </w:tcPr>
          <w:p w:rsidR="00521AF6" w:rsidRPr="00B60243" w:rsidRDefault="00E406E7" w:rsidP="006D60CD">
            <w:pPr>
              <w:pStyle w:val="Figure"/>
              <w:spacing w:before="0" w:after="0"/>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includes two pie charts. The first chart shows value added shares within FBT. Meat and meat products is shown to be the largest contributor to FBT VA (18 per cent), followed by Other beverage and tobacco (which includes beer, spirits and tobacco, 15 per cent). The second chart shows employment shares in FBT. Bakery (26 per cent) is shown as the largest employer, followed by Meat and meat products (24 per cent). Wine is the largest employer within beverage and tobacco (7 per cent)." style="width:211.8pt;height:211.8pt">
                  <v:imagedata r:id="rId9" o:title=""/>
                </v:shape>
              </w:pict>
            </w:r>
          </w:p>
        </w:tc>
        <w:tc>
          <w:tcPr>
            <w:tcW w:w="4389" w:type="dxa"/>
          </w:tcPr>
          <w:p w:rsidR="00521AF6" w:rsidRPr="00B60243" w:rsidRDefault="00E406E7" w:rsidP="006D60CD">
            <w:pPr>
              <w:pStyle w:val="Figure"/>
              <w:spacing w:before="0" w:after="0"/>
            </w:pPr>
            <w:r>
              <w:rPr>
                <w:i/>
              </w:rPr>
              <w:pict>
                <v:shape id="_x0000_i1026" type="#_x0000_t75" alt="This figure includes two pie charts. The first chart shows value added shares within FBT. Meat and meat products is shown to be the largest contributor to FBT VA (18 per cent), followed by Other beverage and tobacco (which includes beer, spirits and tobacco, 15 per cent). The second chart shows employment shares in FBT. Bakery (26 per cent) is shown as the largest employer, followed by Meat and meat products (24 per cent). Wine is the largest employer within beverage and tobacco (7 per cent)." style="width:211.8pt;height:211.8pt">
                  <v:imagedata r:id="rId10" o:title=""/>
                </v:shape>
              </w:pict>
            </w:r>
          </w:p>
        </w:tc>
      </w:tr>
    </w:tbl>
    <w:p w:rsidR="00200961" w:rsidRPr="00B60243" w:rsidRDefault="00DC12C2" w:rsidP="00200961">
      <w:pPr>
        <w:pStyle w:val="Note"/>
      </w:pPr>
      <w:proofErr w:type="spellStart"/>
      <w:r w:rsidRPr="00B60243">
        <w:rPr>
          <w:rStyle w:val="NoteLabel"/>
        </w:rPr>
        <w:t>a</w:t>
      </w:r>
      <w:proofErr w:type="spellEnd"/>
      <w:r w:rsidRPr="00B60243">
        <w:rPr>
          <w:rStyle w:val="NoteLabel"/>
        </w:rPr>
        <w:t xml:space="preserve"> </w:t>
      </w:r>
      <w:r w:rsidR="009E6A94" w:rsidRPr="00B60243">
        <w:t>I</w:t>
      </w:r>
      <w:r w:rsidR="00F749C1" w:rsidRPr="00B60243">
        <w:t xml:space="preserve">ndustries </w:t>
      </w:r>
      <w:r w:rsidR="00AF0A07">
        <w:t>are</w:t>
      </w:r>
      <w:r w:rsidR="00F749C1" w:rsidRPr="00B60243">
        <w:t xml:space="preserve"> </w:t>
      </w:r>
      <w:proofErr w:type="spellStart"/>
      <w:r w:rsidR="00F749C1" w:rsidRPr="00B60243">
        <w:t>ANZSIC06</w:t>
      </w:r>
      <w:proofErr w:type="spellEnd"/>
      <w:r w:rsidR="00F749C1" w:rsidRPr="00B60243">
        <w:t xml:space="preserve"> </w:t>
      </w:r>
      <w:r w:rsidR="006D60CD" w:rsidRPr="00B60243">
        <w:t>group</w:t>
      </w:r>
      <w:r w:rsidR="00AF0A07">
        <w:t>s</w:t>
      </w:r>
      <w:r w:rsidR="006D60CD" w:rsidRPr="00B60243">
        <w:t xml:space="preserve">, except for </w:t>
      </w:r>
      <w:r w:rsidR="00F749C1" w:rsidRPr="00B60243">
        <w:t xml:space="preserve">Other beverages and tobacco </w:t>
      </w:r>
      <w:r w:rsidR="0026242A">
        <w:t>that</w:t>
      </w:r>
      <w:r w:rsidR="006D60CD" w:rsidRPr="00B60243">
        <w:t xml:space="preserve"> </w:t>
      </w:r>
      <w:r w:rsidR="00F749C1" w:rsidRPr="00B60243">
        <w:t>include</w:t>
      </w:r>
      <w:r w:rsidR="006D60CD" w:rsidRPr="00B60243">
        <w:t>s</w:t>
      </w:r>
      <w:r w:rsidR="00F749C1" w:rsidRPr="00B60243">
        <w:t xml:space="preserve"> </w:t>
      </w:r>
      <w:proofErr w:type="spellStart"/>
      <w:r w:rsidR="00F749C1" w:rsidRPr="00B60243">
        <w:t>ANZSIC06</w:t>
      </w:r>
      <w:proofErr w:type="spellEnd"/>
      <w:r w:rsidR="00F749C1" w:rsidRPr="00B60243">
        <w:t xml:space="preserve"> classes of Beer, Spirits and Tobacco products, for which data are not separately available</w:t>
      </w:r>
      <w:r w:rsidR="006D60CD" w:rsidRPr="00B60243">
        <w:t xml:space="preserve"> (appendix </w:t>
      </w:r>
      <w:r w:rsidR="008124B4" w:rsidRPr="00B60243">
        <w:t>G</w:t>
      </w:r>
      <w:r w:rsidR="006D60CD" w:rsidRPr="00B60243">
        <w:t>)</w:t>
      </w:r>
      <w:r w:rsidR="00F749C1" w:rsidRPr="00B60243">
        <w:t xml:space="preserve">. </w:t>
      </w:r>
    </w:p>
    <w:p w:rsidR="00200961" w:rsidRPr="00B60243" w:rsidRDefault="00200961" w:rsidP="00F2133D">
      <w:pPr>
        <w:pStyle w:val="Source"/>
        <w:spacing w:after="0"/>
      </w:pPr>
      <w:r w:rsidRPr="00B60243">
        <w:rPr>
          <w:i/>
        </w:rPr>
        <w:t>Data source</w:t>
      </w:r>
      <w:r w:rsidRPr="00B60243">
        <w:t>: ABS (</w:t>
      </w:r>
      <w:r w:rsidR="00D525C3" w:rsidRPr="00B60243">
        <w:rPr>
          <w:i/>
        </w:rPr>
        <w:t>Experimental Estimates for the Manufacturing Industry, 2009</w:t>
      </w:r>
      <w:r w:rsidR="00E36E7F">
        <w:rPr>
          <w:i/>
        </w:rPr>
        <w:noBreakHyphen/>
      </w:r>
      <w:r w:rsidR="00D525C3" w:rsidRPr="00B60243">
        <w:rPr>
          <w:i/>
        </w:rPr>
        <w:t>10</w:t>
      </w:r>
      <w:r w:rsidRPr="00B60243">
        <w:t xml:space="preserve">, Cat. no. </w:t>
      </w:r>
      <w:r w:rsidR="00D525C3" w:rsidRPr="00B60243">
        <w:t>8159</w:t>
      </w:r>
      <w:r w:rsidRPr="00B60243">
        <w:t>.0).</w:t>
      </w:r>
    </w:p>
    <w:p w:rsidR="005B5D34" w:rsidRPr="00B60243" w:rsidRDefault="00B072C2" w:rsidP="00673E10">
      <w:pPr>
        <w:pStyle w:val="Heading2"/>
        <w:keepNext w:val="0"/>
        <w:widowControl w:val="0"/>
      </w:pPr>
      <w:r w:rsidRPr="00B60243">
        <w:t>5.</w:t>
      </w:r>
      <w:r w:rsidR="002E061A">
        <w:rPr>
          <w:noProof/>
        </w:rPr>
        <w:t>2</w:t>
      </w:r>
      <w:r w:rsidR="00673E10" w:rsidRPr="00B60243">
        <w:tab/>
      </w:r>
      <w:proofErr w:type="spellStart"/>
      <w:r w:rsidR="00A957A5" w:rsidRPr="00B60243">
        <w:t>FBT’s</w:t>
      </w:r>
      <w:proofErr w:type="spellEnd"/>
      <w:r w:rsidR="00673E10" w:rsidRPr="00B60243">
        <w:t xml:space="preserve"> MFP growth </w:t>
      </w:r>
      <w:r w:rsidR="004E5ACE" w:rsidRPr="00B60243">
        <w:t>and its proximate causes</w:t>
      </w:r>
    </w:p>
    <w:p w:rsidR="005B5D34" w:rsidRPr="00B60243" w:rsidRDefault="00D4005D" w:rsidP="005B5D34">
      <w:pPr>
        <w:pStyle w:val="BodyText"/>
      </w:pPr>
      <w:r w:rsidRPr="00B60243">
        <w:t>Between 1985</w:t>
      </w:r>
      <w:r w:rsidR="00E36E7F">
        <w:noBreakHyphen/>
      </w:r>
      <w:r w:rsidRPr="00B60243">
        <w:t>86 and 2010</w:t>
      </w:r>
      <w:r w:rsidR="00E36E7F">
        <w:noBreakHyphen/>
      </w:r>
      <w:r w:rsidRPr="00B60243">
        <w:t xml:space="preserve">11, </w:t>
      </w:r>
      <w:proofErr w:type="spellStart"/>
      <w:r w:rsidR="00D57136" w:rsidRPr="00B60243">
        <w:t>FBT’s</w:t>
      </w:r>
      <w:proofErr w:type="spellEnd"/>
      <w:r w:rsidR="00D57136" w:rsidRPr="00B60243">
        <w:t xml:space="preserve"> </w:t>
      </w:r>
      <w:r w:rsidR="005604C5" w:rsidRPr="00B60243">
        <w:t xml:space="preserve">average </w:t>
      </w:r>
      <w:r w:rsidR="00D57136" w:rsidRPr="00B60243">
        <w:t xml:space="preserve">MFP growth </w:t>
      </w:r>
      <w:r w:rsidRPr="00B60243">
        <w:t>was</w:t>
      </w:r>
      <w:r w:rsidR="005604C5" w:rsidRPr="00B60243">
        <w:t xml:space="preserve"> </w:t>
      </w:r>
      <w:r w:rsidR="00E36E7F">
        <w:noBreakHyphen/>
      </w:r>
      <w:r w:rsidR="00D57136" w:rsidRPr="00B60243">
        <w:t>0.5 per cent a year</w:t>
      </w:r>
      <w:r w:rsidRPr="00B60243">
        <w:t>.</w:t>
      </w:r>
      <w:r w:rsidR="00F43895" w:rsidRPr="00B60243">
        <w:t xml:space="preserve"> </w:t>
      </w:r>
      <w:r w:rsidR="0061062E" w:rsidRPr="00B60243">
        <w:t>But there are distinct changes in the MFP trend over this period —</w:t>
      </w:r>
      <w:r w:rsidR="00F43895" w:rsidRPr="00B60243">
        <w:t xml:space="preserve"> </w:t>
      </w:r>
      <w:r w:rsidR="00644ECE" w:rsidRPr="00B60243">
        <w:t>MFP</w:t>
      </w:r>
      <w:r w:rsidR="00F43895" w:rsidRPr="00B60243">
        <w:t xml:space="preserve"> was </w:t>
      </w:r>
      <w:r w:rsidR="0061062E" w:rsidRPr="00B60243">
        <w:t>fairly flat to the mid</w:t>
      </w:r>
      <w:r w:rsidR="00E36E7F">
        <w:noBreakHyphen/>
      </w:r>
      <w:proofErr w:type="spellStart"/>
      <w:r w:rsidR="0061062E" w:rsidRPr="00B60243">
        <w:t>1990s</w:t>
      </w:r>
      <w:proofErr w:type="spellEnd"/>
      <w:r w:rsidR="0061062E" w:rsidRPr="00B60243">
        <w:t xml:space="preserve">, </w:t>
      </w:r>
      <w:r w:rsidR="00644ECE" w:rsidRPr="00B60243">
        <w:t>grew more strongly</w:t>
      </w:r>
      <w:r w:rsidR="0061062E" w:rsidRPr="00B60243">
        <w:t xml:space="preserve"> from the mid</w:t>
      </w:r>
      <w:r w:rsidR="00E36E7F">
        <w:noBreakHyphen/>
      </w:r>
      <w:proofErr w:type="spellStart"/>
      <w:r w:rsidR="0061062E" w:rsidRPr="00B60243">
        <w:t>1990s</w:t>
      </w:r>
      <w:proofErr w:type="spellEnd"/>
      <w:r w:rsidR="0061062E" w:rsidRPr="00B60243">
        <w:t xml:space="preserve"> to early </w:t>
      </w:r>
      <w:proofErr w:type="spellStart"/>
      <w:r w:rsidR="0061062E" w:rsidRPr="00B60243">
        <w:t>2000s</w:t>
      </w:r>
      <w:proofErr w:type="spellEnd"/>
      <w:r w:rsidR="0061062E" w:rsidRPr="00B60243">
        <w:t xml:space="preserve">, then </w:t>
      </w:r>
      <w:r w:rsidR="00F43895" w:rsidRPr="00B60243">
        <w:t xml:space="preserve">declined considerably </w:t>
      </w:r>
      <w:r w:rsidR="0061062E" w:rsidRPr="00B60243">
        <w:t xml:space="preserve">over the </w:t>
      </w:r>
      <w:proofErr w:type="spellStart"/>
      <w:r w:rsidR="0061062E" w:rsidRPr="00B60243">
        <w:t>2000s</w:t>
      </w:r>
      <w:proofErr w:type="spellEnd"/>
      <w:r w:rsidR="00221679" w:rsidRPr="00B60243">
        <w:t xml:space="preserve"> (figure </w:t>
      </w:r>
      <w:r w:rsidR="00B072C2" w:rsidRPr="00B60243">
        <w:t>5.2</w:t>
      </w:r>
      <w:r w:rsidR="00221679" w:rsidRPr="00B60243">
        <w:t>)</w:t>
      </w:r>
      <w:r w:rsidR="0061062E" w:rsidRPr="00B60243">
        <w:t xml:space="preserve">. </w:t>
      </w:r>
      <w:proofErr w:type="spellStart"/>
      <w:r w:rsidR="001B25FD" w:rsidRPr="00B60243">
        <w:t>FBT</w:t>
      </w:r>
      <w:proofErr w:type="spellEnd"/>
      <w:r w:rsidR="001B25FD" w:rsidRPr="00B60243">
        <w:t xml:space="preserve"> ha</w:t>
      </w:r>
      <w:r w:rsidR="00F43895" w:rsidRPr="00B60243">
        <w:t>d</w:t>
      </w:r>
      <w:r w:rsidR="001B25FD" w:rsidRPr="00B60243">
        <w:t xml:space="preserve"> a fairly similar MFP trend to </w:t>
      </w:r>
      <w:r w:rsidR="008C2D9B" w:rsidRPr="00B60243">
        <w:t>M</w:t>
      </w:r>
      <w:r w:rsidR="001B25FD" w:rsidRPr="00B60243">
        <w:t>anufacturing</w:t>
      </w:r>
      <w:r w:rsidR="008C2D9B" w:rsidRPr="00B60243">
        <w:t xml:space="preserve"> in total</w:t>
      </w:r>
      <w:r w:rsidR="001B25FD" w:rsidRPr="00B60243">
        <w:t xml:space="preserve"> up to 2000</w:t>
      </w:r>
      <w:r w:rsidR="00E36E7F">
        <w:noBreakHyphen/>
      </w:r>
      <w:r w:rsidR="001B25FD" w:rsidRPr="00B60243">
        <w:t xml:space="preserve">01, but </w:t>
      </w:r>
      <w:r w:rsidR="004C2F15" w:rsidRPr="00B60243">
        <w:t xml:space="preserve">since then </w:t>
      </w:r>
      <w:r w:rsidR="001B25FD" w:rsidRPr="00B60243">
        <w:t>has decline</w:t>
      </w:r>
      <w:r w:rsidR="004C2F15" w:rsidRPr="00B60243">
        <w:t>d</w:t>
      </w:r>
      <w:r w:rsidR="001B25FD" w:rsidRPr="00B60243">
        <w:t xml:space="preserve"> much faster</w:t>
      </w:r>
      <w:r w:rsidR="000972B6" w:rsidRPr="00B60243">
        <w:t xml:space="preserve">. </w:t>
      </w:r>
    </w:p>
    <w:p w:rsidR="00226919" w:rsidRPr="00B60243" w:rsidRDefault="00226919">
      <w:pPr>
        <w:pStyle w:val="FigureTitle"/>
      </w:pPr>
      <w:r w:rsidRPr="00B60243">
        <w:rPr>
          <w:b w:val="0"/>
        </w:rPr>
        <w:lastRenderedPageBreak/>
        <w:t xml:space="preserve">Figure </w:t>
      </w:r>
      <w:bookmarkStart w:id="7" w:name="OLE_LINK20"/>
      <w:r w:rsidR="00B072C2" w:rsidRPr="00B60243">
        <w:rPr>
          <w:b w:val="0"/>
        </w:rPr>
        <w:t>5.</w:t>
      </w:r>
      <w:r w:rsidR="002E061A">
        <w:rPr>
          <w:b w:val="0"/>
          <w:noProof/>
        </w:rPr>
        <w:t>2</w:t>
      </w:r>
      <w:bookmarkEnd w:id="7"/>
      <w:r w:rsidRPr="00B60243">
        <w:tab/>
      </w:r>
      <w:proofErr w:type="spellStart"/>
      <w:r w:rsidRPr="00B60243">
        <w:t>FBT</w:t>
      </w:r>
      <w:proofErr w:type="spellEnd"/>
      <w:r w:rsidRPr="00B60243">
        <w:t xml:space="preserve"> and Manufacturing MFP</w:t>
      </w:r>
    </w:p>
    <w:p w:rsidR="00226919" w:rsidRPr="00B60243" w:rsidRDefault="00226919">
      <w:pPr>
        <w:pStyle w:val="Subtitle"/>
      </w:pPr>
      <w:r w:rsidRPr="00B60243">
        <w:t>Index 2009</w:t>
      </w:r>
      <w:r w:rsidR="00E36E7F">
        <w:noBreakHyphen/>
      </w:r>
      <w:r w:rsidRPr="00B60243">
        <w:t>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26919" w:rsidRPr="00B60243">
        <w:tc>
          <w:tcPr>
            <w:tcW w:w="8777" w:type="dxa"/>
          </w:tcPr>
          <w:p w:rsidR="00226919" w:rsidRPr="00B60243" w:rsidRDefault="00E406E7" w:rsidP="00A957A5">
            <w:pPr>
              <w:pStyle w:val="Figure"/>
              <w:spacing w:before="0" w:after="0"/>
            </w:pPr>
            <w:r>
              <w:pict>
                <v:shape id="_x0000_i1027" type="#_x0000_t75" alt="This figure shows that MFP was fairly flat to the mid-1990s, grew more strongly from the mid-1990s to early 2000s, then declined considerably over the 2000s. FBT had a fairly similar MFP trend to Manufacturing in total up to 2000-01, but since then has declined much faster." style="width:424.45pt;height:198.4pt">
                  <v:imagedata r:id="rId11" o:title=""/>
                </v:shape>
              </w:pict>
            </w:r>
          </w:p>
        </w:tc>
      </w:tr>
    </w:tbl>
    <w:p w:rsidR="00226919" w:rsidRPr="00B60243" w:rsidRDefault="00226919">
      <w:pPr>
        <w:pStyle w:val="Source"/>
      </w:pPr>
      <w:r w:rsidRPr="00B60243">
        <w:rPr>
          <w:i/>
        </w:rPr>
        <w:t>Data source</w:t>
      </w:r>
      <w:r w:rsidR="006206F2" w:rsidRPr="00B60243">
        <w:rPr>
          <w:i/>
        </w:rPr>
        <w:t>s</w:t>
      </w:r>
      <w:r w:rsidRPr="00B60243">
        <w:t xml:space="preserve">: </w:t>
      </w:r>
      <w:r w:rsidR="00D20DAB" w:rsidRPr="00B60243">
        <w:t>Authors’ estimates</w:t>
      </w:r>
      <w:r w:rsidR="006206F2" w:rsidRPr="00B60243">
        <w:t>;</w:t>
      </w:r>
      <w:r w:rsidR="00D20DAB" w:rsidRPr="00B60243">
        <w:t xml:space="preserve"> ABS (</w:t>
      </w:r>
      <w:r w:rsidR="00A96AEC" w:rsidRPr="00B60243">
        <w:rPr>
          <w:i/>
        </w:rPr>
        <w:t>Experimental Estimates of Industry Multifactor Productivity, 2010</w:t>
      </w:r>
      <w:r w:rsidR="00E36E7F">
        <w:rPr>
          <w:i/>
        </w:rPr>
        <w:noBreakHyphen/>
      </w:r>
      <w:r w:rsidR="00A96AEC" w:rsidRPr="00B60243">
        <w:rPr>
          <w:i/>
        </w:rPr>
        <w:t>11</w:t>
      </w:r>
      <w:r w:rsidR="00D20DAB" w:rsidRPr="00B60243">
        <w:t>, Cat. no. 5260.0.55.002).</w:t>
      </w:r>
    </w:p>
    <w:p w:rsidR="008C2D9B" w:rsidRPr="00B60243" w:rsidRDefault="00D4005D" w:rsidP="008C2D9B">
      <w:pPr>
        <w:pStyle w:val="BodyText"/>
      </w:pPr>
      <w:r w:rsidRPr="00B60243">
        <w:t xml:space="preserve">For </w:t>
      </w:r>
      <w:r w:rsidR="008C2D9B" w:rsidRPr="00B60243">
        <w:t xml:space="preserve">the purposes of identifying the contributions of a subsector to </w:t>
      </w:r>
      <w:r w:rsidR="00753370" w:rsidRPr="00B60243">
        <w:t>MFP for M</w:t>
      </w:r>
      <w:r w:rsidR="008C2D9B" w:rsidRPr="00B60243">
        <w:t>anufacturing</w:t>
      </w:r>
      <w:r w:rsidR="00753370" w:rsidRPr="00B60243">
        <w:t xml:space="preserve"> as a whole</w:t>
      </w:r>
      <w:r w:rsidR="008C2D9B" w:rsidRPr="00B60243">
        <w:t xml:space="preserve">, the </w:t>
      </w:r>
      <w:r w:rsidR="00CC22EC" w:rsidRPr="00B60243">
        <w:t xml:space="preserve">cycles for Manufacturing </w:t>
      </w:r>
      <w:r w:rsidR="004E47FE" w:rsidRPr="00B60243">
        <w:t xml:space="preserve">in aggregate </w:t>
      </w:r>
      <w:r w:rsidRPr="00B60243">
        <w:t>are used</w:t>
      </w:r>
      <w:r w:rsidR="008C2D9B" w:rsidRPr="00B60243">
        <w:t>.</w:t>
      </w:r>
      <w:r w:rsidR="00644ECE" w:rsidRPr="00B60243">
        <w:rPr>
          <w:rStyle w:val="FootnoteReference"/>
        </w:rPr>
        <w:footnoteReference w:id="2"/>
      </w:r>
      <w:r w:rsidR="008C2D9B" w:rsidRPr="00B60243">
        <w:t xml:space="preserve"> </w:t>
      </w:r>
      <w:r w:rsidR="00634BDB" w:rsidRPr="00B60243">
        <w:t xml:space="preserve">Figure </w:t>
      </w:r>
      <w:r w:rsidR="00B072C2" w:rsidRPr="00B60243">
        <w:t>5.3</w:t>
      </w:r>
      <w:r w:rsidR="008C2D9B" w:rsidRPr="00B60243">
        <w:t xml:space="preserve"> shows that </w:t>
      </w:r>
      <w:proofErr w:type="spellStart"/>
      <w:r w:rsidR="00CC22EC" w:rsidRPr="00B60243">
        <w:t>FBT’s</w:t>
      </w:r>
      <w:proofErr w:type="spellEnd"/>
      <w:r w:rsidR="00CC22EC" w:rsidRPr="00B60243">
        <w:t xml:space="preserve"> </w:t>
      </w:r>
      <w:r w:rsidR="008C2D9B" w:rsidRPr="00B60243">
        <w:t xml:space="preserve">average MFP growth </w:t>
      </w:r>
      <w:r w:rsidR="00B5669E" w:rsidRPr="00B60243">
        <w:t>wa</w:t>
      </w:r>
      <w:r w:rsidR="008C2D9B" w:rsidRPr="00B60243">
        <w:t>s low</w:t>
      </w:r>
      <w:r w:rsidR="00CC22EC" w:rsidRPr="00B60243">
        <w:t xml:space="preserve"> over each cycle</w:t>
      </w:r>
      <w:r w:rsidR="008C2D9B" w:rsidRPr="00B60243">
        <w:t xml:space="preserve">, </w:t>
      </w:r>
      <w:r w:rsidR="00CC22EC" w:rsidRPr="00B60243">
        <w:t>but</w:t>
      </w:r>
      <w:r w:rsidR="008C2D9B" w:rsidRPr="00B60243">
        <w:t xml:space="preserve"> the </w:t>
      </w:r>
      <w:r w:rsidR="001B3F77" w:rsidRPr="00B60243">
        <w:t>strongly</w:t>
      </w:r>
      <w:r w:rsidR="008C2D9B" w:rsidRPr="00B60243">
        <w:t xml:space="preserve"> negative growth rate in cycle 4 </w:t>
      </w:r>
      <w:r w:rsidR="00B5669E" w:rsidRPr="00B60243">
        <w:t>wa</w:t>
      </w:r>
      <w:r w:rsidR="008C2D9B" w:rsidRPr="00B60243">
        <w:t xml:space="preserve">s exceptional. </w:t>
      </w:r>
    </w:p>
    <w:p w:rsidR="00805D83" w:rsidRPr="00B60243" w:rsidRDefault="00805D83" w:rsidP="00805D83">
      <w:pPr>
        <w:pStyle w:val="BodyText"/>
      </w:pPr>
      <w:r w:rsidRPr="00B60243">
        <w:t xml:space="preserve">Over cycles 1 to 3, </w:t>
      </w:r>
      <w:proofErr w:type="spellStart"/>
      <w:r w:rsidRPr="00B60243">
        <w:t>FBT</w:t>
      </w:r>
      <w:proofErr w:type="spellEnd"/>
      <w:r w:rsidRPr="00B60243">
        <w:t xml:space="preserve"> MFP growth </w:t>
      </w:r>
      <w:r w:rsidR="00B5669E" w:rsidRPr="00B60243">
        <w:t>wa</w:t>
      </w:r>
      <w:r w:rsidRPr="00B60243">
        <w:t>s (on average) just above or just below zero</w:t>
      </w:r>
      <w:r w:rsidR="000C0A03" w:rsidRPr="00B60243">
        <w:t xml:space="preserve">, because combined input growth </w:t>
      </w:r>
      <w:r w:rsidR="00B5669E" w:rsidRPr="00B60243">
        <w:t>was</w:t>
      </w:r>
      <w:r w:rsidR="000C0A03" w:rsidRPr="00B60243">
        <w:t xml:space="preserve"> fairly evenly matched with VA growth. However, </w:t>
      </w:r>
      <w:r w:rsidRPr="00B60243">
        <w:t xml:space="preserve">the proximate causes (changes in </w:t>
      </w:r>
      <w:r w:rsidR="004A4637" w:rsidRPr="00B60243">
        <w:t xml:space="preserve">the volumes of </w:t>
      </w:r>
      <w:r w:rsidRPr="00B60243">
        <w:t>VA, capital and labour) differ</w:t>
      </w:r>
      <w:r w:rsidR="00B5669E" w:rsidRPr="00B60243">
        <w:t>ed</w:t>
      </w:r>
      <w:r w:rsidRPr="00B60243">
        <w:t xml:space="preserve">. Capital growth </w:t>
      </w:r>
      <w:r w:rsidR="00B5669E" w:rsidRPr="00B60243">
        <w:t>was</w:t>
      </w:r>
      <w:r w:rsidRPr="00B60243">
        <w:t xml:space="preserve"> positive and relatively strong in each cycle. </w:t>
      </w:r>
      <w:r w:rsidR="00542BAD" w:rsidRPr="00B60243">
        <w:t xml:space="preserve">Although hours worked growth </w:t>
      </w:r>
      <w:r w:rsidR="00B5669E" w:rsidRPr="00B60243">
        <w:t>was</w:t>
      </w:r>
      <w:r w:rsidR="00542BAD" w:rsidRPr="00B60243">
        <w:t xml:space="preserve"> quite variable, it </w:t>
      </w:r>
      <w:r w:rsidR="00B5669E" w:rsidRPr="00B60243">
        <w:t>was</w:t>
      </w:r>
      <w:r w:rsidR="00542BAD" w:rsidRPr="00B60243">
        <w:t xml:space="preserve"> lower than capital services growth in each of these cycles — which implies that </w:t>
      </w:r>
      <w:proofErr w:type="spellStart"/>
      <w:r w:rsidR="00542BAD" w:rsidRPr="00B60243">
        <w:t>FBT</w:t>
      </w:r>
      <w:proofErr w:type="spellEnd"/>
      <w:r w:rsidR="00542BAD" w:rsidRPr="00B60243">
        <w:t xml:space="preserve"> manufacturing bec</w:t>
      </w:r>
      <w:r w:rsidR="00B5669E" w:rsidRPr="00B60243">
        <w:t>a</w:t>
      </w:r>
      <w:r w:rsidR="00542BAD" w:rsidRPr="00B60243">
        <w:t>me more capital intensive.</w:t>
      </w:r>
      <w:r w:rsidR="000C0A03" w:rsidRPr="00B60243">
        <w:t xml:space="preserve"> </w:t>
      </w:r>
      <w:r w:rsidR="00A72C11">
        <w:t>VA</w:t>
      </w:r>
      <w:r w:rsidR="000C0A03" w:rsidRPr="00B60243">
        <w:t xml:space="preserve"> growth was positive in all three cycles, but strongest in cycle</w:t>
      </w:r>
      <w:r w:rsidR="00A72C11">
        <w:t> </w:t>
      </w:r>
      <w:r w:rsidR="000C0A03" w:rsidRPr="00B60243">
        <w:t>2.</w:t>
      </w:r>
    </w:p>
    <w:p w:rsidR="00805D83" w:rsidRPr="00B60243" w:rsidRDefault="00805D83" w:rsidP="00B01BB7">
      <w:pPr>
        <w:pStyle w:val="BodyText"/>
        <w:widowControl w:val="0"/>
      </w:pPr>
      <w:r w:rsidRPr="00B60243">
        <w:t xml:space="preserve">Cycle 4 </w:t>
      </w:r>
      <w:r w:rsidR="000C0A03" w:rsidRPr="00B60243">
        <w:t>(2003</w:t>
      </w:r>
      <w:r w:rsidR="00E36E7F">
        <w:noBreakHyphen/>
      </w:r>
      <w:r w:rsidR="000C0A03" w:rsidRPr="00B60243">
        <w:t>04 to 2007</w:t>
      </w:r>
      <w:r w:rsidR="00E36E7F">
        <w:noBreakHyphen/>
      </w:r>
      <w:r w:rsidR="000C0A03" w:rsidRPr="00B60243">
        <w:t xml:space="preserve">08) </w:t>
      </w:r>
      <w:r w:rsidR="00B5669E" w:rsidRPr="00B60243">
        <w:t>wa</w:t>
      </w:r>
      <w:r w:rsidRPr="00B60243">
        <w:t xml:space="preserve">s </w:t>
      </w:r>
      <w:r w:rsidR="008B7D71" w:rsidRPr="00B60243">
        <w:t xml:space="preserve">very </w:t>
      </w:r>
      <w:r w:rsidRPr="00B60243">
        <w:t xml:space="preserve">different. VA growth </w:t>
      </w:r>
      <w:r w:rsidR="00B5669E" w:rsidRPr="00B60243">
        <w:t>wa</w:t>
      </w:r>
      <w:r w:rsidRPr="00B60243">
        <w:t xml:space="preserve">s close to zero and there </w:t>
      </w:r>
      <w:r w:rsidR="00B5669E" w:rsidRPr="00B60243">
        <w:t>was</w:t>
      </w:r>
      <w:r w:rsidRPr="00B60243">
        <w:t xml:space="preserve"> a very strong increase in hours worked growth </w:t>
      </w:r>
      <w:r w:rsidR="00E06516">
        <w:t>along with</w:t>
      </w:r>
      <w:r w:rsidRPr="00B60243">
        <w:t xml:space="preserve"> continued capital growth. </w:t>
      </w:r>
      <w:r w:rsidR="000C0A03" w:rsidRPr="00B60243">
        <w:t xml:space="preserve">Without </w:t>
      </w:r>
      <w:r w:rsidR="00B5669E" w:rsidRPr="00B60243">
        <w:t xml:space="preserve">an increase in </w:t>
      </w:r>
      <w:r w:rsidR="00A72C11">
        <w:t>VA</w:t>
      </w:r>
      <w:r w:rsidR="000C0A03" w:rsidRPr="00B60243">
        <w:t xml:space="preserve"> in proportion to the increase in combined inputs, this </w:t>
      </w:r>
      <w:r w:rsidRPr="00B60243">
        <w:t>produce</w:t>
      </w:r>
      <w:r w:rsidR="000C0A03" w:rsidRPr="00B60243">
        <w:t>d</w:t>
      </w:r>
      <w:r w:rsidRPr="00B60243">
        <w:t xml:space="preserve"> </w:t>
      </w:r>
      <w:r w:rsidR="00B5669E" w:rsidRPr="00B60243">
        <w:t>a</w:t>
      </w:r>
      <w:r w:rsidRPr="00B60243">
        <w:t xml:space="preserve"> large decline in </w:t>
      </w:r>
      <w:proofErr w:type="spellStart"/>
      <w:r w:rsidRPr="00B60243">
        <w:t>FBT</w:t>
      </w:r>
      <w:proofErr w:type="spellEnd"/>
      <w:r w:rsidRPr="00B60243">
        <w:t xml:space="preserve"> MFP and </w:t>
      </w:r>
      <w:r w:rsidR="00D4005D" w:rsidRPr="00B60243">
        <w:t xml:space="preserve">explains </w:t>
      </w:r>
      <w:proofErr w:type="spellStart"/>
      <w:r w:rsidRPr="00B60243">
        <w:t>FBT’s</w:t>
      </w:r>
      <w:proofErr w:type="spellEnd"/>
      <w:r w:rsidRPr="00B60243">
        <w:t xml:space="preserve"> major contribution to the decline in MFP for Manufacturing in total. </w:t>
      </w:r>
      <w:r w:rsidR="00A80499" w:rsidRPr="00B60243">
        <w:t xml:space="preserve">Also, </w:t>
      </w:r>
      <w:r w:rsidR="006166CB" w:rsidRPr="00B60243">
        <w:t xml:space="preserve">in cycle 4, hours worked </w:t>
      </w:r>
      <w:r w:rsidR="00A80499" w:rsidRPr="00B60243">
        <w:t xml:space="preserve">growth exceeded capital services growth — </w:t>
      </w:r>
      <w:r w:rsidR="006E0C2A">
        <w:t>which marked</w:t>
      </w:r>
      <w:r w:rsidR="00A80499" w:rsidRPr="00B60243">
        <w:t xml:space="preserve"> a departure from the longer</w:t>
      </w:r>
      <w:r w:rsidR="00E36E7F">
        <w:noBreakHyphen/>
      </w:r>
      <w:r w:rsidR="00A80499" w:rsidRPr="00B60243">
        <w:t>term trend of increasing capital intensity of production.</w:t>
      </w:r>
    </w:p>
    <w:p w:rsidR="00542BAD" w:rsidRPr="00B60243" w:rsidRDefault="00805D83" w:rsidP="00805D83">
      <w:pPr>
        <w:pStyle w:val="BodyText"/>
      </w:pPr>
      <w:r w:rsidRPr="00B60243">
        <w:lastRenderedPageBreak/>
        <w:t xml:space="preserve">There </w:t>
      </w:r>
      <w:r w:rsidR="00B5669E" w:rsidRPr="00B60243">
        <w:t>was</w:t>
      </w:r>
      <w:r w:rsidRPr="00B60243">
        <w:t xml:space="preserve"> some improvement in VA growth in the incomplete cycle, but the absence of any further growth in hours worked </w:t>
      </w:r>
      <w:r w:rsidR="00B5669E" w:rsidRPr="00B60243">
        <w:t>wa</w:t>
      </w:r>
      <w:r w:rsidRPr="00B60243">
        <w:t xml:space="preserve">s the key factor behind the slowdown in the MFP decline. </w:t>
      </w:r>
      <w:r w:rsidR="00A80499" w:rsidRPr="00B60243">
        <w:t>Capital services growth was again greater than hours worked growth — implying a return to the longer</w:t>
      </w:r>
      <w:r w:rsidR="00E36E7F">
        <w:noBreakHyphen/>
      </w:r>
      <w:r w:rsidR="00A80499" w:rsidRPr="00B60243">
        <w:t>term trend of increasing capital intensity</w:t>
      </w:r>
      <w:r w:rsidR="00CF298D" w:rsidRPr="00B60243">
        <w:t xml:space="preserve"> of production</w:t>
      </w:r>
      <w:r w:rsidR="00A80499" w:rsidRPr="00B60243">
        <w:t xml:space="preserve">. </w:t>
      </w:r>
      <w:r w:rsidRPr="00B60243">
        <w:t xml:space="preserve">(However, as noted in chapter 2, some care is needed in the interpretation of the incomplete cycle since it may </w:t>
      </w:r>
      <w:r w:rsidR="00705563" w:rsidRPr="00B60243">
        <w:t xml:space="preserve">have been </w:t>
      </w:r>
      <w:r w:rsidRPr="00B60243">
        <w:t xml:space="preserve">influenced by temporary factors, including the </w:t>
      </w:r>
      <w:r w:rsidR="00705563" w:rsidRPr="00B60243">
        <w:t>g</w:t>
      </w:r>
      <w:r w:rsidR="006E06B3" w:rsidRPr="00B60243">
        <w:t xml:space="preserve">lobal </w:t>
      </w:r>
      <w:r w:rsidR="00705563" w:rsidRPr="00B60243">
        <w:t>f</w:t>
      </w:r>
      <w:r w:rsidR="006E06B3" w:rsidRPr="00B60243">
        <w:t xml:space="preserve">inancial </w:t>
      </w:r>
      <w:r w:rsidR="00705563" w:rsidRPr="00B60243">
        <w:t>crisis</w:t>
      </w:r>
      <w:r w:rsidR="006166CB" w:rsidRPr="00B60243">
        <w:t>.</w:t>
      </w:r>
      <w:r w:rsidRPr="00B60243">
        <w:t xml:space="preserve">) </w:t>
      </w:r>
    </w:p>
    <w:p w:rsidR="00AC56EB" w:rsidRPr="00B60243" w:rsidRDefault="00AC56EB" w:rsidP="00AC56EB">
      <w:pPr>
        <w:pStyle w:val="FigureTitle"/>
      </w:pPr>
      <w:r w:rsidRPr="00B60243">
        <w:rPr>
          <w:b w:val="0"/>
        </w:rPr>
        <w:t xml:space="preserve">Figure </w:t>
      </w:r>
      <w:bookmarkStart w:id="8" w:name="OLE_LINK12"/>
      <w:r w:rsidR="00B072C2" w:rsidRPr="00B60243">
        <w:rPr>
          <w:b w:val="0"/>
        </w:rPr>
        <w:t>5.</w:t>
      </w:r>
      <w:r w:rsidR="002E061A">
        <w:rPr>
          <w:b w:val="0"/>
          <w:noProof/>
        </w:rPr>
        <w:t>3</w:t>
      </w:r>
      <w:bookmarkEnd w:id="8"/>
      <w:r w:rsidRPr="00B60243">
        <w:tab/>
      </w:r>
      <w:r w:rsidR="001B3F77" w:rsidRPr="00B60243">
        <w:t xml:space="preserve">Growth in </w:t>
      </w:r>
      <w:proofErr w:type="spellStart"/>
      <w:r w:rsidRPr="00B60243">
        <w:t>FBT</w:t>
      </w:r>
      <w:proofErr w:type="spellEnd"/>
      <w:r w:rsidRPr="00B60243">
        <w:t xml:space="preserve"> MFP and </w:t>
      </w:r>
      <w:r w:rsidR="00FD0C2E" w:rsidRPr="00B60243">
        <w:t xml:space="preserve">its </w:t>
      </w:r>
      <w:r w:rsidRPr="00B60243">
        <w:t>proximate causes</w:t>
      </w:r>
      <w:r w:rsidR="00EA609B" w:rsidRPr="00B60243">
        <w:rPr>
          <w:rStyle w:val="NoteLabel"/>
          <w:b/>
        </w:rPr>
        <w:t>a</w:t>
      </w:r>
      <w:r w:rsidRPr="00B60243">
        <w:t xml:space="preserve"> by cycle</w:t>
      </w:r>
    </w:p>
    <w:p w:rsidR="00AC56EB" w:rsidRPr="00B60243" w:rsidRDefault="00120FD3" w:rsidP="00AC56EB">
      <w:pPr>
        <w:pStyle w:val="Subtitle"/>
      </w:pPr>
      <w:r w:rsidRPr="00B60243">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C56EB" w:rsidRPr="00B60243" w:rsidTr="005524C7">
        <w:tc>
          <w:tcPr>
            <w:tcW w:w="8777" w:type="dxa"/>
          </w:tcPr>
          <w:p w:rsidR="00AC56EB" w:rsidRPr="00B60243" w:rsidRDefault="00E406E7" w:rsidP="006F5E81">
            <w:pPr>
              <w:pStyle w:val="Figure"/>
              <w:spacing w:before="0" w:after="0"/>
            </w:pPr>
            <w:r>
              <w:pict>
                <v:shape id="_x0000_i1028" type="#_x0000_t75" alt="This figure shows that over cycles 1 to 3, FBT MFP growth is (on average) just above or just below zero, because combined input growth has been fairly evenly matched with VA growth. The large negative growth rate in cycle 4 is exceptional, with VA growth close to zero at the same time there was strong increase in hours worked growth and continued capital growth." style="width:424.45pt;height:198.4pt">
                  <v:imagedata r:id="rId12" o:title=""/>
                </v:shape>
              </w:pict>
            </w:r>
          </w:p>
        </w:tc>
      </w:tr>
    </w:tbl>
    <w:p w:rsidR="00EA609B" w:rsidRPr="00B60243" w:rsidRDefault="00EA609B" w:rsidP="00AC56EB">
      <w:pPr>
        <w:pStyle w:val="Note"/>
      </w:pPr>
      <w:r w:rsidRPr="00B60243">
        <w:rPr>
          <w:rStyle w:val="NoteLabel"/>
        </w:rPr>
        <w:t>a</w:t>
      </w:r>
      <w:r w:rsidRPr="00B60243">
        <w:t xml:space="preserve"> Capital services and hours worked weighted by income shares. </w:t>
      </w:r>
    </w:p>
    <w:p w:rsidR="00AC56EB" w:rsidRPr="00B60243" w:rsidRDefault="00AC56EB" w:rsidP="00AC56EB">
      <w:pPr>
        <w:pStyle w:val="Note"/>
      </w:pPr>
      <w:r w:rsidRPr="00B60243">
        <w:rPr>
          <w:i/>
        </w:rPr>
        <w:t>Data source</w:t>
      </w:r>
      <w:r w:rsidRPr="00B60243">
        <w:t xml:space="preserve">: Authors’ estimates. </w:t>
      </w:r>
    </w:p>
    <w:p w:rsidR="007B3102" w:rsidRPr="00B60243" w:rsidRDefault="001D5BF5" w:rsidP="001D5BF5">
      <w:pPr>
        <w:pStyle w:val="BodyText"/>
      </w:pPr>
      <w:r w:rsidRPr="00B60243">
        <w:t xml:space="preserve">Focusing on the considerable decline in MFP growth </w:t>
      </w:r>
      <w:r w:rsidRPr="00B60243">
        <w:rPr>
          <w:i/>
        </w:rPr>
        <w:t>between</w:t>
      </w:r>
      <w:r w:rsidRPr="00B60243">
        <w:t xml:space="preserve"> cycles 3 and 4 (that is, growth in cycle 4 less growth in cycle 3), it </w:t>
      </w:r>
      <w:r w:rsidR="00BF0405" w:rsidRPr="00B60243">
        <w:t>wa</w:t>
      </w:r>
      <w:r w:rsidRPr="00B60243">
        <w:t xml:space="preserve">s </w:t>
      </w:r>
      <w:r w:rsidR="0070287B" w:rsidRPr="00B60243">
        <w:t>the reduction</w:t>
      </w:r>
      <w:r w:rsidRPr="00B60243">
        <w:t xml:space="preserve"> in VA and</w:t>
      </w:r>
      <w:r w:rsidR="0070287B" w:rsidRPr="00B60243">
        <w:t xml:space="preserve"> </w:t>
      </w:r>
      <w:r w:rsidR="004219DD">
        <w:t xml:space="preserve">the </w:t>
      </w:r>
      <w:r w:rsidR="0070287B" w:rsidRPr="00B60243">
        <w:t>increase in the</w:t>
      </w:r>
      <w:r w:rsidRPr="00B60243">
        <w:t xml:space="preserve"> hours worked that </w:t>
      </w:r>
      <w:r w:rsidR="00BF0405" w:rsidRPr="00B60243">
        <w:t>we</w:t>
      </w:r>
      <w:r w:rsidRPr="00B60243">
        <w:t xml:space="preserve">re most significant (figure </w:t>
      </w:r>
      <w:r w:rsidR="00B072C2" w:rsidRPr="00B60243">
        <w:t>5.4</w:t>
      </w:r>
      <w:r w:rsidRPr="00B60243">
        <w:t xml:space="preserve">). At face value, the </w:t>
      </w:r>
      <w:r w:rsidR="006166CB" w:rsidRPr="00B60243">
        <w:t xml:space="preserve">concurrent </w:t>
      </w:r>
      <w:r w:rsidR="006E0C2A" w:rsidRPr="00B60243">
        <w:t xml:space="preserve">slowdown in VA growth </w:t>
      </w:r>
      <w:r w:rsidR="006E0C2A">
        <w:t xml:space="preserve">and </w:t>
      </w:r>
      <w:r w:rsidRPr="00B60243">
        <w:t xml:space="preserve">increase in the rate of hours worked growth (and continued capital growth) is a puzzle. </w:t>
      </w:r>
      <w:r w:rsidR="00E86486" w:rsidRPr="00B60243">
        <w:t xml:space="preserve">The departure from the </w:t>
      </w:r>
      <w:r w:rsidR="006E0C2A">
        <w:t>pattern</w:t>
      </w:r>
      <w:r w:rsidR="00E86486" w:rsidRPr="00B60243">
        <w:t xml:space="preserve"> of increasing capital intensity of production is also unusual. </w:t>
      </w:r>
      <w:r w:rsidRPr="00B60243">
        <w:t>But</w:t>
      </w:r>
      <w:r w:rsidR="0070287B" w:rsidRPr="00B60243">
        <w:t xml:space="preserve"> as noted,</w:t>
      </w:r>
      <w:r w:rsidRPr="00B60243">
        <w:t xml:space="preserve"> </w:t>
      </w:r>
      <w:proofErr w:type="spellStart"/>
      <w:r w:rsidRPr="00B60243">
        <w:t>FBT</w:t>
      </w:r>
      <w:proofErr w:type="spellEnd"/>
      <w:r w:rsidRPr="00B60243">
        <w:t xml:space="preserve"> is made up of a wide range of </w:t>
      </w:r>
      <w:r w:rsidR="007B3102" w:rsidRPr="00B60243">
        <w:t>activities</w:t>
      </w:r>
      <w:r w:rsidR="0070287B" w:rsidRPr="00B60243">
        <w:t xml:space="preserve"> which are</w:t>
      </w:r>
      <w:r w:rsidR="007B3102" w:rsidRPr="00B60243">
        <w:t xml:space="preserve"> subject to different pressures and </w:t>
      </w:r>
      <w:r w:rsidR="0070287B" w:rsidRPr="00B60243">
        <w:t xml:space="preserve">which </w:t>
      </w:r>
      <w:r w:rsidR="007B3102" w:rsidRPr="00B60243">
        <w:t xml:space="preserve">respond to these pressures in different ways and at different speeds. Changes in the composition of output may lead to shifts in the mix of inputs and change in </w:t>
      </w:r>
      <w:r w:rsidR="00504E9B" w:rsidRPr="00B60243">
        <w:t xml:space="preserve">the rate at which production </w:t>
      </w:r>
      <w:r w:rsidR="007B3102" w:rsidRPr="00B60243">
        <w:t xml:space="preserve">capacity </w:t>
      </w:r>
      <w:r w:rsidR="00504E9B" w:rsidRPr="00B60243">
        <w:t>is utilised as output of some products grow</w:t>
      </w:r>
      <w:r w:rsidR="004219DD">
        <w:t>s</w:t>
      </w:r>
      <w:r w:rsidR="00504E9B" w:rsidRPr="00B60243">
        <w:t xml:space="preserve"> and others contract. These factors can </w:t>
      </w:r>
      <w:r w:rsidR="006D3BD9" w:rsidRPr="00B60243">
        <w:t>affect measured MFP</w:t>
      </w:r>
      <w:r w:rsidR="007B3102" w:rsidRPr="00B60243">
        <w:t xml:space="preserve">. </w:t>
      </w:r>
    </w:p>
    <w:p w:rsidR="003666A9" w:rsidRPr="00B60243" w:rsidRDefault="003666A9">
      <w:pPr>
        <w:pStyle w:val="FigureTitle"/>
      </w:pPr>
      <w:r w:rsidRPr="00B60243">
        <w:rPr>
          <w:b w:val="0"/>
        </w:rPr>
        <w:lastRenderedPageBreak/>
        <w:t xml:space="preserve">Figure </w:t>
      </w:r>
      <w:bookmarkStart w:id="9" w:name="OLE_LINK13"/>
      <w:r w:rsidR="00B072C2" w:rsidRPr="00B60243">
        <w:rPr>
          <w:b w:val="0"/>
        </w:rPr>
        <w:t>5.</w:t>
      </w:r>
      <w:r w:rsidR="002E061A">
        <w:rPr>
          <w:b w:val="0"/>
          <w:noProof/>
        </w:rPr>
        <w:t>4</w:t>
      </w:r>
      <w:bookmarkEnd w:id="9"/>
      <w:r w:rsidRPr="00B60243">
        <w:tab/>
      </w:r>
      <w:r w:rsidR="007C19F2" w:rsidRPr="00B60243">
        <w:t xml:space="preserve">Growth in </w:t>
      </w:r>
      <w:proofErr w:type="spellStart"/>
      <w:r w:rsidRPr="00B60243">
        <w:t>FBT</w:t>
      </w:r>
      <w:proofErr w:type="spellEnd"/>
      <w:r w:rsidRPr="00B60243">
        <w:t xml:space="preserve"> MFP and </w:t>
      </w:r>
      <w:r w:rsidR="007C19F2" w:rsidRPr="00B60243">
        <w:t xml:space="preserve">its </w:t>
      </w:r>
      <w:r w:rsidRPr="00B60243">
        <w:t>components</w:t>
      </w:r>
      <w:r w:rsidR="007C19F2" w:rsidRPr="00B60243">
        <w:rPr>
          <w:rStyle w:val="NoteLabel"/>
          <w:b/>
        </w:rPr>
        <w:t>a</w:t>
      </w:r>
      <w:r w:rsidR="001B3F77" w:rsidRPr="00B60243">
        <w:rPr>
          <w:rStyle w:val="NoteLabel"/>
          <w:b/>
        </w:rPr>
        <w:t xml:space="preserve"> </w:t>
      </w:r>
      <w:r w:rsidR="001B3F77" w:rsidRPr="00B60243">
        <w:t>in</w:t>
      </w:r>
      <w:r w:rsidRPr="00B60243">
        <w:t xml:space="preserve"> </w:t>
      </w:r>
      <w:r w:rsidR="007C19F2" w:rsidRPr="00B60243">
        <w:t>cycles 3 and 4</w:t>
      </w:r>
      <w:r w:rsidRPr="00B60243">
        <w:t xml:space="preserve"> </w:t>
      </w:r>
    </w:p>
    <w:p w:rsidR="003666A9" w:rsidRPr="00B60243" w:rsidRDefault="00120FD3">
      <w:pPr>
        <w:pStyle w:val="Subtitle"/>
      </w:pPr>
      <w:r w:rsidRPr="00B60243">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666A9" w:rsidRPr="00B60243">
        <w:tc>
          <w:tcPr>
            <w:tcW w:w="8777" w:type="dxa"/>
          </w:tcPr>
          <w:p w:rsidR="003666A9" w:rsidRPr="00B60243" w:rsidRDefault="00E406E7" w:rsidP="00723899">
            <w:pPr>
              <w:pStyle w:val="Figure"/>
              <w:spacing w:before="0" w:after="0"/>
            </w:pPr>
            <w:r>
              <w:pict>
                <v:shape id="_x0000_i1029" type="#_x0000_t75" alt="This figure shows the rate of growth in each of the proximate causes (value added, weighted hours worked and weighted capital services) and resulting rate of growth in Food and beverages MFP for cycles 3 and 4, and the difference between these cycles. A significant increase in hours worked at the same time of a slowdown in growth in VA and capital services growth led to the considerable decline in MFP growth between cycles 3 and 4." style="width:424.45pt;height:198.4pt">
                  <v:imagedata r:id="rId13" o:title=""/>
                </v:shape>
              </w:pict>
            </w:r>
          </w:p>
        </w:tc>
      </w:tr>
    </w:tbl>
    <w:p w:rsidR="007C19F2" w:rsidRPr="00B60243" w:rsidRDefault="007C19F2" w:rsidP="007C19F2">
      <w:pPr>
        <w:pStyle w:val="Note"/>
      </w:pPr>
      <w:r w:rsidRPr="00B60243">
        <w:rPr>
          <w:rStyle w:val="NoteLabel"/>
        </w:rPr>
        <w:t>a</w:t>
      </w:r>
      <w:r w:rsidRPr="00B60243">
        <w:t xml:space="preserve"> Capital services and hours worked weighted by income shares. </w:t>
      </w:r>
    </w:p>
    <w:p w:rsidR="003666A9" w:rsidRPr="00B60243" w:rsidRDefault="003666A9">
      <w:pPr>
        <w:pStyle w:val="Source"/>
      </w:pPr>
      <w:r w:rsidRPr="00B60243">
        <w:rPr>
          <w:i/>
        </w:rPr>
        <w:t>Data source</w:t>
      </w:r>
      <w:r w:rsidRPr="00B60243">
        <w:t xml:space="preserve">: </w:t>
      </w:r>
      <w:r w:rsidR="004E7E8E" w:rsidRPr="00B60243">
        <w:t>Authors’ estimates</w:t>
      </w:r>
      <w:r w:rsidR="00EA1389" w:rsidRPr="00B60243">
        <w:t>.</w:t>
      </w:r>
    </w:p>
    <w:p w:rsidR="00FB1BD4" w:rsidRPr="00B60243" w:rsidRDefault="00FB1BD4" w:rsidP="00FB1BD4">
      <w:pPr>
        <w:pStyle w:val="BodyText"/>
      </w:pPr>
      <w:bookmarkStart w:id="10" w:name="OLE_LINK11"/>
      <w:r w:rsidRPr="00B60243">
        <w:t>The remainder of this chapter looks at changes</w:t>
      </w:r>
      <w:r w:rsidR="003F02CA">
        <w:t xml:space="preserve"> between cycles 3 and 4</w:t>
      </w:r>
      <w:r w:rsidRPr="00B60243">
        <w:t xml:space="preserve"> in VA and inputs at a more disaggregated level. Influences on </w:t>
      </w:r>
      <w:proofErr w:type="spellStart"/>
      <w:r w:rsidRPr="00B60243">
        <w:t>FBT’s</w:t>
      </w:r>
      <w:proofErr w:type="spellEnd"/>
      <w:r w:rsidRPr="00B60243">
        <w:t xml:space="preserve"> </w:t>
      </w:r>
      <w:r w:rsidR="00A72C11">
        <w:t>VA</w:t>
      </w:r>
      <w:r w:rsidRPr="00B60243">
        <w:t xml:space="preserve"> and input use are examined in section 5.3. Section 5.4 provides a closer look at two specific parts of </w:t>
      </w:r>
      <w:proofErr w:type="spellStart"/>
      <w:r w:rsidRPr="00B60243">
        <w:t>FBT</w:t>
      </w:r>
      <w:proofErr w:type="spellEnd"/>
      <w:r w:rsidRPr="00B60243">
        <w:t xml:space="preserve"> — Wine and Bakery product manufacturing. Section</w:t>
      </w:r>
      <w:r>
        <w:t xml:space="preserve"> 5.5 </w:t>
      </w:r>
      <w:r w:rsidRPr="00B60243">
        <w:t xml:space="preserve">draws together the implications for </w:t>
      </w:r>
      <w:proofErr w:type="spellStart"/>
      <w:r w:rsidRPr="00B60243">
        <w:t>FBT’s</w:t>
      </w:r>
      <w:proofErr w:type="spellEnd"/>
      <w:r w:rsidRPr="00B60243">
        <w:t xml:space="preserve"> productivity.</w:t>
      </w:r>
    </w:p>
    <w:p w:rsidR="00673E10" w:rsidRPr="00B60243" w:rsidRDefault="00B072C2" w:rsidP="00673E10">
      <w:pPr>
        <w:pStyle w:val="Heading2"/>
      </w:pPr>
      <w:r w:rsidRPr="00B60243">
        <w:t>5.</w:t>
      </w:r>
      <w:r w:rsidR="002E061A">
        <w:rPr>
          <w:noProof/>
        </w:rPr>
        <w:t>3</w:t>
      </w:r>
      <w:bookmarkEnd w:id="10"/>
      <w:r w:rsidR="00673E10" w:rsidRPr="00B60243">
        <w:tab/>
      </w:r>
      <w:r w:rsidR="00723899" w:rsidRPr="00B60243">
        <w:t>I</w:t>
      </w:r>
      <w:r w:rsidR="00673E10" w:rsidRPr="00B60243">
        <w:t>nfluenc</w:t>
      </w:r>
      <w:r w:rsidR="00723899" w:rsidRPr="00B60243">
        <w:t xml:space="preserve">es on </w:t>
      </w:r>
      <w:proofErr w:type="spellStart"/>
      <w:r w:rsidR="00723899" w:rsidRPr="00B60243">
        <w:t>FBT</w:t>
      </w:r>
      <w:r w:rsidR="009F0EAA" w:rsidRPr="00B60243">
        <w:t>’s</w:t>
      </w:r>
      <w:proofErr w:type="spellEnd"/>
      <w:r w:rsidR="00673E10" w:rsidRPr="00B60243">
        <w:t xml:space="preserve"> </w:t>
      </w:r>
      <w:r w:rsidR="001022AA" w:rsidRPr="00B60243">
        <w:t>MFP growth</w:t>
      </w:r>
    </w:p>
    <w:p w:rsidR="00B97416" w:rsidRPr="00B60243" w:rsidRDefault="00B97416" w:rsidP="00CA31D3">
      <w:pPr>
        <w:pStyle w:val="Heading3"/>
        <w:spacing w:before="280"/>
      </w:pPr>
      <w:r w:rsidRPr="00B60243">
        <w:t>Chang</w:t>
      </w:r>
      <w:r w:rsidR="00EA5B77" w:rsidRPr="00B60243">
        <w:t>ing</w:t>
      </w:r>
      <w:r w:rsidRPr="00B60243">
        <w:t xml:space="preserve"> </w:t>
      </w:r>
      <w:r w:rsidR="0049073B" w:rsidRPr="00B60243">
        <w:t xml:space="preserve">demand for Australian </w:t>
      </w:r>
      <w:proofErr w:type="spellStart"/>
      <w:r w:rsidR="0049073B" w:rsidRPr="00B60243">
        <w:t>FBT</w:t>
      </w:r>
      <w:proofErr w:type="spellEnd"/>
      <w:r w:rsidR="0049073B" w:rsidRPr="00B60243">
        <w:t xml:space="preserve"> products</w:t>
      </w:r>
    </w:p>
    <w:p w:rsidR="006F64F8" w:rsidRPr="00B60243" w:rsidRDefault="001D5DBA" w:rsidP="001D5BF5">
      <w:pPr>
        <w:pStyle w:val="BodyText"/>
      </w:pPr>
      <w:r w:rsidRPr="00B60243">
        <w:t xml:space="preserve">Despite the diversity of </w:t>
      </w:r>
      <w:proofErr w:type="spellStart"/>
      <w:r w:rsidRPr="00B60243">
        <w:t>FBT</w:t>
      </w:r>
      <w:proofErr w:type="spellEnd"/>
      <w:r w:rsidRPr="00B60243">
        <w:t xml:space="preserve"> manufacturing, there are some broad influences on demand for its output. </w:t>
      </w:r>
      <w:r w:rsidR="00A127B3" w:rsidRPr="00B60243">
        <w:t>S</w:t>
      </w:r>
      <w:r w:rsidR="001824DC" w:rsidRPr="00B60243">
        <w:t>hifts in consumer preferences</w:t>
      </w:r>
      <w:r w:rsidR="00546742" w:rsidRPr="00B60243">
        <w:t xml:space="preserve"> </w:t>
      </w:r>
      <w:r w:rsidR="00A127B3" w:rsidRPr="00B60243">
        <w:t xml:space="preserve">have affected the </w:t>
      </w:r>
      <w:r w:rsidR="00D13355" w:rsidRPr="00B60243">
        <w:t xml:space="preserve">demand for particular </w:t>
      </w:r>
      <w:proofErr w:type="spellStart"/>
      <w:r w:rsidR="00D13355" w:rsidRPr="00B60243">
        <w:t>FBT</w:t>
      </w:r>
      <w:proofErr w:type="spellEnd"/>
      <w:r w:rsidR="00D13355" w:rsidRPr="00B60243">
        <w:t xml:space="preserve"> products and the appreciation of the Australian dollar has reduced the competitiveness of domestic </w:t>
      </w:r>
      <w:proofErr w:type="spellStart"/>
      <w:r w:rsidR="00D13355" w:rsidRPr="00B60243">
        <w:t>FBT</w:t>
      </w:r>
      <w:proofErr w:type="spellEnd"/>
      <w:r w:rsidR="00D13355" w:rsidRPr="00B60243">
        <w:t xml:space="preserve"> products</w:t>
      </w:r>
      <w:r w:rsidR="00DF56EE" w:rsidRPr="00B60243">
        <w:t>.</w:t>
      </w:r>
    </w:p>
    <w:p w:rsidR="00501856" w:rsidRPr="00B60243" w:rsidRDefault="009F3EAF" w:rsidP="003E30C6">
      <w:pPr>
        <w:pStyle w:val="Heading4"/>
        <w:keepNext w:val="0"/>
        <w:widowControl w:val="0"/>
        <w:spacing w:before="360"/>
      </w:pPr>
      <w:r w:rsidRPr="00B60243">
        <w:t>C</w:t>
      </w:r>
      <w:r w:rsidR="00501856" w:rsidRPr="00B60243">
        <w:t xml:space="preserve">onsumers preferences </w:t>
      </w:r>
      <w:r w:rsidRPr="00B60243">
        <w:t>for</w:t>
      </w:r>
      <w:r w:rsidR="00501856" w:rsidRPr="00B60243">
        <w:t xml:space="preserve"> health</w:t>
      </w:r>
      <w:r w:rsidR="0070287B" w:rsidRPr="00B60243">
        <w:t xml:space="preserve"> benefits</w:t>
      </w:r>
      <w:r w:rsidR="00501856" w:rsidRPr="00B60243">
        <w:t>, convenience, quality and value</w:t>
      </w:r>
    </w:p>
    <w:p w:rsidR="00D512E3" w:rsidRPr="00B60243" w:rsidRDefault="006F4216" w:rsidP="003E30C6">
      <w:pPr>
        <w:pStyle w:val="BodyText"/>
        <w:widowControl w:val="0"/>
      </w:pPr>
      <w:r w:rsidRPr="00B60243">
        <w:t>In high</w:t>
      </w:r>
      <w:r w:rsidR="00E36E7F">
        <w:noBreakHyphen/>
      </w:r>
      <w:r w:rsidRPr="00B60243">
        <w:t>income countries, t</w:t>
      </w:r>
      <w:r w:rsidR="00483FB8" w:rsidRPr="00B60243">
        <w:t xml:space="preserve">he potential for growth in domestic demand for food </w:t>
      </w:r>
      <w:r w:rsidR="00974D41" w:rsidRPr="00B60243">
        <w:t xml:space="preserve">tends to </w:t>
      </w:r>
      <w:r w:rsidR="00974D41" w:rsidRPr="00B60243">
        <w:rPr>
          <w:rFonts w:eastAsia="FuturaT-Light"/>
        </w:rPr>
        <w:t xml:space="preserve">be limited by low rates of growth in both </w:t>
      </w:r>
      <w:r w:rsidR="00D512E3" w:rsidRPr="00B60243">
        <w:rPr>
          <w:rFonts w:eastAsia="FuturaT-Light"/>
        </w:rPr>
        <w:t xml:space="preserve">population and </w:t>
      </w:r>
      <w:r w:rsidR="00974D41" w:rsidRPr="00B60243">
        <w:rPr>
          <w:rFonts w:eastAsia="FuturaT-Light"/>
        </w:rPr>
        <w:t>per person consumption</w:t>
      </w:r>
      <w:r w:rsidR="00D512E3" w:rsidRPr="00B60243">
        <w:rPr>
          <w:rFonts w:eastAsia="FuturaT-Light"/>
        </w:rPr>
        <w:t>.</w:t>
      </w:r>
      <w:r w:rsidR="00974D41" w:rsidRPr="00B60243">
        <w:rPr>
          <w:rFonts w:eastAsia="FuturaT-Light"/>
        </w:rPr>
        <w:t xml:space="preserve"> </w:t>
      </w:r>
      <w:r w:rsidR="00D512E3" w:rsidRPr="00B60243">
        <w:rPr>
          <w:rFonts w:eastAsia="FuturaT-Light"/>
        </w:rPr>
        <w:t>P</w:t>
      </w:r>
      <w:r w:rsidR="00974D41" w:rsidRPr="00B60243">
        <w:t xml:space="preserve">er person consumption </w:t>
      </w:r>
      <w:r w:rsidR="00D512E3" w:rsidRPr="00B60243">
        <w:t>tends to have relatively low responsiveness to income changes</w:t>
      </w:r>
      <w:r w:rsidR="00780488" w:rsidRPr="00B60243">
        <w:t xml:space="preserve"> in developed</w:t>
      </w:r>
      <w:r w:rsidR="00974D41" w:rsidRPr="00B60243">
        <w:rPr>
          <w:rFonts w:eastAsia="FuturaT-Light"/>
        </w:rPr>
        <w:t xml:space="preserve"> </w:t>
      </w:r>
      <w:r w:rsidR="00AE2ACB" w:rsidRPr="00B60243">
        <w:rPr>
          <w:rFonts w:eastAsia="FuturaT-Light"/>
        </w:rPr>
        <w:t xml:space="preserve">countries </w:t>
      </w:r>
      <w:r w:rsidR="00974D41" w:rsidRPr="00B60243">
        <w:t>(Short, Chester and Berry 2006)</w:t>
      </w:r>
      <w:r w:rsidR="00974D41" w:rsidRPr="00B60243">
        <w:rPr>
          <w:rFonts w:eastAsia="FuturaT-Light"/>
        </w:rPr>
        <w:t xml:space="preserve">. </w:t>
      </w:r>
      <w:r w:rsidR="00780488" w:rsidRPr="00B60243">
        <w:rPr>
          <w:rFonts w:eastAsia="FuturaT-Light"/>
        </w:rPr>
        <w:t xml:space="preserve">And </w:t>
      </w:r>
      <w:r w:rsidR="00780488" w:rsidRPr="00B60243">
        <w:t>a</w:t>
      </w:r>
      <w:r w:rsidR="00483FB8" w:rsidRPr="00B60243">
        <w:t xml:space="preserve">verage Australian population growth has been relatively stable over the last two complete productivity cycles (around 1.5 per cent a year). </w:t>
      </w:r>
      <w:r w:rsidR="0085584E" w:rsidRPr="00B60243">
        <w:t xml:space="preserve"> </w:t>
      </w:r>
    </w:p>
    <w:p w:rsidR="00723899" w:rsidRPr="00B60243" w:rsidRDefault="00483FB8" w:rsidP="002C345E">
      <w:pPr>
        <w:pStyle w:val="BodyText"/>
      </w:pPr>
      <w:r w:rsidRPr="00B60243">
        <w:lastRenderedPageBreak/>
        <w:t xml:space="preserve">However, changes in tastes </w:t>
      </w:r>
      <w:r w:rsidR="006F4216" w:rsidRPr="00B60243">
        <w:t>(</w:t>
      </w:r>
      <w:r w:rsidRPr="00B60243">
        <w:t>in some cases linked to higher incomes</w:t>
      </w:r>
      <w:r w:rsidR="006F4216" w:rsidRPr="00B60243">
        <w:t>)</w:t>
      </w:r>
      <w:r w:rsidRPr="00B60243">
        <w:t xml:space="preserve"> can </w:t>
      </w:r>
      <w:r w:rsidR="006166CB" w:rsidRPr="00B60243">
        <w:t xml:space="preserve">influence </w:t>
      </w:r>
      <w:r w:rsidRPr="00B60243">
        <w:t xml:space="preserve">demand for particular foods and beverages and </w:t>
      </w:r>
      <w:r w:rsidR="006166CB" w:rsidRPr="00B60243">
        <w:t>are</w:t>
      </w:r>
      <w:r w:rsidR="001824DC" w:rsidRPr="00B60243">
        <w:t xml:space="preserve"> likely to have reduced demand for some </w:t>
      </w:r>
      <w:proofErr w:type="spellStart"/>
      <w:r w:rsidR="00DF56EE" w:rsidRPr="00B60243">
        <w:t>FBT</w:t>
      </w:r>
      <w:proofErr w:type="spellEnd"/>
      <w:r w:rsidR="00DF56EE" w:rsidRPr="00B60243">
        <w:t xml:space="preserve"> </w:t>
      </w:r>
      <w:r w:rsidR="001824DC" w:rsidRPr="00B60243">
        <w:t>products a</w:t>
      </w:r>
      <w:r w:rsidR="002C345E" w:rsidRPr="00B60243">
        <w:t>nd increas</w:t>
      </w:r>
      <w:r w:rsidR="00EA5B77" w:rsidRPr="00B60243">
        <w:t>ed</w:t>
      </w:r>
      <w:r w:rsidR="002C345E" w:rsidRPr="00B60243">
        <w:t xml:space="preserve"> demand for others</w:t>
      </w:r>
      <w:r w:rsidR="00DF56EE" w:rsidRPr="00B60243">
        <w:t xml:space="preserve">. Box </w:t>
      </w:r>
      <w:r w:rsidR="00B072C2" w:rsidRPr="00B60243">
        <w:t>5.2</w:t>
      </w:r>
      <w:r w:rsidR="00DF56EE" w:rsidRPr="00B60243">
        <w:t xml:space="preserve"> provides a summary of some of the broad influences on food markets </w:t>
      </w:r>
      <w:r w:rsidR="001D5DBA" w:rsidRPr="00B60243">
        <w:t>over the last decade</w:t>
      </w:r>
      <w:r w:rsidR="00DF56EE" w:rsidRPr="00B60243">
        <w:t xml:space="preserve">. </w:t>
      </w:r>
    </w:p>
    <w:p w:rsidR="00E64E7F" w:rsidRPr="00B60243" w:rsidRDefault="00E64E7F" w:rsidP="00E64E7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64E7F" w:rsidRPr="009D3338" w:rsidTr="00E64E7F">
        <w:tc>
          <w:tcPr>
            <w:tcW w:w="8771" w:type="dxa"/>
            <w:tcBorders>
              <w:top w:val="single" w:sz="6" w:space="0" w:color="auto"/>
              <w:bottom w:val="nil"/>
            </w:tcBorders>
          </w:tcPr>
          <w:p w:rsidR="00E64E7F" w:rsidRPr="00523C8A" w:rsidRDefault="00E64E7F" w:rsidP="00E64E7F">
            <w:pPr>
              <w:pStyle w:val="BoxTitle"/>
              <w:rPr>
                <w:sz w:val="24"/>
              </w:rPr>
            </w:pPr>
            <w:r w:rsidRPr="00523C8A">
              <w:rPr>
                <w:b w:val="0"/>
                <w:sz w:val="24"/>
              </w:rPr>
              <w:t xml:space="preserve">Box </w:t>
            </w:r>
            <w:bookmarkStart w:id="11" w:name="OLE_LINK3"/>
            <w:r w:rsidR="00523C8A">
              <w:rPr>
                <w:b w:val="0"/>
                <w:sz w:val="24"/>
              </w:rPr>
              <w:t>5.</w:t>
            </w:r>
            <w:r w:rsidR="002E061A">
              <w:rPr>
                <w:b w:val="0"/>
                <w:noProof/>
                <w:sz w:val="24"/>
              </w:rPr>
              <w:t>2</w:t>
            </w:r>
            <w:bookmarkEnd w:id="11"/>
            <w:r w:rsidRPr="00523C8A">
              <w:rPr>
                <w:sz w:val="24"/>
              </w:rPr>
              <w:tab/>
              <w:t xml:space="preserve">Broad trends affecting food markets </w:t>
            </w:r>
          </w:p>
        </w:tc>
      </w:tr>
      <w:tr w:rsidR="00E64E7F" w:rsidRPr="00B60243" w:rsidTr="00E64E7F">
        <w:trPr>
          <w:cantSplit/>
        </w:trPr>
        <w:tc>
          <w:tcPr>
            <w:tcW w:w="8771" w:type="dxa"/>
            <w:tcBorders>
              <w:top w:val="nil"/>
              <w:left w:val="single" w:sz="6" w:space="0" w:color="auto"/>
              <w:bottom w:val="nil"/>
              <w:right w:val="single" w:sz="6" w:space="0" w:color="auto"/>
            </w:tcBorders>
          </w:tcPr>
          <w:p w:rsidR="00E64E7F" w:rsidRPr="00B60243" w:rsidRDefault="00E64E7F" w:rsidP="00E64E7F">
            <w:pPr>
              <w:pStyle w:val="Box"/>
            </w:pPr>
            <w:r w:rsidRPr="00B60243">
              <w:t>The Department of Agriculture, Fisheries and Forestry has identified a number of major trends over the past decade affecting how consumers shop and eat that have created significant but steady change in the food industry environment. These trends affect manufacturers, food service providers and retailers (</w:t>
            </w:r>
            <w:r w:rsidR="00DE0FFA">
              <w:t xml:space="preserve">as summarised in this figure from </w:t>
            </w:r>
            <w:r w:rsidRPr="00B60243">
              <w:t>Spencer and Kneebone 2012, p. 13)</w:t>
            </w:r>
            <w:r w:rsidR="00696EA9">
              <w:t>.</w:t>
            </w:r>
          </w:p>
          <w:p w:rsidR="00E64E7F" w:rsidRPr="00B60243" w:rsidRDefault="00E64E7F" w:rsidP="00E64E7F">
            <w:pPr>
              <w:pStyle w:val="Box"/>
              <w:spacing w:before="0"/>
            </w:pPr>
            <w:r w:rsidRPr="00B60243">
              <w:rPr>
                <w:noProof/>
              </w:rPr>
              <w:drawing>
                <wp:inline distT="0" distB="0" distL="0" distR="0" wp14:anchorId="71D8403C" wp14:editId="102528B9">
                  <wp:extent cx="5391150" cy="429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4298950"/>
                          </a:xfrm>
                          <a:prstGeom prst="rect">
                            <a:avLst/>
                          </a:prstGeom>
                          <a:noFill/>
                          <a:ln>
                            <a:noFill/>
                          </a:ln>
                        </pic:spPr>
                      </pic:pic>
                    </a:graphicData>
                  </a:graphic>
                </wp:inline>
              </w:drawing>
            </w:r>
          </w:p>
          <w:p w:rsidR="00E64E7F" w:rsidRPr="00B60243" w:rsidRDefault="00E64E7F" w:rsidP="00E64E7F">
            <w:pPr>
              <w:pStyle w:val="Box"/>
            </w:pPr>
            <w:r w:rsidRPr="00B60243">
              <w:t>Business Monitor International (2009) noted that recent trends influencing Australia’s food</w:t>
            </w:r>
            <w:r w:rsidR="00E36E7F">
              <w:noBreakHyphen/>
            </w:r>
            <w:r w:rsidRPr="00B60243">
              <w:t>processing sector are similar to those elsewhere in the developed world.</w:t>
            </w:r>
          </w:p>
          <w:p w:rsidR="00E64E7F" w:rsidRPr="00B60243" w:rsidRDefault="00E64E7F" w:rsidP="00E64E7F">
            <w:pPr>
              <w:pStyle w:val="BoxQuote"/>
              <w:rPr>
                <w:szCs w:val="24"/>
              </w:rPr>
            </w:pPr>
            <w:r w:rsidRPr="00B60243">
              <w:t>Consumers are driven by their demands for convenience, growing health awareness and the continued desire to trade up to premium and added</w:t>
            </w:r>
            <w:r w:rsidR="00E36E7F">
              <w:noBreakHyphen/>
            </w:r>
            <w:r w:rsidRPr="00B60243">
              <w:t>value food products. (p.</w:t>
            </w:r>
            <w:r w:rsidR="00E36E7F">
              <w:t> </w:t>
            </w:r>
            <w:r w:rsidRPr="00B60243">
              <w:t xml:space="preserve">27) </w:t>
            </w:r>
          </w:p>
        </w:tc>
      </w:tr>
      <w:tr w:rsidR="00E64E7F" w:rsidRPr="00B60243" w:rsidTr="00E64E7F">
        <w:trPr>
          <w:cantSplit/>
        </w:trPr>
        <w:tc>
          <w:tcPr>
            <w:tcW w:w="8771" w:type="dxa"/>
            <w:tcBorders>
              <w:top w:val="nil"/>
              <w:left w:val="single" w:sz="6" w:space="0" w:color="auto"/>
              <w:bottom w:val="single" w:sz="6" w:space="0" w:color="auto"/>
              <w:right w:val="single" w:sz="6" w:space="0" w:color="auto"/>
            </w:tcBorders>
          </w:tcPr>
          <w:p w:rsidR="00E64E7F" w:rsidRPr="00B60243" w:rsidRDefault="00E64E7F" w:rsidP="00E64E7F">
            <w:pPr>
              <w:pStyle w:val="Box"/>
              <w:spacing w:before="0" w:line="120" w:lineRule="exact"/>
            </w:pPr>
          </w:p>
        </w:tc>
      </w:tr>
      <w:tr w:rsidR="00E64E7F" w:rsidRPr="00B60243" w:rsidTr="00E64E7F">
        <w:tc>
          <w:tcPr>
            <w:tcW w:w="8771" w:type="dxa"/>
            <w:tcBorders>
              <w:top w:val="nil"/>
              <w:left w:val="nil"/>
              <w:bottom w:val="nil"/>
              <w:right w:val="nil"/>
            </w:tcBorders>
          </w:tcPr>
          <w:p w:rsidR="00E64E7F" w:rsidRPr="00B60243" w:rsidRDefault="00E64E7F" w:rsidP="00E64E7F">
            <w:pPr>
              <w:pStyle w:val="BoxSpaceBelow"/>
            </w:pPr>
          </w:p>
        </w:tc>
      </w:tr>
    </w:tbl>
    <w:p w:rsidR="001B39E0" w:rsidRDefault="001B39E0" w:rsidP="00753342">
      <w:pPr>
        <w:pStyle w:val="BodyText"/>
      </w:pPr>
    </w:p>
    <w:p w:rsidR="001B39E0" w:rsidRDefault="001B39E0">
      <w:pPr>
        <w:rPr>
          <w:szCs w:val="20"/>
        </w:rPr>
      </w:pPr>
      <w:r>
        <w:br w:type="page"/>
      </w:r>
    </w:p>
    <w:p w:rsidR="00753342" w:rsidRPr="00B60243" w:rsidRDefault="00753342" w:rsidP="00753342">
      <w:pPr>
        <w:pStyle w:val="BodyText"/>
      </w:pPr>
      <w:r w:rsidRPr="00B60243">
        <w:lastRenderedPageBreak/>
        <w:t xml:space="preserve">Of the range of factors identified by </w:t>
      </w:r>
      <w:r w:rsidR="0098077D" w:rsidRPr="00B60243">
        <w:t>Spencer and Kneebone (</w:t>
      </w:r>
      <w:r w:rsidR="009F0E72">
        <w:t xml:space="preserve">2007, </w:t>
      </w:r>
      <w:r w:rsidR="0098077D" w:rsidRPr="00B60243">
        <w:t>2012</w:t>
      </w:r>
      <w:r w:rsidRPr="00B60243">
        <w:t>)</w:t>
      </w:r>
      <w:r w:rsidR="00E576A4">
        <w:t xml:space="preserve"> as affecting demand for food in general, </w:t>
      </w:r>
      <w:r w:rsidRPr="00B60243">
        <w:t xml:space="preserve">those with the most direct implications for the product mix of </w:t>
      </w:r>
      <w:proofErr w:type="spellStart"/>
      <w:r w:rsidRPr="00B60243">
        <w:t>FBT</w:t>
      </w:r>
      <w:proofErr w:type="spellEnd"/>
      <w:r w:rsidRPr="00B60243">
        <w:t xml:space="preserve"> manufacturing </w:t>
      </w:r>
      <w:r w:rsidR="000143C8" w:rsidRPr="00B60243">
        <w:t>are</w:t>
      </w:r>
      <w:r w:rsidRPr="00B60243">
        <w:t xml:space="preserve">: </w:t>
      </w:r>
    </w:p>
    <w:p w:rsidR="00753342" w:rsidRPr="00B60243" w:rsidRDefault="003C2118" w:rsidP="00753342">
      <w:pPr>
        <w:pStyle w:val="ListBullet"/>
        <w:widowControl w:val="0"/>
      </w:pPr>
      <w:r w:rsidRPr="00B60243">
        <w:t>i</w:t>
      </w:r>
      <w:r w:rsidR="00753342" w:rsidRPr="00B60243">
        <w:t>ncreased demand for convenience or ‘lifestyle compatible’ products</w:t>
      </w:r>
    </w:p>
    <w:p w:rsidR="00753342" w:rsidRPr="00B60243" w:rsidRDefault="00753342" w:rsidP="00753342">
      <w:pPr>
        <w:pStyle w:val="ListBullet2"/>
      </w:pPr>
      <w:r w:rsidRPr="00B60243">
        <w:t>reduced meal preparation time — with a movement towards ready</w:t>
      </w:r>
      <w:r w:rsidR="00E36E7F">
        <w:noBreakHyphen/>
      </w:r>
      <w:r w:rsidRPr="00B60243">
        <w:t xml:space="preserve">prepared components and full meals </w:t>
      </w:r>
    </w:p>
    <w:p w:rsidR="00753342" w:rsidRPr="00B60243" w:rsidRDefault="00753342" w:rsidP="00753342">
      <w:pPr>
        <w:pStyle w:val="ListBullet2"/>
      </w:pPr>
      <w:r w:rsidRPr="00B60243">
        <w:t xml:space="preserve">eating ‘on the go’ — with a movement towards snacking products and portion size products </w:t>
      </w:r>
    </w:p>
    <w:p w:rsidR="00753342" w:rsidRPr="00B60243" w:rsidRDefault="003C2118" w:rsidP="00753342">
      <w:pPr>
        <w:pStyle w:val="ListBullet"/>
      </w:pPr>
      <w:r w:rsidRPr="00B60243">
        <w:t>i</w:t>
      </w:r>
      <w:r w:rsidR="00753342" w:rsidRPr="00B60243">
        <w:t>ncreased consciousness of wellness/healthy eating</w:t>
      </w:r>
    </w:p>
    <w:p w:rsidR="00753342" w:rsidRPr="00B60243" w:rsidRDefault="00753342" w:rsidP="00753342">
      <w:pPr>
        <w:pStyle w:val="ListBullet2"/>
      </w:pPr>
      <w:r w:rsidRPr="00B60243">
        <w:t xml:space="preserve">an increase in healthy eating options per product category </w:t>
      </w:r>
    </w:p>
    <w:p w:rsidR="00753342" w:rsidRPr="00B60243" w:rsidRDefault="00753342" w:rsidP="00753342">
      <w:pPr>
        <w:pStyle w:val="ListBullet2"/>
      </w:pPr>
      <w:r w:rsidRPr="00B60243">
        <w:t>increased focus on portion size products</w:t>
      </w:r>
    </w:p>
    <w:p w:rsidR="00753342" w:rsidRPr="00B60243" w:rsidRDefault="003C2118" w:rsidP="00753342">
      <w:pPr>
        <w:pStyle w:val="ListBullet"/>
      </w:pPr>
      <w:r w:rsidRPr="00B60243">
        <w:t>m</w:t>
      </w:r>
      <w:r w:rsidR="00753342" w:rsidRPr="00B60243">
        <w:t xml:space="preserve">ore complex tastes and preferences reflected in greater diversity of products and producers </w:t>
      </w:r>
    </w:p>
    <w:p w:rsidR="00753342" w:rsidRPr="00B60243" w:rsidRDefault="00753342" w:rsidP="00753342">
      <w:pPr>
        <w:pStyle w:val="ListBullet2"/>
      </w:pPr>
      <w:r w:rsidRPr="00B60243">
        <w:t>quality/premium</w:t>
      </w:r>
      <w:r w:rsidR="006E06B3" w:rsidRPr="00B60243">
        <w:t>/indulgence</w:t>
      </w:r>
      <w:r w:rsidRPr="00B60243">
        <w:t xml:space="preserve"> products </w:t>
      </w:r>
    </w:p>
    <w:p w:rsidR="00753342" w:rsidRPr="00B60243" w:rsidRDefault="00753342" w:rsidP="00753342">
      <w:pPr>
        <w:pStyle w:val="ListBullet2"/>
      </w:pPr>
      <w:r w:rsidRPr="00B60243">
        <w:t>specialised products</w:t>
      </w:r>
    </w:p>
    <w:p w:rsidR="00753342" w:rsidRPr="00B60243" w:rsidRDefault="00753342" w:rsidP="00753342">
      <w:pPr>
        <w:pStyle w:val="ListBullet2"/>
      </w:pPr>
      <w:r w:rsidRPr="00B60243">
        <w:t>value products (including private label products).</w:t>
      </w:r>
    </w:p>
    <w:p w:rsidR="00753342" w:rsidRPr="00B60243" w:rsidRDefault="006E06B3" w:rsidP="002C345E">
      <w:pPr>
        <w:pStyle w:val="BodyText"/>
      </w:pPr>
      <w:r w:rsidRPr="00B60243">
        <w:t>The net effect of the</w:t>
      </w:r>
      <w:r w:rsidR="00E576A4">
        <w:t>se</w:t>
      </w:r>
      <w:r w:rsidRPr="00B60243">
        <w:t xml:space="preserve"> preference changes on overall demand</w:t>
      </w:r>
      <w:r w:rsidR="00E576A4">
        <w:t xml:space="preserve"> for food and beverage products,</w:t>
      </w:r>
      <w:r w:rsidRPr="00B60243">
        <w:t xml:space="preserve"> and for particular product groups</w:t>
      </w:r>
      <w:r w:rsidR="00E576A4">
        <w:t>,</w:t>
      </w:r>
      <w:r w:rsidRPr="00B60243">
        <w:t xml:space="preserve"> is complex</w:t>
      </w:r>
      <w:r w:rsidR="00E576A4">
        <w:t>. For example, there are</w:t>
      </w:r>
      <w:r w:rsidRPr="00B60243">
        <w:t xml:space="preserve"> </w:t>
      </w:r>
      <w:r w:rsidR="00CF5A45" w:rsidRPr="00B60243">
        <w:t xml:space="preserve">potential </w:t>
      </w:r>
      <w:proofErr w:type="spellStart"/>
      <w:r w:rsidR="00CF5A45" w:rsidRPr="00B60243">
        <w:t>tradeoffs</w:t>
      </w:r>
      <w:proofErr w:type="spellEnd"/>
      <w:r w:rsidRPr="00B60243">
        <w:t xml:space="preserve"> between preferences for healthy eating, convenience and premium/indulgence products. </w:t>
      </w:r>
    </w:p>
    <w:p w:rsidR="00753342" w:rsidRPr="00B60243" w:rsidRDefault="00723899" w:rsidP="00E576A4">
      <w:pPr>
        <w:pStyle w:val="BodyText"/>
      </w:pPr>
      <w:r w:rsidRPr="00B60243">
        <w:t>The complexities of these changes</w:t>
      </w:r>
      <w:r w:rsidR="00E576A4">
        <w:t>,</w:t>
      </w:r>
      <w:r w:rsidRPr="00B60243">
        <w:t xml:space="preserve"> and differences in their timing across product groups</w:t>
      </w:r>
      <w:r w:rsidR="00E576A4">
        <w:t>,</w:t>
      </w:r>
      <w:r w:rsidRPr="00B60243">
        <w:t xml:space="preserve"> make them difficult to identify </w:t>
      </w:r>
      <w:r w:rsidR="00056637" w:rsidRPr="00B60243">
        <w:t>from</w:t>
      </w:r>
      <w:r w:rsidRPr="00B60243">
        <w:t xml:space="preserve"> the available statistics. </w:t>
      </w:r>
      <w:r w:rsidR="00056637" w:rsidRPr="00B60243">
        <w:t>However, anecdotal evidence suggests, for example, there has been strong growth in sales of private label products (</w:t>
      </w:r>
      <w:r w:rsidR="002C7887" w:rsidRPr="00B60243">
        <w:t xml:space="preserve">box </w:t>
      </w:r>
      <w:r w:rsidR="00B072C2" w:rsidRPr="00B60243">
        <w:t>5.3</w:t>
      </w:r>
      <w:r w:rsidR="00056637" w:rsidRPr="00B60243">
        <w:t>) and chilled ready meals (</w:t>
      </w:r>
      <w:proofErr w:type="spellStart"/>
      <w:r w:rsidR="00056637" w:rsidRPr="00B60243">
        <w:t>Kitney</w:t>
      </w:r>
      <w:proofErr w:type="spellEnd"/>
      <w:r w:rsidR="00056637" w:rsidRPr="00B60243">
        <w:t xml:space="preserve"> 2013). </w:t>
      </w:r>
      <w:r w:rsidR="00E226DC" w:rsidRPr="00B60243">
        <w:t xml:space="preserve">And a greater proportion of space in supermarkets has been allocated to fresh </w:t>
      </w:r>
      <w:r w:rsidR="00DC1886" w:rsidRPr="00B60243">
        <w:t xml:space="preserve">foods </w:t>
      </w:r>
      <w:r w:rsidR="00E226DC" w:rsidRPr="00B60243">
        <w:t>and convenience foods (</w:t>
      </w:r>
      <w:r w:rsidR="00186FD7">
        <w:t xml:space="preserve">Australian Food and Grocery Council </w:t>
      </w:r>
      <w:proofErr w:type="spellStart"/>
      <w:r w:rsidR="00E226DC" w:rsidRPr="00B60243">
        <w:t>2011a</w:t>
      </w:r>
      <w:proofErr w:type="spellEnd"/>
      <w:r w:rsidR="00E226DC" w:rsidRPr="00B60243">
        <w:t>, p.</w:t>
      </w:r>
      <w:r w:rsidR="00E36E7F">
        <w:t> </w:t>
      </w:r>
      <w:r w:rsidR="00E226DC" w:rsidRPr="00B60243">
        <w:t>16).</w:t>
      </w:r>
      <w:r w:rsidR="009B6434" w:rsidRPr="00B60243">
        <w:t xml:space="preserve"> </w:t>
      </w:r>
    </w:p>
    <w:p w:rsidR="001B172B" w:rsidRPr="00B60243" w:rsidRDefault="001B172B" w:rsidP="001B172B">
      <w:pPr>
        <w:pStyle w:val="BoxSpaceAbove"/>
      </w:pPr>
      <w:bookmarkStart w:id="12" w:name="OLE_LINK34"/>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B172B" w:rsidRPr="009D3338" w:rsidTr="00B1683E">
        <w:tc>
          <w:tcPr>
            <w:tcW w:w="8771" w:type="dxa"/>
            <w:tcBorders>
              <w:top w:val="single" w:sz="6" w:space="0" w:color="auto"/>
              <w:bottom w:val="nil"/>
            </w:tcBorders>
          </w:tcPr>
          <w:p w:rsidR="001B172B" w:rsidRPr="00523C8A" w:rsidRDefault="001B172B" w:rsidP="00B1683E">
            <w:pPr>
              <w:pStyle w:val="BoxTitle"/>
              <w:rPr>
                <w:sz w:val="24"/>
              </w:rPr>
            </w:pPr>
            <w:r w:rsidRPr="00523C8A">
              <w:rPr>
                <w:b w:val="0"/>
                <w:sz w:val="24"/>
              </w:rPr>
              <w:t xml:space="preserve">Box </w:t>
            </w:r>
            <w:bookmarkStart w:id="13" w:name="OLE_LINK41"/>
            <w:r w:rsidR="00B072C2" w:rsidRPr="00523C8A">
              <w:rPr>
                <w:b w:val="0"/>
                <w:sz w:val="24"/>
              </w:rPr>
              <w:t>5.</w:t>
            </w:r>
            <w:r w:rsidR="002E061A">
              <w:rPr>
                <w:b w:val="0"/>
                <w:noProof/>
                <w:sz w:val="24"/>
              </w:rPr>
              <w:t>3</w:t>
            </w:r>
            <w:bookmarkEnd w:id="13"/>
            <w:r w:rsidRPr="00523C8A">
              <w:rPr>
                <w:sz w:val="24"/>
              </w:rPr>
              <w:tab/>
              <w:t>Private label products</w:t>
            </w:r>
          </w:p>
        </w:tc>
      </w:tr>
      <w:tr w:rsidR="001B172B" w:rsidRPr="00B60243" w:rsidTr="00B1683E">
        <w:trPr>
          <w:cantSplit/>
        </w:trPr>
        <w:tc>
          <w:tcPr>
            <w:tcW w:w="8771" w:type="dxa"/>
            <w:tcBorders>
              <w:top w:val="nil"/>
              <w:left w:val="single" w:sz="6" w:space="0" w:color="auto"/>
              <w:bottom w:val="nil"/>
              <w:right w:val="single" w:sz="6" w:space="0" w:color="auto"/>
            </w:tcBorders>
          </w:tcPr>
          <w:p w:rsidR="001B172B" w:rsidRPr="00B60243" w:rsidRDefault="001B172B" w:rsidP="00B1683E">
            <w:pPr>
              <w:pStyle w:val="Box"/>
            </w:pPr>
            <w:r w:rsidRPr="00B60243">
              <w:t xml:space="preserve">Private labels are brands owned </w:t>
            </w:r>
            <w:r w:rsidR="002E0046" w:rsidRPr="00B60243">
              <w:t xml:space="preserve">by </w:t>
            </w:r>
            <w:r w:rsidRPr="00B60243">
              <w:t>and produced on behalf of the retailer. The market share of private labels varies considerably by product, with higher shares for commoditised products where there is less scope for differentiation and branding.</w:t>
            </w:r>
          </w:p>
          <w:p w:rsidR="001B172B" w:rsidRPr="00B60243" w:rsidRDefault="001B172B" w:rsidP="00B1683E">
            <w:pPr>
              <w:pStyle w:val="BoxListBullet"/>
            </w:pPr>
            <w:proofErr w:type="spellStart"/>
            <w:r w:rsidRPr="00B60243">
              <w:t>IBISWorld</w:t>
            </w:r>
            <w:proofErr w:type="spellEnd"/>
            <w:r w:rsidRPr="00B60243">
              <w:t xml:space="preserve"> (2012) points to high market shares of private label products in butter, sugar, bread, milk and canned fruit. </w:t>
            </w:r>
          </w:p>
          <w:p w:rsidR="001B172B" w:rsidRPr="00B60243" w:rsidRDefault="00C73985" w:rsidP="00B1683E">
            <w:pPr>
              <w:pStyle w:val="BoxListBullet"/>
            </w:pPr>
            <w:r>
              <w:t>The Australian Food and Grocery Council</w:t>
            </w:r>
            <w:r w:rsidR="001B172B" w:rsidRPr="00B60243">
              <w:t xml:space="preserve"> (</w:t>
            </w:r>
            <w:proofErr w:type="spellStart"/>
            <w:r w:rsidR="001B172B" w:rsidRPr="00B60243">
              <w:t>2011a</w:t>
            </w:r>
            <w:proofErr w:type="spellEnd"/>
            <w:r w:rsidR="001B172B" w:rsidRPr="00B60243">
              <w:t>, p.</w:t>
            </w:r>
            <w:r w:rsidR="00E36E7F">
              <w:t> </w:t>
            </w:r>
            <w:r w:rsidR="001B172B" w:rsidRPr="00B60243">
              <w:t>18) reports private label shares (for various years between 2007 and 2009) of around: 45</w:t>
            </w:r>
            <w:r w:rsidR="00E36E7F">
              <w:noBreakHyphen/>
            </w:r>
            <w:r w:rsidR="001B172B" w:rsidRPr="00B60243">
              <w:t>55 per cent for sugar, milk and cream; 30</w:t>
            </w:r>
            <w:r w:rsidR="00E36E7F">
              <w:noBreakHyphen/>
            </w:r>
            <w:r w:rsidR="001B172B" w:rsidRPr="00B60243">
              <w:t>40 per cent for cheese and bread; 15</w:t>
            </w:r>
            <w:r w:rsidR="00E36E7F">
              <w:noBreakHyphen/>
            </w:r>
            <w:r w:rsidR="001B172B" w:rsidRPr="00B60243">
              <w:t>20 per cent</w:t>
            </w:r>
            <w:r w:rsidR="002E0046" w:rsidRPr="00B60243">
              <w:t xml:space="preserve"> for smallgoods, snack foods, </w:t>
            </w:r>
            <w:r w:rsidR="001B172B" w:rsidRPr="00B60243">
              <w:t xml:space="preserve">canned fish </w:t>
            </w:r>
            <w:r w:rsidR="002E0046" w:rsidRPr="00B60243">
              <w:t xml:space="preserve">and </w:t>
            </w:r>
            <w:r w:rsidR="001B172B" w:rsidRPr="00B60243">
              <w:t>sugar confectionery; and 5</w:t>
            </w:r>
            <w:r w:rsidR="00E36E7F">
              <w:noBreakHyphen/>
            </w:r>
            <w:r w:rsidR="001B172B" w:rsidRPr="00B60243">
              <w:t>10 per cent for yoghurt, ice cream and biscuits.</w:t>
            </w:r>
          </w:p>
          <w:p w:rsidR="001B172B" w:rsidRPr="00B60243" w:rsidRDefault="001B172B" w:rsidP="001B172B">
            <w:pPr>
              <w:pStyle w:val="BoxListBullet"/>
              <w:spacing w:before="60"/>
            </w:pPr>
            <w:r w:rsidRPr="00B60243">
              <w:t xml:space="preserve">Richardson (2012) reports a higher impact of private label and retailer influence on the wine industry than the beer industry, which is much more concentrated and has higher levels of brand loyalty. </w:t>
            </w:r>
            <w:proofErr w:type="spellStart"/>
            <w:r w:rsidRPr="00B60243">
              <w:t>IBISWorld</w:t>
            </w:r>
            <w:proofErr w:type="spellEnd"/>
            <w:r w:rsidRPr="00B60243">
              <w:t xml:space="preserve"> (2011) reports that private label wine accounted for about 8 per cent of sales in 2010.</w:t>
            </w:r>
          </w:p>
          <w:p w:rsidR="001B172B" w:rsidRPr="00B60243" w:rsidRDefault="001B172B" w:rsidP="00B1683E">
            <w:pPr>
              <w:pStyle w:val="Box"/>
            </w:pPr>
            <w:r w:rsidRPr="00B60243">
              <w:t xml:space="preserve">While present in the Australian market for some time, changes in consumer attitudes and retailer strategies have led to an increase in private label growth in recent years. Statistics on private label market shares in Australia vary (and generally include all supermarket sales, not just </w:t>
            </w:r>
            <w:r w:rsidR="002E0046" w:rsidRPr="00B60243">
              <w:t xml:space="preserve">those of </w:t>
            </w:r>
            <w:proofErr w:type="spellStart"/>
            <w:r w:rsidRPr="00B60243">
              <w:t>FBT</w:t>
            </w:r>
            <w:proofErr w:type="spellEnd"/>
            <w:r w:rsidRPr="00B60243">
              <w:t xml:space="preserve"> manufactured products), but there is general agreement that the share has increased and is likely to grow further. </w:t>
            </w:r>
          </w:p>
          <w:p w:rsidR="001B172B" w:rsidRPr="00B60243" w:rsidRDefault="00C73985" w:rsidP="00B1683E">
            <w:pPr>
              <w:pStyle w:val="BoxListBullet"/>
            </w:pPr>
            <w:r>
              <w:t>The Australian Food and Grocery Council</w:t>
            </w:r>
            <w:r w:rsidR="001B172B" w:rsidRPr="00B60243">
              <w:t xml:space="preserve"> (</w:t>
            </w:r>
            <w:proofErr w:type="spellStart"/>
            <w:r w:rsidR="001B172B" w:rsidRPr="00B60243">
              <w:t>2011a</w:t>
            </w:r>
            <w:proofErr w:type="spellEnd"/>
            <w:r w:rsidR="001B172B" w:rsidRPr="00B60243">
              <w:t>, p.</w:t>
            </w:r>
            <w:r w:rsidR="00E36E7F">
              <w:t> </w:t>
            </w:r>
            <w:r w:rsidR="001B172B" w:rsidRPr="00B60243">
              <w:t xml:space="preserve">17) reports a steady increase in the private label share of total supermarket sales from about 15 to 25 per cent between 2003 and 2010, with further growth anticipated based on global trends. This accelerated growth was attributed to: unprecedented focus on affordability by consumers, cost pressures of manufacturing placing pressure on margins of branded manufacturers, high level of retail market concentration, improved private label product quality, enhanced retailer capabilities and increased sophistication of private label programs. </w:t>
            </w:r>
          </w:p>
          <w:p w:rsidR="001B172B" w:rsidRPr="00B60243" w:rsidRDefault="001B172B" w:rsidP="00B1683E">
            <w:pPr>
              <w:pStyle w:val="BoxListBullet"/>
            </w:pPr>
            <w:proofErr w:type="spellStart"/>
            <w:r w:rsidRPr="00B60243">
              <w:t>IBISWorld</w:t>
            </w:r>
            <w:proofErr w:type="spellEnd"/>
            <w:r w:rsidRPr="00B60243">
              <w:t xml:space="preserve"> (2012) reports private label spending as a share of total supermarket sales in 2007</w:t>
            </w:r>
            <w:r w:rsidR="00E36E7F">
              <w:noBreakHyphen/>
            </w:r>
            <w:r w:rsidRPr="00B60243">
              <w:t>08 at 13.5 per cent and 25.2 per cent in 2012</w:t>
            </w:r>
            <w:r w:rsidR="00E36E7F">
              <w:noBreakHyphen/>
            </w:r>
            <w:r w:rsidRPr="00B60243">
              <w:t>13, with anticipated growth to 33 per cent in 2017</w:t>
            </w:r>
            <w:r w:rsidR="00E36E7F">
              <w:noBreakHyphen/>
            </w:r>
            <w:r w:rsidRPr="00B60243">
              <w:t>18. There were particularly large increases in private label market share in butter, bread and canned fruit between 2002</w:t>
            </w:r>
            <w:r w:rsidR="00E36E7F">
              <w:noBreakHyphen/>
            </w:r>
            <w:r w:rsidRPr="00B60243">
              <w:t>03 and 2012</w:t>
            </w:r>
            <w:r w:rsidR="00E36E7F">
              <w:noBreakHyphen/>
            </w:r>
            <w:r w:rsidRPr="00B60243">
              <w:t>13.</w:t>
            </w:r>
          </w:p>
          <w:p w:rsidR="001B172B" w:rsidRPr="00B60243" w:rsidRDefault="001B172B" w:rsidP="00705563">
            <w:pPr>
              <w:pStyle w:val="Box"/>
            </w:pPr>
            <w:r w:rsidRPr="00B60243">
              <w:t xml:space="preserve">While private label growth appears to have increased over cycle 4, it may have been a larger influence </w:t>
            </w:r>
            <w:r w:rsidR="002E0046" w:rsidRPr="00B60243">
              <w:t xml:space="preserve">still during </w:t>
            </w:r>
            <w:r w:rsidRPr="00B60243">
              <w:t xml:space="preserve">the incomplete cycle. Some analysts suggest </w:t>
            </w:r>
            <w:r w:rsidR="002E0046" w:rsidRPr="00B60243">
              <w:t xml:space="preserve">that </w:t>
            </w:r>
            <w:r w:rsidRPr="00B60243">
              <w:t xml:space="preserve">the </w:t>
            </w:r>
            <w:r w:rsidR="00705563" w:rsidRPr="00B60243">
              <w:t>global financial crisis</w:t>
            </w:r>
            <w:r w:rsidRPr="00B60243">
              <w:t xml:space="preserve"> prompted more consumers to shift to private label products (see, for example, </w:t>
            </w:r>
            <w:proofErr w:type="spellStart"/>
            <w:r w:rsidRPr="00B60243">
              <w:t>NZTE</w:t>
            </w:r>
            <w:proofErr w:type="spellEnd"/>
            <w:r w:rsidR="002E0046" w:rsidRPr="00B60243">
              <w:t> </w:t>
            </w:r>
            <w:r w:rsidRPr="00B60243">
              <w:t>2012).</w:t>
            </w:r>
          </w:p>
        </w:tc>
      </w:tr>
      <w:tr w:rsidR="001B172B" w:rsidRPr="00B60243" w:rsidTr="00B1683E">
        <w:trPr>
          <w:cantSplit/>
        </w:trPr>
        <w:tc>
          <w:tcPr>
            <w:tcW w:w="8771" w:type="dxa"/>
            <w:tcBorders>
              <w:top w:val="nil"/>
              <w:left w:val="single" w:sz="6" w:space="0" w:color="auto"/>
              <w:bottom w:val="single" w:sz="6" w:space="0" w:color="auto"/>
              <w:right w:val="single" w:sz="6" w:space="0" w:color="auto"/>
            </w:tcBorders>
          </w:tcPr>
          <w:p w:rsidR="001B172B" w:rsidRPr="00B60243" w:rsidRDefault="001B172B" w:rsidP="00B1683E">
            <w:pPr>
              <w:pStyle w:val="Box"/>
              <w:spacing w:before="0" w:line="120" w:lineRule="exact"/>
            </w:pPr>
          </w:p>
        </w:tc>
      </w:tr>
      <w:tr w:rsidR="001B172B" w:rsidRPr="00B60243" w:rsidTr="00B1683E">
        <w:tc>
          <w:tcPr>
            <w:tcW w:w="8771" w:type="dxa"/>
            <w:tcBorders>
              <w:top w:val="nil"/>
              <w:left w:val="nil"/>
              <w:bottom w:val="nil"/>
              <w:right w:val="nil"/>
            </w:tcBorders>
          </w:tcPr>
          <w:p w:rsidR="001B172B" w:rsidRPr="00B60243" w:rsidRDefault="001B172B" w:rsidP="00B1683E">
            <w:pPr>
              <w:pStyle w:val="BoxSpaceBelow"/>
            </w:pPr>
          </w:p>
        </w:tc>
      </w:tr>
    </w:tbl>
    <w:bookmarkEnd w:id="12"/>
    <w:p w:rsidR="00E576A4" w:rsidRPr="00B60243" w:rsidRDefault="00E576A4" w:rsidP="00E576A4">
      <w:pPr>
        <w:pStyle w:val="BodyText"/>
      </w:pPr>
      <w:r w:rsidRPr="00B60243">
        <w:t>Market shares have also increased for ‘health conscious’ products and premium products. For example:</w:t>
      </w:r>
    </w:p>
    <w:p w:rsidR="00E576A4" w:rsidRPr="00B60243" w:rsidRDefault="00E576A4" w:rsidP="00E576A4">
      <w:pPr>
        <w:pStyle w:val="ListBullet"/>
      </w:pPr>
      <w:r w:rsidRPr="00B60243">
        <w:t xml:space="preserve">Consumer demand for more expensive, imported and domestically produced premium and craft beer brands has increased. Premium beers only accounted for </w:t>
      </w:r>
      <w:r w:rsidRPr="00B60243">
        <w:lastRenderedPageBreak/>
        <w:t>approximately 8 per cent of the total packaged beer market in 2002 (Robins 2002) but were reported to have increased in market share to almost 20</w:t>
      </w:r>
      <w:r w:rsidR="00497E09">
        <w:t> </w:t>
      </w:r>
      <w:r w:rsidRPr="00B60243">
        <w:t>per cent in 2009 (</w:t>
      </w:r>
      <w:proofErr w:type="spellStart"/>
      <w:r w:rsidRPr="00B60243">
        <w:t>Canaider</w:t>
      </w:r>
      <w:proofErr w:type="spellEnd"/>
      <w:r w:rsidRPr="00B60243">
        <w:t xml:space="preserve"> 2009). Craft beers also grew from close to zero a decade ago to make up about 2 to 2.5 per cent of total current beer manufacturing (Bainbridge 2013). </w:t>
      </w:r>
    </w:p>
    <w:p w:rsidR="00E576A4" w:rsidRPr="00B60243" w:rsidRDefault="00E576A4" w:rsidP="00E576A4">
      <w:pPr>
        <w:pStyle w:val="ListBullet"/>
      </w:pPr>
      <w:proofErr w:type="spellStart"/>
      <w:r w:rsidRPr="00B60243">
        <w:t>Sivasailam</w:t>
      </w:r>
      <w:proofErr w:type="spellEnd"/>
      <w:r w:rsidRPr="00B60243">
        <w:t xml:space="preserve"> (2010) reported that confectionery producers, in recent times, have responded to changes in consumer preferences in developed markets for luxury or premium brands, as well as catering to more health conscious consumers. This has been seen in the growth in dark, organic and naturally produced chocolate, as well as sugar</w:t>
      </w:r>
      <w:r w:rsidR="00E36E7F">
        <w:noBreakHyphen/>
      </w:r>
      <w:r w:rsidRPr="00B60243">
        <w:t>free confectionery.</w:t>
      </w:r>
    </w:p>
    <w:p w:rsidR="00E576A4" w:rsidRPr="00B60243" w:rsidRDefault="00E576A4" w:rsidP="00E576A4">
      <w:pPr>
        <w:pStyle w:val="BodyText"/>
      </w:pPr>
      <w:r w:rsidRPr="00B60243">
        <w:t>It is likely that these changes in consumer preferences have affected not only the range of products produced but also the nature of the production process in some cases. For example, ‘boutique’ production, such as artisan bakery products and craft beer, occurs on a smaller scale than large factory production.</w:t>
      </w:r>
    </w:p>
    <w:p w:rsidR="00153F71" w:rsidRPr="00B60243" w:rsidRDefault="00850C8A" w:rsidP="00153F71">
      <w:pPr>
        <w:pStyle w:val="Heading4"/>
      </w:pPr>
      <w:proofErr w:type="spellStart"/>
      <w:r w:rsidRPr="00B60243">
        <w:t>FBT</w:t>
      </w:r>
      <w:proofErr w:type="spellEnd"/>
      <w:r w:rsidRPr="00B60243">
        <w:t xml:space="preserve"> </w:t>
      </w:r>
      <w:r w:rsidR="00CA2C71" w:rsidRPr="00B60243">
        <w:t>net exports</w:t>
      </w:r>
      <w:r w:rsidRPr="00B60243">
        <w:t xml:space="preserve"> declined as the </w:t>
      </w:r>
      <w:r w:rsidR="003B1997" w:rsidRPr="00B60243">
        <w:t xml:space="preserve">Australian dollar </w:t>
      </w:r>
      <w:r w:rsidRPr="00B60243">
        <w:t>appreciated</w:t>
      </w:r>
    </w:p>
    <w:p w:rsidR="00387EBC" w:rsidRPr="00B60243" w:rsidRDefault="00850C8A" w:rsidP="00A70B6A">
      <w:pPr>
        <w:pStyle w:val="BodyText"/>
        <w:rPr>
          <w:iCs/>
        </w:rPr>
      </w:pPr>
      <w:r w:rsidRPr="00B60243">
        <w:rPr>
          <w:iCs/>
        </w:rPr>
        <w:t xml:space="preserve">The impact of the high Australian dollar has been identified by </w:t>
      </w:r>
      <w:proofErr w:type="spellStart"/>
      <w:r w:rsidRPr="00B60243">
        <w:rPr>
          <w:iCs/>
        </w:rPr>
        <w:t>FBT</w:t>
      </w:r>
      <w:proofErr w:type="spellEnd"/>
      <w:r w:rsidRPr="00B60243">
        <w:rPr>
          <w:iCs/>
        </w:rPr>
        <w:t xml:space="preserve"> manufacturers</w:t>
      </w:r>
      <w:r w:rsidR="00567A70" w:rsidRPr="00B60243">
        <w:rPr>
          <w:iCs/>
        </w:rPr>
        <w:t>,</w:t>
      </w:r>
      <w:r w:rsidRPr="00B60243">
        <w:rPr>
          <w:iCs/>
        </w:rPr>
        <w:t xml:space="preserve"> </w:t>
      </w:r>
      <w:r w:rsidR="00567A70" w:rsidRPr="00B60243">
        <w:rPr>
          <w:iCs/>
        </w:rPr>
        <w:t>together with domestic cost pressures</w:t>
      </w:r>
      <w:r w:rsidR="00E76A78" w:rsidRPr="00B60243">
        <w:rPr>
          <w:iCs/>
        </w:rPr>
        <w:t xml:space="preserve"> </w:t>
      </w:r>
      <w:r w:rsidR="004E4727" w:rsidRPr="00B60243">
        <w:rPr>
          <w:iCs/>
        </w:rPr>
        <w:t>a</w:t>
      </w:r>
      <w:r w:rsidR="00E76A78" w:rsidRPr="00B60243">
        <w:rPr>
          <w:iCs/>
        </w:rPr>
        <w:t>nd retailer strategies</w:t>
      </w:r>
      <w:r w:rsidR="008C79E3" w:rsidRPr="00B60243">
        <w:rPr>
          <w:iCs/>
        </w:rPr>
        <w:t>,</w:t>
      </w:r>
      <w:r w:rsidR="00567A70" w:rsidRPr="00B60243">
        <w:rPr>
          <w:iCs/>
        </w:rPr>
        <w:t xml:space="preserve"> </w:t>
      </w:r>
      <w:r w:rsidRPr="00B60243">
        <w:rPr>
          <w:iCs/>
        </w:rPr>
        <w:t>as dampening their ability to compete both domestically and internationally</w:t>
      </w:r>
      <w:r w:rsidR="00387EBC" w:rsidRPr="00B60243">
        <w:rPr>
          <w:iCs/>
        </w:rPr>
        <w:t xml:space="preserve"> </w:t>
      </w:r>
      <w:r w:rsidRPr="00B60243">
        <w:rPr>
          <w:iCs/>
        </w:rPr>
        <w:t xml:space="preserve">(for example, </w:t>
      </w:r>
      <w:r w:rsidR="00EF1F43" w:rsidRPr="00B60243">
        <w:rPr>
          <w:iCs/>
        </w:rPr>
        <w:t>S</w:t>
      </w:r>
      <w:r w:rsidR="00AC6941" w:rsidRPr="00B60243">
        <w:rPr>
          <w:iCs/>
        </w:rPr>
        <w:t xml:space="preserve">enate Select Committee </w:t>
      </w:r>
      <w:r w:rsidR="00976F40" w:rsidRPr="00B60243">
        <w:t>on Australia’s Food Processing Sector 2012</w:t>
      </w:r>
      <w:r w:rsidR="00774623" w:rsidRPr="00B60243">
        <w:t>;</w:t>
      </w:r>
      <w:r w:rsidRPr="00B60243">
        <w:rPr>
          <w:iCs/>
        </w:rPr>
        <w:t xml:space="preserve"> </w:t>
      </w:r>
      <w:r w:rsidR="00AC6941" w:rsidRPr="00B60243">
        <w:rPr>
          <w:iCs/>
        </w:rPr>
        <w:t xml:space="preserve">Food Processing Industry Strategy Group </w:t>
      </w:r>
      <w:r w:rsidR="00774623" w:rsidRPr="00B60243">
        <w:rPr>
          <w:iCs/>
        </w:rPr>
        <w:t>2012;</w:t>
      </w:r>
      <w:r w:rsidRPr="00B60243">
        <w:rPr>
          <w:iCs/>
        </w:rPr>
        <w:t xml:space="preserve"> </w:t>
      </w:r>
      <w:r w:rsidR="00C73985">
        <w:t>Australian Food and Grocery Council</w:t>
      </w:r>
      <w:r w:rsidRPr="00B60243">
        <w:rPr>
          <w:iCs/>
        </w:rPr>
        <w:t xml:space="preserve"> </w:t>
      </w:r>
      <w:proofErr w:type="spellStart"/>
      <w:r w:rsidRPr="00B60243">
        <w:rPr>
          <w:iCs/>
        </w:rPr>
        <w:t>2011a</w:t>
      </w:r>
      <w:proofErr w:type="spellEnd"/>
      <w:r w:rsidRPr="00B60243">
        <w:rPr>
          <w:iCs/>
        </w:rPr>
        <w:t xml:space="preserve">). </w:t>
      </w:r>
    </w:p>
    <w:p w:rsidR="006A53E5" w:rsidRPr="00B60243" w:rsidRDefault="006A53E5" w:rsidP="00A70B6A">
      <w:pPr>
        <w:pStyle w:val="BodyText"/>
      </w:pPr>
      <w:r w:rsidRPr="00B60243">
        <w:rPr>
          <w:iCs/>
        </w:rPr>
        <w:t xml:space="preserve">As noted in chapter 2, </w:t>
      </w:r>
      <w:r w:rsidR="00B00F2D" w:rsidRPr="00B60243">
        <w:rPr>
          <w:iCs/>
        </w:rPr>
        <w:t>t</w:t>
      </w:r>
      <w:r w:rsidRPr="00B60243">
        <w:t>he competitiveness of domestically produced goods</w:t>
      </w:r>
      <w:r w:rsidR="00B00F2D" w:rsidRPr="00B60243">
        <w:t xml:space="preserve"> will be affected by a range of factors including </w:t>
      </w:r>
      <w:r w:rsidR="00082913" w:rsidRPr="00B60243">
        <w:t xml:space="preserve">input costs relative to those of </w:t>
      </w:r>
      <w:r w:rsidR="00164CE2">
        <w:t xml:space="preserve">foreign </w:t>
      </w:r>
      <w:r w:rsidR="00082913" w:rsidRPr="00B60243">
        <w:t xml:space="preserve">competitors and </w:t>
      </w:r>
      <w:r w:rsidR="00B00F2D" w:rsidRPr="00B60243">
        <w:t>the exchange rate</w:t>
      </w:r>
      <w:r w:rsidRPr="00B60243">
        <w:t xml:space="preserve">. Imports and exports may also change as a result of </w:t>
      </w:r>
      <w:r w:rsidR="00575BF1" w:rsidRPr="00B60243">
        <w:t>constraints</w:t>
      </w:r>
      <w:r w:rsidRPr="00B60243">
        <w:t xml:space="preserve"> on domestic production. For example, imports may increase to </w:t>
      </w:r>
      <w:r w:rsidR="004A5147" w:rsidRPr="00B60243">
        <w:t>meet</w:t>
      </w:r>
      <w:r w:rsidRPr="00B60243">
        <w:t xml:space="preserve"> domestic demand </w:t>
      </w:r>
      <w:r w:rsidR="00E576A4">
        <w:t>when</w:t>
      </w:r>
      <w:r w:rsidRPr="00B60243">
        <w:t xml:space="preserve"> domestic production is constrained because of reduced input availability during drought</w:t>
      </w:r>
      <w:r w:rsidR="000621A2">
        <w:t>;</w:t>
      </w:r>
      <w:r w:rsidRPr="00B60243">
        <w:t xml:space="preserve"> or whe</w:t>
      </w:r>
      <w:r w:rsidR="000621A2">
        <w:t>n</w:t>
      </w:r>
      <w:r w:rsidRPr="00B60243">
        <w:t xml:space="preserve"> current domestic capacity is insufficient to meet a steep</w:t>
      </w:r>
      <w:r w:rsidR="004A5147" w:rsidRPr="00B60243">
        <w:t>,</w:t>
      </w:r>
      <w:r w:rsidRPr="00B60243">
        <w:t xml:space="preserve"> </w:t>
      </w:r>
      <w:r w:rsidR="004A5147" w:rsidRPr="00B60243">
        <w:t xml:space="preserve">unanticipated </w:t>
      </w:r>
      <w:r w:rsidRPr="00B60243">
        <w:t xml:space="preserve">rise in demand. </w:t>
      </w:r>
      <w:r w:rsidR="004A5147" w:rsidRPr="00B60243">
        <w:t>S</w:t>
      </w:r>
      <w:r w:rsidRPr="00B60243">
        <w:t xml:space="preserve">ome goods </w:t>
      </w:r>
      <w:r w:rsidR="004A5147" w:rsidRPr="00B60243">
        <w:t xml:space="preserve">are </w:t>
      </w:r>
      <w:r w:rsidRPr="00B60243">
        <w:t xml:space="preserve">not produced in Australia and so will not directly compete with domestic production. </w:t>
      </w:r>
    </w:p>
    <w:p w:rsidR="00596E2C" w:rsidRPr="00B60243" w:rsidRDefault="004D02CE" w:rsidP="00A70B6A">
      <w:pPr>
        <w:pStyle w:val="BodyText"/>
      </w:pPr>
      <w:r w:rsidRPr="00B60243">
        <w:rPr>
          <w:iCs/>
        </w:rPr>
        <w:t xml:space="preserve">The appreciation of the dollar makes exports relatively expensive on world markets and imports relatively cheap on the domestic market. </w:t>
      </w:r>
      <w:r w:rsidR="00576231" w:rsidRPr="00B60243">
        <w:rPr>
          <w:iCs/>
        </w:rPr>
        <w:t>Consumers benefit from r</w:t>
      </w:r>
      <w:r w:rsidR="00191352" w:rsidRPr="00B60243">
        <w:t>elatively cheap import</w:t>
      </w:r>
      <w:r w:rsidR="00576231" w:rsidRPr="00B60243">
        <w:t xml:space="preserve">ed </w:t>
      </w:r>
      <w:r w:rsidR="004A5147" w:rsidRPr="00B60243">
        <w:t>final</w:t>
      </w:r>
      <w:r w:rsidR="00576231" w:rsidRPr="00B60243">
        <w:t xml:space="preserve"> goods</w:t>
      </w:r>
      <w:r w:rsidR="00191352" w:rsidRPr="00B60243">
        <w:t xml:space="preserve">. </w:t>
      </w:r>
      <w:r w:rsidR="00A70B6A" w:rsidRPr="00B60243">
        <w:t>A stronger Australian dollar may</w:t>
      </w:r>
      <w:r w:rsidR="00AC6941" w:rsidRPr="00B60243">
        <w:t xml:space="preserve"> </w:t>
      </w:r>
      <w:r w:rsidR="00191352" w:rsidRPr="00B60243">
        <w:t xml:space="preserve">also </w:t>
      </w:r>
      <w:r w:rsidR="00AC6941" w:rsidRPr="00B60243">
        <w:t>provide benefit</w:t>
      </w:r>
      <w:r w:rsidR="00191352" w:rsidRPr="00B60243">
        <w:t>s</w:t>
      </w:r>
      <w:r w:rsidR="00AC6941" w:rsidRPr="00B60243">
        <w:t xml:space="preserve"> to some </w:t>
      </w:r>
      <w:proofErr w:type="spellStart"/>
      <w:r w:rsidR="00A70B6A" w:rsidRPr="00B60243">
        <w:rPr>
          <w:iCs/>
        </w:rPr>
        <w:t>FBT</w:t>
      </w:r>
      <w:proofErr w:type="spellEnd"/>
      <w:r w:rsidR="00A70B6A" w:rsidRPr="00B60243">
        <w:rPr>
          <w:iCs/>
        </w:rPr>
        <w:t xml:space="preserve"> manufacturers through relatively cheap imported inputs (raw materials</w:t>
      </w:r>
      <w:r w:rsidR="00575BF1" w:rsidRPr="00B60243">
        <w:rPr>
          <w:iCs/>
        </w:rPr>
        <w:t>, services</w:t>
      </w:r>
      <w:r w:rsidR="00A70B6A" w:rsidRPr="00B60243">
        <w:rPr>
          <w:iCs/>
        </w:rPr>
        <w:t xml:space="preserve"> and capital equipment). </w:t>
      </w:r>
      <w:r w:rsidR="00C73985">
        <w:rPr>
          <w:iCs/>
        </w:rPr>
        <w:t xml:space="preserve">The </w:t>
      </w:r>
      <w:r w:rsidR="00C73985">
        <w:t xml:space="preserve">Australian Food and Grocery Council </w:t>
      </w:r>
      <w:r w:rsidR="00A70B6A" w:rsidRPr="00B60243">
        <w:t>(</w:t>
      </w:r>
      <w:proofErr w:type="spellStart"/>
      <w:r w:rsidR="00A70B6A" w:rsidRPr="00B60243">
        <w:t>2011a</w:t>
      </w:r>
      <w:proofErr w:type="spellEnd"/>
      <w:r w:rsidR="00A70B6A" w:rsidRPr="00B60243">
        <w:t xml:space="preserve">) acknowledged that </w:t>
      </w:r>
      <w:r w:rsidR="00F55DC0" w:rsidRPr="00B60243">
        <w:t>a stronger</w:t>
      </w:r>
      <w:r w:rsidR="00A70B6A" w:rsidRPr="00B60243">
        <w:t xml:space="preserve"> dollar makes globally sourced commodities relatively cheap for Australian manufacturers. However, </w:t>
      </w:r>
      <w:r w:rsidR="00C73985">
        <w:t xml:space="preserve">the </w:t>
      </w:r>
      <w:r w:rsidR="00C73985" w:rsidRPr="00B60243">
        <w:rPr>
          <w:iCs/>
        </w:rPr>
        <w:t>Food Processing Industry Strategy Group</w:t>
      </w:r>
      <w:r w:rsidR="00A70B6A" w:rsidRPr="00B60243">
        <w:t xml:space="preserve"> (2012) suggested that for many food and </w:t>
      </w:r>
      <w:r w:rsidR="00A70B6A" w:rsidRPr="00B60243">
        <w:lastRenderedPageBreak/>
        <w:t xml:space="preserve">beverage processors, these cost savings from imports are likely to only partially offset the impact of the high exchange rate on demand. </w:t>
      </w:r>
    </w:p>
    <w:p w:rsidR="00596E2C" w:rsidRPr="00B60243" w:rsidRDefault="0092396A" w:rsidP="00A70B6A">
      <w:pPr>
        <w:pStyle w:val="BodyText"/>
        <w:rPr>
          <w:i/>
        </w:rPr>
      </w:pPr>
      <w:r w:rsidRPr="00B60243">
        <w:t xml:space="preserve">Import competition </w:t>
      </w:r>
      <w:r w:rsidR="004A5147" w:rsidRPr="00B60243">
        <w:t xml:space="preserve">can </w:t>
      </w:r>
      <w:r w:rsidRPr="00B60243">
        <w:t xml:space="preserve">provide incentives for firms to improve their efficiency and in the long run is likely to lead to improvements in </w:t>
      </w:r>
      <w:r w:rsidR="004A5147" w:rsidRPr="00B60243">
        <w:t xml:space="preserve">industry </w:t>
      </w:r>
      <w:r w:rsidRPr="00B60243">
        <w:t>productivity</w:t>
      </w:r>
      <w:r w:rsidR="00D4005D" w:rsidRPr="00B60243">
        <w:t>. M</w:t>
      </w:r>
      <w:r w:rsidRPr="00B60243">
        <w:t>ore generally</w:t>
      </w:r>
      <w:r w:rsidR="00D4005D" w:rsidRPr="00B60243">
        <w:t>,</w:t>
      </w:r>
      <w:r w:rsidRPr="00B60243">
        <w:t xml:space="preserve"> trade helps support higher living standards by ensuring that an economy plays to its comparative strengths (box </w:t>
      </w:r>
      <w:r w:rsidR="00A56662">
        <w:t>2.2</w:t>
      </w:r>
      <w:r w:rsidRPr="00B60243">
        <w:t>). However, in the short run</w:t>
      </w:r>
      <w:r w:rsidR="004A5147" w:rsidRPr="00B60243">
        <w:t>,</w:t>
      </w:r>
      <w:r w:rsidRPr="00B60243">
        <w:t xml:space="preserve"> the effect on </w:t>
      </w:r>
      <w:r w:rsidRPr="00B60243">
        <w:rPr>
          <w:i/>
        </w:rPr>
        <w:t xml:space="preserve">measured </w:t>
      </w:r>
      <w:r w:rsidRPr="00B60243">
        <w:t>productivity may be negative. For example, whe</w:t>
      </w:r>
      <w:r w:rsidR="004A5147" w:rsidRPr="00B60243">
        <w:t>n</w:t>
      </w:r>
      <w:r w:rsidRPr="00B60243">
        <w:t xml:space="preserve"> firms reduce output this can lead to underutilised capacity, which depresses </w:t>
      </w:r>
      <w:r w:rsidRPr="00B60243">
        <w:rPr>
          <w:i/>
        </w:rPr>
        <w:t xml:space="preserve">measured </w:t>
      </w:r>
      <w:r w:rsidRPr="00B60243">
        <w:t>productivity</w:t>
      </w:r>
      <w:r w:rsidRPr="00B60243">
        <w:rPr>
          <w:i/>
        </w:rPr>
        <w:t xml:space="preserve">. </w:t>
      </w:r>
    </w:p>
    <w:p w:rsidR="00A70B6A" w:rsidRPr="00B60243" w:rsidRDefault="00A70B6A" w:rsidP="00A70B6A">
      <w:pPr>
        <w:pStyle w:val="BodyText"/>
        <w:rPr>
          <w:iCs/>
        </w:rPr>
      </w:pPr>
      <w:r w:rsidRPr="00B60243">
        <w:rPr>
          <w:iCs/>
        </w:rPr>
        <w:t xml:space="preserve">While Australia remains a net exporter of </w:t>
      </w:r>
      <w:proofErr w:type="spellStart"/>
      <w:r w:rsidRPr="00B60243">
        <w:rPr>
          <w:iCs/>
        </w:rPr>
        <w:t>FBT</w:t>
      </w:r>
      <w:proofErr w:type="spellEnd"/>
      <w:r w:rsidRPr="00B60243">
        <w:rPr>
          <w:iCs/>
        </w:rPr>
        <w:t xml:space="preserve"> manufactures, </w:t>
      </w:r>
      <w:r w:rsidR="009B7506" w:rsidRPr="00B60243">
        <w:rPr>
          <w:iCs/>
        </w:rPr>
        <w:t>since the mid</w:t>
      </w:r>
      <w:r w:rsidR="00E36E7F">
        <w:rPr>
          <w:iCs/>
        </w:rPr>
        <w:noBreakHyphen/>
      </w:r>
      <w:proofErr w:type="spellStart"/>
      <w:r w:rsidR="009B7506" w:rsidRPr="00B60243">
        <w:rPr>
          <w:iCs/>
        </w:rPr>
        <w:t>2000s</w:t>
      </w:r>
      <w:proofErr w:type="spellEnd"/>
      <w:r w:rsidR="009B7506" w:rsidRPr="00B60243">
        <w:rPr>
          <w:iCs/>
        </w:rPr>
        <w:t xml:space="preserve"> </w:t>
      </w:r>
      <w:r w:rsidRPr="00B60243">
        <w:rPr>
          <w:iCs/>
        </w:rPr>
        <w:t>the</w:t>
      </w:r>
      <w:r w:rsidR="009B7506" w:rsidRPr="00B60243">
        <w:rPr>
          <w:iCs/>
        </w:rPr>
        <w:t xml:space="preserve">re has been a </w:t>
      </w:r>
      <w:r w:rsidR="00FA706B" w:rsidRPr="00B60243">
        <w:rPr>
          <w:iCs/>
        </w:rPr>
        <w:t xml:space="preserve">reasonably rapid </w:t>
      </w:r>
      <w:r w:rsidR="009B7506" w:rsidRPr="00B60243">
        <w:rPr>
          <w:iCs/>
        </w:rPr>
        <w:t>decline in the</w:t>
      </w:r>
      <w:r w:rsidRPr="00B60243">
        <w:rPr>
          <w:iCs/>
        </w:rPr>
        <w:t xml:space="preserve"> </w:t>
      </w:r>
      <w:r w:rsidR="009B7506" w:rsidRPr="00B60243">
        <w:rPr>
          <w:iCs/>
        </w:rPr>
        <w:t xml:space="preserve">extent to which </w:t>
      </w:r>
      <w:r w:rsidR="00245445" w:rsidRPr="00B60243">
        <w:rPr>
          <w:iCs/>
        </w:rPr>
        <w:t xml:space="preserve">exports </w:t>
      </w:r>
      <w:r w:rsidR="009B7506" w:rsidRPr="00B60243">
        <w:rPr>
          <w:iCs/>
        </w:rPr>
        <w:t>exceed imports</w:t>
      </w:r>
      <w:r w:rsidR="00245445" w:rsidRPr="00B60243">
        <w:rPr>
          <w:iCs/>
        </w:rPr>
        <w:t xml:space="preserve"> </w:t>
      </w:r>
      <w:r w:rsidRPr="00B60243">
        <w:rPr>
          <w:iCs/>
        </w:rPr>
        <w:t xml:space="preserve">as the Australian dollar has appreciated and remained high (figure </w:t>
      </w:r>
      <w:r w:rsidR="00B072C2" w:rsidRPr="00B60243">
        <w:t>5.5</w:t>
      </w:r>
      <w:r w:rsidRPr="00B60243">
        <w:rPr>
          <w:iCs/>
        </w:rPr>
        <w:t xml:space="preserve">). </w:t>
      </w:r>
    </w:p>
    <w:p w:rsidR="00577878" w:rsidRPr="000621A2" w:rsidRDefault="00577878" w:rsidP="000621A2">
      <w:pPr>
        <w:pStyle w:val="FigureTitle"/>
      </w:pPr>
      <w:r w:rsidRPr="000621A2">
        <w:rPr>
          <w:b w:val="0"/>
        </w:rPr>
        <w:t xml:space="preserve">Figure </w:t>
      </w:r>
      <w:bookmarkStart w:id="14" w:name="OLE_LINK10"/>
      <w:r w:rsidR="00B072C2" w:rsidRPr="000621A2">
        <w:rPr>
          <w:b w:val="0"/>
        </w:rPr>
        <w:t>5.</w:t>
      </w:r>
      <w:r w:rsidR="002E061A">
        <w:rPr>
          <w:b w:val="0"/>
          <w:noProof/>
        </w:rPr>
        <w:t>5</w:t>
      </w:r>
      <w:bookmarkEnd w:id="14"/>
      <w:r w:rsidRPr="000621A2">
        <w:tab/>
      </w:r>
      <w:proofErr w:type="spellStart"/>
      <w:r w:rsidRPr="000621A2">
        <w:t>FBT</w:t>
      </w:r>
      <w:proofErr w:type="spellEnd"/>
      <w:r w:rsidRPr="000621A2">
        <w:t xml:space="preserve"> </w:t>
      </w:r>
      <w:r w:rsidR="00CA2C71" w:rsidRPr="000621A2">
        <w:t>net exports</w:t>
      </w:r>
      <w:r w:rsidRPr="00DA44A1">
        <w:rPr>
          <w:rStyle w:val="NoteLabel"/>
          <w:b/>
        </w:rPr>
        <w:t>a</w:t>
      </w:r>
      <w:r w:rsidRPr="000621A2">
        <w:t xml:space="preserve"> and </w:t>
      </w:r>
      <w:r w:rsidR="001B3F77" w:rsidRPr="000621A2">
        <w:t xml:space="preserve">the </w:t>
      </w:r>
      <w:r w:rsidRPr="000621A2">
        <w:t>exchange rate</w:t>
      </w:r>
      <w:r w:rsidRPr="00271DC1">
        <w:rPr>
          <w:rStyle w:val="NoteLabel"/>
          <w:b/>
        </w:rPr>
        <w:t>b</w:t>
      </w:r>
    </w:p>
    <w:p w:rsidR="00577878" w:rsidRPr="00B60243" w:rsidRDefault="00577878" w:rsidP="00577878">
      <w:pPr>
        <w:pStyle w:val="Subtitle"/>
      </w:pPr>
      <w:r w:rsidRPr="00B60243">
        <w:t>200</w:t>
      </w:r>
      <w:r w:rsidR="004F2B73" w:rsidRPr="00B60243">
        <w:t>9</w:t>
      </w:r>
      <w:r w:rsidR="00E36E7F">
        <w:noBreakHyphen/>
      </w:r>
      <w:r w:rsidR="004F2B73" w:rsidRPr="00B60243">
        <w:t>10</w:t>
      </w:r>
      <w:r w:rsidRPr="00B60243">
        <w:t xml:space="preserve"> </w:t>
      </w:r>
      <w:r w:rsidR="00E00B08" w:rsidRPr="00B60243">
        <w:t>$m</w:t>
      </w:r>
      <w:r w:rsidR="008E2492" w:rsidRPr="00B60243">
        <w:t xml:space="preserve"> (LHS)</w:t>
      </w:r>
      <w:r w:rsidRPr="00B60243">
        <w:t>; Index 2009</w:t>
      </w:r>
      <w:r w:rsidR="00E36E7F">
        <w:noBreakHyphen/>
      </w:r>
      <w:r w:rsidRPr="00B60243">
        <w:t>10 = 100</w:t>
      </w:r>
      <w:r w:rsidR="008E2492" w:rsidRPr="00B60243">
        <w:t xml:space="preserve">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77878" w:rsidRPr="00B60243" w:rsidTr="00994F5D">
        <w:tc>
          <w:tcPr>
            <w:tcW w:w="8777" w:type="dxa"/>
          </w:tcPr>
          <w:p w:rsidR="00577878" w:rsidRPr="00B60243" w:rsidRDefault="00E406E7" w:rsidP="00994F5D">
            <w:pPr>
              <w:pStyle w:val="Figure"/>
              <w:spacing w:before="0" w:after="0"/>
            </w:pPr>
            <w:r>
              <w:pict>
                <v:shape id="_x0000_i1030" type="#_x0000_t75" alt="This figures shows that while Australia remains a net exporter of FBT manufactures between 1988-89 to 2010-11, since the mid-2000s there has been a reasonably rapid decline in the extent to which exports exceed imports at the same time the Australian dollar, measured through the trade weighted index, has appreciated and remained high." style="width:424.45pt;height:198.4pt">
                  <v:imagedata r:id="rId15" o:title=""/>
                </v:shape>
              </w:pict>
            </w:r>
          </w:p>
        </w:tc>
      </w:tr>
    </w:tbl>
    <w:p w:rsidR="00577878" w:rsidRPr="00B60243" w:rsidRDefault="00577878" w:rsidP="00577878">
      <w:pPr>
        <w:pStyle w:val="Note"/>
        <w:spacing w:before="40"/>
      </w:pPr>
      <w:r w:rsidRPr="00B60243">
        <w:rPr>
          <w:rStyle w:val="NoteLabel"/>
        </w:rPr>
        <w:t>a</w:t>
      </w:r>
      <w:r w:rsidRPr="00B60243">
        <w:rPr>
          <w:iCs/>
        </w:rPr>
        <w:t xml:space="preserve"> </w:t>
      </w:r>
      <w:r w:rsidR="00497E09">
        <w:rPr>
          <w:iCs/>
        </w:rPr>
        <w:t xml:space="preserve">Net exports is </w:t>
      </w:r>
      <w:r w:rsidR="006E4B8C" w:rsidRPr="00B60243">
        <w:rPr>
          <w:iCs/>
        </w:rPr>
        <w:t xml:space="preserve">real exports less real imports. </w:t>
      </w:r>
      <w:r w:rsidRPr="00B60243">
        <w:t xml:space="preserve">Due to </w:t>
      </w:r>
      <w:proofErr w:type="spellStart"/>
      <w:r w:rsidRPr="00B60243">
        <w:t>ANZSIC</w:t>
      </w:r>
      <w:proofErr w:type="spellEnd"/>
      <w:r w:rsidRPr="00B60243">
        <w:t xml:space="preserve"> classification changes, there is a break in series </w:t>
      </w:r>
      <w:r w:rsidR="00A66B61">
        <w:t>between 2005</w:t>
      </w:r>
      <w:r w:rsidR="00E36E7F">
        <w:noBreakHyphen/>
      </w:r>
      <w:r w:rsidR="00A66B61">
        <w:t>06 and</w:t>
      </w:r>
      <w:r w:rsidRPr="00B60243">
        <w:t xml:space="preserve"> 2006</w:t>
      </w:r>
      <w:r w:rsidR="00E36E7F">
        <w:noBreakHyphen/>
      </w:r>
      <w:r w:rsidRPr="00B60243">
        <w:t xml:space="preserve">07. </w:t>
      </w:r>
      <w:r w:rsidRPr="00B60243">
        <w:rPr>
          <w:rStyle w:val="NoteLabel"/>
        </w:rPr>
        <w:t>b</w:t>
      </w:r>
      <w:r w:rsidRPr="00B60243">
        <w:t xml:space="preserve"> The trade weighted index is the m</w:t>
      </w:r>
      <w:r w:rsidRPr="00B60243">
        <w:rPr>
          <w:iCs/>
        </w:rPr>
        <w:t>ultilateral exchange rate $A against trade</w:t>
      </w:r>
      <w:r w:rsidR="00E36E7F">
        <w:rPr>
          <w:iCs/>
        </w:rPr>
        <w:noBreakHyphen/>
      </w:r>
      <w:r w:rsidRPr="00B60243">
        <w:rPr>
          <w:iCs/>
        </w:rPr>
        <w:t>weighted average of trading partner currencies.</w:t>
      </w:r>
    </w:p>
    <w:p w:rsidR="00577878" w:rsidRPr="00B60243" w:rsidRDefault="00577878" w:rsidP="00577878">
      <w:pPr>
        <w:pStyle w:val="Source"/>
        <w:spacing w:after="0"/>
      </w:pPr>
      <w:r w:rsidRPr="00B60243">
        <w:rPr>
          <w:i/>
        </w:rPr>
        <w:t>Data source</w:t>
      </w:r>
      <w:r w:rsidR="006206F2" w:rsidRPr="00B60243">
        <w:rPr>
          <w:i/>
        </w:rPr>
        <w:t>s</w:t>
      </w:r>
      <w:r w:rsidRPr="00B60243">
        <w:t xml:space="preserve">: </w:t>
      </w:r>
      <w:r w:rsidR="0031777D">
        <w:t>A</w:t>
      </w:r>
      <w:r w:rsidRPr="00B60243">
        <w:t>uthors’ estimates based on ABS (</w:t>
      </w:r>
      <w:r w:rsidRPr="00B60243">
        <w:rPr>
          <w:i/>
        </w:rPr>
        <w:t xml:space="preserve">International Trade in Goods and Services, Australia, </w:t>
      </w:r>
      <w:r w:rsidR="00300840" w:rsidRPr="00B60243">
        <w:t>various issues</w:t>
      </w:r>
      <w:r w:rsidRPr="00B60243">
        <w:t>, Cat. no. 5368.0)</w:t>
      </w:r>
      <w:r w:rsidR="003F78C4" w:rsidRPr="00B60243">
        <w:t>;</w:t>
      </w:r>
      <w:r w:rsidR="00526E3D" w:rsidRPr="00B60243">
        <w:t xml:space="preserve"> and</w:t>
      </w:r>
      <w:r w:rsidRPr="00B60243">
        <w:t xml:space="preserve"> ABS (</w:t>
      </w:r>
      <w:r w:rsidRPr="00B60243">
        <w:rPr>
          <w:i/>
        </w:rPr>
        <w:t>International Trade Price Indexes,</w:t>
      </w:r>
      <w:r w:rsidRPr="00B60243">
        <w:t xml:space="preserve"> </w:t>
      </w:r>
      <w:r w:rsidR="00300840" w:rsidRPr="00B60243">
        <w:t>various issues</w:t>
      </w:r>
      <w:r w:rsidR="00A96AEC" w:rsidRPr="00B60243">
        <w:rPr>
          <w:i/>
        </w:rPr>
        <w:t>,</w:t>
      </w:r>
      <w:r w:rsidR="00A96AEC" w:rsidRPr="00B60243">
        <w:t xml:space="preserve"> </w:t>
      </w:r>
      <w:r w:rsidRPr="00B60243">
        <w:t>Cat. no.</w:t>
      </w:r>
      <w:r w:rsidR="003F78C4" w:rsidRPr="00B60243">
        <w:t> </w:t>
      </w:r>
      <w:r w:rsidRPr="00B60243">
        <w:t>6457.0).</w:t>
      </w:r>
    </w:p>
    <w:p w:rsidR="00894827" w:rsidRPr="00B60243" w:rsidRDefault="005B0DF8" w:rsidP="00894827">
      <w:pPr>
        <w:pStyle w:val="BodyText"/>
        <w:widowControl w:val="0"/>
        <w:rPr>
          <w:iCs/>
        </w:rPr>
      </w:pPr>
      <w:r w:rsidRPr="00B60243">
        <w:rPr>
          <w:iCs/>
        </w:rPr>
        <w:t xml:space="preserve">This deterioration in the net trade position was due </w:t>
      </w:r>
      <w:r w:rsidR="00894827" w:rsidRPr="00B60243">
        <w:rPr>
          <w:iCs/>
        </w:rPr>
        <w:t xml:space="preserve">both </w:t>
      </w:r>
      <w:r w:rsidRPr="00B60243">
        <w:rPr>
          <w:iCs/>
        </w:rPr>
        <w:t xml:space="preserve">to </w:t>
      </w:r>
      <w:r w:rsidR="00894827" w:rsidRPr="00B60243">
        <w:rPr>
          <w:iCs/>
        </w:rPr>
        <w:t>a strong increase in import volumes</w:t>
      </w:r>
      <w:r w:rsidR="00894827" w:rsidRPr="00B60243" w:rsidDel="009B7506">
        <w:rPr>
          <w:iCs/>
        </w:rPr>
        <w:t xml:space="preserve"> </w:t>
      </w:r>
      <w:r w:rsidR="00894827" w:rsidRPr="00B60243">
        <w:rPr>
          <w:iCs/>
        </w:rPr>
        <w:t xml:space="preserve">and some decrease in export volumes. And in value terms, the share of domestic </w:t>
      </w:r>
      <w:proofErr w:type="spellStart"/>
      <w:r w:rsidR="00894827" w:rsidRPr="00B60243">
        <w:rPr>
          <w:iCs/>
        </w:rPr>
        <w:t>FBT</w:t>
      </w:r>
      <w:proofErr w:type="spellEnd"/>
      <w:r w:rsidR="00894827" w:rsidRPr="00B60243">
        <w:rPr>
          <w:iCs/>
        </w:rPr>
        <w:t xml:space="preserve"> production exported declined </w:t>
      </w:r>
      <w:r w:rsidR="00AD5857" w:rsidRPr="00B60243">
        <w:rPr>
          <w:iCs/>
        </w:rPr>
        <w:t xml:space="preserve">while </w:t>
      </w:r>
      <w:r w:rsidR="00894827" w:rsidRPr="00B60243">
        <w:rPr>
          <w:iCs/>
        </w:rPr>
        <w:t xml:space="preserve">imports as a share of domestic </w:t>
      </w:r>
      <w:proofErr w:type="spellStart"/>
      <w:r w:rsidR="00894827" w:rsidRPr="00B60243">
        <w:rPr>
          <w:iCs/>
        </w:rPr>
        <w:t>FBT</w:t>
      </w:r>
      <w:proofErr w:type="spellEnd"/>
      <w:r w:rsidR="00894827" w:rsidRPr="00B60243">
        <w:rPr>
          <w:iCs/>
        </w:rPr>
        <w:t xml:space="preserve"> sales increased (box </w:t>
      </w:r>
      <w:r w:rsidR="00B072C2" w:rsidRPr="00B60243">
        <w:t>5.4</w:t>
      </w:r>
      <w:r w:rsidR="00894827" w:rsidRPr="00B60243">
        <w:rPr>
          <w:iCs/>
        </w:rPr>
        <w:t xml:space="preserve">). The extent to which different parts of </w:t>
      </w:r>
      <w:proofErr w:type="spellStart"/>
      <w:r w:rsidR="00894827" w:rsidRPr="00B60243">
        <w:rPr>
          <w:iCs/>
        </w:rPr>
        <w:t>FBT</w:t>
      </w:r>
      <w:proofErr w:type="spellEnd"/>
      <w:r w:rsidR="00894827" w:rsidRPr="00B60243">
        <w:rPr>
          <w:iCs/>
        </w:rPr>
        <w:t xml:space="preserve"> manufacturing </w:t>
      </w:r>
      <w:r w:rsidRPr="00B60243">
        <w:rPr>
          <w:iCs/>
        </w:rPr>
        <w:t xml:space="preserve">are </w:t>
      </w:r>
      <w:r w:rsidR="00894827" w:rsidRPr="00B60243">
        <w:rPr>
          <w:iCs/>
        </w:rPr>
        <w:t xml:space="preserve">affected </w:t>
      </w:r>
      <w:r w:rsidRPr="00B60243">
        <w:rPr>
          <w:iCs/>
        </w:rPr>
        <w:t xml:space="preserve">by these trends </w:t>
      </w:r>
      <w:r w:rsidR="007E1C64" w:rsidRPr="00B60243">
        <w:rPr>
          <w:iCs/>
        </w:rPr>
        <w:t>varies</w:t>
      </w:r>
      <w:r w:rsidR="00894827" w:rsidRPr="00B60243">
        <w:rPr>
          <w:iCs/>
        </w:rPr>
        <w:t xml:space="preserve">, </w:t>
      </w:r>
      <w:r w:rsidR="00164CE2">
        <w:rPr>
          <w:iCs/>
        </w:rPr>
        <w:t>which affects</w:t>
      </w:r>
      <w:r w:rsidR="00894827" w:rsidRPr="00B60243">
        <w:rPr>
          <w:iCs/>
        </w:rPr>
        <w:t xml:space="preserve"> the </w:t>
      </w:r>
      <w:r w:rsidR="00894827" w:rsidRPr="00B60243">
        <w:t xml:space="preserve">composition of domestic output. </w:t>
      </w:r>
    </w:p>
    <w:p w:rsidR="0075222F" w:rsidRPr="00B60243" w:rsidRDefault="0075222F" w:rsidP="0075222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304"/>
        <w:gridCol w:w="8179"/>
        <w:gridCol w:w="308"/>
      </w:tblGrid>
      <w:tr w:rsidR="0075222F" w:rsidRPr="009D3338" w:rsidTr="00975B6F">
        <w:tc>
          <w:tcPr>
            <w:tcW w:w="8791" w:type="dxa"/>
            <w:gridSpan w:val="3"/>
            <w:tcBorders>
              <w:top w:val="single" w:sz="6" w:space="0" w:color="auto"/>
              <w:bottom w:val="nil"/>
            </w:tcBorders>
          </w:tcPr>
          <w:p w:rsidR="0075222F" w:rsidRPr="00523C8A" w:rsidRDefault="0075222F" w:rsidP="0013612A">
            <w:pPr>
              <w:pStyle w:val="BoxTitle"/>
              <w:rPr>
                <w:sz w:val="24"/>
              </w:rPr>
            </w:pPr>
            <w:r w:rsidRPr="00523C8A">
              <w:rPr>
                <w:b w:val="0"/>
                <w:sz w:val="24"/>
              </w:rPr>
              <w:t xml:space="preserve">Box </w:t>
            </w:r>
            <w:bookmarkStart w:id="15" w:name="OLE_LINK53"/>
            <w:r w:rsidR="00B072C2" w:rsidRPr="00523C8A">
              <w:rPr>
                <w:b w:val="0"/>
                <w:sz w:val="24"/>
              </w:rPr>
              <w:t>5.</w:t>
            </w:r>
            <w:r w:rsidR="002E061A">
              <w:rPr>
                <w:b w:val="0"/>
                <w:noProof/>
                <w:sz w:val="24"/>
              </w:rPr>
              <w:t>4</w:t>
            </w:r>
            <w:bookmarkEnd w:id="15"/>
            <w:r w:rsidRPr="00523C8A">
              <w:rPr>
                <w:sz w:val="24"/>
              </w:rPr>
              <w:tab/>
              <w:t xml:space="preserve">Export propensity and import penetration in </w:t>
            </w:r>
            <w:proofErr w:type="spellStart"/>
            <w:r w:rsidRPr="00523C8A">
              <w:rPr>
                <w:sz w:val="24"/>
              </w:rPr>
              <w:t>FBT</w:t>
            </w:r>
            <w:proofErr w:type="spellEnd"/>
          </w:p>
        </w:tc>
      </w:tr>
      <w:tr w:rsidR="0075222F" w:rsidRPr="00B60243" w:rsidTr="00975B6F">
        <w:trPr>
          <w:cantSplit/>
        </w:trPr>
        <w:tc>
          <w:tcPr>
            <w:tcW w:w="8791" w:type="dxa"/>
            <w:gridSpan w:val="3"/>
            <w:tcBorders>
              <w:top w:val="nil"/>
              <w:left w:val="single" w:sz="4" w:space="0" w:color="auto"/>
              <w:bottom w:val="nil"/>
              <w:right w:val="single" w:sz="4" w:space="0" w:color="auto"/>
            </w:tcBorders>
          </w:tcPr>
          <w:p w:rsidR="00C05635" w:rsidRPr="00B60243" w:rsidRDefault="00BD1DBB" w:rsidP="0013612A">
            <w:pPr>
              <w:pStyle w:val="Box"/>
            </w:pPr>
            <w:proofErr w:type="spellStart"/>
            <w:r w:rsidRPr="00B60243">
              <w:t>FBT</w:t>
            </w:r>
            <w:proofErr w:type="spellEnd"/>
            <w:r w:rsidRPr="00B60243">
              <w:t xml:space="preserve"> manufacturing in aggregate is less trade</w:t>
            </w:r>
            <w:r w:rsidR="00311B62">
              <w:t xml:space="preserve"> </w:t>
            </w:r>
            <w:r w:rsidRPr="00B60243">
              <w:t xml:space="preserve">exposed than some other parts of Manufacturing (such as </w:t>
            </w:r>
            <w:r w:rsidR="00DA44A1">
              <w:t>Petroleum, coal, chemical and rubber products</w:t>
            </w:r>
            <w:r w:rsidRPr="00B60243">
              <w:t>)</w:t>
            </w:r>
            <w:r w:rsidR="00BF36DA" w:rsidRPr="00B60243">
              <w:t xml:space="preserve"> </w:t>
            </w:r>
            <w:r w:rsidRPr="00B60243">
              <w:t>— although this var</w:t>
            </w:r>
            <w:r w:rsidR="00575BF1" w:rsidRPr="00B60243">
              <w:t>ies</w:t>
            </w:r>
            <w:r w:rsidRPr="00B60243">
              <w:t xml:space="preserve"> across different parts of </w:t>
            </w:r>
            <w:proofErr w:type="spellStart"/>
            <w:r w:rsidRPr="00B60243">
              <w:t>FBT</w:t>
            </w:r>
            <w:proofErr w:type="spellEnd"/>
            <w:r w:rsidRPr="00B60243">
              <w:t xml:space="preserve">. </w:t>
            </w:r>
          </w:p>
          <w:p w:rsidR="0075222F" w:rsidRPr="00B60243" w:rsidRDefault="00C05635" w:rsidP="0013612A">
            <w:pPr>
              <w:pStyle w:val="Box"/>
            </w:pPr>
            <w:r w:rsidRPr="00B60243">
              <w:t xml:space="preserve">Most of total domestic demand for </w:t>
            </w:r>
            <w:proofErr w:type="spellStart"/>
            <w:r w:rsidRPr="00B60243">
              <w:t>FBT</w:t>
            </w:r>
            <w:proofErr w:type="spellEnd"/>
            <w:r w:rsidRPr="00B60243">
              <w:t xml:space="preserve"> products is supplied from domestic production rather than imports, and most of </w:t>
            </w:r>
            <w:proofErr w:type="spellStart"/>
            <w:r w:rsidRPr="00B60243">
              <w:t>FBT</w:t>
            </w:r>
            <w:proofErr w:type="spellEnd"/>
            <w:r w:rsidRPr="00B60243">
              <w:t xml:space="preserve"> output is </w:t>
            </w:r>
            <w:r w:rsidR="00575BF1" w:rsidRPr="00B60243">
              <w:t xml:space="preserve">destined </w:t>
            </w:r>
            <w:r w:rsidRPr="00B60243">
              <w:t>for the domestic market rather than export. For example, i</w:t>
            </w:r>
            <w:r w:rsidR="0075222F" w:rsidRPr="00B60243">
              <w:rPr>
                <w:iCs/>
              </w:rPr>
              <w:t>n 2010</w:t>
            </w:r>
            <w:r w:rsidR="00E36E7F">
              <w:rPr>
                <w:iCs/>
              </w:rPr>
              <w:noBreakHyphen/>
            </w:r>
            <w:r w:rsidR="0075222F" w:rsidRPr="00B60243">
              <w:rPr>
                <w:iCs/>
              </w:rPr>
              <w:t xml:space="preserve">11, export propensity </w:t>
            </w:r>
            <w:r w:rsidR="00BD1DBB" w:rsidRPr="00B60243">
              <w:rPr>
                <w:iCs/>
              </w:rPr>
              <w:t xml:space="preserve">for </w:t>
            </w:r>
            <w:proofErr w:type="spellStart"/>
            <w:r w:rsidR="00BD1DBB" w:rsidRPr="00B60243">
              <w:rPr>
                <w:iCs/>
              </w:rPr>
              <w:t>FBT</w:t>
            </w:r>
            <w:proofErr w:type="spellEnd"/>
            <w:r w:rsidR="00BD1DBB" w:rsidRPr="00B60243">
              <w:rPr>
                <w:iCs/>
              </w:rPr>
              <w:t xml:space="preserve"> in total </w:t>
            </w:r>
            <w:r w:rsidR="0075222F" w:rsidRPr="00B60243">
              <w:rPr>
                <w:iCs/>
              </w:rPr>
              <w:t>was around 19</w:t>
            </w:r>
            <w:r w:rsidR="006F64F8" w:rsidRPr="00B60243">
              <w:rPr>
                <w:iCs/>
              </w:rPr>
              <w:t> </w:t>
            </w:r>
            <w:r w:rsidR="0075222F" w:rsidRPr="00B60243">
              <w:rPr>
                <w:iCs/>
              </w:rPr>
              <w:t>per cent and import penetration was around 12 per cent</w:t>
            </w:r>
            <w:r w:rsidRPr="00B60243">
              <w:rPr>
                <w:iCs/>
              </w:rPr>
              <w:t xml:space="preserve">. But </w:t>
            </w:r>
            <w:r w:rsidRPr="00B60243">
              <w:t>i</w:t>
            </w:r>
            <w:r w:rsidR="0075222F" w:rsidRPr="00B60243">
              <w:t xml:space="preserve">mport penetration has increased and export propensity has decreased, particularly over cycle 4 (see figure). </w:t>
            </w:r>
          </w:p>
          <w:p w:rsidR="0075222F" w:rsidRPr="00B60243" w:rsidRDefault="0075222F" w:rsidP="0013612A">
            <w:pPr>
              <w:pStyle w:val="Box"/>
            </w:pPr>
            <w:r w:rsidRPr="00B60243">
              <w:t xml:space="preserve">It should be noted that these measures are in value, </w:t>
            </w:r>
            <w:r w:rsidR="00894827" w:rsidRPr="00B60243">
              <w:t>not</w:t>
            </w:r>
            <w:r w:rsidRPr="00B60243">
              <w:t xml:space="preserve"> volume, terms</w:t>
            </w:r>
            <w:r w:rsidR="008C79E3" w:rsidRPr="00B60243">
              <w:t xml:space="preserve"> thus also reflect price movements</w:t>
            </w:r>
            <w:r w:rsidRPr="00B60243">
              <w:t xml:space="preserve">. And the mix of goods produced domestically could vary significantly from the mix of goods that are imported or exported. Not all </w:t>
            </w:r>
            <w:proofErr w:type="spellStart"/>
            <w:r w:rsidRPr="00B60243">
              <w:t>FBT</w:t>
            </w:r>
            <w:proofErr w:type="spellEnd"/>
            <w:r w:rsidRPr="00B60243">
              <w:t xml:space="preserve"> imports </w:t>
            </w:r>
            <w:r w:rsidR="00575BF1" w:rsidRPr="00B60243">
              <w:t xml:space="preserve">compete </w:t>
            </w:r>
            <w:r w:rsidRPr="00B60243">
              <w:t>directly with domestic production</w:t>
            </w:r>
            <w:r w:rsidR="009B1FBB" w:rsidRPr="00B60243">
              <w:t xml:space="preserve"> (for example, some may be products not produced in Australia)</w:t>
            </w:r>
            <w:r w:rsidR="00BB0C7A" w:rsidRPr="00B60243">
              <w:t>.</w:t>
            </w:r>
            <w:r w:rsidRPr="00B60243">
              <w:t xml:space="preserve"> </w:t>
            </w:r>
            <w:r w:rsidR="00BB0C7A" w:rsidRPr="00B60243">
              <w:t>S</w:t>
            </w:r>
            <w:r w:rsidRPr="00B60243">
              <w:t xml:space="preserve">ome may be inputs into other domestic </w:t>
            </w:r>
            <w:proofErr w:type="spellStart"/>
            <w:r w:rsidRPr="00B60243">
              <w:t>FBT</w:t>
            </w:r>
            <w:proofErr w:type="spellEnd"/>
            <w:r w:rsidRPr="00B60243">
              <w:t xml:space="preserve"> production</w:t>
            </w:r>
            <w:r w:rsidR="00BB0C7A" w:rsidRPr="00B60243">
              <w:t>, although</w:t>
            </w:r>
            <w:r w:rsidR="007C44F9" w:rsidRPr="00B60243">
              <w:t xml:space="preserve"> ABS</w:t>
            </w:r>
            <w:r w:rsidR="00975B6F" w:rsidRPr="00B60243">
              <w:t> </w:t>
            </w:r>
            <w:r w:rsidR="007C44F9" w:rsidRPr="00B60243">
              <w:t>(</w:t>
            </w:r>
            <w:proofErr w:type="spellStart"/>
            <w:r w:rsidR="007C44F9" w:rsidRPr="00B60243">
              <w:t>2013</w:t>
            </w:r>
            <w:r w:rsidR="00580C7A">
              <w:t>a</w:t>
            </w:r>
            <w:proofErr w:type="spellEnd"/>
            <w:r w:rsidR="007C44F9" w:rsidRPr="00B60243">
              <w:t xml:space="preserve">) estimates of imports of food and beverages classified as ‘mainly for industry’ or ‘mainly for household consumption’ </w:t>
            </w:r>
            <w:r w:rsidR="00F03C36" w:rsidRPr="00B60243">
              <w:t>show</w:t>
            </w:r>
            <w:r w:rsidR="007C44F9" w:rsidRPr="00B60243">
              <w:t xml:space="preserve"> that most of the increase in imports has been in final consumption goods rather than intermediate inputs (appendix</w:t>
            </w:r>
            <w:r w:rsidR="00975B6F" w:rsidRPr="00B60243">
              <w:t> </w:t>
            </w:r>
            <w:r w:rsidR="008124B4" w:rsidRPr="00B60243">
              <w:t>G</w:t>
            </w:r>
            <w:r w:rsidR="007C44F9" w:rsidRPr="00B60243">
              <w:t xml:space="preserve">). </w:t>
            </w:r>
          </w:p>
          <w:p w:rsidR="0075222F" w:rsidRPr="00A0329E" w:rsidRDefault="0075222F" w:rsidP="004A440D">
            <w:pPr>
              <w:pStyle w:val="Box"/>
              <w:spacing w:before="240" w:after="120"/>
              <w:ind w:left="119"/>
              <w:rPr>
                <w:b/>
              </w:rPr>
            </w:pPr>
            <w:r w:rsidRPr="008F14B6">
              <w:rPr>
                <w:rStyle w:val="BodyTextChar"/>
                <w:b/>
                <w:sz w:val="22"/>
                <w:szCs w:val="22"/>
              </w:rPr>
              <w:t xml:space="preserve">Import penetration and export propensity in </w:t>
            </w:r>
            <w:proofErr w:type="spellStart"/>
            <w:r w:rsidRPr="008F14B6">
              <w:rPr>
                <w:rStyle w:val="BodyTextChar"/>
                <w:b/>
                <w:sz w:val="22"/>
                <w:szCs w:val="22"/>
              </w:rPr>
              <w:t>FBT</w:t>
            </w:r>
            <w:proofErr w:type="spellEnd"/>
            <w:r w:rsidRPr="00B60243">
              <w:rPr>
                <w:rStyle w:val="NoteLabel"/>
              </w:rPr>
              <w:t>a</w:t>
            </w:r>
          </w:p>
        </w:tc>
      </w:tr>
      <w:tr w:rsidR="00975B6F" w:rsidRPr="00B60243" w:rsidTr="00D11BE4">
        <w:trPr>
          <w:cantSplit/>
        </w:trPr>
        <w:tc>
          <w:tcPr>
            <w:tcW w:w="304" w:type="dxa"/>
            <w:tcBorders>
              <w:top w:val="nil"/>
              <w:left w:val="single" w:sz="4" w:space="0" w:color="auto"/>
              <w:bottom w:val="nil"/>
              <w:right w:val="nil"/>
            </w:tcBorders>
          </w:tcPr>
          <w:p w:rsidR="00975B6F" w:rsidRPr="00B60243" w:rsidRDefault="00975B6F" w:rsidP="00975B6F">
            <w:pPr>
              <w:pStyle w:val="Figure"/>
              <w:ind w:left="-22" w:firstLine="22"/>
              <w:rPr>
                <w:sz w:val="16"/>
                <w:szCs w:val="16"/>
              </w:rPr>
            </w:pPr>
          </w:p>
        </w:tc>
        <w:tc>
          <w:tcPr>
            <w:tcW w:w="8179" w:type="dxa"/>
            <w:tcBorders>
              <w:top w:val="single" w:sz="4" w:space="0" w:color="auto"/>
              <w:left w:val="nil"/>
              <w:bottom w:val="single" w:sz="4" w:space="0" w:color="auto"/>
              <w:right w:val="nil"/>
            </w:tcBorders>
          </w:tcPr>
          <w:p w:rsidR="00975B6F" w:rsidRPr="00B60243" w:rsidRDefault="00E406E7" w:rsidP="009E32FB">
            <w:pPr>
              <w:pStyle w:val="Figure"/>
              <w:spacing w:before="0" w:after="0"/>
              <w:ind w:left="-323" w:right="-284"/>
            </w:pPr>
            <w:r>
              <w:pict>
                <v:shape id="_x0000_i1031" type="#_x0000_t75" alt="The figure in box 5.4 shows import penetration and export propensity in FBT. Between 1999-00 to 2010-11, the share of domestic FBT production that is exported has declined, in value terms, while imports as a share of the domestic market for FBT goods as well as FBT production has increased." style="width:418.6pt;height:198.4pt">
                  <v:imagedata r:id="rId16" o:title=""/>
                </v:shape>
              </w:pict>
            </w:r>
          </w:p>
        </w:tc>
        <w:tc>
          <w:tcPr>
            <w:tcW w:w="28" w:type="dxa"/>
            <w:tcBorders>
              <w:top w:val="nil"/>
              <w:left w:val="nil"/>
              <w:bottom w:val="nil"/>
              <w:right w:val="single" w:sz="4" w:space="0" w:color="auto"/>
            </w:tcBorders>
          </w:tcPr>
          <w:p w:rsidR="00975B6F" w:rsidRPr="00B60243" w:rsidRDefault="00975B6F" w:rsidP="00975B6F">
            <w:pPr>
              <w:pStyle w:val="Figure"/>
              <w:ind w:left="-284" w:right="-284"/>
              <w:rPr>
                <w:sz w:val="16"/>
                <w:szCs w:val="16"/>
              </w:rPr>
            </w:pPr>
          </w:p>
        </w:tc>
      </w:tr>
      <w:tr w:rsidR="00D72396" w:rsidRPr="00B60243" w:rsidTr="00975B6F">
        <w:trPr>
          <w:cantSplit/>
        </w:trPr>
        <w:tc>
          <w:tcPr>
            <w:tcW w:w="8791" w:type="dxa"/>
            <w:gridSpan w:val="3"/>
            <w:tcBorders>
              <w:top w:val="nil"/>
              <w:left w:val="single" w:sz="4" w:space="0" w:color="auto"/>
              <w:bottom w:val="nil"/>
              <w:right w:val="single" w:sz="4" w:space="0" w:color="auto"/>
            </w:tcBorders>
          </w:tcPr>
          <w:p w:rsidR="00D72396" w:rsidRPr="00B60243" w:rsidRDefault="00D72396" w:rsidP="004E7EEE">
            <w:pPr>
              <w:pStyle w:val="Note"/>
              <w:ind w:left="120" w:right="166"/>
            </w:pPr>
            <w:r w:rsidRPr="00B60243">
              <w:rPr>
                <w:rStyle w:val="NoteLabel"/>
              </w:rPr>
              <w:t>a</w:t>
            </w:r>
            <w:r w:rsidRPr="00B60243">
              <w:t xml:space="preserve"> Import penetration is the value of imports as a share of the </w:t>
            </w:r>
            <w:r w:rsidR="00975B6F" w:rsidRPr="00B60243">
              <w:t xml:space="preserve">domestic market for </w:t>
            </w:r>
            <w:proofErr w:type="spellStart"/>
            <w:r w:rsidR="00975B6F" w:rsidRPr="00B60243">
              <w:t>FBT</w:t>
            </w:r>
            <w:proofErr w:type="spellEnd"/>
            <w:r w:rsidR="00975B6F" w:rsidRPr="00B60243">
              <w:t xml:space="preserve"> goods (</w:t>
            </w:r>
            <w:r w:rsidRPr="00B60243">
              <w:t xml:space="preserve">which in turn is total sales and service income of domestic </w:t>
            </w:r>
            <w:proofErr w:type="spellStart"/>
            <w:r w:rsidRPr="00B60243">
              <w:t>FBT</w:t>
            </w:r>
            <w:proofErr w:type="spellEnd"/>
            <w:r w:rsidRPr="00B60243">
              <w:t xml:space="preserve"> manufacturing, plus the value of imports, less the value of exports). Export propensity is the value of </w:t>
            </w:r>
            <w:proofErr w:type="spellStart"/>
            <w:r w:rsidRPr="00B60243">
              <w:t>FBT</w:t>
            </w:r>
            <w:proofErr w:type="spellEnd"/>
            <w:r w:rsidRPr="00B60243">
              <w:t xml:space="preserve"> exports as a share of </w:t>
            </w:r>
            <w:proofErr w:type="spellStart"/>
            <w:r w:rsidRPr="00B60243">
              <w:t>FBT</w:t>
            </w:r>
            <w:proofErr w:type="spellEnd"/>
            <w:r w:rsidRPr="00B60243">
              <w:t xml:space="preserve"> manufacturing sales and service income. 1999</w:t>
            </w:r>
            <w:r w:rsidR="00E36E7F">
              <w:noBreakHyphen/>
            </w:r>
            <w:r w:rsidRPr="00B60243">
              <w:t>00 is from PC (2003) and may not be directly comparable because of changes to the scope of the survey from which sales and service income is derived.</w:t>
            </w:r>
            <w:r w:rsidR="00975B6F" w:rsidRPr="00B60243">
              <w:t xml:space="preserve"> </w:t>
            </w:r>
          </w:p>
          <w:p w:rsidR="00D72396" w:rsidRPr="00B60243" w:rsidRDefault="00D72396" w:rsidP="00300840">
            <w:pPr>
              <w:pStyle w:val="Source"/>
              <w:ind w:left="120" w:right="166"/>
            </w:pPr>
            <w:r w:rsidRPr="00B60243">
              <w:rPr>
                <w:i/>
              </w:rPr>
              <w:t>Data sources</w:t>
            </w:r>
            <w:r w:rsidRPr="00B60243">
              <w:t xml:space="preserve">: </w:t>
            </w:r>
            <w:r w:rsidR="003F78C4" w:rsidRPr="00B60243">
              <w:t>PC (2003); a</w:t>
            </w:r>
            <w:r w:rsidRPr="00B60243">
              <w:t>uthors’ estimates based on ABS (</w:t>
            </w:r>
            <w:r w:rsidRPr="00B60243">
              <w:rPr>
                <w:i/>
              </w:rPr>
              <w:t xml:space="preserve">International Trade in Goods and Services, Australia, </w:t>
            </w:r>
            <w:r w:rsidR="00300840" w:rsidRPr="00B60243">
              <w:t>various issues</w:t>
            </w:r>
            <w:r w:rsidRPr="00B60243">
              <w:rPr>
                <w:i/>
              </w:rPr>
              <w:t xml:space="preserve">, </w:t>
            </w:r>
            <w:r w:rsidRPr="00B60243">
              <w:t>Cat. no. 5368.0)</w:t>
            </w:r>
            <w:r w:rsidR="003F78C4" w:rsidRPr="00B60243">
              <w:t>;</w:t>
            </w:r>
            <w:r w:rsidR="00526E3D" w:rsidRPr="00B60243">
              <w:t xml:space="preserve"> and</w:t>
            </w:r>
            <w:r w:rsidRPr="00B60243">
              <w:t xml:space="preserve"> ABS (</w:t>
            </w:r>
            <w:r w:rsidRPr="00B60243">
              <w:rPr>
                <w:i/>
              </w:rPr>
              <w:t>Australian Industry</w:t>
            </w:r>
            <w:r w:rsidRPr="00B60243">
              <w:t xml:space="preserve">, </w:t>
            </w:r>
            <w:r w:rsidR="004D1D4C" w:rsidRPr="00B60243">
              <w:t xml:space="preserve">various issues, </w:t>
            </w:r>
            <w:r w:rsidR="00A0329E">
              <w:t>Cat. </w:t>
            </w:r>
            <w:r w:rsidRPr="00B60243">
              <w:t>no</w:t>
            </w:r>
            <w:r w:rsidR="00526E3D" w:rsidRPr="00B60243">
              <w:t>.</w:t>
            </w:r>
            <w:r w:rsidR="003F78C4" w:rsidRPr="00B60243">
              <w:t> 8155.0)</w:t>
            </w:r>
            <w:r w:rsidRPr="00B60243">
              <w:t>.</w:t>
            </w:r>
          </w:p>
        </w:tc>
      </w:tr>
      <w:tr w:rsidR="0075222F" w:rsidRPr="00B60243" w:rsidTr="00975B6F">
        <w:trPr>
          <w:cantSplit/>
        </w:trPr>
        <w:tc>
          <w:tcPr>
            <w:tcW w:w="8791" w:type="dxa"/>
            <w:gridSpan w:val="3"/>
            <w:tcBorders>
              <w:top w:val="nil"/>
              <w:left w:val="single" w:sz="6" w:space="0" w:color="auto"/>
              <w:bottom w:val="single" w:sz="6" w:space="0" w:color="auto"/>
              <w:right w:val="single" w:sz="6" w:space="0" w:color="auto"/>
            </w:tcBorders>
          </w:tcPr>
          <w:p w:rsidR="0075222F" w:rsidRPr="00B60243" w:rsidRDefault="0075222F" w:rsidP="0013612A">
            <w:pPr>
              <w:pStyle w:val="Box"/>
              <w:spacing w:before="0" w:line="120" w:lineRule="exact"/>
            </w:pPr>
          </w:p>
        </w:tc>
      </w:tr>
      <w:tr w:rsidR="0075222F" w:rsidRPr="00B60243" w:rsidTr="00975B6F">
        <w:tc>
          <w:tcPr>
            <w:tcW w:w="8791" w:type="dxa"/>
            <w:gridSpan w:val="3"/>
            <w:tcBorders>
              <w:top w:val="nil"/>
              <w:left w:val="nil"/>
              <w:bottom w:val="nil"/>
              <w:right w:val="nil"/>
            </w:tcBorders>
          </w:tcPr>
          <w:p w:rsidR="0075222F" w:rsidRPr="00B60243" w:rsidRDefault="0075222F" w:rsidP="00EC49A0">
            <w:pPr>
              <w:pStyle w:val="BoxSpaceBelow"/>
              <w:spacing w:after="0"/>
            </w:pPr>
          </w:p>
        </w:tc>
      </w:tr>
    </w:tbl>
    <w:p w:rsidR="00577878" w:rsidRPr="00B60243" w:rsidRDefault="00577878" w:rsidP="00577878">
      <w:pPr>
        <w:pStyle w:val="Heading4"/>
      </w:pPr>
      <w:r w:rsidRPr="00B60243">
        <w:lastRenderedPageBreak/>
        <w:t>Possible implications for measured productivity</w:t>
      </w:r>
    </w:p>
    <w:p w:rsidR="00577878" w:rsidRPr="00B60243" w:rsidRDefault="00577878" w:rsidP="00577878">
      <w:pPr>
        <w:pStyle w:val="BodyText"/>
      </w:pPr>
      <w:r w:rsidRPr="00B60243">
        <w:t xml:space="preserve">In principle, there are two main ways in which the changes in demand </w:t>
      </w:r>
      <w:r w:rsidR="006F64F8" w:rsidRPr="00B60243">
        <w:t xml:space="preserve">(as a result of consumer preferences and the appreciation of the dollar) </w:t>
      </w:r>
      <w:r w:rsidRPr="00B60243">
        <w:t xml:space="preserve">might </w:t>
      </w:r>
      <w:r w:rsidR="0014502C" w:rsidRPr="00B60243">
        <w:t xml:space="preserve">reduce </w:t>
      </w:r>
      <w:r w:rsidRPr="00B60243">
        <w:t xml:space="preserve">measured MFP. </w:t>
      </w:r>
    </w:p>
    <w:p w:rsidR="00577878" w:rsidRPr="00B60243" w:rsidRDefault="00577878" w:rsidP="00577878">
      <w:pPr>
        <w:pStyle w:val="ListBullet"/>
      </w:pPr>
      <w:r w:rsidRPr="00B60243">
        <w:t xml:space="preserve">Changes in the composition of output can affect the measure of </w:t>
      </w:r>
      <w:r w:rsidRPr="00B60243">
        <w:rPr>
          <w:i/>
        </w:rPr>
        <w:t>aggregate</w:t>
      </w:r>
      <w:r w:rsidRPr="00B60243">
        <w:t xml:space="preserve"> </w:t>
      </w:r>
      <w:proofErr w:type="spellStart"/>
      <w:r w:rsidRPr="00B60243">
        <w:t>FBT</w:t>
      </w:r>
      <w:proofErr w:type="spellEnd"/>
      <w:r w:rsidRPr="00B60243">
        <w:t xml:space="preserve"> MFP to the extent that different types of </w:t>
      </w:r>
      <w:proofErr w:type="spellStart"/>
      <w:r w:rsidRPr="00B60243">
        <w:t>FBT</w:t>
      </w:r>
      <w:proofErr w:type="spellEnd"/>
      <w:r w:rsidRPr="00B60243">
        <w:t xml:space="preserve"> manufacturing have different </w:t>
      </w:r>
      <w:r w:rsidR="006E6731" w:rsidRPr="00B60243">
        <w:t xml:space="preserve">MFP </w:t>
      </w:r>
      <w:r w:rsidRPr="00B60243">
        <w:t xml:space="preserve">levels. If the shift is into </w:t>
      </w:r>
      <w:r w:rsidR="0000738B" w:rsidRPr="00B60243">
        <w:t>types of production with lower levels of productivity (</w:t>
      </w:r>
      <w:r w:rsidRPr="00B60243">
        <w:t xml:space="preserve">that </w:t>
      </w:r>
      <w:r w:rsidR="0000738B" w:rsidRPr="00B60243">
        <w:t xml:space="preserve">is, </w:t>
      </w:r>
      <w:r w:rsidRPr="00B60243">
        <w:t>more input intensive per unit of output</w:t>
      </w:r>
      <w:r w:rsidR="0000738B" w:rsidRPr="00B60243">
        <w:t>)</w:t>
      </w:r>
      <w:r w:rsidRPr="00B60243">
        <w:t xml:space="preserve">, this can reduce aggregate productivity. </w:t>
      </w:r>
    </w:p>
    <w:p w:rsidR="00577878" w:rsidRPr="00B60243" w:rsidRDefault="0092396A" w:rsidP="00577878">
      <w:pPr>
        <w:pStyle w:val="ListBullet"/>
      </w:pPr>
      <w:r w:rsidRPr="00B60243">
        <w:t>As noted above, d</w:t>
      </w:r>
      <w:r w:rsidR="00577878" w:rsidRPr="00B60243">
        <w:t xml:space="preserve">uring the process of adjusting production levels, producers reducing output may underutilise inputs </w:t>
      </w:r>
      <w:r w:rsidR="00595074" w:rsidRPr="00B60243">
        <w:t>(</w:t>
      </w:r>
      <w:r w:rsidR="00246B61">
        <w:t>an</w:t>
      </w:r>
      <w:r w:rsidR="00164CE2">
        <w:t>d</w:t>
      </w:r>
      <w:r w:rsidR="00246B61">
        <w:t xml:space="preserve"> possibly</w:t>
      </w:r>
      <w:r w:rsidR="00595074" w:rsidRPr="00B60243">
        <w:t xml:space="preserve"> </w:t>
      </w:r>
      <w:r w:rsidR="00164CE2">
        <w:t xml:space="preserve">have to </w:t>
      </w:r>
      <w:r w:rsidR="00595074" w:rsidRPr="00B60243">
        <w:t xml:space="preserve">write off capital) </w:t>
      </w:r>
      <w:r w:rsidR="00144616">
        <w:t>but these inputs</w:t>
      </w:r>
      <w:r w:rsidR="00144616" w:rsidRPr="00B60243">
        <w:t xml:space="preserve"> </w:t>
      </w:r>
      <w:r w:rsidR="00577878" w:rsidRPr="00B60243">
        <w:t>remain ‘on the books’</w:t>
      </w:r>
      <w:r w:rsidR="004A5147" w:rsidRPr="00B60243">
        <w:t xml:space="preserve"> for productivity statistics</w:t>
      </w:r>
      <w:r w:rsidR="00164CE2">
        <w:t xml:space="preserve">. As other </w:t>
      </w:r>
      <w:r w:rsidR="00577878" w:rsidRPr="00B60243">
        <w:t xml:space="preserve">producers </w:t>
      </w:r>
      <w:r w:rsidR="00164CE2" w:rsidRPr="00B60243">
        <w:t>increas</w:t>
      </w:r>
      <w:r w:rsidR="00164CE2">
        <w:t>e</w:t>
      </w:r>
      <w:r w:rsidR="00164CE2" w:rsidRPr="00B60243">
        <w:t xml:space="preserve"> </w:t>
      </w:r>
      <w:r w:rsidR="00577878" w:rsidRPr="00B60243">
        <w:t xml:space="preserve">their output </w:t>
      </w:r>
      <w:r w:rsidR="00D00408">
        <w:t>they</w:t>
      </w:r>
      <w:r w:rsidR="00577878" w:rsidRPr="00B60243">
        <w:t xml:space="preserve"> employ additional inputs</w:t>
      </w:r>
      <w:r w:rsidR="00144616">
        <w:t>.</w:t>
      </w:r>
      <w:r w:rsidR="00D00408">
        <w:t xml:space="preserve"> </w:t>
      </w:r>
      <w:r w:rsidR="00144616">
        <w:t>Overall, this</w:t>
      </w:r>
      <w:r w:rsidR="00D00408">
        <w:t xml:space="preserve"> </w:t>
      </w:r>
      <w:r w:rsidR="00577878" w:rsidRPr="00B60243">
        <w:t xml:space="preserve">can result in input growth in excess of output growth, depressing </w:t>
      </w:r>
      <w:r w:rsidR="0000738B" w:rsidRPr="00B60243">
        <w:t xml:space="preserve">measured </w:t>
      </w:r>
      <w:r w:rsidR="00577878" w:rsidRPr="00B60243">
        <w:t xml:space="preserve">aggregate productivity. </w:t>
      </w:r>
    </w:p>
    <w:p w:rsidR="00577878" w:rsidRPr="00B60243" w:rsidRDefault="00577878" w:rsidP="00577878">
      <w:pPr>
        <w:pStyle w:val="BodyText"/>
        <w:outlineLvl w:val="0"/>
      </w:pPr>
      <w:r w:rsidRPr="00B60243">
        <w:t>The diversity of the output produced</w:t>
      </w:r>
      <w:r w:rsidR="00246B61">
        <w:t>,</w:t>
      </w:r>
      <w:r w:rsidRPr="00B60243">
        <w:t xml:space="preserve"> </w:t>
      </w:r>
      <w:r w:rsidR="00246B61">
        <w:t xml:space="preserve">and of the inputs employed, </w:t>
      </w:r>
      <w:r w:rsidRPr="00B60243">
        <w:t xml:space="preserve">by </w:t>
      </w:r>
      <w:proofErr w:type="spellStart"/>
      <w:r w:rsidRPr="00B60243">
        <w:t>FBT</w:t>
      </w:r>
      <w:proofErr w:type="spellEnd"/>
      <w:r w:rsidRPr="00B60243">
        <w:t xml:space="preserve"> manufacturers means that the nature and/or timing of </w:t>
      </w:r>
      <w:r w:rsidR="00246B61">
        <w:t>change in the composition and volume of output can</w:t>
      </w:r>
      <w:r w:rsidRPr="00B60243">
        <w:t xml:space="preserve"> var</w:t>
      </w:r>
      <w:r w:rsidR="006F64F8" w:rsidRPr="00B60243">
        <w:t>y</w:t>
      </w:r>
      <w:r w:rsidRPr="00B60243">
        <w:t xml:space="preserve">. </w:t>
      </w:r>
      <w:r w:rsidR="006F64F8" w:rsidRPr="00B60243">
        <w:t xml:space="preserve">The following sections </w:t>
      </w:r>
      <w:r w:rsidR="00B364D5" w:rsidRPr="00B60243">
        <w:t xml:space="preserve">use available data to </w:t>
      </w:r>
      <w:r w:rsidR="006F64F8" w:rsidRPr="00B60243">
        <w:t xml:space="preserve">examine </w:t>
      </w:r>
      <w:r w:rsidR="00B364D5" w:rsidRPr="00B60243">
        <w:t xml:space="preserve">the </w:t>
      </w:r>
      <w:r w:rsidRPr="00B60243">
        <w:t>changes in VA, labour</w:t>
      </w:r>
      <w:r w:rsidR="00D00408">
        <w:t>,</w:t>
      </w:r>
      <w:r w:rsidRPr="00B60243">
        <w:t xml:space="preserve"> and capital across the ra</w:t>
      </w:r>
      <w:r w:rsidR="006F64F8" w:rsidRPr="00B60243">
        <w:t xml:space="preserve">nge of </w:t>
      </w:r>
      <w:proofErr w:type="spellStart"/>
      <w:r w:rsidR="006F64F8" w:rsidRPr="00B60243">
        <w:t>FBT</w:t>
      </w:r>
      <w:proofErr w:type="spellEnd"/>
      <w:r w:rsidR="006F64F8" w:rsidRPr="00B60243">
        <w:t xml:space="preserve"> manufacturing groups</w:t>
      </w:r>
      <w:r w:rsidRPr="00B60243">
        <w:t xml:space="preserve">. </w:t>
      </w:r>
    </w:p>
    <w:p w:rsidR="0022394E" w:rsidRPr="00B60243" w:rsidRDefault="008631B6" w:rsidP="0022394E">
      <w:pPr>
        <w:pStyle w:val="Heading3"/>
      </w:pPr>
      <w:r w:rsidRPr="00B60243">
        <w:t>Slowdown in v</w:t>
      </w:r>
      <w:r w:rsidR="005F3E0A" w:rsidRPr="00B60243">
        <w:t>alue added</w:t>
      </w:r>
      <w:r w:rsidR="00AA6F9B" w:rsidRPr="00B60243">
        <w:t xml:space="preserve"> </w:t>
      </w:r>
      <w:r w:rsidRPr="00B60243">
        <w:t>growth and change in its composition</w:t>
      </w:r>
    </w:p>
    <w:p w:rsidR="00D66DEA" w:rsidRPr="00B60243" w:rsidRDefault="00802E5D" w:rsidP="009B7976">
      <w:pPr>
        <w:pStyle w:val="BodyText"/>
      </w:pPr>
      <w:r w:rsidRPr="00B60243">
        <w:t>R</w:t>
      </w:r>
      <w:r w:rsidR="00B736E0" w:rsidRPr="00B60243">
        <w:t xml:space="preserve">eal </w:t>
      </w:r>
      <w:r w:rsidR="009B7976" w:rsidRPr="00B60243">
        <w:t>VA</w:t>
      </w:r>
      <w:r w:rsidR="000B3454">
        <w:rPr>
          <w:rStyle w:val="FootnoteReference"/>
        </w:rPr>
        <w:footnoteReference w:id="3"/>
      </w:r>
      <w:r w:rsidR="009B7976" w:rsidRPr="00B60243">
        <w:t xml:space="preserve"> growth </w:t>
      </w:r>
      <w:r w:rsidRPr="00B60243">
        <w:t xml:space="preserve">for </w:t>
      </w:r>
      <w:proofErr w:type="spellStart"/>
      <w:r w:rsidRPr="00B60243">
        <w:t>FBT</w:t>
      </w:r>
      <w:proofErr w:type="spellEnd"/>
      <w:r w:rsidRPr="00B60243">
        <w:t xml:space="preserve"> in aggregate </w:t>
      </w:r>
      <w:r w:rsidR="009B7976" w:rsidRPr="00B60243">
        <w:t xml:space="preserve">was </w:t>
      </w:r>
      <w:r w:rsidR="004358DE" w:rsidRPr="00B60243">
        <w:t>almost nil</w:t>
      </w:r>
      <w:r w:rsidR="009B7976" w:rsidRPr="00B60243">
        <w:t xml:space="preserve"> over cycle 4 (0.2 per cent a year), compared with cycle 3 (1.2 per cent a year), based on ABS </w:t>
      </w:r>
      <w:r w:rsidR="00926FD4" w:rsidRPr="00B60243">
        <w:t>N</w:t>
      </w:r>
      <w:r w:rsidR="009B7976" w:rsidRPr="00B60243">
        <w:t xml:space="preserve">ational </w:t>
      </w:r>
      <w:r w:rsidR="00926FD4" w:rsidRPr="00B60243">
        <w:t>A</w:t>
      </w:r>
      <w:r w:rsidR="009B7976" w:rsidRPr="00B60243">
        <w:t>ccounts estimates</w:t>
      </w:r>
      <w:r w:rsidR="000F4724" w:rsidRPr="00B60243">
        <w:t xml:space="preserve"> </w:t>
      </w:r>
      <w:r w:rsidR="002D23A6" w:rsidRPr="00B60243">
        <w:t>(figure</w:t>
      </w:r>
      <w:r w:rsidR="000F4724" w:rsidRPr="00B60243">
        <w:t> </w:t>
      </w:r>
      <w:r w:rsidR="00B072C2" w:rsidRPr="00B60243">
        <w:t>5.6</w:t>
      </w:r>
      <w:r w:rsidR="00B61477" w:rsidRPr="00B60243">
        <w:t>, left panel</w:t>
      </w:r>
      <w:r w:rsidR="002D23A6" w:rsidRPr="00B60243">
        <w:t>)</w:t>
      </w:r>
      <w:r w:rsidR="00E226EF" w:rsidRPr="00B60243">
        <w:t>.</w:t>
      </w:r>
      <w:r w:rsidR="000F4724" w:rsidRPr="00B60243">
        <w:t xml:space="preserve"> </w:t>
      </w:r>
      <w:r w:rsidR="00D66DEA" w:rsidRPr="00B60243">
        <w:t xml:space="preserve">But this conceals differences within </w:t>
      </w:r>
      <w:proofErr w:type="spellStart"/>
      <w:r w:rsidR="00D66DEA" w:rsidRPr="00B60243">
        <w:t>FBT</w:t>
      </w:r>
      <w:proofErr w:type="spellEnd"/>
      <w:r w:rsidR="00D66DEA" w:rsidRPr="00B60243">
        <w:t xml:space="preserve">. </w:t>
      </w:r>
    </w:p>
    <w:p w:rsidR="008631B6" w:rsidRPr="00B60243" w:rsidRDefault="00246B61" w:rsidP="008631B6">
      <w:pPr>
        <w:pStyle w:val="BodyText"/>
      </w:pPr>
      <w:r>
        <w:t>I</w:t>
      </w:r>
      <w:r w:rsidR="008631B6" w:rsidRPr="00B60243">
        <w:t xml:space="preserve">t appears that change in the Beverages </w:t>
      </w:r>
      <w:r w:rsidR="001159D9" w:rsidRPr="00B60243">
        <w:t>and</w:t>
      </w:r>
      <w:r w:rsidR="008631B6" w:rsidRPr="00B60243">
        <w:t xml:space="preserve"> tobacco products (BT) subdivision was the main driver of </w:t>
      </w:r>
      <w:proofErr w:type="spellStart"/>
      <w:r w:rsidR="008631B6" w:rsidRPr="00B60243">
        <w:t>FBT’s</w:t>
      </w:r>
      <w:proofErr w:type="spellEnd"/>
      <w:r w:rsidR="008631B6" w:rsidRPr="00B60243">
        <w:t xml:space="preserve"> real VA growth in cycle 3 and its slowdown in cycle 4 (figure </w:t>
      </w:r>
      <w:r w:rsidR="00B072C2" w:rsidRPr="00B60243">
        <w:t>5.6</w:t>
      </w:r>
      <w:r w:rsidR="008631B6" w:rsidRPr="00B60243">
        <w:t xml:space="preserve">, right panel). BT’s real VA growth was </w:t>
      </w:r>
      <w:r w:rsidR="00692ECB" w:rsidRPr="00B60243">
        <w:t>6.2</w:t>
      </w:r>
      <w:r w:rsidR="008631B6" w:rsidRPr="00B60243">
        <w:t xml:space="preserve"> per cent a year over cycle 3, but fell to </w:t>
      </w:r>
      <w:r w:rsidR="00E36E7F">
        <w:noBreakHyphen/>
      </w:r>
      <w:r w:rsidR="008631B6" w:rsidRPr="00B60243">
        <w:t>2.</w:t>
      </w:r>
      <w:r w:rsidR="00692ECB" w:rsidRPr="00B60243">
        <w:t xml:space="preserve">0 </w:t>
      </w:r>
      <w:r w:rsidR="008631B6" w:rsidRPr="00B60243">
        <w:t xml:space="preserve">per cent a year over cycle 4. This pattern was reversed in Food — with </w:t>
      </w:r>
      <w:r w:rsidR="00C720AA" w:rsidRPr="00B60243">
        <w:t xml:space="preserve">little </w:t>
      </w:r>
      <w:r w:rsidR="008631B6" w:rsidRPr="00B60243">
        <w:t xml:space="preserve">growth </w:t>
      </w:r>
      <w:r w:rsidR="00C720AA" w:rsidRPr="00B60243">
        <w:t xml:space="preserve">(0.2 per cent a year) </w:t>
      </w:r>
      <w:r w:rsidR="008631B6" w:rsidRPr="00B60243">
        <w:t>over cycle 3, but growth of 1.</w:t>
      </w:r>
      <w:r w:rsidR="00C720AA" w:rsidRPr="00B60243">
        <w:t xml:space="preserve">9 </w:t>
      </w:r>
      <w:r w:rsidR="008631B6" w:rsidRPr="00B60243">
        <w:t xml:space="preserve">per cent a year over cycle 4. However, it should be noted that these subdivision estimates are </w:t>
      </w:r>
      <w:r w:rsidR="008631B6" w:rsidRPr="00B60243">
        <w:lastRenderedPageBreak/>
        <w:t xml:space="preserve">only indicative, since they are based on a different data source to the </w:t>
      </w:r>
      <w:r w:rsidR="00926FD4" w:rsidRPr="00B60243">
        <w:t>N</w:t>
      </w:r>
      <w:r w:rsidR="008631B6" w:rsidRPr="00B60243">
        <w:t xml:space="preserve">ational </w:t>
      </w:r>
      <w:r w:rsidR="00926FD4" w:rsidRPr="00B60243">
        <w:t>A</w:t>
      </w:r>
      <w:r w:rsidR="008631B6" w:rsidRPr="00B60243">
        <w:t xml:space="preserve">ccounts aggregate for </w:t>
      </w:r>
      <w:proofErr w:type="spellStart"/>
      <w:r w:rsidR="008631B6" w:rsidRPr="00B60243">
        <w:t>FBT</w:t>
      </w:r>
      <w:proofErr w:type="spellEnd"/>
      <w:r w:rsidR="008631B6" w:rsidRPr="00B60243">
        <w:t xml:space="preserve"> and are subject </w:t>
      </w:r>
      <w:r w:rsidR="001D5BF5" w:rsidRPr="00B60243">
        <w:t>to data limitations</w:t>
      </w:r>
      <w:r w:rsidR="008631B6" w:rsidRPr="00B60243">
        <w:t>.</w:t>
      </w:r>
      <w:r w:rsidR="008631B6" w:rsidRPr="00B60243">
        <w:rPr>
          <w:rStyle w:val="FootnoteReference"/>
        </w:rPr>
        <w:footnoteReference w:id="4"/>
      </w:r>
      <w:r w:rsidR="008631B6" w:rsidRPr="00B60243">
        <w:t xml:space="preserve"> </w:t>
      </w:r>
    </w:p>
    <w:p w:rsidR="00CA6601" w:rsidRPr="00B60243" w:rsidRDefault="00434947" w:rsidP="00CA6601">
      <w:pPr>
        <w:pStyle w:val="FigureTitle"/>
      </w:pPr>
      <w:r w:rsidRPr="00B60243">
        <w:rPr>
          <w:b w:val="0"/>
        </w:rPr>
        <w:t xml:space="preserve">Figure </w:t>
      </w:r>
      <w:bookmarkStart w:id="16" w:name="OLE_LINK17"/>
      <w:r w:rsidR="00B072C2" w:rsidRPr="00B60243">
        <w:rPr>
          <w:b w:val="0"/>
        </w:rPr>
        <w:t>5.</w:t>
      </w:r>
      <w:r w:rsidR="002E061A">
        <w:rPr>
          <w:b w:val="0"/>
          <w:noProof/>
        </w:rPr>
        <w:t>6</w:t>
      </w:r>
      <w:bookmarkEnd w:id="16"/>
      <w:r w:rsidRPr="00B60243">
        <w:tab/>
      </w:r>
      <w:proofErr w:type="spellStart"/>
      <w:r w:rsidR="001B3F77" w:rsidRPr="00B60243">
        <w:t>FBT</w:t>
      </w:r>
      <w:proofErr w:type="spellEnd"/>
      <w:r w:rsidR="001B3F77" w:rsidRPr="00B60243">
        <w:t xml:space="preserve"> real VA</w:t>
      </w:r>
      <w:r w:rsidR="00CA6601" w:rsidRPr="00B60243">
        <w:rPr>
          <w:rStyle w:val="NoteLabel"/>
          <w:b/>
        </w:rPr>
        <w:t>a</w:t>
      </w:r>
    </w:p>
    <w:p w:rsidR="00CA6601" w:rsidRPr="00B60243" w:rsidRDefault="00B61477" w:rsidP="00CA6601">
      <w:pPr>
        <w:pStyle w:val="Subtitle"/>
      </w:pPr>
      <w:r w:rsidRPr="00B60243">
        <w:t>2009</w:t>
      </w:r>
      <w:r w:rsidR="00E36E7F">
        <w:noBreakHyphen/>
      </w:r>
      <w:r w:rsidRPr="00B60243">
        <w:t>10 $</w:t>
      </w:r>
      <w:proofErr w:type="spellStart"/>
      <w:r w:rsidRPr="00B60243">
        <w:t>bn</w:t>
      </w:r>
      <w:proofErr w:type="spellEnd"/>
      <w:r w:rsidRPr="00B60243">
        <w:t xml:space="preserve"> and average annual growth rate</w:t>
      </w:r>
      <w:r w:rsidR="00120FD3" w:rsidRPr="00B60243">
        <w:t xml:space="preserve"> (</w:t>
      </w:r>
      <w:r w:rsidRPr="00B60243">
        <w:t>per cent</w:t>
      </w:r>
      <w:r w:rsidR="00120FD3" w:rsidRPr="00B60243">
        <w:t>)</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Pr>
      <w:tblGrid>
        <w:gridCol w:w="4388"/>
        <w:gridCol w:w="4389"/>
      </w:tblGrid>
      <w:tr w:rsidR="00CA6601" w:rsidRPr="00B60243" w:rsidTr="0018204B">
        <w:tc>
          <w:tcPr>
            <w:tcW w:w="4388" w:type="dxa"/>
            <w:tcBorders>
              <w:top w:val="single" w:sz="6" w:space="0" w:color="auto"/>
              <w:left w:val="nil"/>
              <w:bottom w:val="nil"/>
              <w:right w:val="nil"/>
            </w:tcBorders>
            <w:hideMark/>
          </w:tcPr>
          <w:p w:rsidR="00CA6601" w:rsidRPr="00B67ED2" w:rsidRDefault="00CA6601" w:rsidP="001B39E0">
            <w:pPr>
              <w:pStyle w:val="Figure"/>
              <w:spacing w:before="60" w:after="60"/>
              <w:rPr>
                <w:i/>
                <w:sz w:val="22"/>
                <w:szCs w:val="22"/>
              </w:rPr>
            </w:pPr>
            <w:r w:rsidRPr="00B67ED2">
              <w:rPr>
                <w:i/>
                <w:sz w:val="22"/>
                <w:szCs w:val="22"/>
              </w:rPr>
              <w:t>National accounts</w:t>
            </w:r>
            <w:r w:rsidR="007341D4" w:rsidRPr="00B60243">
              <w:rPr>
                <w:rStyle w:val="NoteLabel"/>
              </w:rPr>
              <w:t>b</w:t>
            </w:r>
          </w:p>
        </w:tc>
        <w:tc>
          <w:tcPr>
            <w:tcW w:w="4389" w:type="dxa"/>
            <w:tcBorders>
              <w:top w:val="single" w:sz="6" w:space="0" w:color="auto"/>
              <w:left w:val="nil"/>
              <w:bottom w:val="nil"/>
              <w:right w:val="nil"/>
            </w:tcBorders>
            <w:hideMark/>
          </w:tcPr>
          <w:p w:rsidR="00CA6601" w:rsidRPr="00B60243" w:rsidRDefault="00CA6601" w:rsidP="007341D4">
            <w:pPr>
              <w:pStyle w:val="Figure"/>
              <w:spacing w:before="60" w:after="60"/>
              <w:rPr>
                <w:i/>
              </w:rPr>
            </w:pPr>
            <w:r w:rsidRPr="00B67ED2">
              <w:rPr>
                <w:i/>
                <w:sz w:val="22"/>
                <w:szCs w:val="22"/>
              </w:rPr>
              <w:t>Based on Economic Activity Survey</w:t>
            </w:r>
            <w:r w:rsidR="007341D4">
              <w:rPr>
                <w:rStyle w:val="NoteLabel"/>
              </w:rPr>
              <w:t>c</w:t>
            </w:r>
          </w:p>
        </w:tc>
      </w:tr>
      <w:tr w:rsidR="00CA6601" w:rsidRPr="00B60243" w:rsidTr="0018204B">
        <w:tc>
          <w:tcPr>
            <w:tcW w:w="4388" w:type="dxa"/>
            <w:tcBorders>
              <w:top w:val="nil"/>
              <w:left w:val="nil"/>
              <w:bottom w:val="single" w:sz="6" w:space="0" w:color="auto"/>
              <w:right w:val="nil"/>
            </w:tcBorders>
            <w:hideMark/>
          </w:tcPr>
          <w:p w:rsidR="00CA6601" w:rsidRPr="00B60243" w:rsidRDefault="00E406E7" w:rsidP="00C129C5">
            <w:pPr>
              <w:pStyle w:val="Figure"/>
              <w:spacing w:before="0" w:after="0"/>
            </w:pPr>
            <w:r>
              <w:pict>
                <v:shape id="_x0000_i1032" type="#_x0000_t75" alt="This figure comprises of two charts. The first chart shows real VA growth for FBT in aggregate was almost nil over cycle 4 (0.2 per cent a year), compared with cycle 3 (1.2 per cent a year), based on ABS national accounts estimates. The second chart shows that the change in the Beverages &amp; tobacco products (BT) subdivision was the main driver of FBT’s real VA growth in cycle 3 and its slowdown in cycle 4 (based on ABS Economic Activity Survey data). " style="width:205.95pt;height:183.35pt">
                  <v:imagedata r:id="rId17" o:title=""/>
                </v:shape>
              </w:pict>
            </w:r>
          </w:p>
        </w:tc>
        <w:tc>
          <w:tcPr>
            <w:tcW w:w="4389" w:type="dxa"/>
            <w:tcBorders>
              <w:top w:val="nil"/>
              <w:left w:val="nil"/>
              <w:bottom w:val="single" w:sz="6" w:space="0" w:color="auto"/>
              <w:right w:val="nil"/>
            </w:tcBorders>
            <w:hideMark/>
          </w:tcPr>
          <w:p w:rsidR="00CA6601" w:rsidRPr="00B60243" w:rsidRDefault="00E406E7" w:rsidP="00C129C5">
            <w:pPr>
              <w:pStyle w:val="Figure"/>
              <w:spacing w:before="0" w:after="0"/>
            </w:pPr>
            <w:r>
              <w:pict>
                <v:shape id="_x0000_i1033" type="#_x0000_t75" alt="This figure comprises of two charts. The first chart shows real VA growth for FBT in aggregate was almost nil over cycle 4 (0.2 per cent a year), compared with cycle 3 (1.2 per cent a year), based on ABS national accounts estimates. The second chart shows that the change in the Beverages &amp; tobacco products (BT) subdivision was the main driver of FBT’s real VA growth in cycle 3 and its slowdown in cycle 4 (based on ABS Economic Activity Survey data). " style="width:205.95pt;height:183.35pt">
                  <v:imagedata r:id="rId18" o:title=""/>
                </v:shape>
              </w:pict>
            </w:r>
          </w:p>
        </w:tc>
      </w:tr>
    </w:tbl>
    <w:p w:rsidR="00CA6601" w:rsidRPr="00B60243" w:rsidRDefault="00CA6601" w:rsidP="00CA6601">
      <w:pPr>
        <w:pStyle w:val="Note"/>
      </w:pPr>
      <w:r w:rsidRPr="00B60243">
        <w:rPr>
          <w:rStyle w:val="NoteLabel"/>
        </w:rPr>
        <w:t>a</w:t>
      </w:r>
      <w:r w:rsidRPr="00B60243">
        <w:t xml:space="preserve"> The charts in left and right panel are from different data sources and there are some differences in trend. Disaggregated data are not available from the ABS National Accounts. See appendix </w:t>
      </w:r>
      <w:r w:rsidR="008124B4" w:rsidRPr="00B60243">
        <w:t>G</w:t>
      </w:r>
      <w:r w:rsidRPr="00B60243">
        <w:t xml:space="preserve"> for details. </w:t>
      </w:r>
      <w:r w:rsidR="007341D4" w:rsidRPr="00B60243">
        <w:rPr>
          <w:rStyle w:val="NoteLabel"/>
        </w:rPr>
        <w:t>b</w:t>
      </w:r>
      <w:r w:rsidR="007341D4">
        <w:rPr>
          <w:rStyle w:val="NoteLabel"/>
        </w:rPr>
        <w:t xml:space="preserve"> </w:t>
      </w:r>
      <w:r w:rsidR="007341D4">
        <w:t xml:space="preserve">Chain volume measure. </w:t>
      </w:r>
      <w:r w:rsidR="007341D4">
        <w:rPr>
          <w:rStyle w:val="NoteLabel"/>
        </w:rPr>
        <w:t>c</w:t>
      </w:r>
      <w:r w:rsidRPr="00B60243">
        <w:rPr>
          <w:rStyle w:val="NoteLabel"/>
        </w:rPr>
        <w:t xml:space="preserve"> </w:t>
      </w:r>
      <w:r w:rsidR="00E56AD4" w:rsidRPr="00B60243">
        <w:t>Nominal data a</w:t>
      </w:r>
      <w:r w:rsidR="00C53E25" w:rsidRPr="00B60243">
        <w:t>djusted for breaks in series in 2000</w:t>
      </w:r>
      <w:r w:rsidR="00E36E7F">
        <w:noBreakHyphen/>
      </w:r>
      <w:r w:rsidR="00C53E25" w:rsidRPr="00B60243">
        <w:t>01 and 2006</w:t>
      </w:r>
      <w:r w:rsidR="00E36E7F">
        <w:noBreakHyphen/>
      </w:r>
      <w:r w:rsidR="00C53E25" w:rsidRPr="00B60243">
        <w:t>07</w:t>
      </w:r>
      <w:r w:rsidR="00E56AD4" w:rsidRPr="00B60243">
        <w:t xml:space="preserve"> and deflated</w:t>
      </w:r>
      <w:r w:rsidR="004A3A67" w:rsidRPr="00B60243">
        <w:t xml:space="preserve"> </w:t>
      </w:r>
      <w:r w:rsidRPr="00B60243">
        <w:t>using the producer price index for output</w:t>
      </w:r>
      <w:r w:rsidR="004A3A67" w:rsidRPr="00B60243">
        <w:t xml:space="preserve">. </w:t>
      </w:r>
      <w:r w:rsidRPr="00B60243">
        <w:t xml:space="preserve">To the extent the output and intermediate input prices have grown at different rates, this derived VA series will </w:t>
      </w:r>
      <w:r w:rsidR="008970A9" w:rsidRPr="00B60243">
        <w:t>differ from a double deflated series</w:t>
      </w:r>
      <w:r w:rsidR="004A3A67" w:rsidRPr="00B60243">
        <w:t xml:space="preserve"> (such as </w:t>
      </w:r>
      <w:proofErr w:type="spellStart"/>
      <w:r w:rsidR="004A3A67" w:rsidRPr="00B60243">
        <w:t>FBT</w:t>
      </w:r>
      <w:proofErr w:type="spellEnd"/>
      <w:r w:rsidR="004A3A67" w:rsidRPr="00B60243">
        <w:t xml:space="preserve"> real VA from the National Accounts)</w:t>
      </w:r>
      <w:r w:rsidRPr="00B60243">
        <w:t xml:space="preserve">. </w:t>
      </w:r>
      <w:r w:rsidR="004A3A67" w:rsidRPr="00B60243">
        <w:t>This affects the BT series more than that for Food (appendix G).</w:t>
      </w:r>
    </w:p>
    <w:p w:rsidR="00CA6601" w:rsidRPr="00B60243" w:rsidRDefault="00CA6601" w:rsidP="00CA6601">
      <w:pPr>
        <w:pStyle w:val="Source"/>
      </w:pPr>
      <w:r w:rsidRPr="00B60243">
        <w:rPr>
          <w:i/>
        </w:rPr>
        <w:t>Data source</w:t>
      </w:r>
      <w:r w:rsidR="006206F2" w:rsidRPr="00B60243">
        <w:rPr>
          <w:i/>
        </w:rPr>
        <w:t>s</w:t>
      </w:r>
      <w:r w:rsidRPr="00B60243">
        <w:t xml:space="preserve">: </w:t>
      </w:r>
      <w:r w:rsidR="00626BA3" w:rsidRPr="00B60243">
        <w:t>A</w:t>
      </w:r>
      <w:r w:rsidRPr="00B60243">
        <w:t>uthors’ estimates based on ABS (</w:t>
      </w:r>
      <w:r w:rsidR="00A96AEC" w:rsidRPr="00B60243">
        <w:rPr>
          <w:i/>
        </w:rPr>
        <w:t xml:space="preserve">Manufacturing Industry, Australia, </w:t>
      </w:r>
      <w:r w:rsidR="004D1D4C" w:rsidRPr="00B60243">
        <w:t xml:space="preserve">various issues, </w:t>
      </w:r>
      <w:r w:rsidRPr="00B60243">
        <w:t>Cat.</w:t>
      </w:r>
      <w:r w:rsidR="00C73985">
        <w:t> </w:t>
      </w:r>
      <w:r w:rsidRPr="00B60243">
        <w:t>no.</w:t>
      </w:r>
      <w:r w:rsidR="004D1D4C" w:rsidRPr="00B60243">
        <w:t> </w:t>
      </w:r>
      <w:r w:rsidRPr="00B60243">
        <w:t>8221.0</w:t>
      </w:r>
      <w:r w:rsidR="00526E3D" w:rsidRPr="00B60243">
        <w:t>)</w:t>
      </w:r>
      <w:r w:rsidR="00A96AEC" w:rsidRPr="00B60243">
        <w:t xml:space="preserve">; </w:t>
      </w:r>
      <w:r w:rsidR="00692ECB" w:rsidRPr="00B60243">
        <w:t>ABS (</w:t>
      </w:r>
      <w:r w:rsidR="00692ECB" w:rsidRPr="00B60243">
        <w:rPr>
          <w:i/>
        </w:rPr>
        <w:t>Experimental Estimates for the Manufacturing Industry</w:t>
      </w:r>
      <w:r w:rsidR="00692ECB" w:rsidRPr="00B60243">
        <w:t xml:space="preserve">, various issues, Cat. no. 8159.0); </w:t>
      </w:r>
      <w:r w:rsidR="00526E3D" w:rsidRPr="00B60243">
        <w:t>ABS (</w:t>
      </w:r>
      <w:r w:rsidR="00A96AEC" w:rsidRPr="00B60243">
        <w:rPr>
          <w:i/>
        </w:rPr>
        <w:t>Australian Industry</w:t>
      </w:r>
      <w:r w:rsidR="00A96AEC" w:rsidRPr="00B60243">
        <w:t xml:space="preserve">, </w:t>
      </w:r>
      <w:r w:rsidR="004D1D4C" w:rsidRPr="00B60243">
        <w:t xml:space="preserve">various issues, </w:t>
      </w:r>
      <w:r w:rsidR="00A96AEC" w:rsidRPr="00B60243">
        <w:t xml:space="preserve">Cat. no. </w:t>
      </w:r>
      <w:r w:rsidRPr="00B60243">
        <w:t>8155.0</w:t>
      </w:r>
      <w:r w:rsidR="00526E3D" w:rsidRPr="00B60243">
        <w:t>); ABS (</w:t>
      </w:r>
      <w:r w:rsidR="0014778F" w:rsidRPr="00B60243">
        <w:rPr>
          <w:i/>
        </w:rPr>
        <w:t xml:space="preserve">Producer Price Indexes, June </w:t>
      </w:r>
      <w:r w:rsidR="00D8241A" w:rsidRPr="00B60243">
        <w:rPr>
          <w:i/>
        </w:rPr>
        <w:t>201</w:t>
      </w:r>
      <w:r w:rsidR="00D8241A">
        <w:rPr>
          <w:i/>
        </w:rPr>
        <w:t>2</w:t>
      </w:r>
      <w:r w:rsidR="0014778F" w:rsidRPr="00B60243">
        <w:rPr>
          <w:i/>
        </w:rPr>
        <w:t>,</w:t>
      </w:r>
      <w:r w:rsidR="0014778F" w:rsidRPr="00B60243">
        <w:t xml:space="preserve"> Cat.</w:t>
      </w:r>
      <w:r w:rsidR="003062ED">
        <w:t> </w:t>
      </w:r>
      <w:r w:rsidR="0014778F" w:rsidRPr="00B60243">
        <w:t>no.</w:t>
      </w:r>
      <w:r w:rsidR="003062ED">
        <w:t> </w:t>
      </w:r>
      <w:r w:rsidR="0014778F" w:rsidRPr="00B60243">
        <w:t>6427.0</w:t>
      </w:r>
      <w:r w:rsidRPr="00B60243">
        <w:t>)</w:t>
      </w:r>
      <w:r w:rsidR="00626BA3" w:rsidRPr="00B60243">
        <w:t>; and ABS (</w:t>
      </w:r>
      <w:r w:rsidR="00626BA3" w:rsidRPr="00B60243">
        <w:rPr>
          <w:i/>
        </w:rPr>
        <w:t>Australian System of National Accounts, 2010</w:t>
      </w:r>
      <w:r w:rsidR="00E36E7F">
        <w:rPr>
          <w:i/>
        </w:rPr>
        <w:noBreakHyphen/>
      </w:r>
      <w:r w:rsidR="00626BA3" w:rsidRPr="00B60243">
        <w:rPr>
          <w:i/>
        </w:rPr>
        <w:t>11</w:t>
      </w:r>
      <w:r w:rsidR="00626BA3" w:rsidRPr="00B60243">
        <w:t xml:space="preserve">, </w:t>
      </w:r>
      <w:r w:rsidR="008E5E3C" w:rsidRPr="00B60243">
        <w:t>Cat. no. 5204.0)</w:t>
      </w:r>
      <w:r w:rsidRPr="00B60243">
        <w:t>.</w:t>
      </w:r>
    </w:p>
    <w:p w:rsidR="002239EE" w:rsidRPr="00B60243" w:rsidRDefault="004C2F15" w:rsidP="00B072C2">
      <w:pPr>
        <w:pStyle w:val="BodyText"/>
      </w:pPr>
      <w:r w:rsidRPr="00B60243">
        <w:t>R</w:t>
      </w:r>
      <w:r w:rsidR="00BF3102" w:rsidRPr="00B60243">
        <w:t xml:space="preserve">eliable estimates </w:t>
      </w:r>
      <w:r w:rsidRPr="00B60243">
        <w:t xml:space="preserve">of real VA at a disaggregated level </w:t>
      </w:r>
      <w:r w:rsidR="00E34C2C" w:rsidRPr="00B60243">
        <w:t xml:space="preserve">below Food and BT </w:t>
      </w:r>
      <w:r w:rsidRPr="00B60243">
        <w:t>are not available</w:t>
      </w:r>
      <w:r w:rsidR="00AF28D3" w:rsidRPr="00B60243">
        <w:t xml:space="preserve">, but </w:t>
      </w:r>
      <w:r w:rsidR="00BF3102" w:rsidRPr="00B60243">
        <w:t xml:space="preserve">nominal VA </w:t>
      </w:r>
      <w:r w:rsidR="00575BF1" w:rsidRPr="00B60243">
        <w:t xml:space="preserve">data </w:t>
      </w:r>
      <w:r w:rsidR="00273324" w:rsidRPr="00B60243">
        <w:t xml:space="preserve">for </w:t>
      </w:r>
      <w:proofErr w:type="spellStart"/>
      <w:r w:rsidR="00273324" w:rsidRPr="00B60243">
        <w:t>ANZSIC</w:t>
      </w:r>
      <w:proofErr w:type="spellEnd"/>
      <w:r w:rsidR="00273324" w:rsidRPr="00B60243">
        <w:t xml:space="preserve"> groups </w:t>
      </w:r>
      <w:r w:rsidR="00BF3102" w:rsidRPr="00B60243">
        <w:t xml:space="preserve">provide some </w:t>
      </w:r>
      <w:r w:rsidR="00283FDF" w:rsidRPr="00B60243">
        <w:t xml:space="preserve">further </w:t>
      </w:r>
      <w:r w:rsidR="00BF3102" w:rsidRPr="00B60243">
        <w:t xml:space="preserve">indication of </w:t>
      </w:r>
      <w:r w:rsidR="00273324" w:rsidRPr="00B60243">
        <w:t xml:space="preserve">the areas of </w:t>
      </w:r>
      <w:r w:rsidR="00FC0E80" w:rsidRPr="00B60243">
        <w:t xml:space="preserve">a slowdown in growth </w:t>
      </w:r>
      <w:r w:rsidR="00283FDF" w:rsidRPr="00B60243">
        <w:t xml:space="preserve">within </w:t>
      </w:r>
      <w:r w:rsidR="00E34C2C" w:rsidRPr="00B60243">
        <w:t xml:space="preserve">those two subdivisions </w:t>
      </w:r>
      <w:r w:rsidR="00BF3102" w:rsidRPr="00B60243">
        <w:t xml:space="preserve">(figure </w:t>
      </w:r>
      <w:r w:rsidR="00B072C2" w:rsidRPr="00B60243">
        <w:t>5.7</w:t>
      </w:r>
      <w:r w:rsidR="00BF3102" w:rsidRPr="00B60243">
        <w:t>)</w:t>
      </w:r>
      <w:r w:rsidR="002239EE" w:rsidRPr="00B60243">
        <w:t>.</w:t>
      </w:r>
      <w:r w:rsidR="00077645" w:rsidRPr="00B60243">
        <w:rPr>
          <w:rStyle w:val="FootnoteReference"/>
        </w:rPr>
        <w:footnoteReference w:id="5"/>
      </w:r>
      <w:r w:rsidR="002239EE" w:rsidRPr="00B60243">
        <w:t xml:space="preserve"> </w:t>
      </w:r>
      <w:r w:rsidR="005D2442" w:rsidRPr="00B60243">
        <w:t>I</w:t>
      </w:r>
      <w:r w:rsidR="00D31E2B" w:rsidRPr="00B60243">
        <w:t>n broad terms:</w:t>
      </w:r>
    </w:p>
    <w:p w:rsidR="00B072C2" w:rsidRPr="00B60243" w:rsidRDefault="00864EF3" w:rsidP="00B072C2">
      <w:pPr>
        <w:pStyle w:val="ListBullet"/>
      </w:pPr>
      <w:r w:rsidRPr="00B60243">
        <w:t xml:space="preserve">Seafood, Oil and fat, and Wine had absolute declines in nominal VA </w:t>
      </w:r>
      <w:r w:rsidR="00D31E2B" w:rsidRPr="00B60243">
        <w:t xml:space="preserve">in cycle 4, </w:t>
      </w:r>
      <w:r w:rsidR="002239EE" w:rsidRPr="00B60243">
        <w:t xml:space="preserve">after growing </w:t>
      </w:r>
      <w:r w:rsidR="00D31E2B" w:rsidRPr="00B60243">
        <w:t>in</w:t>
      </w:r>
      <w:r w:rsidR="002239EE" w:rsidRPr="00B60243">
        <w:t xml:space="preserve"> cycle 3</w:t>
      </w:r>
      <w:r w:rsidR="00D31E2B" w:rsidRPr="00B60243">
        <w:t xml:space="preserve">. (Given the large contribution of </w:t>
      </w:r>
      <w:r w:rsidR="005D2442" w:rsidRPr="00B60243">
        <w:t>W</w:t>
      </w:r>
      <w:r w:rsidR="00D31E2B" w:rsidRPr="00B60243">
        <w:t xml:space="preserve">ine to the slowdown in </w:t>
      </w:r>
      <w:r w:rsidR="00575BF1" w:rsidRPr="00B60243">
        <w:t xml:space="preserve">nominal </w:t>
      </w:r>
      <w:r w:rsidR="00D31E2B" w:rsidRPr="00B60243">
        <w:t xml:space="preserve">VA growth, </w:t>
      </w:r>
      <w:r w:rsidR="005D2442" w:rsidRPr="00B60243">
        <w:t>it</w:t>
      </w:r>
      <w:r w:rsidR="00B072C2" w:rsidRPr="00B60243">
        <w:t xml:space="preserve"> is examined in more detail in 5.4.)</w:t>
      </w:r>
    </w:p>
    <w:p w:rsidR="00B072C2" w:rsidRPr="00B60243" w:rsidRDefault="00B072C2" w:rsidP="00B072C2">
      <w:pPr>
        <w:pStyle w:val="ListBullet"/>
      </w:pPr>
      <w:r w:rsidRPr="00B60243">
        <w:lastRenderedPageBreak/>
        <w:t>Fruit and vegetable processing, Sugar and confectionery, and Other food manufacturing had slower growth in cycle 4, compared with cycle 3.</w:t>
      </w:r>
    </w:p>
    <w:p w:rsidR="009B4D57" w:rsidRPr="00B60243" w:rsidRDefault="009B4D57" w:rsidP="00B072C2">
      <w:pPr>
        <w:pStyle w:val="ListBullet"/>
      </w:pPr>
      <w:r w:rsidRPr="00B60243">
        <w:t>Soft drink, Dairy, Meat, and Grain</w:t>
      </w:r>
      <w:r w:rsidR="008A13CE" w:rsidRPr="00B60243">
        <w:t xml:space="preserve"> and </w:t>
      </w:r>
      <w:r w:rsidRPr="00B60243">
        <w:t>cereal had faster growth in cycle 4 than cycle 3. For Bakery, the addition of non</w:t>
      </w:r>
      <w:r w:rsidR="00E36E7F">
        <w:noBreakHyphen/>
      </w:r>
      <w:r w:rsidRPr="00B60243">
        <w:t>factory baking from 2006</w:t>
      </w:r>
      <w:r w:rsidR="00E36E7F">
        <w:noBreakHyphen/>
      </w:r>
      <w:r w:rsidRPr="00B60243">
        <w:t xml:space="preserve">07 distorts the </w:t>
      </w:r>
      <w:r w:rsidR="003F0EFB">
        <w:t>comparison</w:t>
      </w:r>
      <w:r w:rsidRPr="00B60243">
        <w:t>. (Bakery is also examined in more detail in section 5.4.</w:t>
      </w:r>
      <w:r w:rsidR="0064412D" w:rsidRPr="00B60243">
        <w:t>)</w:t>
      </w:r>
    </w:p>
    <w:p w:rsidR="00BF3102" w:rsidRPr="00B60243" w:rsidRDefault="00BF3102" w:rsidP="00BF3102">
      <w:pPr>
        <w:pStyle w:val="FigureTitle"/>
      </w:pPr>
      <w:r w:rsidRPr="00B60243">
        <w:rPr>
          <w:b w:val="0"/>
        </w:rPr>
        <w:t xml:space="preserve">Figure </w:t>
      </w:r>
      <w:bookmarkStart w:id="17" w:name="OLE_LINK50"/>
      <w:r w:rsidR="00B072C2" w:rsidRPr="00B60243">
        <w:rPr>
          <w:b w:val="0"/>
        </w:rPr>
        <w:t>5.</w:t>
      </w:r>
      <w:r w:rsidR="002E061A">
        <w:rPr>
          <w:b w:val="0"/>
          <w:noProof/>
        </w:rPr>
        <w:t>7</w:t>
      </w:r>
      <w:bookmarkEnd w:id="17"/>
      <w:r w:rsidRPr="00B60243">
        <w:tab/>
      </w:r>
      <w:proofErr w:type="spellStart"/>
      <w:r w:rsidR="001B3F77" w:rsidRPr="00B60243">
        <w:t>FBT</w:t>
      </w:r>
      <w:proofErr w:type="spellEnd"/>
      <w:r w:rsidR="001B3F77" w:rsidRPr="00B60243">
        <w:t xml:space="preserve"> n</w:t>
      </w:r>
      <w:r w:rsidRPr="00B60243">
        <w:t>ominal VA</w:t>
      </w:r>
      <w:r w:rsidR="00DF1310" w:rsidRPr="00B60243">
        <w:rPr>
          <w:rStyle w:val="NoteLabel"/>
          <w:b/>
        </w:rPr>
        <w:t>a</w:t>
      </w:r>
      <w:r w:rsidR="002E1137" w:rsidRPr="00B60243">
        <w:t xml:space="preserve"> by </w:t>
      </w:r>
      <w:proofErr w:type="spellStart"/>
      <w:r w:rsidR="002E1137" w:rsidRPr="00B60243">
        <w:t>ANZSIC</w:t>
      </w:r>
      <w:proofErr w:type="spellEnd"/>
      <w:r w:rsidR="002E1137" w:rsidRPr="00B60243">
        <w:t xml:space="preserve"> group</w:t>
      </w:r>
    </w:p>
    <w:p w:rsidR="00BF3102" w:rsidRPr="00B60243" w:rsidRDefault="00BF3102" w:rsidP="00BF3102">
      <w:pPr>
        <w:pStyle w:val="Subtitle"/>
      </w:pPr>
      <w:r w:rsidRPr="00B60243">
        <w:t>$m</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B247C4" w:rsidRPr="00B77C1B" w:rsidTr="00A41060">
        <w:tc>
          <w:tcPr>
            <w:tcW w:w="4388" w:type="dxa"/>
            <w:tcBorders>
              <w:bottom w:val="nil"/>
            </w:tcBorders>
          </w:tcPr>
          <w:p w:rsidR="00B247C4" w:rsidRPr="00B77C1B" w:rsidRDefault="002C3B39" w:rsidP="004E0FC2">
            <w:pPr>
              <w:pStyle w:val="Figure"/>
              <w:spacing w:after="60"/>
              <w:rPr>
                <w:i/>
                <w:sz w:val="22"/>
                <w:szCs w:val="22"/>
              </w:rPr>
            </w:pPr>
            <w:r w:rsidRPr="00B77C1B">
              <w:rPr>
                <w:i/>
                <w:sz w:val="22"/>
                <w:szCs w:val="22"/>
              </w:rPr>
              <w:t>BT — growth rate higher in cycle 4</w:t>
            </w:r>
          </w:p>
        </w:tc>
        <w:tc>
          <w:tcPr>
            <w:tcW w:w="4389" w:type="dxa"/>
            <w:tcBorders>
              <w:bottom w:val="nil"/>
            </w:tcBorders>
          </w:tcPr>
          <w:p w:rsidR="00B247C4" w:rsidRPr="00B77C1B" w:rsidRDefault="002C3B39" w:rsidP="004E0FC2">
            <w:pPr>
              <w:pStyle w:val="Figure"/>
              <w:spacing w:after="60"/>
              <w:rPr>
                <w:i/>
                <w:sz w:val="22"/>
                <w:szCs w:val="22"/>
              </w:rPr>
            </w:pPr>
            <w:r w:rsidRPr="00B77C1B">
              <w:rPr>
                <w:i/>
                <w:sz w:val="22"/>
                <w:szCs w:val="22"/>
              </w:rPr>
              <w:t>BT — growth rate lower in cycle 4</w:t>
            </w:r>
          </w:p>
        </w:tc>
      </w:tr>
      <w:tr w:rsidR="00B247C4" w:rsidRPr="00B60243" w:rsidTr="00A41060">
        <w:tc>
          <w:tcPr>
            <w:tcW w:w="4388" w:type="dxa"/>
            <w:tcBorders>
              <w:top w:val="nil"/>
              <w:bottom w:val="nil"/>
            </w:tcBorders>
          </w:tcPr>
          <w:p w:rsidR="00B247C4" w:rsidRPr="00B60243" w:rsidRDefault="00E406E7" w:rsidP="00971266">
            <w:pPr>
              <w:pStyle w:val="Figure"/>
              <w:spacing w:before="0" w:after="0"/>
              <w:ind w:right="-104"/>
              <w:rPr>
                <w:i/>
              </w:rPr>
            </w:pPr>
            <w:r>
              <w:rPr>
                <w:i/>
              </w:rPr>
              <w:pict>
                <v:shape id="_x0000_i1034" type="#_x0000_t75" alt="This figure comprises of four charts. The first two charts show that within BT, only soft drink had a nominal VA growth rate higher in cycle 4 compared with cycle 3. The bottom two charts show that within Food, Grain and cereal, Meat, Dairy and Bakery had had a nominal VA growth rate higher in cycle 4 compared with cycle 3. " style="width:205.95pt;height:198.4pt">
                  <v:imagedata r:id="rId19" o:title=""/>
                </v:shape>
              </w:pict>
            </w:r>
          </w:p>
        </w:tc>
        <w:tc>
          <w:tcPr>
            <w:tcW w:w="4389" w:type="dxa"/>
            <w:tcBorders>
              <w:top w:val="nil"/>
              <w:bottom w:val="nil"/>
            </w:tcBorders>
          </w:tcPr>
          <w:p w:rsidR="00B247C4" w:rsidRPr="00B60243" w:rsidRDefault="00E406E7" w:rsidP="00971266">
            <w:pPr>
              <w:pStyle w:val="Figure"/>
              <w:spacing w:before="0" w:after="0"/>
              <w:ind w:right="-109"/>
              <w:rPr>
                <w:i/>
              </w:rPr>
            </w:pPr>
            <w:r>
              <w:rPr>
                <w:i/>
              </w:rPr>
              <w:pict>
                <v:shape id="_x0000_i1035" type="#_x0000_t75" alt="This figure comprises of four charts. The first two charts show that within BT, only soft drink had a nominal VA growth rate higher in cycle 4 compared with cycle 3. The bottom two charts show that within Food, Grain and cereal, Meat, Dairy and Bakery had had a nominal VA growth rate higher in cycle 4 compared with cycle 3. " style="width:205.95pt;height:198.4pt">
                  <v:imagedata r:id="rId20" o:title=""/>
                </v:shape>
              </w:pict>
            </w:r>
          </w:p>
        </w:tc>
      </w:tr>
      <w:tr w:rsidR="00B247C4" w:rsidRPr="00B77C1B" w:rsidTr="00A41060">
        <w:tc>
          <w:tcPr>
            <w:tcW w:w="4388" w:type="dxa"/>
            <w:tcBorders>
              <w:top w:val="nil"/>
              <w:bottom w:val="nil"/>
            </w:tcBorders>
          </w:tcPr>
          <w:p w:rsidR="00B247C4" w:rsidRPr="00B77C1B" w:rsidRDefault="002C3B39" w:rsidP="00A41060">
            <w:pPr>
              <w:pStyle w:val="Figure"/>
              <w:spacing w:before="240" w:after="60"/>
              <w:rPr>
                <w:i/>
                <w:sz w:val="22"/>
                <w:szCs w:val="22"/>
              </w:rPr>
            </w:pPr>
            <w:r w:rsidRPr="00B77C1B">
              <w:rPr>
                <w:i/>
                <w:sz w:val="22"/>
                <w:szCs w:val="22"/>
              </w:rPr>
              <w:t>Food — growth rate higher in cycle 4</w:t>
            </w:r>
          </w:p>
        </w:tc>
        <w:tc>
          <w:tcPr>
            <w:tcW w:w="4389" w:type="dxa"/>
            <w:tcBorders>
              <w:top w:val="nil"/>
              <w:bottom w:val="nil"/>
            </w:tcBorders>
          </w:tcPr>
          <w:p w:rsidR="00B247C4" w:rsidRPr="00B77C1B" w:rsidRDefault="002C3B39" w:rsidP="00A41060">
            <w:pPr>
              <w:pStyle w:val="Figure"/>
              <w:spacing w:before="240" w:after="60"/>
              <w:rPr>
                <w:i/>
                <w:sz w:val="22"/>
                <w:szCs w:val="22"/>
              </w:rPr>
            </w:pPr>
            <w:r w:rsidRPr="00B77C1B">
              <w:rPr>
                <w:i/>
                <w:sz w:val="22"/>
                <w:szCs w:val="22"/>
              </w:rPr>
              <w:t>Food —</w:t>
            </w:r>
            <w:r w:rsidR="005D6B12" w:rsidRPr="00B77C1B">
              <w:rPr>
                <w:i/>
                <w:sz w:val="22"/>
                <w:szCs w:val="22"/>
              </w:rPr>
              <w:t xml:space="preserve"> </w:t>
            </w:r>
            <w:r w:rsidRPr="00B77C1B">
              <w:rPr>
                <w:i/>
                <w:sz w:val="22"/>
                <w:szCs w:val="22"/>
              </w:rPr>
              <w:t xml:space="preserve">growth rate </w:t>
            </w:r>
            <w:r w:rsidR="00886CFD" w:rsidRPr="00B77C1B">
              <w:rPr>
                <w:i/>
                <w:sz w:val="22"/>
                <w:szCs w:val="22"/>
              </w:rPr>
              <w:t>lower</w:t>
            </w:r>
            <w:r w:rsidRPr="00B77C1B">
              <w:rPr>
                <w:i/>
                <w:sz w:val="22"/>
                <w:szCs w:val="22"/>
              </w:rPr>
              <w:t xml:space="preserve"> in cycle 4</w:t>
            </w:r>
          </w:p>
        </w:tc>
      </w:tr>
      <w:tr w:rsidR="00B247C4" w:rsidRPr="00B60243" w:rsidTr="00A41060">
        <w:tc>
          <w:tcPr>
            <w:tcW w:w="4388" w:type="dxa"/>
            <w:tcBorders>
              <w:top w:val="nil"/>
            </w:tcBorders>
          </w:tcPr>
          <w:p w:rsidR="00B247C4" w:rsidRPr="00B60243" w:rsidRDefault="00E406E7" w:rsidP="00971266">
            <w:pPr>
              <w:pStyle w:val="Figure"/>
              <w:spacing w:before="0" w:after="0"/>
              <w:ind w:right="-104"/>
              <w:rPr>
                <w:i/>
              </w:rPr>
            </w:pPr>
            <w:r>
              <w:rPr>
                <w:i/>
              </w:rPr>
              <w:pict>
                <v:shape id="_x0000_i1036" type="#_x0000_t75" alt="This figure comprises of four charts. The first two charts show that within BT, only soft drink had a nominal VA growth rate higher in cycle 4 compared with cycle 3. The bottom two charts show that within Food, Grain and cereal, Meat, Dairy and Bakery had had a nominal VA growth rate higher in cycle 4 compared with cycle 3. " style="width:205.95pt;height:198.4pt">
                  <v:imagedata r:id="rId21" o:title=""/>
                </v:shape>
              </w:pict>
            </w:r>
          </w:p>
        </w:tc>
        <w:tc>
          <w:tcPr>
            <w:tcW w:w="4389" w:type="dxa"/>
            <w:tcBorders>
              <w:top w:val="nil"/>
            </w:tcBorders>
          </w:tcPr>
          <w:p w:rsidR="00B247C4" w:rsidRPr="00B60243" w:rsidRDefault="00E406E7" w:rsidP="00971266">
            <w:pPr>
              <w:pStyle w:val="Figure"/>
              <w:spacing w:before="0" w:after="0"/>
              <w:ind w:right="-109"/>
              <w:rPr>
                <w:i/>
              </w:rPr>
            </w:pPr>
            <w:r>
              <w:rPr>
                <w:i/>
              </w:rPr>
              <w:pict>
                <v:shape id="_x0000_i1037" type="#_x0000_t75" alt="This figure comprises of four charts. The first two charts show that within BT, only soft drink had a nominal VA growth rate higher in cycle 4 compared with cycle 3. The bottom two charts show that within Food, Grain and cereal, Meat, Dairy and Bakery had had a nominal VA growth rate higher in cycle 4 compared with cycle 3. " style="width:205.95pt;height:198.4pt">
                  <v:imagedata r:id="rId22" o:title=""/>
                </v:shape>
              </w:pict>
            </w:r>
          </w:p>
        </w:tc>
      </w:tr>
    </w:tbl>
    <w:p w:rsidR="00BF3102" w:rsidRPr="00B60243" w:rsidRDefault="00BF3102" w:rsidP="00BF3102">
      <w:pPr>
        <w:pStyle w:val="Note"/>
      </w:pPr>
      <w:r w:rsidRPr="00B60243">
        <w:rPr>
          <w:rStyle w:val="NoteLabel"/>
        </w:rPr>
        <w:t>a</w:t>
      </w:r>
      <w:r w:rsidRPr="00B60243">
        <w:t xml:space="preserve"> Blanks indicate break in series</w:t>
      </w:r>
      <w:r w:rsidR="00E11FA0" w:rsidRPr="00B60243">
        <w:t>:</w:t>
      </w:r>
      <w:r w:rsidRPr="00B60243">
        <w:t xml:space="preserve"> shift to management units in survey in 2000</w:t>
      </w:r>
      <w:r w:rsidR="00E36E7F">
        <w:noBreakHyphen/>
      </w:r>
      <w:r w:rsidRPr="00B60243">
        <w:t xml:space="preserve">01; shift to </w:t>
      </w:r>
      <w:proofErr w:type="spellStart"/>
      <w:r w:rsidRPr="00B60243">
        <w:t>ANZSIC06</w:t>
      </w:r>
      <w:proofErr w:type="spellEnd"/>
      <w:r w:rsidRPr="00B60243">
        <w:t xml:space="preserve"> in 2006</w:t>
      </w:r>
      <w:r w:rsidR="001B39E0">
        <w:noBreakHyphen/>
      </w:r>
      <w:r w:rsidRPr="00B60243">
        <w:t>07; and in the case of beverages missing data for wine and other BT</w:t>
      </w:r>
      <w:r w:rsidR="002E49F6" w:rsidRPr="00B60243">
        <w:t xml:space="preserve"> in 200</w:t>
      </w:r>
      <w:r w:rsidR="000F2893" w:rsidRPr="00B60243">
        <w:t>0</w:t>
      </w:r>
      <w:r w:rsidR="00E36E7F">
        <w:noBreakHyphen/>
      </w:r>
      <w:r w:rsidR="002E49F6" w:rsidRPr="00B60243">
        <w:t>0</w:t>
      </w:r>
      <w:r w:rsidR="000F2893" w:rsidRPr="00B60243">
        <w:t>1</w:t>
      </w:r>
      <w:r w:rsidRPr="00B60243">
        <w:t>.</w:t>
      </w:r>
      <w:r w:rsidR="002E49F6" w:rsidRPr="00B60243">
        <w:t xml:space="preserve"> </w:t>
      </w:r>
      <w:r w:rsidR="000F2893" w:rsidRPr="00B60243">
        <w:t xml:space="preserve">See appendix </w:t>
      </w:r>
      <w:r w:rsidR="008124B4" w:rsidRPr="00B60243">
        <w:t>G</w:t>
      </w:r>
      <w:r w:rsidR="000F2893" w:rsidRPr="00B60243">
        <w:t xml:space="preserve"> for details.</w:t>
      </w:r>
    </w:p>
    <w:p w:rsidR="00BF3102" w:rsidRPr="00B60243" w:rsidRDefault="00BF3102" w:rsidP="00BF3102">
      <w:pPr>
        <w:pStyle w:val="Source"/>
      </w:pPr>
      <w:r w:rsidRPr="00B60243">
        <w:rPr>
          <w:i/>
        </w:rPr>
        <w:t>Data source</w:t>
      </w:r>
      <w:r w:rsidR="006206F2" w:rsidRPr="00B60243">
        <w:rPr>
          <w:i/>
        </w:rPr>
        <w:t>s</w:t>
      </w:r>
      <w:r w:rsidRPr="00B60243">
        <w:t xml:space="preserve">: </w:t>
      </w:r>
      <w:r w:rsidR="00A96AEC" w:rsidRPr="00B60243">
        <w:t>ABS (</w:t>
      </w:r>
      <w:r w:rsidR="00A96AEC" w:rsidRPr="00B60243">
        <w:rPr>
          <w:i/>
        </w:rPr>
        <w:t xml:space="preserve">Manufacturing Industry, Australia, </w:t>
      </w:r>
      <w:r w:rsidR="004D1D4C" w:rsidRPr="00B60243">
        <w:t xml:space="preserve">various issues, </w:t>
      </w:r>
      <w:r w:rsidR="00A96AEC" w:rsidRPr="00B60243">
        <w:t>Cat. no. 8221.0</w:t>
      </w:r>
      <w:r w:rsidR="006206F2" w:rsidRPr="00B60243">
        <w:t>)</w:t>
      </w:r>
      <w:r w:rsidR="00A96AEC" w:rsidRPr="00B60243">
        <w:t>;</w:t>
      </w:r>
      <w:r w:rsidR="006206F2" w:rsidRPr="00B60243">
        <w:t xml:space="preserve"> </w:t>
      </w:r>
      <w:r w:rsidR="00C720AA" w:rsidRPr="00B60243">
        <w:t>ABS (</w:t>
      </w:r>
      <w:r w:rsidR="00C720AA" w:rsidRPr="00B60243">
        <w:rPr>
          <w:i/>
        </w:rPr>
        <w:t>Experimental Estimates for the Manufacturing Industry</w:t>
      </w:r>
      <w:r w:rsidR="00C720AA" w:rsidRPr="00B60243">
        <w:t xml:space="preserve">, various issues, Cat. no. 8159.0); </w:t>
      </w:r>
      <w:r w:rsidR="006206F2" w:rsidRPr="00B60243">
        <w:t>ABS (</w:t>
      </w:r>
      <w:r w:rsidR="00A96AEC" w:rsidRPr="00B60243">
        <w:rPr>
          <w:i/>
        </w:rPr>
        <w:t>Australian Industry</w:t>
      </w:r>
      <w:r w:rsidR="00A96AEC" w:rsidRPr="00B60243">
        <w:t xml:space="preserve">, </w:t>
      </w:r>
      <w:r w:rsidR="004D1D4C" w:rsidRPr="00B60243">
        <w:t xml:space="preserve">various issues, </w:t>
      </w:r>
      <w:r w:rsidR="00A96AEC" w:rsidRPr="00B60243">
        <w:t>Cat.</w:t>
      </w:r>
      <w:r w:rsidR="004D1D4C" w:rsidRPr="00B60243">
        <w:t> </w:t>
      </w:r>
      <w:r w:rsidR="00A96AEC" w:rsidRPr="00B60243">
        <w:t>no.</w:t>
      </w:r>
      <w:r w:rsidR="00626BA3" w:rsidRPr="00B60243">
        <w:t> </w:t>
      </w:r>
      <w:r w:rsidR="00A96AEC" w:rsidRPr="00B60243">
        <w:t>8155.0).</w:t>
      </w:r>
    </w:p>
    <w:p w:rsidR="00B114FC" w:rsidRPr="00B60243" w:rsidRDefault="00E275EA" w:rsidP="008631B6">
      <w:pPr>
        <w:pStyle w:val="Heading4"/>
        <w:rPr>
          <w:b/>
        </w:rPr>
      </w:pPr>
      <w:r w:rsidRPr="00B60243">
        <w:lastRenderedPageBreak/>
        <w:t>C</w:t>
      </w:r>
      <w:r w:rsidR="00B114FC" w:rsidRPr="00B60243">
        <w:t xml:space="preserve">hanging consumer tastes </w:t>
      </w:r>
      <w:r w:rsidR="006E7E1E" w:rsidRPr="00B60243">
        <w:t>shifting the composition of</w:t>
      </w:r>
      <w:r w:rsidR="00B114FC" w:rsidRPr="00B60243">
        <w:t xml:space="preserve"> domestic </w:t>
      </w:r>
      <w:proofErr w:type="spellStart"/>
      <w:r w:rsidR="006E7E1E" w:rsidRPr="00B60243">
        <w:t>FBT</w:t>
      </w:r>
      <w:proofErr w:type="spellEnd"/>
      <w:r w:rsidR="006E7E1E" w:rsidRPr="00B60243">
        <w:t xml:space="preserve"> value added</w:t>
      </w:r>
      <w:r w:rsidR="00B114FC" w:rsidRPr="00B60243">
        <w:t xml:space="preserve"> </w:t>
      </w:r>
    </w:p>
    <w:p w:rsidR="00DC3458" w:rsidRPr="00B60243" w:rsidRDefault="00B85E6C" w:rsidP="00DC3458">
      <w:pPr>
        <w:pStyle w:val="BodyText"/>
      </w:pPr>
      <w:r w:rsidRPr="00B60243">
        <w:t>As noted above,</w:t>
      </w:r>
      <w:r w:rsidR="006C3254" w:rsidRPr="00B60243">
        <w:t xml:space="preserve"> </w:t>
      </w:r>
      <w:r w:rsidR="00DC3458" w:rsidRPr="00B60243">
        <w:t xml:space="preserve">changes in </w:t>
      </w:r>
      <w:r w:rsidR="00D32475" w:rsidRPr="00B60243">
        <w:t>consumer preferences</w:t>
      </w:r>
      <w:r w:rsidR="00DC3458" w:rsidRPr="00B60243">
        <w:t xml:space="preserve"> </w:t>
      </w:r>
      <w:r w:rsidRPr="00B60243">
        <w:t>for particular characteristics — such as health, convenience, quality, value and diversity — can affect the composition of demand for food and beverage products</w:t>
      </w:r>
      <w:r w:rsidR="00DC3458" w:rsidRPr="00B60243">
        <w:t xml:space="preserve">. </w:t>
      </w:r>
      <w:r w:rsidRPr="00B60243">
        <w:t>I</w:t>
      </w:r>
      <w:r w:rsidR="009A5DDD" w:rsidRPr="00B60243">
        <w:t xml:space="preserve">t is difficult to be precise about the timing and extent to </w:t>
      </w:r>
      <w:r w:rsidR="00E34C2C" w:rsidRPr="00B60243">
        <w:t xml:space="preserve">which </w:t>
      </w:r>
      <w:r w:rsidR="009A5DDD" w:rsidRPr="00B60243">
        <w:t xml:space="preserve">manufacturers </w:t>
      </w:r>
      <w:r w:rsidRPr="00B60243">
        <w:t xml:space="preserve">in different parts of </w:t>
      </w:r>
      <w:proofErr w:type="spellStart"/>
      <w:r w:rsidRPr="00B60243">
        <w:t>FBT</w:t>
      </w:r>
      <w:proofErr w:type="spellEnd"/>
      <w:r w:rsidRPr="00B60243">
        <w:t xml:space="preserve"> </w:t>
      </w:r>
      <w:r w:rsidR="009A5DDD" w:rsidRPr="00B60243">
        <w:t>are likely to be affected</w:t>
      </w:r>
      <w:r w:rsidRPr="00B60243">
        <w:t xml:space="preserve"> by</w:t>
      </w:r>
      <w:r w:rsidR="00E34C2C" w:rsidRPr="00B60243">
        <w:t>, and respond to,</w:t>
      </w:r>
      <w:r w:rsidRPr="00B60243">
        <w:t xml:space="preserve"> these preference changes. </w:t>
      </w:r>
      <w:r w:rsidR="00E11FA0" w:rsidRPr="00B60243">
        <w:t>T</w:t>
      </w:r>
      <w:r w:rsidR="00D4718C" w:rsidRPr="00B60243">
        <w:t xml:space="preserve">here is the potential for positive and negative effects </w:t>
      </w:r>
      <w:r w:rsidR="00E11FA0" w:rsidRPr="00B60243">
        <w:t xml:space="preserve">from changing consumer preferences </w:t>
      </w:r>
      <w:r w:rsidR="00D4718C" w:rsidRPr="00B60243">
        <w:t xml:space="preserve">on different parts of </w:t>
      </w:r>
      <w:proofErr w:type="spellStart"/>
      <w:r w:rsidR="00D4718C" w:rsidRPr="00B60243">
        <w:t>FBT</w:t>
      </w:r>
      <w:proofErr w:type="spellEnd"/>
      <w:r w:rsidR="00D4718C" w:rsidRPr="00B60243">
        <w:t xml:space="preserve"> manufacturing.</w:t>
      </w:r>
      <w:r w:rsidR="00824B80" w:rsidRPr="00B60243">
        <w:t xml:space="preserve"> </w:t>
      </w:r>
    </w:p>
    <w:p w:rsidR="00B114FC" w:rsidRPr="00B60243" w:rsidRDefault="00B114FC" w:rsidP="00A916C2">
      <w:pPr>
        <w:pStyle w:val="ListBullet"/>
      </w:pPr>
      <w:r w:rsidRPr="00B60243">
        <w:t xml:space="preserve">Preferences for </w:t>
      </w:r>
      <w:r w:rsidR="00C130C3" w:rsidRPr="00B60243">
        <w:t xml:space="preserve">quality, </w:t>
      </w:r>
      <w:r w:rsidR="00A916C2" w:rsidRPr="00B60243">
        <w:t xml:space="preserve">convenience and </w:t>
      </w:r>
      <w:r w:rsidR="001112C2" w:rsidRPr="00B60243">
        <w:t>‘</w:t>
      </w:r>
      <w:r w:rsidRPr="00B60243">
        <w:t>lifestyle</w:t>
      </w:r>
      <w:r w:rsidR="00E36E7F">
        <w:noBreakHyphen/>
      </w:r>
      <w:r w:rsidRPr="00B60243">
        <w:t>compatible</w:t>
      </w:r>
      <w:r w:rsidR="001112C2" w:rsidRPr="00B60243">
        <w:t>’</w:t>
      </w:r>
      <w:r w:rsidRPr="00B60243">
        <w:t xml:space="preserve"> </w:t>
      </w:r>
      <w:r w:rsidR="00A916C2" w:rsidRPr="00B60243">
        <w:t xml:space="preserve">products </w:t>
      </w:r>
      <w:r w:rsidRPr="00B60243">
        <w:t xml:space="preserve">may result in an increase in value adding. </w:t>
      </w:r>
      <w:r w:rsidR="009D2E04">
        <w:rPr>
          <w:iCs/>
        </w:rPr>
        <w:t xml:space="preserve">The </w:t>
      </w:r>
      <w:r w:rsidR="009D2E04">
        <w:t>Australian Food and Grocery Council </w:t>
      </w:r>
      <w:r w:rsidRPr="00B60243">
        <w:t>(</w:t>
      </w:r>
      <w:proofErr w:type="spellStart"/>
      <w:r w:rsidRPr="00B60243">
        <w:t>2011b</w:t>
      </w:r>
      <w:proofErr w:type="spellEnd"/>
      <w:r w:rsidRPr="00B60243">
        <w:t>, p.</w:t>
      </w:r>
      <w:r w:rsidR="00E36E7F">
        <w:t> </w:t>
      </w:r>
      <w:r w:rsidRPr="00B60243">
        <w:t xml:space="preserve">47) noted </w:t>
      </w:r>
      <w:r w:rsidR="00CE52ED" w:rsidRPr="00B60243">
        <w:t xml:space="preserve">that </w:t>
      </w:r>
      <w:r w:rsidR="00A916C2" w:rsidRPr="00B60243">
        <w:t>p</w:t>
      </w:r>
      <w:r w:rsidRPr="00B60243">
        <w:t>repared meals that are sold at supermarkets or specialist food retailers generally have higher levels of processing</w:t>
      </w:r>
      <w:r w:rsidR="00A916C2" w:rsidRPr="00B60243">
        <w:t>.</w:t>
      </w:r>
      <w:r w:rsidR="00CE52ED" w:rsidRPr="00B60243">
        <w:t xml:space="preserve"> This can include</w:t>
      </w:r>
      <w:r w:rsidR="00A916C2" w:rsidRPr="00B60243">
        <w:t xml:space="preserve"> meal kits, which have the components of a meal assembled and prepared for cooking, and ready to eat meals </w:t>
      </w:r>
      <w:r w:rsidR="00C720AA" w:rsidRPr="00B60243">
        <w:t>that</w:t>
      </w:r>
      <w:r w:rsidR="00A916C2" w:rsidRPr="00B60243">
        <w:t xml:space="preserve"> are pre</w:t>
      </w:r>
      <w:r w:rsidR="00E36E7F">
        <w:noBreakHyphen/>
      </w:r>
      <w:r w:rsidR="00A916C2" w:rsidRPr="00B60243">
        <w:t>cooked.</w:t>
      </w:r>
    </w:p>
    <w:p w:rsidR="00D02B64" w:rsidRPr="00B60243" w:rsidRDefault="00D02B64" w:rsidP="00D02B64">
      <w:pPr>
        <w:pStyle w:val="ListBullet"/>
      </w:pPr>
      <w:r w:rsidRPr="00B60243">
        <w:t>If changing consumer preferences led to some shift in demand from processed food products to fresh produce (such as unprocessed fruit and vegetables), then</w:t>
      </w:r>
      <w:r w:rsidR="00E11FA0" w:rsidRPr="00B60243">
        <w:t>,</w:t>
      </w:r>
      <w:r w:rsidRPr="00B60243">
        <w:t xml:space="preserve"> in statistical classification terms, this would appear as a decrease in demand for Manufacturing output and an increase in demand for the output of the Agriculture sector. </w:t>
      </w:r>
    </w:p>
    <w:p w:rsidR="000E5FD0" w:rsidRPr="00B60243" w:rsidRDefault="000E5FD0" w:rsidP="006F41F6">
      <w:pPr>
        <w:pStyle w:val="ListBullet"/>
      </w:pPr>
      <w:r w:rsidRPr="00B60243">
        <w:t xml:space="preserve">The effect of consumer preference shifts on Australian </w:t>
      </w:r>
      <w:proofErr w:type="spellStart"/>
      <w:r w:rsidRPr="00B60243">
        <w:t>FBT</w:t>
      </w:r>
      <w:proofErr w:type="spellEnd"/>
      <w:r w:rsidRPr="00B60243">
        <w:t xml:space="preserve"> manufacturers will also depend on the relative competitiveness of Australian producers and international producers. (Changes in </w:t>
      </w:r>
      <w:r w:rsidR="00E11FA0" w:rsidRPr="00B60243">
        <w:t xml:space="preserve">detailed </w:t>
      </w:r>
      <w:r w:rsidRPr="00B60243">
        <w:t>exports and imports are discussed in the next subsection</w:t>
      </w:r>
      <w:r w:rsidR="00C720AA" w:rsidRPr="00B60243">
        <w:t>.)</w:t>
      </w:r>
      <w:r w:rsidRPr="00B60243">
        <w:t xml:space="preserve"> </w:t>
      </w:r>
    </w:p>
    <w:p w:rsidR="00080D4B" w:rsidRPr="00B60243" w:rsidRDefault="002E6355" w:rsidP="00DA2A03">
      <w:pPr>
        <w:pStyle w:val="BodyText"/>
      </w:pPr>
      <w:r w:rsidRPr="00B60243">
        <w:t>F</w:t>
      </w:r>
      <w:r w:rsidR="00EC1C98" w:rsidRPr="00B60243">
        <w:t xml:space="preserve">igure </w:t>
      </w:r>
      <w:r w:rsidR="00B072C2" w:rsidRPr="00B60243">
        <w:t>5.8</w:t>
      </w:r>
      <w:r w:rsidR="00EC1C98" w:rsidRPr="00B60243">
        <w:t xml:space="preserve"> shows </w:t>
      </w:r>
      <w:r w:rsidR="00E11FA0" w:rsidRPr="00B60243">
        <w:t xml:space="preserve">that </w:t>
      </w:r>
      <w:r w:rsidR="00EC1C98" w:rsidRPr="00B60243">
        <w:t xml:space="preserve">there </w:t>
      </w:r>
      <w:r w:rsidR="002011D6" w:rsidRPr="00B60243">
        <w:t xml:space="preserve">has been some shift in </w:t>
      </w:r>
      <w:r w:rsidR="00EC1C98" w:rsidRPr="00B60243">
        <w:t>the composition of nominal VA</w:t>
      </w:r>
      <w:r w:rsidR="002E4060" w:rsidRPr="00B60243">
        <w:rPr>
          <w:rStyle w:val="FootnoteReference"/>
        </w:rPr>
        <w:footnoteReference w:id="6"/>
      </w:r>
      <w:r w:rsidR="00EC1C98" w:rsidRPr="00B60243">
        <w:t xml:space="preserve"> between </w:t>
      </w:r>
      <w:proofErr w:type="spellStart"/>
      <w:r w:rsidR="001D025F" w:rsidRPr="00B60243">
        <w:t>FBT</w:t>
      </w:r>
      <w:proofErr w:type="spellEnd"/>
      <w:r w:rsidR="00EC1C98" w:rsidRPr="00B60243">
        <w:t xml:space="preserve"> groups</w:t>
      </w:r>
      <w:r w:rsidR="00080D4B" w:rsidRPr="00B60243">
        <w:t xml:space="preserve"> </w:t>
      </w:r>
      <w:r w:rsidR="002E4060">
        <w:t>over cycles 3 and 4. B</w:t>
      </w:r>
      <w:r w:rsidR="00080D4B" w:rsidRPr="00B60243">
        <w:t>etween 2003</w:t>
      </w:r>
      <w:r w:rsidR="00E36E7F">
        <w:noBreakHyphen/>
      </w:r>
      <w:r w:rsidR="00080D4B" w:rsidRPr="00B60243">
        <w:t>04 and 2007</w:t>
      </w:r>
      <w:r w:rsidR="00E36E7F">
        <w:noBreakHyphen/>
      </w:r>
      <w:r w:rsidR="00080D4B" w:rsidRPr="00B60243">
        <w:t>08</w:t>
      </w:r>
      <w:r w:rsidR="002E4060">
        <w:t>, in particular</w:t>
      </w:r>
      <w:r w:rsidR="00080D4B" w:rsidRPr="00B60243">
        <w:t>:</w:t>
      </w:r>
    </w:p>
    <w:p w:rsidR="008A0482" w:rsidRPr="00B60243" w:rsidRDefault="008A0482" w:rsidP="008A0482">
      <w:pPr>
        <w:pStyle w:val="ListBullet"/>
      </w:pPr>
      <w:r w:rsidRPr="00B60243">
        <w:t>Soft drink, Bakery</w:t>
      </w:r>
      <w:r w:rsidR="002D099A" w:rsidRPr="00B60243">
        <w:t>, Dairy</w:t>
      </w:r>
      <w:r w:rsidRPr="00B60243">
        <w:t xml:space="preserve"> and Meat hav</w:t>
      </w:r>
      <w:r w:rsidR="003C2118" w:rsidRPr="00B60243">
        <w:t>e increased in share</w:t>
      </w:r>
      <w:r w:rsidRPr="00B60243">
        <w:t xml:space="preserve"> </w:t>
      </w:r>
    </w:p>
    <w:p w:rsidR="00080D4B" w:rsidRPr="00B60243" w:rsidRDefault="00886CFD" w:rsidP="00080D4B">
      <w:pPr>
        <w:pStyle w:val="ListBullet"/>
      </w:pPr>
      <w:r w:rsidRPr="00B60243">
        <w:t xml:space="preserve">Seafood, Oil and fat, </w:t>
      </w:r>
      <w:r w:rsidR="00563FAB" w:rsidRPr="00B60243">
        <w:t>Grain</w:t>
      </w:r>
      <w:r w:rsidR="008A13CE" w:rsidRPr="00B60243">
        <w:t xml:space="preserve"> and </w:t>
      </w:r>
      <w:r w:rsidR="00563FAB" w:rsidRPr="00B60243">
        <w:t>cereal</w:t>
      </w:r>
      <w:r w:rsidR="006206F2" w:rsidRPr="00B60243">
        <w:t>,</w:t>
      </w:r>
      <w:r w:rsidR="00563FAB" w:rsidRPr="00B60243">
        <w:rPr>
          <w:rStyle w:val="FootnoteReference"/>
        </w:rPr>
        <w:footnoteReference w:id="7"/>
      </w:r>
      <w:r w:rsidR="00563FAB" w:rsidRPr="00B60243">
        <w:t xml:space="preserve"> </w:t>
      </w:r>
      <w:r w:rsidRPr="00B60243">
        <w:t xml:space="preserve">Fruit </w:t>
      </w:r>
      <w:r w:rsidR="001159D9" w:rsidRPr="00B60243">
        <w:t>and</w:t>
      </w:r>
      <w:r w:rsidRPr="00B60243">
        <w:t xml:space="preserve"> vegetable processing, Sugar </w:t>
      </w:r>
      <w:r w:rsidR="001159D9" w:rsidRPr="00B60243">
        <w:t>and</w:t>
      </w:r>
      <w:r w:rsidRPr="00B60243">
        <w:t xml:space="preserve"> confectionery</w:t>
      </w:r>
      <w:r w:rsidR="002847F0" w:rsidRPr="00B60243">
        <w:t>,</w:t>
      </w:r>
      <w:r w:rsidRPr="00B60243">
        <w:t xml:space="preserve"> Other food</w:t>
      </w:r>
      <w:r w:rsidR="002847F0" w:rsidRPr="00B60243">
        <w:t xml:space="preserve">, Other BT </w:t>
      </w:r>
      <w:r w:rsidR="00150621" w:rsidRPr="00B60243">
        <w:t xml:space="preserve">(including Beer) </w:t>
      </w:r>
      <w:r w:rsidR="002847F0" w:rsidRPr="00B60243">
        <w:t>and Wine</w:t>
      </w:r>
      <w:r w:rsidRPr="00B60243">
        <w:t xml:space="preserve"> </w:t>
      </w:r>
      <w:r w:rsidR="00590B4C" w:rsidRPr="00B60243">
        <w:t>have declined in share</w:t>
      </w:r>
      <w:r w:rsidR="0053482E" w:rsidRPr="00B60243">
        <w:t>.</w:t>
      </w:r>
      <w:r w:rsidRPr="00B60243">
        <w:t xml:space="preserve"> </w:t>
      </w:r>
    </w:p>
    <w:p w:rsidR="00560E1E" w:rsidRPr="00B60243" w:rsidRDefault="00560E1E" w:rsidP="00560E1E">
      <w:pPr>
        <w:pStyle w:val="BodyText"/>
      </w:pPr>
      <w:r w:rsidRPr="00B60243">
        <w:lastRenderedPageBreak/>
        <w:t xml:space="preserve">However, it is difficult to link these changes in composition with shifts in consumer preferences. The extent to which consumer preferences have changed between cycles 3 and 4 is unclear, and many of the changes between products will occur within the </w:t>
      </w:r>
      <w:proofErr w:type="spellStart"/>
      <w:r w:rsidRPr="00B60243">
        <w:t>ANZSIC</w:t>
      </w:r>
      <w:proofErr w:type="spellEnd"/>
      <w:r w:rsidRPr="00B60243">
        <w:t xml:space="preserve"> groups/classes for which data are available</w:t>
      </w:r>
      <w:r w:rsidR="00CE52ED" w:rsidRPr="00B60243">
        <w:t>, rather than between them</w:t>
      </w:r>
      <w:r w:rsidRPr="00B60243">
        <w:t xml:space="preserve">. </w:t>
      </w:r>
    </w:p>
    <w:p w:rsidR="005F73BD" w:rsidRPr="00B60243" w:rsidRDefault="005F73BD">
      <w:pPr>
        <w:pStyle w:val="FigureTitle"/>
      </w:pPr>
      <w:r w:rsidRPr="00B60243">
        <w:rPr>
          <w:b w:val="0"/>
        </w:rPr>
        <w:t xml:space="preserve">Figure </w:t>
      </w:r>
      <w:bookmarkStart w:id="18" w:name="OLE_LINK5"/>
      <w:r w:rsidR="00B072C2" w:rsidRPr="00B60243">
        <w:rPr>
          <w:b w:val="0"/>
        </w:rPr>
        <w:t>5.</w:t>
      </w:r>
      <w:r w:rsidR="002E061A">
        <w:rPr>
          <w:b w:val="0"/>
          <w:noProof/>
        </w:rPr>
        <w:t>8</w:t>
      </w:r>
      <w:bookmarkEnd w:id="18"/>
      <w:r w:rsidRPr="00B60243">
        <w:tab/>
        <w:t xml:space="preserve">Composition of nominal VA in </w:t>
      </w:r>
      <w:proofErr w:type="spellStart"/>
      <w:r w:rsidRPr="00B60243">
        <w:t>FBT</w:t>
      </w:r>
      <w:proofErr w:type="spellEnd"/>
      <w:r w:rsidRPr="00B60243">
        <w:t xml:space="preserve"> by </w:t>
      </w:r>
      <w:proofErr w:type="spellStart"/>
      <w:r w:rsidRPr="00B60243">
        <w:t>ANZSIC</w:t>
      </w:r>
      <w:proofErr w:type="spellEnd"/>
      <w:r w:rsidRPr="00B60243">
        <w:t xml:space="preserve"> group</w:t>
      </w:r>
      <w:r w:rsidRPr="00B60243">
        <w:rPr>
          <w:rStyle w:val="NoteLabel"/>
          <w:b/>
        </w:rPr>
        <w:t>a</w:t>
      </w:r>
    </w:p>
    <w:p w:rsidR="005F73BD" w:rsidRPr="00B60243" w:rsidRDefault="002716F2">
      <w:pPr>
        <w:pStyle w:val="Subtitle"/>
      </w:pPr>
      <w:r w:rsidRPr="00B60243">
        <w:t xml:space="preserve">Percentage shares </w:t>
      </w:r>
      <w:r w:rsidR="005F73BD" w:rsidRPr="00B60243">
        <w:t xml:space="preserve">of total </w:t>
      </w:r>
      <w:proofErr w:type="spellStart"/>
      <w:r w:rsidR="005F73BD" w:rsidRPr="00B60243">
        <w:t>FBT</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5155D" w:rsidRPr="00B60243">
        <w:tc>
          <w:tcPr>
            <w:tcW w:w="8777" w:type="dxa"/>
          </w:tcPr>
          <w:p w:rsidR="00F5155D" w:rsidRPr="00B60243" w:rsidRDefault="00E406E7" w:rsidP="002B2BE7">
            <w:pPr>
              <w:pStyle w:val="Figure"/>
            </w:pPr>
            <w:r>
              <w:pict>
                <v:shape id="_x0000_i1038" type="#_x0000_t75" alt="This figure shows there has been some shift in the composition of nominal VA between FBT groups between 2003-04 and 2007-08. Soft drink, Bakery, Dairy and Meat have increased in share, while the rest have declined in share. " style="width:424.45pt;height:198.4pt">
                  <v:imagedata r:id="rId23" o:title=""/>
                </v:shape>
              </w:pict>
            </w:r>
          </w:p>
        </w:tc>
      </w:tr>
    </w:tbl>
    <w:p w:rsidR="005F73BD" w:rsidRPr="00B60243" w:rsidRDefault="005F73BD">
      <w:pPr>
        <w:pStyle w:val="Note"/>
      </w:pPr>
      <w:r w:rsidRPr="00B60243">
        <w:rPr>
          <w:rStyle w:val="NoteLabel"/>
        </w:rPr>
        <w:t>a</w:t>
      </w:r>
      <w:r w:rsidRPr="00B60243">
        <w:t xml:space="preserve"> </w:t>
      </w:r>
      <w:r w:rsidR="007F0BF9" w:rsidRPr="00B60243">
        <w:t>Shaded blocks</w:t>
      </w:r>
      <w:r w:rsidRPr="00B60243">
        <w:t xml:space="preserve"> indicate break in series</w:t>
      </w:r>
      <w:r w:rsidR="00AA0662" w:rsidRPr="00B60243">
        <w:t xml:space="preserve">: </w:t>
      </w:r>
      <w:r w:rsidRPr="00B60243">
        <w:t>shift to management units in survey in 2000</w:t>
      </w:r>
      <w:r w:rsidR="00E36E7F">
        <w:noBreakHyphen/>
      </w:r>
      <w:r w:rsidRPr="00B60243">
        <w:t xml:space="preserve">01; </w:t>
      </w:r>
      <w:r w:rsidR="000F2893" w:rsidRPr="00B60243">
        <w:t>missing data for 2000</w:t>
      </w:r>
      <w:r w:rsidR="00E36E7F">
        <w:noBreakHyphen/>
      </w:r>
      <w:r w:rsidR="000F2893" w:rsidRPr="00B60243">
        <w:t xml:space="preserve">01 for Wine and Other BT, </w:t>
      </w:r>
      <w:r w:rsidR="00482E9B" w:rsidRPr="00B60243">
        <w:t xml:space="preserve">and </w:t>
      </w:r>
      <w:r w:rsidRPr="00B60243">
        <w:t xml:space="preserve">shift to </w:t>
      </w:r>
      <w:proofErr w:type="spellStart"/>
      <w:r w:rsidRPr="00B60243">
        <w:t>ANZSIC06</w:t>
      </w:r>
      <w:proofErr w:type="spellEnd"/>
      <w:r w:rsidRPr="00B60243">
        <w:t xml:space="preserve"> in 2006</w:t>
      </w:r>
      <w:r w:rsidR="00E36E7F">
        <w:noBreakHyphen/>
      </w:r>
      <w:r w:rsidRPr="00B60243">
        <w:t>07</w:t>
      </w:r>
      <w:r w:rsidR="00C62FAB" w:rsidRPr="00B60243">
        <w:t xml:space="preserve"> (which particularly affects </w:t>
      </w:r>
      <w:r w:rsidR="00474FC7" w:rsidRPr="00B60243">
        <w:t>Bakery)</w:t>
      </w:r>
      <w:r w:rsidR="00482E9B" w:rsidRPr="00B60243">
        <w:t>.</w:t>
      </w:r>
      <w:r w:rsidR="00DA673A" w:rsidRPr="00B60243">
        <w:t xml:space="preserve"> </w:t>
      </w:r>
    </w:p>
    <w:p w:rsidR="005F73BD" w:rsidRPr="00B60243" w:rsidRDefault="005F73BD">
      <w:pPr>
        <w:pStyle w:val="Source"/>
      </w:pPr>
      <w:r w:rsidRPr="00B60243">
        <w:rPr>
          <w:i/>
        </w:rPr>
        <w:t>Data source</w:t>
      </w:r>
      <w:r w:rsidR="004D1D4C" w:rsidRPr="00B60243">
        <w:rPr>
          <w:i/>
        </w:rPr>
        <w:t>s</w:t>
      </w:r>
      <w:r w:rsidRPr="00B60243">
        <w:t xml:space="preserve">: </w:t>
      </w:r>
      <w:r w:rsidR="00A96AEC" w:rsidRPr="00B60243">
        <w:t>ABS (</w:t>
      </w:r>
      <w:r w:rsidR="00A96AEC" w:rsidRPr="00B60243">
        <w:rPr>
          <w:i/>
        </w:rPr>
        <w:t xml:space="preserve">Manufacturing Industry, Australia, </w:t>
      </w:r>
      <w:r w:rsidR="004D1D4C" w:rsidRPr="00B60243">
        <w:t xml:space="preserve">various issues, </w:t>
      </w:r>
      <w:r w:rsidR="00A96AEC" w:rsidRPr="00B60243">
        <w:t>Cat. no. 8221.0</w:t>
      </w:r>
      <w:r w:rsidR="00270954" w:rsidRPr="00B60243">
        <w:t>)</w:t>
      </w:r>
      <w:r w:rsidR="00A96AEC" w:rsidRPr="00B60243">
        <w:t>;</w:t>
      </w:r>
      <w:r w:rsidR="00270954" w:rsidRPr="00B60243">
        <w:t xml:space="preserve"> </w:t>
      </w:r>
      <w:r w:rsidR="00C720AA" w:rsidRPr="00B60243">
        <w:t>ABS (</w:t>
      </w:r>
      <w:r w:rsidR="00C720AA" w:rsidRPr="00B60243">
        <w:rPr>
          <w:i/>
        </w:rPr>
        <w:t>Experimental Estimates for the Manufacturing Industry</w:t>
      </w:r>
      <w:r w:rsidR="00C720AA" w:rsidRPr="00B60243">
        <w:t xml:space="preserve">, various issues, Cat. no. 8159.0); </w:t>
      </w:r>
      <w:r w:rsidR="00270954" w:rsidRPr="00B60243">
        <w:t>ABS (</w:t>
      </w:r>
      <w:r w:rsidR="00A96AEC" w:rsidRPr="00B60243">
        <w:rPr>
          <w:i/>
        </w:rPr>
        <w:t>Australian Industry</w:t>
      </w:r>
      <w:r w:rsidR="00A96AEC" w:rsidRPr="00B60243">
        <w:t xml:space="preserve">, </w:t>
      </w:r>
      <w:r w:rsidR="004D1D4C" w:rsidRPr="00B60243">
        <w:t xml:space="preserve">various issues, </w:t>
      </w:r>
      <w:r w:rsidR="00A96AEC" w:rsidRPr="00B60243">
        <w:t>Cat. no.</w:t>
      </w:r>
      <w:r w:rsidR="00A96322" w:rsidRPr="00B60243">
        <w:t> </w:t>
      </w:r>
      <w:r w:rsidR="00A96AEC" w:rsidRPr="00B60243">
        <w:t>8155.0)</w:t>
      </w:r>
      <w:r w:rsidRPr="00B60243">
        <w:t>.</w:t>
      </w:r>
    </w:p>
    <w:p w:rsidR="00FB2E76" w:rsidRPr="00B60243" w:rsidRDefault="00FB2E76" w:rsidP="00FB2E76">
      <w:pPr>
        <w:pStyle w:val="BodyText"/>
      </w:pPr>
      <w:r w:rsidRPr="00B60243">
        <w:t xml:space="preserve">A </w:t>
      </w:r>
      <w:r w:rsidR="00CE52ED" w:rsidRPr="00B60243">
        <w:t xml:space="preserve">further </w:t>
      </w:r>
      <w:r w:rsidRPr="00B60243">
        <w:t xml:space="preserve">complicating factor is that it is difficult for measures of real output to fully reflect changes in the quality of </w:t>
      </w:r>
      <w:proofErr w:type="spellStart"/>
      <w:r w:rsidRPr="00B60243">
        <w:t>FBT</w:t>
      </w:r>
      <w:proofErr w:type="spellEnd"/>
      <w:r w:rsidRPr="00B60243">
        <w:t xml:space="preserve"> products. </w:t>
      </w:r>
      <w:r w:rsidR="009678A0">
        <w:t>R</w:t>
      </w:r>
      <w:r w:rsidR="009678A0" w:rsidRPr="00B60243">
        <w:t xml:space="preserve">eal VA growth for </w:t>
      </w:r>
      <w:proofErr w:type="spellStart"/>
      <w:r w:rsidR="009678A0" w:rsidRPr="00B60243">
        <w:t>FBT</w:t>
      </w:r>
      <w:proofErr w:type="spellEnd"/>
      <w:r w:rsidR="009678A0" w:rsidRPr="00B60243">
        <w:t xml:space="preserve"> in aggregate may be understated </w:t>
      </w:r>
      <w:r w:rsidR="009678A0">
        <w:t>if</w:t>
      </w:r>
      <w:r w:rsidRPr="00B60243">
        <w:t xml:space="preserve"> improvements in quality (including convenience) have increased over time and are not fully reflected</w:t>
      </w:r>
      <w:r w:rsidR="00CE52ED" w:rsidRPr="00B60243">
        <w:t xml:space="preserve"> in VA measurement</w:t>
      </w:r>
      <w:r w:rsidRPr="00B60243">
        <w:t xml:space="preserve"> (</w:t>
      </w:r>
      <w:r w:rsidR="00A042A4" w:rsidRPr="00B60243">
        <w:t>box </w:t>
      </w:r>
      <w:r w:rsidR="00B072C2" w:rsidRPr="00B60243">
        <w:t>5.5</w:t>
      </w:r>
      <w:r w:rsidRPr="00B60243">
        <w:t>).</w:t>
      </w:r>
    </w:p>
    <w:p w:rsidR="00B114FC" w:rsidRPr="00B60243" w:rsidRDefault="00B114FC" w:rsidP="00B114F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14FC" w:rsidRPr="009D3338" w:rsidTr="00B114FC">
        <w:tc>
          <w:tcPr>
            <w:tcW w:w="8771" w:type="dxa"/>
            <w:tcBorders>
              <w:top w:val="single" w:sz="6" w:space="0" w:color="auto"/>
              <w:bottom w:val="nil"/>
            </w:tcBorders>
          </w:tcPr>
          <w:p w:rsidR="00B114FC" w:rsidRPr="00A45007" w:rsidRDefault="00B114FC" w:rsidP="001B3F77">
            <w:pPr>
              <w:pStyle w:val="BoxTitle"/>
              <w:rPr>
                <w:rFonts w:cs="Arial"/>
                <w:sz w:val="24"/>
              </w:rPr>
            </w:pPr>
            <w:r w:rsidRPr="00A45007">
              <w:rPr>
                <w:rFonts w:cs="Arial"/>
                <w:b w:val="0"/>
                <w:sz w:val="24"/>
              </w:rPr>
              <w:t xml:space="preserve">Box </w:t>
            </w:r>
            <w:bookmarkStart w:id="19" w:name="OLE_LINK39"/>
            <w:r w:rsidR="00B072C2" w:rsidRPr="00A45007">
              <w:rPr>
                <w:rFonts w:cs="Arial"/>
                <w:b w:val="0"/>
                <w:sz w:val="24"/>
              </w:rPr>
              <w:t>5.</w:t>
            </w:r>
            <w:r w:rsidR="002E061A">
              <w:rPr>
                <w:rFonts w:cs="Arial"/>
                <w:b w:val="0"/>
                <w:noProof/>
                <w:sz w:val="24"/>
              </w:rPr>
              <w:t>5</w:t>
            </w:r>
            <w:bookmarkEnd w:id="19"/>
            <w:r w:rsidRPr="00A45007">
              <w:rPr>
                <w:rFonts w:cs="Arial"/>
                <w:sz w:val="24"/>
              </w:rPr>
              <w:tab/>
              <w:t>Issues</w:t>
            </w:r>
            <w:r w:rsidR="00AC51BA" w:rsidRPr="00A45007">
              <w:rPr>
                <w:rFonts w:cs="Arial"/>
                <w:sz w:val="24"/>
              </w:rPr>
              <w:t xml:space="preserve"> in measuring change in</w:t>
            </w:r>
            <w:r w:rsidRPr="00A45007">
              <w:rPr>
                <w:rFonts w:cs="Arial"/>
                <w:sz w:val="24"/>
              </w:rPr>
              <w:t xml:space="preserve"> </w:t>
            </w:r>
            <w:r w:rsidR="001B3F77" w:rsidRPr="00A45007">
              <w:rPr>
                <w:rFonts w:cs="Arial"/>
                <w:sz w:val="24"/>
              </w:rPr>
              <w:t xml:space="preserve">the quality of </w:t>
            </w:r>
            <w:r w:rsidR="00AC51BA" w:rsidRPr="00A45007">
              <w:rPr>
                <w:rFonts w:cs="Arial"/>
                <w:sz w:val="24"/>
              </w:rPr>
              <w:t>outpu</w:t>
            </w:r>
            <w:r w:rsidRPr="00A45007">
              <w:rPr>
                <w:rFonts w:cs="Arial"/>
                <w:sz w:val="24"/>
              </w:rPr>
              <w:t>t</w:t>
            </w:r>
          </w:p>
        </w:tc>
      </w:tr>
      <w:tr w:rsidR="00B114FC" w:rsidRPr="00B60243" w:rsidTr="00B114FC">
        <w:trPr>
          <w:cantSplit/>
        </w:trPr>
        <w:tc>
          <w:tcPr>
            <w:tcW w:w="8771" w:type="dxa"/>
            <w:tcBorders>
              <w:top w:val="nil"/>
              <w:left w:val="single" w:sz="6" w:space="0" w:color="auto"/>
              <w:bottom w:val="nil"/>
              <w:right w:val="single" w:sz="6" w:space="0" w:color="auto"/>
            </w:tcBorders>
          </w:tcPr>
          <w:p w:rsidR="008B7B57" w:rsidRPr="00B60243" w:rsidRDefault="00D25619" w:rsidP="00B114FC">
            <w:pPr>
              <w:pStyle w:val="Box"/>
            </w:pPr>
            <w:r w:rsidRPr="00B60243">
              <w:t>For</w:t>
            </w:r>
            <w:r w:rsidR="00765F98" w:rsidRPr="00B60243">
              <w:t xml:space="preserve"> the </w:t>
            </w:r>
            <w:r w:rsidRPr="00B60243">
              <w:t xml:space="preserve">purpose of measuring </w:t>
            </w:r>
            <w:r w:rsidR="00765F98" w:rsidRPr="00B60243">
              <w:t>productivity, improvements to the quality of outputs or inputs should ide</w:t>
            </w:r>
            <w:r w:rsidR="00C92343" w:rsidRPr="00B60243">
              <w:t>ally be converted into quantity</w:t>
            </w:r>
            <w:r w:rsidR="00765F98" w:rsidRPr="00B60243">
              <w:t xml:space="preserve"> changes, before MFP is estimated. Unmeasured improvements to the quality of outputs would cause </w:t>
            </w:r>
            <w:r w:rsidR="00C92343" w:rsidRPr="00B60243">
              <w:t xml:space="preserve">an understatement of the volume of output and therefore </w:t>
            </w:r>
            <w:r w:rsidRPr="00B60243">
              <w:t xml:space="preserve">measured </w:t>
            </w:r>
            <w:r w:rsidR="00765F98" w:rsidRPr="00B60243">
              <w:t xml:space="preserve">MFP </w:t>
            </w:r>
            <w:r w:rsidR="00C92343" w:rsidRPr="00B60243">
              <w:t xml:space="preserve">would </w:t>
            </w:r>
            <w:r w:rsidR="00765F98" w:rsidRPr="00B60243">
              <w:t xml:space="preserve">understate genuine improvements in productive efficiency. </w:t>
            </w:r>
          </w:p>
          <w:p w:rsidR="00B114FC" w:rsidRPr="00B60243" w:rsidRDefault="00765F98" w:rsidP="00B114FC">
            <w:pPr>
              <w:pStyle w:val="Box"/>
            </w:pPr>
            <w:r w:rsidRPr="00B60243">
              <w:t>Output volumes are ‘backed out’ from production valued at market prices. The ABS formulates price indexes for groups of products to do this</w:t>
            </w:r>
            <w:r w:rsidR="00003BC7" w:rsidRPr="00B60243">
              <w:t xml:space="preserve"> — and it</w:t>
            </w:r>
            <w:r w:rsidR="00B114FC" w:rsidRPr="00B60243">
              <w:t xml:space="preserve"> aims to take account of changes in the quality of products so that the price indexes reflect price inflation rather than payment for improved quality. This requires that products are distinguished from other similar products of lower quality. However, there are some practical limitations </w:t>
            </w:r>
            <w:r w:rsidR="00D25619" w:rsidRPr="00B60243">
              <w:t>to</w:t>
            </w:r>
            <w:r w:rsidR="00B114FC" w:rsidRPr="00B60243">
              <w:t xml:space="preserve"> this process. For example, for new products there may be a lag</w:t>
            </w:r>
            <w:r w:rsidR="00A84411" w:rsidRPr="00B60243">
              <w:t xml:space="preserve"> before </w:t>
            </w:r>
            <w:r w:rsidR="00D00408">
              <w:t xml:space="preserve">they can be </w:t>
            </w:r>
            <w:r w:rsidR="00A84411" w:rsidRPr="00B60243">
              <w:t>inclu</w:t>
            </w:r>
            <w:r w:rsidR="00D00408">
              <w:t>ded</w:t>
            </w:r>
            <w:r w:rsidR="00A84411" w:rsidRPr="00B60243">
              <w:t xml:space="preserve"> in the price index; and </w:t>
            </w:r>
            <w:r w:rsidR="006D6C7A" w:rsidRPr="00B60243">
              <w:t xml:space="preserve">with frequent changes in </w:t>
            </w:r>
            <w:r w:rsidR="001E3807" w:rsidRPr="00B60243">
              <w:t xml:space="preserve">the quality of </w:t>
            </w:r>
            <w:r w:rsidR="006D6C7A" w:rsidRPr="00B60243">
              <w:t xml:space="preserve">products it is almost impossible to adequately adjust for all quality changes (see ABS </w:t>
            </w:r>
            <w:proofErr w:type="spellStart"/>
            <w:r w:rsidR="006D6C7A" w:rsidRPr="00B60243">
              <w:t>2006</w:t>
            </w:r>
            <w:r w:rsidR="00240599">
              <w:t>a</w:t>
            </w:r>
            <w:proofErr w:type="spellEnd"/>
            <w:r w:rsidR="006D6C7A" w:rsidRPr="00B60243">
              <w:t xml:space="preserve"> for further details).</w:t>
            </w:r>
          </w:p>
          <w:p w:rsidR="003E70C1" w:rsidRPr="00B60243" w:rsidRDefault="00B114FC" w:rsidP="00AE27F8">
            <w:pPr>
              <w:pStyle w:val="Box"/>
            </w:pPr>
            <w:r w:rsidRPr="00B60243">
              <w:t>If the rate of quality chang</w:t>
            </w:r>
            <w:r w:rsidR="00FA334A" w:rsidRPr="00B60243">
              <w:t xml:space="preserve">e is </w:t>
            </w:r>
            <w:r w:rsidR="00BB2448">
              <w:t xml:space="preserve">fairly </w:t>
            </w:r>
            <w:r w:rsidR="00FA334A" w:rsidRPr="00B60243">
              <w:t xml:space="preserve">constant over time this </w:t>
            </w:r>
            <w:r w:rsidRPr="00B60243">
              <w:t xml:space="preserve">measurement </w:t>
            </w:r>
            <w:r w:rsidR="00FA334A" w:rsidRPr="00B60243">
              <w:t xml:space="preserve">issue </w:t>
            </w:r>
            <w:r w:rsidR="00AE27F8">
              <w:t>may</w:t>
            </w:r>
            <w:r w:rsidRPr="00B60243">
              <w:t xml:space="preserve"> not be a </w:t>
            </w:r>
            <w:r w:rsidR="00BB2448">
              <w:t>major influence on MFP trends, b</w:t>
            </w:r>
            <w:r w:rsidRPr="00B60243">
              <w:t>ut if the pattern of qu</w:t>
            </w:r>
            <w:r w:rsidR="00FA334A" w:rsidRPr="00B60243">
              <w:t xml:space="preserve">ality change is variable </w:t>
            </w:r>
            <w:r w:rsidR="00BB2448">
              <w:t>it</w:t>
            </w:r>
            <w:r w:rsidR="00FA334A" w:rsidRPr="00B60243">
              <w:t xml:space="preserve"> </w:t>
            </w:r>
            <w:r w:rsidRPr="00B60243">
              <w:t xml:space="preserve">may be more important. </w:t>
            </w:r>
          </w:p>
        </w:tc>
      </w:tr>
      <w:tr w:rsidR="00B114FC" w:rsidRPr="00B60243" w:rsidTr="00B114FC">
        <w:trPr>
          <w:cantSplit/>
        </w:trPr>
        <w:tc>
          <w:tcPr>
            <w:tcW w:w="8771" w:type="dxa"/>
            <w:tcBorders>
              <w:top w:val="nil"/>
              <w:left w:val="single" w:sz="6" w:space="0" w:color="auto"/>
              <w:bottom w:val="single" w:sz="6" w:space="0" w:color="auto"/>
              <w:right w:val="single" w:sz="6" w:space="0" w:color="auto"/>
            </w:tcBorders>
          </w:tcPr>
          <w:p w:rsidR="00B114FC" w:rsidRPr="00B60243" w:rsidRDefault="00B114FC" w:rsidP="00B114FC">
            <w:pPr>
              <w:pStyle w:val="Box"/>
              <w:spacing w:before="0" w:line="120" w:lineRule="exact"/>
            </w:pPr>
          </w:p>
        </w:tc>
      </w:tr>
      <w:tr w:rsidR="00B114FC" w:rsidRPr="00B60243" w:rsidTr="00B114FC">
        <w:tc>
          <w:tcPr>
            <w:tcW w:w="8771" w:type="dxa"/>
            <w:tcBorders>
              <w:top w:val="nil"/>
              <w:left w:val="nil"/>
              <w:bottom w:val="nil"/>
              <w:right w:val="nil"/>
            </w:tcBorders>
          </w:tcPr>
          <w:p w:rsidR="00B114FC" w:rsidRPr="00B60243" w:rsidRDefault="00B114FC" w:rsidP="00B114FC">
            <w:pPr>
              <w:pStyle w:val="BoxSpaceBelow"/>
            </w:pPr>
          </w:p>
        </w:tc>
      </w:tr>
    </w:tbl>
    <w:p w:rsidR="00E5528D" w:rsidRPr="00B60243" w:rsidRDefault="00B114FC" w:rsidP="00725A4C">
      <w:pPr>
        <w:pStyle w:val="Heading5"/>
        <w:rPr>
          <w:b/>
        </w:rPr>
      </w:pPr>
      <w:r w:rsidRPr="00B60243">
        <w:t>Tradeoff between</w:t>
      </w:r>
      <w:r w:rsidR="009B2A94" w:rsidRPr="00B60243">
        <w:t xml:space="preserve"> productivity and profitability</w:t>
      </w:r>
      <w:r w:rsidR="00E5528D" w:rsidRPr="00B60243">
        <w:t xml:space="preserve"> </w:t>
      </w:r>
      <w:r w:rsidR="00D00408">
        <w:t xml:space="preserve">is </w:t>
      </w:r>
      <w:r w:rsidR="00E5528D" w:rsidRPr="00B60243">
        <w:t>difficult to establish with available data</w:t>
      </w:r>
    </w:p>
    <w:p w:rsidR="00B114FC" w:rsidRPr="00B60243" w:rsidRDefault="00FE7580" w:rsidP="00B114FC">
      <w:pPr>
        <w:pStyle w:val="BodyText"/>
      </w:pPr>
      <w:r w:rsidRPr="00B60243">
        <w:t>As discussed in chapter 2, a</w:t>
      </w:r>
      <w:r w:rsidR="00087D2D" w:rsidRPr="00B60243">
        <w:t xml:space="preserve">n </w:t>
      </w:r>
      <w:r w:rsidR="009B2A94" w:rsidRPr="00B60243">
        <w:t xml:space="preserve">increase in profitability concurrent with a decline in MFP </w:t>
      </w:r>
      <w:r w:rsidRPr="00B60243">
        <w:t xml:space="preserve">for an industry sector or subsector </w:t>
      </w:r>
      <w:r w:rsidR="008323F4" w:rsidRPr="00B60243">
        <w:t xml:space="preserve">may indicate that there </w:t>
      </w:r>
      <w:r w:rsidR="00AB50ED" w:rsidRPr="00B60243">
        <w:t>wa</w:t>
      </w:r>
      <w:r w:rsidR="008323F4" w:rsidRPr="00B60243">
        <w:t xml:space="preserve">s </w:t>
      </w:r>
      <w:r w:rsidR="009B2A94" w:rsidRPr="00B60243">
        <w:t xml:space="preserve">some shift in </w:t>
      </w:r>
      <w:r w:rsidR="00DC3FED" w:rsidRPr="00B60243">
        <w:t xml:space="preserve">the </w:t>
      </w:r>
      <w:r w:rsidR="009B2A94" w:rsidRPr="00B60243">
        <w:t xml:space="preserve">composition of </w:t>
      </w:r>
      <w:r w:rsidRPr="00B60243">
        <w:t>output</w:t>
      </w:r>
      <w:r w:rsidR="009B2A94" w:rsidRPr="00B60243">
        <w:t xml:space="preserve"> towards products with lower </w:t>
      </w:r>
      <w:r w:rsidR="008C0DCD" w:rsidRPr="00B60243">
        <w:t xml:space="preserve">measured </w:t>
      </w:r>
      <w:r w:rsidR="009B2A94" w:rsidRPr="00B60243">
        <w:t>productivity levels but higher levels of profitability</w:t>
      </w:r>
      <w:r w:rsidR="00AD5857" w:rsidRPr="00B60243">
        <w:t xml:space="preserve">. </w:t>
      </w:r>
    </w:p>
    <w:p w:rsidR="00B114FC" w:rsidRPr="00B60243" w:rsidRDefault="00EC08A9" w:rsidP="00B114FC">
      <w:pPr>
        <w:pStyle w:val="BodyText"/>
      </w:pPr>
      <w:r w:rsidRPr="00B60243">
        <w:t>F</w:t>
      </w:r>
      <w:r w:rsidR="00C84980" w:rsidRPr="00B60243">
        <w:t xml:space="preserve">or </w:t>
      </w:r>
      <w:proofErr w:type="spellStart"/>
      <w:r w:rsidR="00C84980" w:rsidRPr="00B60243">
        <w:t>FBT</w:t>
      </w:r>
      <w:proofErr w:type="spellEnd"/>
      <w:r w:rsidR="00C84980" w:rsidRPr="00B60243">
        <w:t xml:space="preserve"> in aggregate</w:t>
      </w:r>
      <w:r w:rsidR="00041C7B" w:rsidRPr="00B60243">
        <w:t>, however,</w:t>
      </w:r>
      <w:r w:rsidR="00C84980" w:rsidRPr="00B60243">
        <w:t xml:space="preserve"> there i</w:t>
      </w:r>
      <w:r w:rsidR="009A4E58" w:rsidRPr="00B60243">
        <w:t xml:space="preserve">s </w:t>
      </w:r>
      <w:r w:rsidR="008970A9" w:rsidRPr="00B60243">
        <w:t xml:space="preserve">no consistent relationship between change in </w:t>
      </w:r>
      <w:r w:rsidR="00AE27F8" w:rsidRPr="00B60243">
        <w:t xml:space="preserve">productivity </w:t>
      </w:r>
      <w:r w:rsidR="00AE27F8">
        <w:t xml:space="preserve">and </w:t>
      </w:r>
      <w:r w:rsidR="008970A9" w:rsidRPr="00B60243">
        <w:t xml:space="preserve">profitability (ratio of profit to capital stock) over the longer term (figure </w:t>
      </w:r>
      <w:r w:rsidR="00B072C2" w:rsidRPr="00B60243">
        <w:t>5.9</w:t>
      </w:r>
      <w:r w:rsidR="008970A9" w:rsidRPr="00B60243">
        <w:t xml:space="preserve">). </w:t>
      </w:r>
      <w:r w:rsidR="00AB50ED" w:rsidRPr="00B60243">
        <w:t xml:space="preserve">And </w:t>
      </w:r>
      <w:r w:rsidR="008970A9" w:rsidRPr="00B60243">
        <w:t xml:space="preserve">there is also </w:t>
      </w:r>
      <w:r w:rsidR="009A4E58" w:rsidRPr="00B60243">
        <w:t xml:space="preserve">no </w:t>
      </w:r>
      <w:r w:rsidR="00CD30A9" w:rsidRPr="00B60243">
        <w:t>clear relationship</w:t>
      </w:r>
      <w:r w:rsidR="007D365D" w:rsidRPr="00B60243">
        <w:rPr>
          <w:rStyle w:val="FootnoteReference"/>
        </w:rPr>
        <w:footnoteReference w:id="8"/>
      </w:r>
      <w:r w:rsidR="00CD30A9" w:rsidRPr="00B60243">
        <w:t xml:space="preserve"> </w:t>
      </w:r>
      <w:r w:rsidR="00AB50ED" w:rsidRPr="00B60243">
        <w:t xml:space="preserve">over cycle 4 </w:t>
      </w:r>
      <w:r w:rsidR="00CD30A9" w:rsidRPr="00B60243">
        <w:t>between productivity</w:t>
      </w:r>
      <w:r w:rsidR="00D224C6" w:rsidRPr="00B60243">
        <w:t xml:space="preserve"> and profitability (which is </w:t>
      </w:r>
      <w:r w:rsidR="00AD5857" w:rsidRPr="00B60243">
        <w:t xml:space="preserve">more </w:t>
      </w:r>
      <w:r w:rsidR="00D224C6" w:rsidRPr="00B60243">
        <w:t>volatile)</w:t>
      </w:r>
      <w:r w:rsidR="007D365D" w:rsidRPr="00B60243">
        <w:t>.</w:t>
      </w:r>
      <w:r w:rsidR="00B114FC" w:rsidRPr="00B60243">
        <w:t xml:space="preserve"> </w:t>
      </w:r>
      <w:r w:rsidRPr="00B60243">
        <w:t>Th</w:t>
      </w:r>
      <w:r w:rsidR="00DF3FBF" w:rsidRPr="00B60243">
        <w:t>es</w:t>
      </w:r>
      <w:r w:rsidR="000143C8" w:rsidRPr="00B60243">
        <w:t>e</w:t>
      </w:r>
      <w:r w:rsidRPr="00B60243">
        <w:t xml:space="preserve"> aggregate measure</w:t>
      </w:r>
      <w:r w:rsidR="00DF3FBF" w:rsidRPr="00B60243">
        <w:t>s</w:t>
      </w:r>
      <w:r w:rsidRPr="00B60243">
        <w:t xml:space="preserve"> may conceal offsetting effects across different parts of </w:t>
      </w:r>
      <w:proofErr w:type="spellStart"/>
      <w:r w:rsidRPr="00B60243">
        <w:t>FBT</w:t>
      </w:r>
      <w:proofErr w:type="spellEnd"/>
      <w:r w:rsidRPr="00B60243">
        <w:t>. However, i</w:t>
      </w:r>
      <w:r w:rsidR="000C5522" w:rsidRPr="00B60243">
        <w:t>nsufficient data are availab</w:t>
      </w:r>
      <w:r w:rsidRPr="00B60243">
        <w:t xml:space="preserve">le </w:t>
      </w:r>
      <w:r w:rsidR="00DF3FBF" w:rsidRPr="00B60243">
        <w:t xml:space="preserve">with which </w:t>
      </w:r>
      <w:r w:rsidRPr="00B60243">
        <w:t xml:space="preserve">to examine profitability over time for groups within </w:t>
      </w:r>
      <w:proofErr w:type="spellStart"/>
      <w:r w:rsidRPr="00B60243">
        <w:t>FBT</w:t>
      </w:r>
      <w:proofErr w:type="spellEnd"/>
      <w:r w:rsidRPr="00B60243">
        <w:t>.</w:t>
      </w:r>
    </w:p>
    <w:p w:rsidR="004D2A95" w:rsidRPr="00B60243" w:rsidRDefault="00B114FC" w:rsidP="00B114FC">
      <w:pPr>
        <w:pStyle w:val="FigureTitle"/>
        <w:rPr>
          <w:rStyle w:val="NoteLabel"/>
          <w:b/>
        </w:rPr>
      </w:pPr>
      <w:r w:rsidRPr="00B60243">
        <w:rPr>
          <w:b w:val="0"/>
        </w:rPr>
        <w:lastRenderedPageBreak/>
        <w:t xml:space="preserve">Figure </w:t>
      </w:r>
      <w:bookmarkStart w:id="20" w:name="OLE_LINK21"/>
      <w:r w:rsidR="00B072C2" w:rsidRPr="00B60243">
        <w:rPr>
          <w:b w:val="0"/>
        </w:rPr>
        <w:t>5.</w:t>
      </w:r>
      <w:r w:rsidR="002E061A">
        <w:rPr>
          <w:b w:val="0"/>
          <w:noProof/>
        </w:rPr>
        <w:t>9</w:t>
      </w:r>
      <w:bookmarkEnd w:id="20"/>
      <w:r w:rsidRPr="00B60243">
        <w:tab/>
      </w:r>
      <w:proofErr w:type="spellStart"/>
      <w:r w:rsidRPr="00B60243">
        <w:rPr>
          <w:bCs/>
        </w:rPr>
        <w:t>FBT</w:t>
      </w:r>
      <w:proofErr w:type="spellEnd"/>
      <w:r w:rsidRPr="00B60243">
        <w:rPr>
          <w:bCs/>
        </w:rPr>
        <w:t xml:space="preserve"> MFP and </w:t>
      </w:r>
      <w:r w:rsidR="004D2A95" w:rsidRPr="00B60243">
        <w:rPr>
          <w:bCs/>
        </w:rPr>
        <w:t>profitability</w:t>
      </w:r>
      <w:r w:rsidR="00FC6801" w:rsidRPr="00B60243">
        <w:rPr>
          <w:rStyle w:val="NoteLabel"/>
          <w:b/>
        </w:rPr>
        <w:t>a</w:t>
      </w:r>
    </w:p>
    <w:p w:rsidR="00B114FC" w:rsidRPr="00B60243" w:rsidRDefault="004D2A95" w:rsidP="004D2A95">
      <w:pPr>
        <w:pStyle w:val="Subtitle"/>
      </w:pPr>
      <w:r w:rsidRPr="00B60243">
        <w:rPr>
          <w:bCs/>
        </w:rPr>
        <w:t>Index 2009</w:t>
      </w:r>
      <w:r w:rsidR="00E36E7F">
        <w:rPr>
          <w:bCs/>
        </w:rPr>
        <w:noBreakHyphen/>
      </w:r>
      <w:r w:rsidRPr="00B60243">
        <w:rPr>
          <w:bCs/>
        </w:rPr>
        <w:t>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B7605" w:rsidRPr="00B60243" w:rsidTr="00B114FC">
        <w:tc>
          <w:tcPr>
            <w:tcW w:w="8777" w:type="dxa"/>
          </w:tcPr>
          <w:p w:rsidR="00FB7605" w:rsidRPr="00B60243" w:rsidRDefault="00E406E7" w:rsidP="0069779C">
            <w:pPr>
              <w:pStyle w:val="Figure"/>
              <w:spacing w:before="0" w:after="0"/>
            </w:pPr>
            <w:r>
              <w:pict>
                <v:shape id="_x0000_i1039" type="#_x0000_t75" alt="This figure shows that for FBT in aggregate there is no consistent relationship between change in profitability (ratio of profit to capital stock) and in productivity in the period 1985-86 to 2009-10. Over cycle 4 there is also no clear relationship between productivity and profitability (which is more volatile)." style="width:424.45pt;height:198.4pt">
                  <v:imagedata r:id="rId24" o:title=""/>
                </v:shape>
              </w:pict>
            </w:r>
          </w:p>
        </w:tc>
      </w:tr>
    </w:tbl>
    <w:p w:rsidR="00B114FC" w:rsidRPr="00B60243" w:rsidRDefault="00B114FC" w:rsidP="00B114FC">
      <w:pPr>
        <w:pStyle w:val="Note"/>
      </w:pPr>
      <w:r w:rsidRPr="00B60243">
        <w:rPr>
          <w:rStyle w:val="NoteLabel"/>
        </w:rPr>
        <w:t>a</w:t>
      </w:r>
      <w:r w:rsidRPr="00B60243">
        <w:t xml:space="preserve"> Profits based on company profits only (does not include unincorporated </w:t>
      </w:r>
      <w:r w:rsidR="00EC0761" w:rsidRPr="00B60243">
        <w:t xml:space="preserve">businesses with </w:t>
      </w:r>
      <w:r w:rsidR="00321FF9" w:rsidRPr="00B60243">
        <w:t>fewer</w:t>
      </w:r>
      <w:r w:rsidR="00EC0761" w:rsidRPr="00B60243">
        <w:t xml:space="preserve"> than 20</w:t>
      </w:r>
      <w:r w:rsidR="002C37F1">
        <w:t> </w:t>
      </w:r>
      <w:r w:rsidR="00EC0761" w:rsidRPr="00B60243">
        <w:t>employees</w:t>
      </w:r>
      <w:r w:rsidRPr="00B60243">
        <w:t>)</w:t>
      </w:r>
      <w:r w:rsidR="00EC0761" w:rsidRPr="00B60243">
        <w:t xml:space="preserve">, while the capital stock is for all </w:t>
      </w:r>
      <w:proofErr w:type="spellStart"/>
      <w:r w:rsidR="00EC0761" w:rsidRPr="00B60243">
        <w:t>FBT</w:t>
      </w:r>
      <w:proofErr w:type="spellEnd"/>
      <w:r w:rsidR="00EC0761" w:rsidRPr="00B60243">
        <w:t xml:space="preserve"> manufacturers. </w:t>
      </w:r>
      <w:r w:rsidR="00573334" w:rsidRPr="00B60243">
        <w:t xml:space="preserve">However, the trend is not likely to be materially altered by this exclusion. </w:t>
      </w:r>
      <w:r w:rsidR="00EC0761" w:rsidRPr="00B60243">
        <w:t>ABS business count data (</w:t>
      </w:r>
      <w:r w:rsidR="000D37EC" w:rsidRPr="00B60243">
        <w:rPr>
          <w:i/>
        </w:rPr>
        <w:t>Counts of Australian Businesses, including Entries and Exits, Jun</w:t>
      </w:r>
      <w:r w:rsidR="00F63EED" w:rsidRPr="00B60243">
        <w:rPr>
          <w:i/>
        </w:rPr>
        <w:t>e</w:t>
      </w:r>
      <w:r w:rsidR="000D37EC" w:rsidRPr="00B60243">
        <w:rPr>
          <w:i/>
        </w:rPr>
        <w:t xml:space="preserve"> 2003 to Jun</w:t>
      </w:r>
      <w:r w:rsidR="00F63EED" w:rsidRPr="00B60243">
        <w:rPr>
          <w:i/>
        </w:rPr>
        <w:t>e</w:t>
      </w:r>
      <w:r w:rsidR="000D37EC" w:rsidRPr="00B60243">
        <w:rPr>
          <w:i/>
        </w:rPr>
        <w:t xml:space="preserve"> 2007</w:t>
      </w:r>
      <w:r w:rsidR="000D37EC" w:rsidRPr="00B60243">
        <w:t xml:space="preserve">, </w:t>
      </w:r>
      <w:r w:rsidR="00EC0761" w:rsidRPr="00B60243">
        <w:t xml:space="preserve">Cat. no. 8165.0) suggest that unincorporated businesses are </w:t>
      </w:r>
      <w:r w:rsidR="00573334" w:rsidRPr="00B60243">
        <w:t xml:space="preserve">only </w:t>
      </w:r>
      <w:r w:rsidR="00EC0761" w:rsidRPr="00B60243">
        <w:t>around 10</w:t>
      </w:r>
      <w:r w:rsidR="00E36E7F">
        <w:noBreakHyphen/>
      </w:r>
      <w:r w:rsidR="00EC0761" w:rsidRPr="00B60243">
        <w:t xml:space="preserve">15 per cent of businesses in </w:t>
      </w:r>
      <w:proofErr w:type="spellStart"/>
      <w:r w:rsidR="00EC0761" w:rsidRPr="00B60243">
        <w:t>FBT</w:t>
      </w:r>
      <w:proofErr w:type="spellEnd"/>
      <w:r w:rsidR="00EC0761" w:rsidRPr="00B60243">
        <w:t xml:space="preserve"> over cycle 4.</w:t>
      </w:r>
      <w:r w:rsidR="00573334" w:rsidRPr="00B60243">
        <w:t xml:space="preserve"> And a</w:t>
      </w:r>
      <w:r w:rsidR="00EC0761" w:rsidRPr="00B60243">
        <w:t xml:space="preserve">n alternative measure of profit </w:t>
      </w:r>
      <w:r w:rsidR="001104D8" w:rsidRPr="00B60243">
        <w:t xml:space="preserve">from ABS </w:t>
      </w:r>
      <w:r w:rsidR="000D37EC" w:rsidRPr="00B60243">
        <w:t>(</w:t>
      </w:r>
      <w:r w:rsidR="001104D8" w:rsidRPr="00B60243">
        <w:t>Cat.</w:t>
      </w:r>
      <w:r w:rsidR="002C37F1">
        <w:t> </w:t>
      </w:r>
      <w:r w:rsidR="001104D8" w:rsidRPr="00B60243">
        <w:t>no. 5676.0</w:t>
      </w:r>
      <w:r w:rsidR="000D37EC" w:rsidRPr="00B60243">
        <w:t>)</w:t>
      </w:r>
      <w:r w:rsidR="001104D8" w:rsidRPr="00B60243">
        <w:t xml:space="preserve"> which includes imputed profits for unincorporated businesses — gross operating surplus — shows a similar trend to company profits.</w:t>
      </w:r>
      <w:r w:rsidR="00EC0761" w:rsidRPr="00B60243">
        <w:t xml:space="preserve"> </w:t>
      </w:r>
    </w:p>
    <w:p w:rsidR="00B114FC" w:rsidRPr="00B60243" w:rsidRDefault="00B114FC" w:rsidP="00B114FC">
      <w:pPr>
        <w:pStyle w:val="Source"/>
      </w:pPr>
      <w:r w:rsidRPr="00B60243">
        <w:rPr>
          <w:i/>
        </w:rPr>
        <w:t>Data source</w:t>
      </w:r>
      <w:r w:rsidR="00270954" w:rsidRPr="00B60243">
        <w:rPr>
          <w:i/>
        </w:rPr>
        <w:t>s</w:t>
      </w:r>
      <w:r w:rsidRPr="00B60243">
        <w:t xml:space="preserve">: </w:t>
      </w:r>
      <w:r w:rsidR="004D1D4C" w:rsidRPr="00B60243">
        <w:t>A</w:t>
      </w:r>
      <w:r w:rsidRPr="00B60243">
        <w:t>uthors’ estimates; ABS (</w:t>
      </w:r>
      <w:r w:rsidR="00A96AEC" w:rsidRPr="00B60243">
        <w:rPr>
          <w:i/>
        </w:rPr>
        <w:t>Business Indicators, Australia,</w:t>
      </w:r>
      <w:r w:rsidR="006C3CAB" w:rsidRPr="00B60243">
        <w:rPr>
          <w:i/>
        </w:rPr>
        <w:t xml:space="preserve"> June 2011, </w:t>
      </w:r>
      <w:r w:rsidRPr="00B60243">
        <w:t>Cat. no.</w:t>
      </w:r>
      <w:r w:rsidR="004D1D4C" w:rsidRPr="00B60243">
        <w:t> </w:t>
      </w:r>
      <w:r w:rsidRPr="00B60243">
        <w:t>5676.0)</w:t>
      </w:r>
      <w:r w:rsidR="00EC0761" w:rsidRPr="00B60243">
        <w:t>.</w:t>
      </w:r>
    </w:p>
    <w:p w:rsidR="000A4890" w:rsidRPr="00B60243" w:rsidRDefault="009C46F4" w:rsidP="008631B6">
      <w:pPr>
        <w:pStyle w:val="Heading4"/>
      </w:pPr>
      <w:r w:rsidRPr="00B60243">
        <w:t xml:space="preserve">Declining </w:t>
      </w:r>
      <w:r w:rsidR="00CA2C71" w:rsidRPr="00B60243">
        <w:t>net exports</w:t>
      </w:r>
      <w:r w:rsidRPr="00B60243">
        <w:t xml:space="preserve"> </w:t>
      </w:r>
      <w:r w:rsidR="00597328" w:rsidRPr="00B60243">
        <w:t xml:space="preserve">in </w:t>
      </w:r>
      <w:proofErr w:type="spellStart"/>
      <w:r w:rsidR="00597328" w:rsidRPr="00B60243">
        <w:t>FBT</w:t>
      </w:r>
      <w:proofErr w:type="spellEnd"/>
      <w:r w:rsidR="00597328" w:rsidRPr="00B60243">
        <w:t xml:space="preserve"> products </w:t>
      </w:r>
      <w:r w:rsidR="00252D53" w:rsidRPr="00B60243">
        <w:t>and</w:t>
      </w:r>
      <w:r w:rsidR="00BA36A9" w:rsidRPr="00B60243">
        <w:t xml:space="preserve"> lower</w:t>
      </w:r>
      <w:r w:rsidR="00597328" w:rsidRPr="00B60243">
        <w:t xml:space="preserve"> VA growth</w:t>
      </w:r>
    </w:p>
    <w:p w:rsidR="00363720" w:rsidRPr="00B60243" w:rsidRDefault="00363720" w:rsidP="00363720">
      <w:pPr>
        <w:pStyle w:val="BodyText"/>
        <w:rPr>
          <w:iCs/>
        </w:rPr>
      </w:pPr>
      <w:r w:rsidRPr="00B60243">
        <w:rPr>
          <w:iCs/>
        </w:rPr>
        <w:t>T</w:t>
      </w:r>
      <w:r w:rsidR="0049045F" w:rsidRPr="00B60243">
        <w:rPr>
          <w:iCs/>
        </w:rPr>
        <w:t xml:space="preserve">he </w:t>
      </w:r>
      <w:r w:rsidRPr="00B60243">
        <w:rPr>
          <w:iCs/>
        </w:rPr>
        <w:t>declin</w:t>
      </w:r>
      <w:r w:rsidR="00FE753B" w:rsidRPr="00B60243">
        <w:rPr>
          <w:iCs/>
        </w:rPr>
        <w:t xml:space="preserve">e in </w:t>
      </w:r>
      <w:r w:rsidR="008B60AF" w:rsidRPr="00B60243">
        <w:rPr>
          <w:iCs/>
        </w:rPr>
        <w:t xml:space="preserve">net exports of </w:t>
      </w:r>
      <w:proofErr w:type="spellStart"/>
      <w:r w:rsidR="0049045F" w:rsidRPr="00B60243">
        <w:rPr>
          <w:iCs/>
        </w:rPr>
        <w:t>FBT</w:t>
      </w:r>
      <w:proofErr w:type="spellEnd"/>
      <w:r w:rsidR="0049045F" w:rsidRPr="00B60243">
        <w:rPr>
          <w:iCs/>
        </w:rPr>
        <w:t xml:space="preserve"> </w:t>
      </w:r>
      <w:r w:rsidR="008B60AF" w:rsidRPr="00B60243">
        <w:rPr>
          <w:iCs/>
        </w:rPr>
        <w:t>products</w:t>
      </w:r>
      <w:r w:rsidRPr="00B60243">
        <w:rPr>
          <w:iCs/>
        </w:rPr>
        <w:t xml:space="preserve"> </w:t>
      </w:r>
      <w:r w:rsidR="00FE753B" w:rsidRPr="00B60243">
        <w:rPr>
          <w:iCs/>
        </w:rPr>
        <w:t>(</w:t>
      </w:r>
      <w:r w:rsidRPr="00B60243">
        <w:rPr>
          <w:iCs/>
        </w:rPr>
        <w:t xml:space="preserve">as noted </w:t>
      </w:r>
      <w:r w:rsidR="006B2E04" w:rsidRPr="00B60243">
        <w:rPr>
          <w:iCs/>
        </w:rPr>
        <w:t>in figure</w:t>
      </w:r>
      <w:r w:rsidR="00335D6A" w:rsidRPr="00B60243">
        <w:rPr>
          <w:iCs/>
        </w:rPr>
        <w:t xml:space="preserve"> </w:t>
      </w:r>
      <w:r w:rsidR="00335D6A" w:rsidRPr="00B60243">
        <w:t>5.5</w:t>
      </w:r>
      <w:r w:rsidR="00FE753B" w:rsidRPr="00B60243">
        <w:rPr>
          <w:iCs/>
        </w:rPr>
        <w:t>)</w:t>
      </w:r>
      <w:r w:rsidRPr="00B60243">
        <w:rPr>
          <w:iCs/>
        </w:rPr>
        <w:t xml:space="preserve"> </w:t>
      </w:r>
      <w:r w:rsidR="005755F5" w:rsidRPr="00B60243">
        <w:rPr>
          <w:iCs/>
        </w:rPr>
        <w:t>was</w:t>
      </w:r>
      <w:r w:rsidR="0049045F" w:rsidRPr="00B60243">
        <w:rPr>
          <w:iCs/>
        </w:rPr>
        <w:t xml:space="preserve"> the </w:t>
      </w:r>
      <w:r w:rsidR="00FE753B" w:rsidRPr="00B60243">
        <w:rPr>
          <w:iCs/>
        </w:rPr>
        <w:t>result</w:t>
      </w:r>
      <w:r w:rsidR="0049045F" w:rsidRPr="00B60243">
        <w:rPr>
          <w:iCs/>
        </w:rPr>
        <w:t xml:space="preserve"> of </w:t>
      </w:r>
      <w:r w:rsidR="006B2E04" w:rsidRPr="00B60243">
        <w:rPr>
          <w:iCs/>
        </w:rPr>
        <w:t xml:space="preserve">both </w:t>
      </w:r>
      <w:r w:rsidR="00FE753B" w:rsidRPr="00B60243">
        <w:rPr>
          <w:iCs/>
        </w:rPr>
        <w:t>a decline in</w:t>
      </w:r>
      <w:r w:rsidR="0049045F" w:rsidRPr="00B60243">
        <w:rPr>
          <w:iCs/>
        </w:rPr>
        <w:t xml:space="preserve"> e</w:t>
      </w:r>
      <w:r w:rsidR="00FE753B" w:rsidRPr="00B60243">
        <w:rPr>
          <w:iCs/>
        </w:rPr>
        <w:t xml:space="preserve">xports </w:t>
      </w:r>
      <w:r w:rsidR="005B457F" w:rsidRPr="00B60243">
        <w:rPr>
          <w:iCs/>
        </w:rPr>
        <w:t xml:space="preserve">and </w:t>
      </w:r>
      <w:r w:rsidR="00FE753B" w:rsidRPr="00B60243">
        <w:rPr>
          <w:iCs/>
        </w:rPr>
        <w:t xml:space="preserve">an </w:t>
      </w:r>
      <w:r w:rsidR="0049045F" w:rsidRPr="00B60243">
        <w:rPr>
          <w:iCs/>
        </w:rPr>
        <w:t>increase</w:t>
      </w:r>
      <w:r w:rsidR="00FE753B" w:rsidRPr="00B60243">
        <w:rPr>
          <w:iCs/>
        </w:rPr>
        <w:t xml:space="preserve"> in </w:t>
      </w:r>
      <w:r w:rsidR="0049045F" w:rsidRPr="00B60243">
        <w:rPr>
          <w:iCs/>
        </w:rPr>
        <w:t>impo</w:t>
      </w:r>
      <w:r w:rsidR="00BC7A8E" w:rsidRPr="00B60243">
        <w:rPr>
          <w:iCs/>
        </w:rPr>
        <w:t xml:space="preserve">rts </w:t>
      </w:r>
      <w:r w:rsidR="0049045F" w:rsidRPr="00B60243">
        <w:rPr>
          <w:iCs/>
        </w:rPr>
        <w:t>(figure</w:t>
      </w:r>
      <w:r w:rsidR="005B457F" w:rsidRPr="00B60243">
        <w:rPr>
          <w:iCs/>
        </w:rPr>
        <w:t xml:space="preserve"> </w:t>
      </w:r>
      <w:r w:rsidR="00B072C2" w:rsidRPr="00B60243">
        <w:t>5.10</w:t>
      </w:r>
      <w:r w:rsidR="0049045F" w:rsidRPr="00B60243">
        <w:rPr>
          <w:iCs/>
        </w:rPr>
        <w:t>).</w:t>
      </w:r>
      <w:r w:rsidR="005B457F" w:rsidRPr="00B60243">
        <w:rPr>
          <w:iCs/>
        </w:rPr>
        <w:t xml:space="preserve"> </w:t>
      </w:r>
      <w:r w:rsidR="00BA36A9" w:rsidRPr="00B60243">
        <w:rPr>
          <w:iCs/>
        </w:rPr>
        <w:t>Over cycle 4, e</w:t>
      </w:r>
      <w:r w:rsidRPr="00B60243">
        <w:rPr>
          <w:iCs/>
        </w:rPr>
        <w:t>xport volumes fell by an average of 1.4 per cent a year</w:t>
      </w:r>
      <w:r w:rsidR="00BA36A9" w:rsidRPr="00B60243">
        <w:rPr>
          <w:iCs/>
        </w:rPr>
        <w:t xml:space="preserve">, while </w:t>
      </w:r>
      <w:r w:rsidR="00D9491A" w:rsidRPr="00B60243">
        <w:rPr>
          <w:iCs/>
        </w:rPr>
        <w:t>import volume</w:t>
      </w:r>
      <w:r w:rsidR="00BA36A9" w:rsidRPr="00B60243">
        <w:rPr>
          <w:iCs/>
        </w:rPr>
        <w:t xml:space="preserve">s grew at </w:t>
      </w:r>
      <w:r w:rsidR="00D9491A" w:rsidRPr="00B60243">
        <w:rPr>
          <w:iCs/>
        </w:rPr>
        <w:t xml:space="preserve">9.4 per cent a year. </w:t>
      </w:r>
      <w:r w:rsidRPr="00B60243">
        <w:rPr>
          <w:iCs/>
        </w:rPr>
        <w:t>(</w:t>
      </w:r>
      <w:r w:rsidR="00D9491A" w:rsidRPr="00B60243">
        <w:rPr>
          <w:iCs/>
        </w:rPr>
        <w:t xml:space="preserve">This compares </w:t>
      </w:r>
      <w:r w:rsidR="00BA36A9" w:rsidRPr="00B60243">
        <w:rPr>
          <w:iCs/>
        </w:rPr>
        <w:t>with</w:t>
      </w:r>
      <w:r w:rsidR="00D9491A" w:rsidRPr="00B60243">
        <w:rPr>
          <w:iCs/>
        </w:rPr>
        <w:t xml:space="preserve"> </w:t>
      </w:r>
      <w:r w:rsidRPr="00B60243">
        <w:rPr>
          <w:iCs/>
        </w:rPr>
        <w:t xml:space="preserve">positive </w:t>
      </w:r>
      <w:r w:rsidR="00D9491A" w:rsidRPr="00B60243">
        <w:rPr>
          <w:iCs/>
        </w:rPr>
        <w:t xml:space="preserve">export </w:t>
      </w:r>
      <w:r w:rsidRPr="00B60243">
        <w:rPr>
          <w:iCs/>
        </w:rPr>
        <w:t xml:space="preserve">growth </w:t>
      </w:r>
      <w:r w:rsidR="00D9491A" w:rsidRPr="00B60243">
        <w:rPr>
          <w:iCs/>
        </w:rPr>
        <w:t xml:space="preserve">of </w:t>
      </w:r>
      <w:r w:rsidRPr="00B60243">
        <w:rPr>
          <w:iCs/>
        </w:rPr>
        <w:t xml:space="preserve">4.6 per cent a year </w:t>
      </w:r>
      <w:r w:rsidR="00D9491A" w:rsidRPr="00B60243">
        <w:rPr>
          <w:iCs/>
        </w:rPr>
        <w:t>and slower import growth of 7.9 per cent a year</w:t>
      </w:r>
      <w:r w:rsidR="00BA36A9" w:rsidRPr="00B60243">
        <w:rPr>
          <w:iCs/>
        </w:rPr>
        <w:t xml:space="preserve"> over cycle 3</w:t>
      </w:r>
      <w:r w:rsidRPr="00B60243">
        <w:rPr>
          <w:iCs/>
        </w:rPr>
        <w:t>)</w:t>
      </w:r>
      <w:r w:rsidR="006B2E04" w:rsidRPr="00B60243">
        <w:rPr>
          <w:iCs/>
        </w:rPr>
        <w:t>.</w:t>
      </w:r>
      <w:r w:rsidRPr="00B60243">
        <w:rPr>
          <w:iCs/>
        </w:rPr>
        <w:t xml:space="preserve"> </w:t>
      </w:r>
      <w:r w:rsidR="00E1235E" w:rsidRPr="00B60243">
        <w:rPr>
          <w:iCs/>
        </w:rPr>
        <w:t xml:space="preserve">These changes contributed to the slowdown in VA growth over cycle 4. </w:t>
      </w:r>
      <w:r w:rsidRPr="00B60243">
        <w:rPr>
          <w:iCs/>
        </w:rPr>
        <w:t xml:space="preserve">In the incomplete cycle, which included the </w:t>
      </w:r>
      <w:r w:rsidR="00705563" w:rsidRPr="00B60243">
        <w:rPr>
          <w:iCs/>
        </w:rPr>
        <w:t>global financial crisis</w:t>
      </w:r>
      <w:r w:rsidRPr="00B60243">
        <w:rPr>
          <w:iCs/>
        </w:rPr>
        <w:t>, exports continued to contract and imports continued to grow (</w:t>
      </w:r>
      <w:r w:rsidR="00DF3FBF" w:rsidRPr="00B60243">
        <w:rPr>
          <w:iCs/>
        </w:rPr>
        <w:t xml:space="preserve">albeit </w:t>
      </w:r>
      <w:r w:rsidRPr="00B60243">
        <w:rPr>
          <w:iCs/>
        </w:rPr>
        <w:t>at a slower rate)</w:t>
      </w:r>
      <w:r w:rsidR="005755F5" w:rsidRPr="00B60243">
        <w:rPr>
          <w:iCs/>
        </w:rPr>
        <w:t xml:space="preserve">, </w:t>
      </w:r>
      <w:r w:rsidR="00D53EA6" w:rsidRPr="00B60243">
        <w:rPr>
          <w:iCs/>
        </w:rPr>
        <w:t>but</w:t>
      </w:r>
      <w:r w:rsidR="005755F5" w:rsidRPr="00B60243">
        <w:rPr>
          <w:iCs/>
        </w:rPr>
        <w:t xml:space="preserve"> </w:t>
      </w:r>
      <w:r w:rsidR="00A91D2B" w:rsidRPr="00B60243">
        <w:rPr>
          <w:iCs/>
        </w:rPr>
        <w:t xml:space="preserve">average </w:t>
      </w:r>
      <w:r w:rsidR="005755F5" w:rsidRPr="00B60243">
        <w:rPr>
          <w:iCs/>
        </w:rPr>
        <w:t>VA growth</w:t>
      </w:r>
      <w:r w:rsidR="004178A3" w:rsidRPr="00B60243">
        <w:rPr>
          <w:iCs/>
        </w:rPr>
        <w:t xml:space="preserve"> increased</w:t>
      </w:r>
      <w:r w:rsidRPr="00B60243">
        <w:rPr>
          <w:iCs/>
        </w:rPr>
        <w:t xml:space="preserve">. </w:t>
      </w:r>
    </w:p>
    <w:p w:rsidR="00DF7E98" w:rsidRPr="00B60243" w:rsidRDefault="00DF7E98" w:rsidP="00DF7E98">
      <w:pPr>
        <w:pStyle w:val="BodyText"/>
      </w:pPr>
      <w:r w:rsidRPr="00B60243">
        <w:t>The</w:t>
      </w:r>
      <w:r w:rsidR="00DF3FBF" w:rsidRPr="00B60243">
        <w:t>se trends are consistent with the</w:t>
      </w:r>
      <w:r w:rsidRPr="00B60243">
        <w:t xml:space="preserve"> OECD </w:t>
      </w:r>
      <w:r w:rsidR="00DF3FBF" w:rsidRPr="00B60243">
        <w:t>reporting</w:t>
      </w:r>
      <w:r w:rsidRPr="00B60243">
        <w:t xml:space="preserve"> a decline in Australia’s revealed comparative advantage</w:t>
      </w:r>
      <w:r w:rsidRPr="00B60243">
        <w:rPr>
          <w:rStyle w:val="FootnoteReference"/>
        </w:rPr>
        <w:footnoteReference w:id="9"/>
      </w:r>
      <w:r w:rsidRPr="00B60243">
        <w:t xml:space="preserve"> in </w:t>
      </w:r>
      <w:proofErr w:type="spellStart"/>
      <w:r w:rsidRPr="00B60243">
        <w:t>FBT</w:t>
      </w:r>
      <w:proofErr w:type="spellEnd"/>
      <w:r w:rsidRPr="00B60243">
        <w:t xml:space="preserve"> manufacturing over the </w:t>
      </w:r>
      <w:proofErr w:type="spellStart"/>
      <w:r w:rsidRPr="00B60243">
        <w:t>2000s</w:t>
      </w:r>
      <w:proofErr w:type="spellEnd"/>
      <w:r w:rsidRPr="00B60243">
        <w:t>, particularly from 2005 to 2008 (</w:t>
      </w:r>
      <w:proofErr w:type="spellStart"/>
      <w:r w:rsidRPr="00B60243">
        <w:t>OECD</w:t>
      </w:r>
      <w:r w:rsidR="00AC3A83" w:rsidRPr="00B60243">
        <w:t>.S</w:t>
      </w:r>
      <w:r w:rsidRPr="00B60243">
        <w:t>tat</w:t>
      </w:r>
      <w:proofErr w:type="spellEnd"/>
      <w:r w:rsidRPr="00B60243">
        <w:t xml:space="preserve"> 2013). </w:t>
      </w:r>
    </w:p>
    <w:p w:rsidR="00EF4CFC" w:rsidRPr="00B60243" w:rsidRDefault="00EF4CFC" w:rsidP="00EF4CFC">
      <w:pPr>
        <w:pStyle w:val="FigureTitle"/>
      </w:pPr>
      <w:r w:rsidRPr="00B60243">
        <w:rPr>
          <w:b w:val="0"/>
        </w:rPr>
        <w:lastRenderedPageBreak/>
        <w:t xml:space="preserve">Figure </w:t>
      </w:r>
      <w:bookmarkStart w:id="21" w:name="OLE_LINK9"/>
      <w:r w:rsidR="00B072C2" w:rsidRPr="00B60243">
        <w:rPr>
          <w:b w:val="0"/>
        </w:rPr>
        <w:t>5.</w:t>
      </w:r>
      <w:r w:rsidR="002E061A">
        <w:rPr>
          <w:b w:val="0"/>
          <w:noProof/>
        </w:rPr>
        <w:t>10</w:t>
      </w:r>
      <w:bookmarkEnd w:id="21"/>
      <w:r w:rsidRPr="00B60243">
        <w:tab/>
      </w:r>
      <w:proofErr w:type="spellStart"/>
      <w:r w:rsidRPr="00B60243">
        <w:t>FBT</w:t>
      </w:r>
      <w:proofErr w:type="spellEnd"/>
      <w:r w:rsidRPr="00B60243">
        <w:t xml:space="preserve"> imports</w:t>
      </w:r>
      <w:r w:rsidR="0031150A" w:rsidRPr="00B60243">
        <w:t xml:space="preserve"> and </w:t>
      </w:r>
      <w:r w:rsidRPr="00B60243">
        <w:t>exports</w:t>
      </w:r>
      <w:r w:rsidR="007009B4" w:rsidRPr="00B60243">
        <w:rPr>
          <w:rStyle w:val="NoteLabel"/>
          <w:b/>
        </w:rPr>
        <w:t>a</w:t>
      </w:r>
    </w:p>
    <w:p w:rsidR="00EF4CFC" w:rsidRPr="00B60243" w:rsidRDefault="00DF47B6" w:rsidP="00EF4CFC">
      <w:pPr>
        <w:pStyle w:val="Subtitle"/>
      </w:pPr>
      <w:r w:rsidRPr="00B60243">
        <w:t>200</w:t>
      </w:r>
      <w:r w:rsidR="004F2B73" w:rsidRPr="00B60243">
        <w:t>9</w:t>
      </w:r>
      <w:r w:rsidR="00E36E7F">
        <w:noBreakHyphen/>
      </w:r>
      <w:r w:rsidR="004F2B73" w:rsidRPr="00B60243">
        <w:t>10</w:t>
      </w:r>
      <w:r w:rsidR="00437125">
        <w:t xml:space="preserve"> </w:t>
      </w:r>
      <w:r w:rsidR="00437125" w:rsidRPr="00B60243">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4CFC" w:rsidRPr="00B60243" w:rsidTr="002A0A43">
        <w:tc>
          <w:tcPr>
            <w:tcW w:w="8777" w:type="dxa"/>
          </w:tcPr>
          <w:p w:rsidR="00EF4CFC" w:rsidRPr="00B60243" w:rsidRDefault="00E406E7" w:rsidP="002A0A43">
            <w:pPr>
              <w:pStyle w:val="Figure"/>
              <w:spacing w:before="0" w:after="0"/>
            </w:pPr>
            <w:r>
              <w:pict>
                <v:shape id="_x0000_i1040" type="#_x0000_t75" alt="This figure shows that the rapid decline in FBT net exports during cycle 4 and beyond was the result of both a decline in exports and an increase in imports. While Australia remains a net exporter of FBT manufactures, the volumes of FBT exports and imports is converging." style="width:424.45pt;height:198.4pt">
                  <v:imagedata r:id="rId25" o:title=""/>
                </v:shape>
              </w:pict>
            </w:r>
          </w:p>
        </w:tc>
      </w:tr>
    </w:tbl>
    <w:p w:rsidR="007009B4" w:rsidRPr="00B60243" w:rsidRDefault="007009B4" w:rsidP="007009B4">
      <w:pPr>
        <w:pStyle w:val="Note"/>
        <w:spacing w:before="40"/>
      </w:pPr>
      <w:r w:rsidRPr="00B60243">
        <w:rPr>
          <w:rStyle w:val="NoteLabel"/>
        </w:rPr>
        <w:t>a</w:t>
      </w:r>
      <w:r w:rsidRPr="00B60243">
        <w:rPr>
          <w:iCs/>
        </w:rPr>
        <w:t xml:space="preserve"> </w:t>
      </w:r>
      <w:r w:rsidRPr="00B60243">
        <w:t xml:space="preserve">Due to </w:t>
      </w:r>
      <w:proofErr w:type="spellStart"/>
      <w:r w:rsidRPr="00B60243">
        <w:t>ANZSIC</w:t>
      </w:r>
      <w:proofErr w:type="spellEnd"/>
      <w:r w:rsidRPr="00B60243">
        <w:t xml:space="preserve"> classification changes, there is a break in series </w:t>
      </w:r>
      <w:r w:rsidR="00A66B61">
        <w:t>between 2005</w:t>
      </w:r>
      <w:r w:rsidR="00E36E7F">
        <w:noBreakHyphen/>
      </w:r>
      <w:r w:rsidR="00A66B61">
        <w:t xml:space="preserve">06 and </w:t>
      </w:r>
      <w:r w:rsidRPr="00B60243">
        <w:t>2006</w:t>
      </w:r>
      <w:r w:rsidR="00E36E7F">
        <w:noBreakHyphen/>
      </w:r>
      <w:r w:rsidRPr="00B60243">
        <w:t xml:space="preserve">07. </w:t>
      </w:r>
    </w:p>
    <w:p w:rsidR="007009B4" w:rsidRPr="00B60243" w:rsidRDefault="007009B4" w:rsidP="007009B4">
      <w:pPr>
        <w:pStyle w:val="Source"/>
        <w:spacing w:after="0"/>
      </w:pPr>
      <w:r w:rsidRPr="00B60243">
        <w:rPr>
          <w:i/>
        </w:rPr>
        <w:t>Data source</w:t>
      </w:r>
      <w:r w:rsidR="00270954" w:rsidRPr="00B60243">
        <w:rPr>
          <w:i/>
        </w:rPr>
        <w:t>s</w:t>
      </w:r>
      <w:r w:rsidRPr="00B60243">
        <w:t>: Authors’ estimates based on ABS (</w:t>
      </w:r>
      <w:r w:rsidRPr="00B60243">
        <w:rPr>
          <w:i/>
        </w:rPr>
        <w:t xml:space="preserve">International Trade in Goods and Services, Australia, </w:t>
      </w:r>
      <w:r w:rsidR="00300840" w:rsidRPr="00B60243">
        <w:t>various issues</w:t>
      </w:r>
      <w:r w:rsidRPr="00B60243">
        <w:t>, Cat. no. 5368.0)</w:t>
      </w:r>
      <w:r w:rsidR="003F78C4" w:rsidRPr="00B60243">
        <w:t>;</w:t>
      </w:r>
      <w:r w:rsidR="006C1B9B" w:rsidRPr="00B60243">
        <w:t xml:space="preserve"> and</w:t>
      </w:r>
      <w:r w:rsidRPr="00B60243">
        <w:t xml:space="preserve"> ABS (</w:t>
      </w:r>
      <w:r w:rsidRPr="00B60243">
        <w:rPr>
          <w:i/>
        </w:rPr>
        <w:t xml:space="preserve">International Trade Price Indexes, </w:t>
      </w:r>
      <w:r w:rsidR="00300840" w:rsidRPr="00B60243">
        <w:t>various issues</w:t>
      </w:r>
      <w:r w:rsidR="00AD1065" w:rsidRPr="00B60243">
        <w:rPr>
          <w:i/>
        </w:rPr>
        <w:t>,</w:t>
      </w:r>
      <w:r w:rsidR="00AD1065" w:rsidRPr="00B60243">
        <w:t xml:space="preserve"> </w:t>
      </w:r>
      <w:r w:rsidRPr="00B60243">
        <w:t>Cat. no. 6457.0).</w:t>
      </w:r>
    </w:p>
    <w:p w:rsidR="00A246F9" w:rsidRPr="00B60243" w:rsidRDefault="001B3F6B" w:rsidP="0078323E">
      <w:pPr>
        <w:pStyle w:val="BodyText"/>
        <w:rPr>
          <w:b/>
        </w:rPr>
      </w:pPr>
      <w:r w:rsidRPr="00B60243">
        <w:t xml:space="preserve">Within </w:t>
      </w:r>
      <w:proofErr w:type="spellStart"/>
      <w:r w:rsidRPr="00B60243">
        <w:t>FBT</w:t>
      </w:r>
      <w:proofErr w:type="spellEnd"/>
      <w:r w:rsidRPr="00B60243">
        <w:t xml:space="preserve"> manufacturing</w:t>
      </w:r>
      <w:r w:rsidR="004F0479" w:rsidRPr="00B60243">
        <w:t>,</w:t>
      </w:r>
      <w:r w:rsidRPr="00B60243">
        <w:t xml:space="preserve"> t</w:t>
      </w:r>
      <w:r w:rsidR="0032429E" w:rsidRPr="00B60243">
        <w:t xml:space="preserve">rade </w:t>
      </w:r>
      <w:r w:rsidR="00216D3D" w:rsidRPr="00B60243">
        <w:t>performance</w:t>
      </w:r>
      <w:r w:rsidR="0032429E" w:rsidRPr="00B60243">
        <w:t xml:space="preserve"> var</w:t>
      </w:r>
      <w:r w:rsidR="002307BE" w:rsidRPr="00B60243">
        <w:t>ied</w:t>
      </w:r>
      <w:r w:rsidR="0032429E" w:rsidRPr="00B60243">
        <w:t xml:space="preserve"> considerably</w:t>
      </w:r>
      <w:r w:rsidR="004F0479" w:rsidRPr="00B60243">
        <w:t xml:space="preserve">. </w:t>
      </w:r>
      <w:r w:rsidR="00B27BC5" w:rsidRPr="00B60243">
        <w:t>T</w:t>
      </w:r>
      <w:r w:rsidR="002E444E" w:rsidRPr="00B60243">
        <w:t xml:space="preserve">he largest declines in </w:t>
      </w:r>
      <w:r w:rsidR="00D24032" w:rsidRPr="00B60243">
        <w:t>net exports</w:t>
      </w:r>
      <w:r w:rsidR="002E444E" w:rsidRPr="00B60243">
        <w:t xml:space="preserve"> </w:t>
      </w:r>
      <w:r w:rsidR="00B27BC5" w:rsidRPr="00B60243">
        <w:t>(in nominal terms</w:t>
      </w:r>
      <w:r w:rsidR="00B27BC5" w:rsidRPr="00B60243">
        <w:rPr>
          <w:rStyle w:val="FootnoteReference"/>
        </w:rPr>
        <w:footnoteReference w:id="10"/>
      </w:r>
      <w:r w:rsidR="00B27BC5" w:rsidRPr="00B60243">
        <w:t xml:space="preserve">) </w:t>
      </w:r>
      <w:r w:rsidR="002E444E" w:rsidRPr="00B60243">
        <w:t>were in beverages, processed seafood, processed fruit and vegetables and other food (which includes sugar</w:t>
      </w:r>
      <w:r w:rsidR="000B025C">
        <w:t xml:space="preserve"> and </w:t>
      </w:r>
      <w:r w:rsidR="002E444E" w:rsidRPr="00B60243">
        <w:t>confectionery</w:t>
      </w:r>
      <w:r w:rsidR="000B025C">
        <w:t>,</w:t>
      </w:r>
      <w:r w:rsidR="002E444E" w:rsidRPr="00B60243">
        <w:t xml:space="preserve"> and other food n</w:t>
      </w:r>
      <w:r w:rsidR="00994F5D" w:rsidRPr="00B60243">
        <w:t xml:space="preserve">ot </w:t>
      </w:r>
      <w:r w:rsidR="002E444E" w:rsidRPr="00B60243">
        <w:t>e</w:t>
      </w:r>
      <w:r w:rsidR="00994F5D" w:rsidRPr="00B60243">
        <w:t xml:space="preserve">lsewhere </w:t>
      </w:r>
      <w:r w:rsidR="002E444E" w:rsidRPr="00B60243">
        <w:t>c</w:t>
      </w:r>
      <w:r w:rsidR="00994F5D" w:rsidRPr="00B60243">
        <w:t>lassified</w:t>
      </w:r>
      <w:r w:rsidR="002E444E" w:rsidRPr="00B60243">
        <w:t>)</w:t>
      </w:r>
      <w:r w:rsidR="00B27BC5" w:rsidRPr="00B60243">
        <w:t xml:space="preserve"> (figure </w:t>
      </w:r>
      <w:r w:rsidR="00B072C2" w:rsidRPr="00B60243">
        <w:t>5.11</w:t>
      </w:r>
      <w:r w:rsidR="00B27BC5" w:rsidRPr="00B60243">
        <w:t>).</w:t>
      </w:r>
      <w:r w:rsidR="002E444E" w:rsidRPr="00B60243">
        <w:t xml:space="preserve"> These are </w:t>
      </w:r>
      <w:proofErr w:type="spellStart"/>
      <w:r w:rsidR="002E444E" w:rsidRPr="00B60243">
        <w:t>FBT</w:t>
      </w:r>
      <w:proofErr w:type="spellEnd"/>
      <w:r w:rsidR="007A4CA3" w:rsidRPr="00B60243">
        <w:t xml:space="preserve"> groups identified as havin</w:t>
      </w:r>
      <w:r w:rsidR="003D1F3D">
        <w:t xml:space="preserve">g lower VA growth over cycle 4 </w:t>
      </w:r>
      <w:r w:rsidR="007A4CA3" w:rsidRPr="00B60243">
        <w:t>compared with cycle 3</w:t>
      </w:r>
      <w:r w:rsidR="00AF2E95" w:rsidRPr="00B60243">
        <w:t>.</w:t>
      </w:r>
      <w:r w:rsidRPr="00B60243">
        <w:t xml:space="preserve"> </w:t>
      </w:r>
      <w:r w:rsidR="00A246F9" w:rsidRPr="00B60243">
        <w:t xml:space="preserve">In </w:t>
      </w:r>
      <w:r w:rsidR="00824B47" w:rsidRPr="00B60243">
        <w:t xml:space="preserve">most </w:t>
      </w:r>
      <w:r w:rsidR="00A246F9" w:rsidRPr="00B60243">
        <w:t xml:space="preserve">of these cases it was </w:t>
      </w:r>
      <w:r w:rsidR="00824B47" w:rsidRPr="00B60243">
        <w:t xml:space="preserve">higher imports rather than lower exports </w:t>
      </w:r>
      <w:r w:rsidR="00994F5D" w:rsidRPr="00B60243">
        <w:t xml:space="preserve">that </w:t>
      </w:r>
      <w:r w:rsidR="00A246F9" w:rsidRPr="00B60243">
        <w:t>contributed mo</w:t>
      </w:r>
      <w:r w:rsidR="00E75585" w:rsidRPr="00B60243">
        <w:t>re</w:t>
      </w:r>
      <w:r w:rsidR="00A246F9" w:rsidRPr="00B60243">
        <w:t xml:space="preserve"> to the decline in </w:t>
      </w:r>
      <w:r w:rsidR="00D24032" w:rsidRPr="00B60243">
        <w:t>net exports</w:t>
      </w:r>
      <w:r w:rsidR="00A246F9" w:rsidRPr="00B60243">
        <w:t xml:space="preserve"> — only in </w:t>
      </w:r>
      <w:r w:rsidR="00E75585" w:rsidRPr="00B60243">
        <w:t>S</w:t>
      </w:r>
      <w:r w:rsidR="00A246F9" w:rsidRPr="00B60243">
        <w:t xml:space="preserve">eafood </w:t>
      </w:r>
      <w:r w:rsidR="00766D7F" w:rsidRPr="00B60243">
        <w:t xml:space="preserve">was </w:t>
      </w:r>
      <w:r w:rsidR="004F0479" w:rsidRPr="00B60243">
        <w:t>there a large decline in</w:t>
      </w:r>
      <w:r w:rsidR="00766D7F" w:rsidRPr="00B60243">
        <w:t xml:space="preserve"> </w:t>
      </w:r>
      <w:r w:rsidR="00A246F9" w:rsidRPr="00B60243">
        <w:t xml:space="preserve">exports. </w:t>
      </w:r>
      <w:r w:rsidR="00BF3A62" w:rsidRPr="00B60243">
        <w:t>By contrast</w:t>
      </w:r>
      <w:r w:rsidR="00994F5D" w:rsidRPr="00B60243">
        <w:t>,</w:t>
      </w:r>
      <w:r w:rsidR="00BF3A62" w:rsidRPr="00B60243">
        <w:t xml:space="preserve"> </w:t>
      </w:r>
      <w:r w:rsidR="00CA2C71" w:rsidRPr="00B60243">
        <w:t>net exports</w:t>
      </w:r>
      <w:r w:rsidR="00BF3A62" w:rsidRPr="00B60243">
        <w:t xml:space="preserve"> increased in </w:t>
      </w:r>
      <w:r w:rsidR="00A246F9" w:rsidRPr="00B60243">
        <w:t>Meat</w:t>
      </w:r>
      <w:r w:rsidR="00994F5D" w:rsidRPr="00B60243">
        <w:t xml:space="preserve"> (which had increases in exports in excess of the increase in imports). </w:t>
      </w:r>
      <w:r w:rsidR="00371BD9" w:rsidRPr="00B60243">
        <w:t>Th</w:t>
      </w:r>
      <w:r w:rsidR="00371BD9">
        <w:t>is</w:t>
      </w:r>
      <w:r w:rsidR="00371BD9" w:rsidRPr="00B60243">
        <w:t xml:space="preserve"> </w:t>
      </w:r>
      <w:proofErr w:type="spellStart"/>
      <w:r w:rsidR="00994F5D" w:rsidRPr="00B60243">
        <w:t>FBT</w:t>
      </w:r>
      <w:proofErr w:type="spellEnd"/>
      <w:r w:rsidR="00994F5D" w:rsidRPr="00B60243">
        <w:t xml:space="preserve"> group </w:t>
      </w:r>
      <w:r w:rsidR="00A246F9" w:rsidRPr="00B60243">
        <w:t>had higher VA growth over c</w:t>
      </w:r>
      <w:r w:rsidR="003D1F3D">
        <w:t>ycle 4 compared with cycle 3</w:t>
      </w:r>
      <w:r w:rsidR="00766D7F" w:rsidRPr="00B60243">
        <w:t xml:space="preserve">. </w:t>
      </w:r>
    </w:p>
    <w:p w:rsidR="00AF2E95" w:rsidRPr="00B60243" w:rsidRDefault="00AF2E95" w:rsidP="006045F3">
      <w:pPr>
        <w:pStyle w:val="FigureTitle"/>
        <w:spacing w:before="0" w:after="40"/>
      </w:pPr>
      <w:r w:rsidRPr="00B60243">
        <w:rPr>
          <w:b w:val="0"/>
        </w:rPr>
        <w:lastRenderedPageBreak/>
        <w:t xml:space="preserve">Figure </w:t>
      </w:r>
      <w:bookmarkStart w:id="22" w:name="OLE_LINK1"/>
      <w:r w:rsidR="00B072C2" w:rsidRPr="00B60243">
        <w:rPr>
          <w:b w:val="0"/>
        </w:rPr>
        <w:t>5.</w:t>
      </w:r>
      <w:r w:rsidR="002E061A">
        <w:rPr>
          <w:b w:val="0"/>
          <w:noProof/>
        </w:rPr>
        <w:t>11</w:t>
      </w:r>
      <w:bookmarkEnd w:id="22"/>
      <w:r w:rsidRPr="00B60243">
        <w:tab/>
      </w:r>
      <w:r w:rsidR="002432AD" w:rsidRPr="00B60243">
        <w:t>Net exports</w:t>
      </w:r>
      <w:r w:rsidRPr="00B60243">
        <w:t xml:space="preserve"> by </w:t>
      </w:r>
      <w:proofErr w:type="spellStart"/>
      <w:r w:rsidRPr="00B60243">
        <w:t>FBT</w:t>
      </w:r>
      <w:proofErr w:type="spellEnd"/>
      <w:r w:rsidRPr="00B60243">
        <w:t xml:space="preserve"> </w:t>
      </w:r>
      <w:r w:rsidR="00CC6C71" w:rsidRPr="00B60243">
        <w:t xml:space="preserve">product </w:t>
      </w:r>
      <w:r w:rsidRPr="00B60243">
        <w:t>group</w:t>
      </w:r>
      <w:r w:rsidR="00F71F5E" w:rsidRPr="00B60243">
        <w:rPr>
          <w:rStyle w:val="NoteLabel"/>
          <w:b/>
        </w:rPr>
        <w:t>a</w:t>
      </w:r>
    </w:p>
    <w:p w:rsidR="00AF2E95" w:rsidRPr="00B60243" w:rsidRDefault="00A246F9">
      <w:pPr>
        <w:pStyle w:val="Subtitle"/>
      </w:pPr>
      <w:r w:rsidRPr="00B60243">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A372B" w:rsidRPr="002A372B">
        <w:tc>
          <w:tcPr>
            <w:tcW w:w="8777" w:type="dxa"/>
          </w:tcPr>
          <w:p w:rsidR="002A372B" w:rsidRPr="002A372B" w:rsidRDefault="002A372B" w:rsidP="00036D13">
            <w:pPr>
              <w:pStyle w:val="Figure"/>
              <w:spacing w:line="160" w:lineRule="atLeast"/>
              <w:rPr>
                <w:i/>
                <w:sz w:val="22"/>
                <w:szCs w:val="22"/>
              </w:rPr>
            </w:pPr>
            <w:r w:rsidRPr="002A372B">
              <w:rPr>
                <w:i/>
                <w:sz w:val="22"/>
                <w:szCs w:val="22"/>
              </w:rPr>
              <w:t>Declining net exports over cycle 4</w:t>
            </w:r>
          </w:p>
        </w:tc>
      </w:tr>
      <w:tr w:rsidR="00AF2E95" w:rsidRPr="00B60243">
        <w:tc>
          <w:tcPr>
            <w:tcW w:w="8777" w:type="dxa"/>
          </w:tcPr>
          <w:p w:rsidR="00AF2E95" w:rsidRPr="00B60243" w:rsidRDefault="00E406E7" w:rsidP="00AE0257">
            <w:pPr>
              <w:pStyle w:val="Figure"/>
              <w:spacing w:before="0" w:after="0" w:line="160" w:lineRule="atLeast"/>
            </w:pPr>
            <w:r>
              <w:pict>
                <v:shape id="_x0000_i1041" type="#_x0000_t75" alt="This figures comprises two charts. The first chart shows the FBT product groups with declining net exports over cycle 4. The largest declines in net exports, in nominal terms, were in beverages, processed seafood, processed fruit and vegetables and other food. The second chart shows that net exports increased over cycle 4 in Meat product groups. " style="width:424.45pt;height:198.4pt">
                  <v:imagedata r:id="rId26" o:title=""/>
                </v:shape>
              </w:pict>
            </w:r>
          </w:p>
        </w:tc>
      </w:tr>
      <w:tr w:rsidR="002A372B" w:rsidRPr="00B60243">
        <w:tc>
          <w:tcPr>
            <w:tcW w:w="8777" w:type="dxa"/>
          </w:tcPr>
          <w:p w:rsidR="002A372B" w:rsidRPr="002A372B" w:rsidRDefault="002A372B" w:rsidP="00AE0257">
            <w:pPr>
              <w:pStyle w:val="Figure"/>
              <w:spacing w:before="240" w:line="160" w:lineRule="atLeast"/>
              <w:rPr>
                <w:sz w:val="22"/>
                <w:szCs w:val="22"/>
              </w:rPr>
            </w:pPr>
            <w:r w:rsidRPr="002A372B">
              <w:rPr>
                <w:i/>
                <w:sz w:val="22"/>
                <w:szCs w:val="22"/>
              </w:rPr>
              <w:t>Relatively stable or increasing net exports over cycle 4</w:t>
            </w:r>
          </w:p>
        </w:tc>
      </w:tr>
      <w:tr w:rsidR="005C6F51" w:rsidRPr="00B60243">
        <w:tc>
          <w:tcPr>
            <w:tcW w:w="8777" w:type="dxa"/>
          </w:tcPr>
          <w:p w:rsidR="005C6F51" w:rsidRPr="00B60243" w:rsidRDefault="00E406E7" w:rsidP="00AE0257">
            <w:pPr>
              <w:pStyle w:val="Figure"/>
              <w:spacing w:before="0" w:after="0" w:line="160" w:lineRule="atLeast"/>
            </w:pPr>
            <w:r>
              <w:pict>
                <v:shape id="_x0000_i1042" type="#_x0000_t75" alt="This figures comprises two charts. The first chart shows the FBT product groups with declining net exports over cycle 4. The largest declines in net exports, in nominal terms, were in beverages, processed seafood, processed fruit and vegetables and other food. The second chart shows that net exports increased over cycle 4 in Meat product groups. " style="width:424.45pt;height:198.4pt">
                  <v:imagedata r:id="rId27" o:title=""/>
                </v:shape>
              </w:pict>
            </w:r>
          </w:p>
        </w:tc>
      </w:tr>
    </w:tbl>
    <w:p w:rsidR="00AF2E95" w:rsidRPr="00B60243" w:rsidRDefault="00AF2E95" w:rsidP="00086416">
      <w:pPr>
        <w:pStyle w:val="Note"/>
      </w:pPr>
      <w:r w:rsidRPr="00B60243">
        <w:rPr>
          <w:rStyle w:val="NoteLabel"/>
        </w:rPr>
        <w:t>a</w:t>
      </w:r>
      <w:r w:rsidRPr="00B60243">
        <w:t xml:space="preserve"> </w:t>
      </w:r>
      <w:r w:rsidR="002432AD" w:rsidRPr="00B60243">
        <w:t xml:space="preserve">Nominal exports less nominal imports. </w:t>
      </w:r>
      <w:r w:rsidR="00F71F5E" w:rsidRPr="00B60243">
        <w:t xml:space="preserve">Trade classification </w:t>
      </w:r>
      <w:r w:rsidR="00944D3F" w:rsidRPr="00B60243">
        <w:t xml:space="preserve">used here differs from </w:t>
      </w:r>
      <w:proofErr w:type="spellStart"/>
      <w:r w:rsidR="00944D3F" w:rsidRPr="00B60243">
        <w:t>ANZSIC</w:t>
      </w:r>
      <w:proofErr w:type="spellEnd"/>
      <w:r w:rsidR="00944D3F" w:rsidRPr="00B60243">
        <w:t xml:space="preserve"> classification used elsewhere in chapter. Exports are classified according to the Australian Harmonised Export Classification and imports are classified according the Harmonised Tariff Item Statistical Code (see DAFF</w:t>
      </w:r>
      <w:r w:rsidR="006C1332">
        <w:t> </w:t>
      </w:r>
      <w:proofErr w:type="spellStart"/>
      <w:r w:rsidR="00944D3F" w:rsidRPr="00B60243">
        <w:t>2005a</w:t>
      </w:r>
      <w:proofErr w:type="spellEnd"/>
      <w:r w:rsidR="00944D3F" w:rsidRPr="00B60243">
        <w:t>, p.</w:t>
      </w:r>
      <w:r w:rsidR="00E36E7F">
        <w:t> </w:t>
      </w:r>
      <w:r w:rsidR="00944D3F" w:rsidRPr="00B60243">
        <w:t>35 for details)</w:t>
      </w:r>
      <w:r w:rsidR="00F71F5E" w:rsidRPr="00B60243">
        <w:t xml:space="preserve">. </w:t>
      </w:r>
    </w:p>
    <w:p w:rsidR="00A74BA3" w:rsidRPr="00B60243" w:rsidRDefault="00AF2E95" w:rsidP="00086416">
      <w:pPr>
        <w:pStyle w:val="Source"/>
      </w:pPr>
      <w:r w:rsidRPr="00B60243">
        <w:rPr>
          <w:i/>
        </w:rPr>
        <w:t>Data source</w:t>
      </w:r>
      <w:r w:rsidR="00E31785" w:rsidRPr="00B60243">
        <w:rPr>
          <w:i/>
        </w:rPr>
        <w:t>s</w:t>
      </w:r>
      <w:r w:rsidRPr="00B60243">
        <w:t xml:space="preserve">: </w:t>
      </w:r>
      <w:r w:rsidR="00AD1065" w:rsidRPr="00B60243">
        <w:t>Authors’ estimates based on</w:t>
      </w:r>
      <w:r w:rsidR="00A74BA3" w:rsidRPr="00B60243">
        <w:t xml:space="preserve"> DAFF (</w:t>
      </w:r>
      <w:r w:rsidR="007D22EC" w:rsidRPr="00B60243">
        <w:t>2002, 200</w:t>
      </w:r>
      <w:r w:rsidR="00D010F2" w:rsidRPr="00B60243">
        <w:t>8</w:t>
      </w:r>
      <w:r w:rsidR="007D22EC" w:rsidRPr="00B60243">
        <w:t>, 2013</w:t>
      </w:r>
      <w:r w:rsidR="00A74BA3" w:rsidRPr="00B60243">
        <w:t>).</w:t>
      </w:r>
      <w:r w:rsidR="003526F9" w:rsidRPr="00B60243">
        <w:t xml:space="preserve"> </w:t>
      </w:r>
    </w:p>
    <w:p w:rsidR="00816114" w:rsidRPr="00B60243" w:rsidRDefault="009C719F" w:rsidP="00816114">
      <w:pPr>
        <w:pStyle w:val="BodyText"/>
      </w:pPr>
      <w:r w:rsidRPr="00B60243">
        <w:t xml:space="preserve">To the extent that </w:t>
      </w:r>
      <w:r w:rsidR="0050062B" w:rsidRPr="00B60243">
        <w:t xml:space="preserve">changes in trade differ across </w:t>
      </w:r>
      <w:r w:rsidRPr="00B60243">
        <w:t xml:space="preserve">particular </w:t>
      </w:r>
      <w:proofErr w:type="spellStart"/>
      <w:r w:rsidR="0050062B" w:rsidRPr="00B60243">
        <w:t>FBT</w:t>
      </w:r>
      <w:proofErr w:type="spellEnd"/>
      <w:r w:rsidR="0050062B" w:rsidRPr="00B60243">
        <w:t xml:space="preserve"> </w:t>
      </w:r>
      <w:r w:rsidRPr="00B60243">
        <w:t xml:space="preserve">product groups, </w:t>
      </w:r>
      <w:r w:rsidR="0050062B" w:rsidRPr="00B60243">
        <w:t>th</w:t>
      </w:r>
      <w:r w:rsidR="0005447C">
        <w:t>e overall</w:t>
      </w:r>
      <w:r w:rsidR="0050062B" w:rsidRPr="00B60243">
        <w:t xml:space="preserve"> decrease in net exports will affect the </w:t>
      </w:r>
      <w:r w:rsidRPr="00B60243">
        <w:t xml:space="preserve">composition of domestic </w:t>
      </w:r>
      <w:proofErr w:type="spellStart"/>
      <w:r w:rsidRPr="00B60243">
        <w:t>FBT</w:t>
      </w:r>
      <w:proofErr w:type="spellEnd"/>
      <w:r w:rsidRPr="00B60243">
        <w:t xml:space="preserve"> production</w:t>
      </w:r>
      <w:r w:rsidR="00816114" w:rsidRPr="00B60243">
        <w:t xml:space="preserve">. It may also affect capacity utilisation (this is discussed </w:t>
      </w:r>
      <w:r w:rsidR="00A8723B" w:rsidRPr="00B60243">
        <w:t>later in the chapter</w:t>
      </w:r>
      <w:r w:rsidR="00816114" w:rsidRPr="00B60243">
        <w:t xml:space="preserve"> in the section</w:t>
      </w:r>
      <w:r w:rsidR="00A8723B" w:rsidRPr="00B60243">
        <w:t xml:space="preserve"> on capital</w:t>
      </w:r>
      <w:r w:rsidR="00816114" w:rsidRPr="00B60243">
        <w:t>)</w:t>
      </w:r>
      <w:r w:rsidR="00A8723B" w:rsidRPr="00B60243">
        <w:t>.</w:t>
      </w:r>
    </w:p>
    <w:p w:rsidR="009C2D8C" w:rsidRPr="00B60243" w:rsidRDefault="007A3A91" w:rsidP="009C2D8C">
      <w:pPr>
        <w:pStyle w:val="Heading4"/>
      </w:pPr>
      <w:r w:rsidRPr="00B60243">
        <w:lastRenderedPageBreak/>
        <w:t xml:space="preserve">Value added in </w:t>
      </w:r>
      <w:proofErr w:type="spellStart"/>
      <w:r w:rsidR="009C2D8C" w:rsidRPr="00B60243">
        <w:t>FBT</w:t>
      </w:r>
      <w:proofErr w:type="spellEnd"/>
      <w:r w:rsidR="009C2D8C" w:rsidRPr="00B60243">
        <w:t xml:space="preserve"> manufacturing in aggregate </w:t>
      </w:r>
      <w:r w:rsidRPr="00B60243">
        <w:t>did</w:t>
      </w:r>
      <w:r w:rsidR="009C2D8C" w:rsidRPr="00B60243">
        <w:t xml:space="preserve"> not fall in severe drought</w:t>
      </w:r>
      <w:r w:rsidRPr="00B60243">
        <w:t>s</w:t>
      </w:r>
    </w:p>
    <w:p w:rsidR="00976535" w:rsidRPr="00B60243" w:rsidRDefault="009C2D8C" w:rsidP="009C2D8C">
      <w:pPr>
        <w:pStyle w:val="BodyText"/>
      </w:pPr>
      <w:r w:rsidRPr="00B60243">
        <w:t xml:space="preserve">Given the role of agricultural produce as an input into </w:t>
      </w:r>
      <w:proofErr w:type="spellStart"/>
      <w:r w:rsidRPr="00B60243">
        <w:t>FBT</w:t>
      </w:r>
      <w:proofErr w:type="spellEnd"/>
      <w:r w:rsidRPr="00B60243">
        <w:t xml:space="preserve"> manufacturing</w:t>
      </w:r>
      <w:r w:rsidR="00850069" w:rsidRPr="00B60243">
        <w:t>,</w:t>
      </w:r>
      <w:r w:rsidRPr="00B60243">
        <w:rPr>
          <w:rStyle w:val="FootnoteReference"/>
        </w:rPr>
        <w:footnoteReference w:id="11"/>
      </w:r>
      <w:r w:rsidRPr="00B60243">
        <w:t xml:space="preserve"> </w:t>
      </w:r>
      <w:r w:rsidR="00DE354C" w:rsidRPr="00B60243">
        <w:t>there is the potential for</w:t>
      </w:r>
      <w:r w:rsidRPr="00B60243">
        <w:t xml:space="preserve"> drought </w:t>
      </w:r>
      <w:r w:rsidR="00DE354C" w:rsidRPr="00B60243">
        <w:t>to</w:t>
      </w:r>
      <w:r w:rsidR="00976535" w:rsidRPr="00B60243">
        <w:t xml:space="preserve"> </w:t>
      </w:r>
      <w:r w:rsidRPr="00B60243">
        <w:t xml:space="preserve">affect </w:t>
      </w:r>
      <w:r w:rsidR="00023E8A" w:rsidRPr="00B60243">
        <w:t xml:space="preserve">the output of </w:t>
      </w:r>
      <w:proofErr w:type="spellStart"/>
      <w:r w:rsidRPr="00B60243">
        <w:t>FBT</w:t>
      </w:r>
      <w:proofErr w:type="spellEnd"/>
      <w:r w:rsidRPr="00B60243">
        <w:t xml:space="preserve"> manufactur</w:t>
      </w:r>
      <w:r w:rsidR="00023E8A" w:rsidRPr="00B60243">
        <w:t>ers</w:t>
      </w:r>
      <w:r w:rsidRPr="00B60243">
        <w:t>. There was a severe drought year in both cycle 3 (2002</w:t>
      </w:r>
      <w:r w:rsidR="00E36E7F">
        <w:noBreakHyphen/>
      </w:r>
      <w:r w:rsidRPr="00B60243">
        <w:t>03) and cycle 4 (2006</w:t>
      </w:r>
      <w:r w:rsidR="00E36E7F">
        <w:noBreakHyphen/>
      </w:r>
      <w:r w:rsidRPr="00B60243">
        <w:t>07)</w:t>
      </w:r>
      <w:r w:rsidR="00976535" w:rsidRPr="00B60243">
        <w:t xml:space="preserve">. </w:t>
      </w:r>
      <w:r w:rsidRPr="00B60243">
        <w:t xml:space="preserve">Agriculture VA dipped </w:t>
      </w:r>
      <w:r w:rsidR="00976535" w:rsidRPr="00B60243">
        <w:t xml:space="preserve">in these years but VA for </w:t>
      </w:r>
      <w:proofErr w:type="spellStart"/>
      <w:r w:rsidR="00976535" w:rsidRPr="00B60243">
        <w:t>FBT</w:t>
      </w:r>
      <w:proofErr w:type="spellEnd"/>
      <w:r w:rsidR="00976535" w:rsidRPr="00B60243">
        <w:t xml:space="preserve"> </w:t>
      </w:r>
      <w:r w:rsidR="00976535" w:rsidRPr="00B60243">
        <w:rPr>
          <w:i/>
        </w:rPr>
        <w:t>in aggregate</w:t>
      </w:r>
      <w:r w:rsidR="00976535" w:rsidRPr="00B60243">
        <w:t xml:space="preserve"> did not (figure </w:t>
      </w:r>
      <w:r w:rsidR="00B072C2" w:rsidRPr="00B60243">
        <w:t>5.12</w:t>
      </w:r>
      <w:r w:rsidR="00976535" w:rsidRPr="00B60243">
        <w:t xml:space="preserve">). </w:t>
      </w:r>
      <w:r w:rsidR="00216D3D" w:rsidRPr="00B60243">
        <w:t>However, t</w:t>
      </w:r>
      <w:r w:rsidR="002615D2" w:rsidRPr="00B60243">
        <w:t xml:space="preserve">he period of slow VA growth in </w:t>
      </w:r>
      <w:proofErr w:type="spellStart"/>
      <w:r w:rsidR="002615D2" w:rsidRPr="00B60243">
        <w:t>FBT</w:t>
      </w:r>
      <w:proofErr w:type="spellEnd"/>
      <w:r w:rsidR="002615D2" w:rsidRPr="00B60243">
        <w:t xml:space="preserve"> did coincide with an extended period of b</w:t>
      </w:r>
      <w:r w:rsidR="00850069" w:rsidRPr="00B60243">
        <w:t>elow average rainfall from 2001</w:t>
      </w:r>
      <w:r w:rsidR="00E36E7F">
        <w:noBreakHyphen/>
      </w:r>
      <w:r w:rsidR="00850069" w:rsidRPr="00B60243">
        <w:t>02 to 2008</w:t>
      </w:r>
      <w:r w:rsidR="00E36E7F">
        <w:noBreakHyphen/>
      </w:r>
      <w:r w:rsidR="00850069" w:rsidRPr="00B60243">
        <w:t>09</w:t>
      </w:r>
      <w:r w:rsidR="00216D3D" w:rsidRPr="00B60243">
        <w:t>, suggesting some link with agricultural performance</w:t>
      </w:r>
      <w:r w:rsidR="00850069" w:rsidRPr="00B60243">
        <w:t>.</w:t>
      </w:r>
      <w:r w:rsidR="00E36E7F">
        <w:t xml:space="preserve"> </w:t>
      </w:r>
    </w:p>
    <w:p w:rsidR="009778E6" w:rsidRPr="00B60243" w:rsidRDefault="00253321" w:rsidP="00C92E75">
      <w:pPr>
        <w:pStyle w:val="BodyText"/>
      </w:pPr>
      <w:r w:rsidRPr="00B60243">
        <w:t>T</w:t>
      </w:r>
      <w:r w:rsidR="002629DA" w:rsidRPr="00B60243">
        <w:t>he part</w:t>
      </w:r>
      <w:r w:rsidR="000351B5" w:rsidRPr="00B60243">
        <w:t>s</w:t>
      </w:r>
      <w:r w:rsidR="002629DA" w:rsidRPr="00B60243">
        <w:t xml:space="preserve"> of </w:t>
      </w:r>
      <w:proofErr w:type="spellStart"/>
      <w:r w:rsidR="002629DA" w:rsidRPr="00B60243">
        <w:t>FBT</w:t>
      </w:r>
      <w:proofErr w:type="spellEnd"/>
      <w:r w:rsidR="002629DA" w:rsidRPr="00B60243">
        <w:t xml:space="preserve"> </w:t>
      </w:r>
      <w:r w:rsidR="000351B5" w:rsidRPr="00B60243">
        <w:t>closely</w:t>
      </w:r>
      <w:r w:rsidR="00216D3D" w:rsidRPr="00B60243">
        <w:t xml:space="preserve"> associated with</w:t>
      </w:r>
      <w:r w:rsidR="000351B5" w:rsidRPr="00B60243">
        <w:t xml:space="preserve"> the processing of current agricultural output are </w:t>
      </w:r>
      <w:r w:rsidR="0005447C">
        <w:t xml:space="preserve">the </w:t>
      </w:r>
      <w:r w:rsidR="000351B5" w:rsidRPr="00B60243">
        <w:t>most likely to be affected</w:t>
      </w:r>
      <w:r w:rsidRPr="00B60243">
        <w:t xml:space="preserve"> by drought</w:t>
      </w:r>
      <w:r w:rsidR="000351B5" w:rsidRPr="00B60243">
        <w:t>. For example, the 2006 drought affected wine production including in 2007</w:t>
      </w:r>
      <w:r w:rsidR="00E36E7F">
        <w:noBreakHyphen/>
      </w:r>
      <w:r w:rsidR="000351B5" w:rsidRPr="00B60243">
        <w:t>08 (this is discussed further in section</w:t>
      </w:r>
      <w:r w:rsidR="00406358" w:rsidRPr="00B60243">
        <w:t> </w:t>
      </w:r>
      <w:r w:rsidR="009B4D57" w:rsidRPr="00B60243">
        <w:t>5.4</w:t>
      </w:r>
      <w:r w:rsidR="000351B5" w:rsidRPr="00B60243">
        <w:t xml:space="preserve">). </w:t>
      </w:r>
    </w:p>
    <w:p w:rsidR="009C2D8C" w:rsidRPr="00B60243" w:rsidRDefault="009C2D8C" w:rsidP="009C2D8C">
      <w:pPr>
        <w:pStyle w:val="FigureTitle"/>
      </w:pPr>
      <w:r w:rsidRPr="00B60243">
        <w:rPr>
          <w:b w:val="0"/>
        </w:rPr>
        <w:t xml:space="preserve">Figure </w:t>
      </w:r>
      <w:bookmarkStart w:id="23" w:name="OLE_LINK37"/>
      <w:r w:rsidR="00B072C2" w:rsidRPr="00B60243">
        <w:rPr>
          <w:b w:val="0"/>
        </w:rPr>
        <w:t>5.</w:t>
      </w:r>
      <w:r w:rsidR="002E061A">
        <w:rPr>
          <w:b w:val="0"/>
          <w:noProof/>
        </w:rPr>
        <w:t>12</w:t>
      </w:r>
      <w:bookmarkEnd w:id="23"/>
      <w:r w:rsidRPr="00B60243">
        <w:tab/>
      </w:r>
      <w:r w:rsidR="00052429" w:rsidRPr="00B60243">
        <w:t xml:space="preserve">Value added in </w:t>
      </w:r>
      <w:proofErr w:type="spellStart"/>
      <w:r w:rsidRPr="00B60243">
        <w:t>FBT</w:t>
      </w:r>
      <w:proofErr w:type="spellEnd"/>
      <w:r w:rsidRPr="00B60243">
        <w:t xml:space="preserve"> and Agriculture</w:t>
      </w:r>
      <w:r w:rsidR="00EA23B7">
        <w:t>,</w:t>
      </w:r>
      <w:r w:rsidR="00EA23B7" w:rsidRPr="00EA23B7">
        <w:rPr>
          <w:rStyle w:val="NoteLabel"/>
          <w:b/>
        </w:rPr>
        <w:t>a</w:t>
      </w:r>
      <w:r w:rsidR="00EA23B7">
        <w:t xml:space="preserve"> and rainfall</w:t>
      </w:r>
      <w:r w:rsidRPr="00B60243">
        <w:t xml:space="preserve"> </w:t>
      </w:r>
    </w:p>
    <w:p w:rsidR="009C2D8C" w:rsidRPr="00B60243" w:rsidRDefault="009C2D8C" w:rsidP="009C2D8C">
      <w:pPr>
        <w:pStyle w:val="Subtitle"/>
      </w:pPr>
      <w:r w:rsidRPr="00B60243">
        <w:t>Index 2009</w:t>
      </w:r>
      <w:r w:rsidR="00E36E7F">
        <w:noBreakHyphen/>
      </w:r>
      <w:r w:rsidRPr="00B60243">
        <w:t>10 = 100</w:t>
      </w:r>
      <w:r w:rsidR="00551E4C" w:rsidRPr="00B60243">
        <w:t xml:space="preserve"> (LHS)</w:t>
      </w:r>
      <w:r w:rsidR="005E1DF9" w:rsidRPr="00B60243">
        <w:t xml:space="preserve">; </w:t>
      </w:r>
      <w:r w:rsidR="00406F7D">
        <w:t>M</w:t>
      </w:r>
      <w:r w:rsidR="00406F7D" w:rsidRPr="00B60243">
        <w:t xml:space="preserve">illimetres </w:t>
      </w:r>
      <w:r w:rsidR="00551E4C" w:rsidRPr="00B60243">
        <w:t>(RHS)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C2D8C" w:rsidRPr="00B60243" w:rsidTr="00976535">
        <w:tc>
          <w:tcPr>
            <w:tcW w:w="8777" w:type="dxa"/>
          </w:tcPr>
          <w:p w:rsidR="009C2D8C" w:rsidRPr="00B60243" w:rsidRDefault="00E406E7" w:rsidP="006605CD">
            <w:pPr>
              <w:pStyle w:val="Figure"/>
              <w:spacing w:before="0"/>
            </w:pPr>
            <w:r>
              <w:rPr>
                <w:noProof/>
              </w:rPr>
              <w:pict>
                <v:shape id="_x0000_i1043" type="#_x0000_t75" alt="This figure shows that while Agriculture VA dipped in years of a severe drought in both cycle 3 (2002-03) and cycle 4 (2006-07), VA for FBT in aggregate did not. The period of slow VA growth in FBT did coincide with an extended period of below average rainfall from 2001-02 to 2008-09." style="width:424.45pt;height:199.25pt">
                  <v:imagedata r:id="rId28" o:title=""/>
                </v:shape>
              </w:pict>
            </w:r>
          </w:p>
        </w:tc>
      </w:tr>
    </w:tbl>
    <w:p w:rsidR="00EA23B7" w:rsidRPr="00EA23B7" w:rsidRDefault="00EA23B7" w:rsidP="00CA4E46">
      <w:pPr>
        <w:pStyle w:val="Note"/>
      </w:pPr>
      <w:r>
        <w:rPr>
          <w:rStyle w:val="NoteLabel"/>
        </w:rPr>
        <w:t xml:space="preserve">a </w:t>
      </w:r>
      <w:r>
        <w:t>Chain volume measures.</w:t>
      </w:r>
    </w:p>
    <w:p w:rsidR="009C2D8C" w:rsidRPr="00B60243" w:rsidRDefault="009C2D8C" w:rsidP="00551E4C">
      <w:pPr>
        <w:pStyle w:val="Source"/>
      </w:pPr>
      <w:r w:rsidRPr="00B60243">
        <w:rPr>
          <w:i/>
        </w:rPr>
        <w:t>Data source</w:t>
      </w:r>
      <w:r w:rsidR="008759C7" w:rsidRPr="00B60243">
        <w:rPr>
          <w:i/>
        </w:rPr>
        <w:t>s</w:t>
      </w:r>
      <w:r w:rsidRPr="00B60243">
        <w:t>: ABS (</w:t>
      </w:r>
      <w:r w:rsidR="000D37EC" w:rsidRPr="00B60243">
        <w:rPr>
          <w:i/>
        </w:rPr>
        <w:t>Australian System of National Accounts, 2010</w:t>
      </w:r>
      <w:r w:rsidR="00E36E7F">
        <w:rPr>
          <w:i/>
        </w:rPr>
        <w:noBreakHyphen/>
      </w:r>
      <w:r w:rsidR="000D37EC" w:rsidRPr="00B60243">
        <w:rPr>
          <w:i/>
        </w:rPr>
        <w:t>11</w:t>
      </w:r>
      <w:r w:rsidR="000D37EC" w:rsidRPr="00B60243">
        <w:t xml:space="preserve">, </w:t>
      </w:r>
      <w:r w:rsidRPr="00B60243">
        <w:t>Cat. no. 5204.0); B</w:t>
      </w:r>
      <w:r w:rsidR="006E0603" w:rsidRPr="00B60243">
        <w:t xml:space="preserve">ureau of </w:t>
      </w:r>
      <w:r w:rsidR="00270954" w:rsidRPr="00B60243">
        <w:t>Meteorology (2013)</w:t>
      </w:r>
      <w:r w:rsidRPr="00B60243">
        <w:t>.</w:t>
      </w:r>
    </w:p>
    <w:p w:rsidR="001B39E0" w:rsidRDefault="001B39E0">
      <w:pPr>
        <w:rPr>
          <w:rFonts w:ascii="Arial" w:hAnsi="Arial"/>
          <w:i/>
          <w:sz w:val="24"/>
          <w:szCs w:val="20"/>
        </w:rPr>
      </w:pPr>
      <w:r>
        <w:br w:type="page"/>
      </w:r>
    </w:p>
    <w:p w:rsidR="001C02A8" w:rsidRPr="00B60243" w:rsidRDefault="009361EE" w:rsidP="00A82CE3">
      <w:pPr>
        <w:pStyle w:val="Heading4"/>
      </w:pPr>
      <w:r w:rsidRPr="00B60243">
        <w:lastRenderedPageBreak/>
        <w:t xml:space="preserve">Limited </w:t>
      </w:r>
      <w:r w:rsidR="002432AD" w:rsidRPr="00B60243">
        <w:t xml:space="preserve">information </w:t>
      </w:r>
      <w:r w:rsidRPr="00B60243">
        <w:t>on change in i</w:t>
      </w:r>
      <w:r w:rsidR="00311588" w:rsidRPr="00B60243">
        <w:t>ntermediate</w:t>
      </w:r>
      <w:r w:rsidRPr="00B60243">
        <w:t xml:space="preserve"> inputs</w:t>
      </w:r>
      <w:r w:rsidR="00C132E2" w:rsidRPr="00B60243">
        <w:t xml:space="preserve"> </w:t>
      </w:r>
    </w:p>
    <w:p w:rsidR="00F85A4D" w:rsidRPr="00B60243" w:rsidRDefault="006554F6" w:rsidP="0084492B">
      <w:pPr>
        <w:pStyle w:val="BodyText"/>
        <w:spacing w:before="200"/>
      </w:pPr>
      <w:r w:rsidRPr="00B60243">
        <w:t>VA can also be reduced if there is an</w:t>
      </w:r>
      <w:r w:rsidR="00205F47" w:rsidRPr="00B60243">
        <w:t xml:space="preserve"> increase in the volume of intermediate inputs used to produce a unit of output</w:t>
      </w:r>
      <w:r w:rsidRPr="00B60243">
        <w:t>.</w:t>
      </w:r>
      <w:r w:rsidRPr="00B60243">
        <w:rPr>
          <w:rStyle w:val="FootnoteReference"/>
        </w:rPr>
        <w:footnoteReference w:id="12"/>
      </w:r>
      <w:r w:rsidR="00205F47" w:rsidRPr="00B60243">
        <w:t xml:space="preserve"> </w:t>
      </w:r>
      <w:r w:rsidR="008A4F05" w:rsidRPr="00B60243">
        <w:t>Anecdotal evidence suggest</w:t>
      </w:r>
      <w:r w:rsidR="0039037A" w:rsidRPr="00B60243">
        <w:t>s that</w:t>
      </w:r>
      <w:r w:rsidR="008A4F05" w:rsidRPr="00B60243">
        <w:t xml:space="preserve"> over the longer term</w:t>
      </w:r>
      <w:r w:rsidR="00F85A4D" w:rsidRPr="00B60243">
        <w:t xml:space="preserve"> there have been some changes in </w:t>
      </w:r>
      <w:r w:rsidR="002752F7" w:rsidRPr="00B60243">
        <w:t xml:space="preserve">the nature of products and requirements from retailers and regulators </w:t>
      </w:r>
      <w:r w:rsidR="00FF5E92" w:rsidRPr="00B60243">
        <w:t>that</w:t>
      </w:r>
      <w:r w:rsidR="00F85A4D" w:rsidRPr="00B60243">
        <w:t xml:space="preserve"> may have increased </w:t>
      </w:r>
      <w:r w:rsidRPr="00B60243">
        <w:t xml:space="preserve">the ratio of </w:t>
      </w:r>
      <w:r w:rsidR="00F85A4D" w:rsidRPr="00B60243">
        <w:t>intermediate inputs</w:t>
      </w:r>
      <w:r w:rsidR="00AC7047" w:rsidRPr="00B60243">
        <w:t xml:space="preserve"> </w:t>
      </w:r>
      <w:r w:rsidRPr="00B60243">
        <w:t xml:space="preserve">to output </w:t>
      </w:r>
      <w:r w:rsidR="00AC7047" w:rsidRPr="00B60243">
        <w:t xml:space="preserve">for some </w:t>
      </w:r>
      <w:proofErr w:type="spellStart"/>
      <w:r w:rsidR="00AC7047" w:rsidRPr="00B60243">
        <w:t>FBT</w:t>
      </w:r>
      <w:proofErr w:type="spellEnd"/>
      <w:r w:rsidR="00AC7047" w:rsidRPr="00B60243">
        <w:t xml:space="preserve"> manufacturers</w:t>
      </w:r>
      <w:r w:rsidR="0005447C">
        <w:t>, such as</w:t>
      </w:r>
      <w:r w:rsidR="007A4DB3" w:rsidRPr="00B60243">
        <w:t>:</w:t>
      </w:r>
      <w:r w:rsidR="00F85A4D" w:rsidRPr="00B60243">
        <w:t xml:space="preserve"> </w:t>
      </w:r>
    </w:p>
    <w:p w:rsidR="002752F7" w:rsidRPr="00B60243" w:rsidRDefault="003C2118" w:rsidP="0084492B">
      <w:pPr>
        <w:pStyle w:val="ListBullet"/>
        <w:spacing w:before="100"/>
      </w:pPr>
      <w:r w:rsidRPr="00B60243">
        <w:t>i</w:t>
      </w:r>
      <w:r w:rsidR="0029733A" w:rsidRPr="00B60243">
        <w:t>ncreased packaging due to smaller product or portion sizes and retailer requests for ‘straight to shelf’ packaging to reduce labour costs in stocking shelves (</w:t>
      </w:r>
      <w:r w:rsidR="00B02445">
        <w:t>Food Processing Industry Strategy Group</w:t>
      </w:r>
      <w:r w:rsidR="0029733A" w:rsidRPr="00B60243">
        <w:t xml:space="preserve"> 2012, p.</w:t>
      </w:r>
      <w:r w:rsidR="00E36E7F">
        <w:t> </w:t>
      </w:r>
      <w:r w:rsidR="0029733A" w:rsidRPr="00B60243">
        <w:t>83)</w:t>
      </w:r>
    </w:p>
    <w:p w:rsidR="00311588" w:rsidRPr="00B60243" w:rsidRDefault="003C2118" w:rsidP="0084492B">
      <w:pPr>
        <w:pStyle w:val="ListBullet"/>
        <w:spacing w:before="100"/>
      </w:pPr>
      <w:r w:rsidRPr="00B60243">
        <w:t>i</w:t>
      </w:r>
      <w:r w:rsidR="009F0B5E" w:rsidRPr="00B60243">
        <w:t xml:space="preserve">ncreased </w:t>
      </w:r>
      <w:r w:rsidR="00230284" w:rsidRPr="00B60243">
        <w:t>commercial</w:t>
      </w:r>
      <w:r w:rsidR="00F51397" w:rsidRPr="00B60243">
        <w:t xml:space="preserve"> </w:t>
      </w:r>
      <w:r w:rsidR="008C1D41" w:rsidRPr="00B60243">
        <w:t xml:space="preserve">quality </w:t>
      </w:r>
      <w:r w:rsidR="00F51397" w:rsidRPr="00B60243">
        <w:t xml:space="preserve">audits </w:t>
      </w:r>
      <w:r w:rsidR="008C1D41" w:rsidRPr="00B60243">
        <w:t xml:space="preserve">and </w:t>
      </w:r>
      <w:r w:rsidR="00F51397" w:rsidRPr="00B60243">
        <w:t xml:space="preserve">regulatory food </w:t>
      </w:r>
      <w:r w:rsidR="008C1D41" w:rsidRPr="00B60243">
        <w:t xml:space="preserve">safety </w:t>
      </w:r>
      <w:r w:rsidR="00311588" w:rsidRPr="00B60243">
        <w:t>audits</w:t>
      </w:r>
      <w:r w:rsidR="00F51397" w:rsidRPr="00B60243">
        <w:t xml:space="preserve">, with some duplication of </w:t>
      </w:r>
      <w:r w:rsidR="00230284" w:rsidRPr="00B60243">
        <w:t>coverage</w:t>
      </w:r>
      <w:r w:rsidR="008C1D41" w:rsidRPr="00B60243">
        <w:t xml:space="preserve"> </w:t>
      </w:r>
      <w:r w:rsidR="007A4DB3" w:rsidRPr="00B60243">
        <w:t>(</w:t>
      </w:r>
      <w:r w:rsidR="00976F40" w:rsidRPr="00B60243">
        <w:t xml:space="preserve">Senate Select Committee on Australia’s Food Processing Sector </w:t>
      </w:r>
      <w:r w:rsidR="00230284" w:rsidRPr="00B60243">
        <w:t>201</w:t>
      </w:r>
      <w:r w:rsidR="00976F40" w:rsidRPr="00B60243">
        <w:t>2</w:t>
      </w:r>
      <w:r w:rsidR="001644B4">
        <w:t>;</w:t>
      </w:r>
      <w:r w:rsidR="00230284" w:rsidRPr="00B60243">
        <w:t xml:space="preserve"> </w:t>
      </w:r>
      <w:r w:rsidR="00B02445">
        <w:t>Food Processing Industry Strategy Group</w:t>
      </w:r>
      <w:r w:rsidR="007A4DB3" w:rsidRPr="00B60243">
        <w:t xml:space="preserve"> 2012, p.</w:t>
      </w:r>
      <w:r w:rsidR="00B02445">
        <w:t> </w:t>
      </w:r>
      <w:r w:rsidR="007A4DB3" w:rsidRPr="00B60243">
        <w:t>106</w:t>
      </w:r>
      <w:r w:rsidR="002615D2" w:rsidRPr="00B60243">
        <w:t>)</w:t>
      </w:r>
      <w:r w:rsidR="0039037A" w:rsidRPr="00B60243">
        <w:t>.</w:t>
      </w:r>
    </w:p>
    <w:p w:rsidR="001160C7" w:rsidRPr="00B60243" w:rsidRDefault="00906F09" w:rsidP="0084492B">
      <w:pPr>
        <w:pStyle w:val="BodyText"/>
        <w:spacing w:before="200"/>
      </w:pPr>
      <w:r w:rsidRPr="00B60243">
        <w:t xml:space="preserve">However, the </w:t>
      </w:r>
      <w:r w:rsidR="00FF5E92" w:rsidRPr="00B60243">
        <w:t>influence of</w:t>
      </w:r>
      <w:r w:rsidR="00A924B5" w:rsidRPr="00B60243">
        <w:t xml:space="preserve"> these factors </w:t>
      </w:r>
      <w:r w:rsidRPr="00B60243">
        <w:t xml:space="preserve">in cycle 4 compared with cycle 3 is not known. </w:t>
      </w:r>
      <w:r w:rsidR="0013191D" w:rsidRPr="00B60243">
        <w:t xml:space="preserve">Insufficient data are available </w:t>
      </w:r>
      <w:r w:rsidR="00FF5E92" w:rsidRPr="00B60243">
        <w:t>with which to</w:t>
      </w:r>
      <w:r w:rsidR="0013191D" w:rsidRPr="00B60243">
        <w:t xml:space="preserve"> examine </w:t>
      </w:r>
      <w:r w:rsidRPr="00B60243">
        <w:t>change in the ratio of intermediate input to output in</w:t>
      </w:r>
      <w:r w:rsidR="0013191D" w:rsidRPr="00B60243">
        <w:t xml:space="preserve"> </w:t>
      </w:r>
      <w:r w:rsidR="0013191D" w:rsidRPr="00B60243">
        <w:rPr>
          <w:i/>
        </w:rPr>
        <w:t>volume</w:t>
      </w:r>
      <w:r w:rsidR="0013191D" w:rsidRPr="00B60243">
        <w:t xml:space="preserve"> terms. ABS data suggest that over cycle 4 the ratio of intermediate inputs to sales </w:t>
      </w:r>
      <w:r w:rsidR="00F462D9" w:rsidRPr="00B60243">
        <w:t xml:space="preserve">in </w:t>
      </w:r>
      <w:r w:rsidR="00F462D9" w:rsidRPr="00B60243">
        <w:rPr>
          <w:i/>
        </w:rPr>
        <w:t>value</w:t>
      </w:r>
      <w:r w:rsidR="00F462D9" w:rsidRPr="00B60243">
        <w:t xml:space="preserve"> terms </w:t>
      </w:r>
      <w:r w:rsidR="00383EA4" w:rsidRPr="00B60243">
        <w:t xml:space="preserve">has not changed significantly for </w:t>
      </w:r>
      <w:proofErr w:type="spellStart"/>
      <w:r w:rsidR="00383EA4" w:rsidRPr="00B60243">
        <w:t>FBT</w:t>
      </w:r>
      <w:proofErr w:type="spellEnd"/>
      <w:r w:rsidR="00383EA4" w:rsidRPr="00B60243">
        <w:t xml:space="preserve"> manufacturing in aggregate, or for the Food and BT subdivisions within it (figure </w:t>
      </w:r>
      <w:r w:rsidR="00B072C2" w:rsidRPr="00B60243">
        <w:t>5.13</w:t>
      </w:r>
      <w:r w:rsidR="00383EA4" w:rsidRPr="00B60243">
        <w:t xml:space="preserve">). (In value terms, the ratio </w:t>
      </w:r>
      <w:r w:rsidR="00F462D9" w:rsidRPr="00B60243">
        <w:t>will also be influenced by changes in the relative price of inputs and outputs</w:t>
      </w:r>
      <w:r w:rsidR="00383EA4" w:rsidRPr="00B60243">
        <w:t>.</w:t>
      </w:r>
      <w:r w:rsidR="00F462D9" w:rsidRPr="00B60243">
        <w:t>)</w:t>
      </w:r>
      <w:r w:rsidR="0013191D" w:rsidRPr="00B60243">
        <w:t xml:space="preserve"> </w:t>
      </w:r>
    </w:p>
    <w:p w:rsidR="0013191D" w:rsidRPr="0084492B" w:rsidRDefault="0013191D" w:rsidP="0084492B">
      <w:pPr>
        <w:pStyle w:val="FigureTitle"/>
      </w:pPr>
      <w:r w:rsidRPr="0084492B">
        <w:rPr>
          <w:b w:val="0"/>
        </w:rPr>
        <w:t xml:space="preserve">Figure </w:t>
      </w:r>
      <w:bookmarkStart w:id="24" w:name="OLE_LINK18"/>
      <w:r w:rsidR="00B072C2" w:rsidRPr="0084492B">
        <w:rPr>
          <w:b w:val="0"/>
        </w:rPr>
        <w:t>5.</w:t>
      </w:r>
      <w:r w:rsidR="002E061A" w:rsidRPr="0084492B">
        <w:rPr>
          <w:b w:val="0"/>
        </w:rPr>
        <w:t>13</w:t>
      </w:r>
      <w:bookmarkEnd w:id="24"/>
      <w:r w:rsidRPr="0084492B">
        <w:tab/>
        <w:t>Ratio of intermediate inputs</w:t>
      </w:r>
      <w:r w:rsidR="00D2478F" w:rsidRPr="0084492B">
        <w:rPr>
          <w:rStyle w:val="NoteLabel"/>
          <w:b/>
        </w:rPr>
        <w:t>a</w:t>
      </w:r>
      <w:r w:rsidRPr="0084492B">
        <w:t xml:space="preserve"> to sales and service income</w:t>
      </w:r>
      <w:r w:rsidR="00D2478F" w:rsidRPr="0084492B">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3191D" w:rsidRPr="00B60243" w:rsidTr="00DC2D8F">
        <w:tc>
          <w:tcPr>
            <w:tcW w:w="8777" w:type="dxa"/>
          </w:tcPr>
          <w:p w:rsidR="0013191D" w:rsidRPr="00B60243" w:rsidRDefault="00E406E7" w:rsidP="0084492B">
            <w:pPr>
              <w:pStyle w:val="Figure"/>
              <w:spacing w:before="60" w:after="0"/>
            </w:pPr>
            <w:r>
              <w:pict>
                <v:shape id="_x0000_i1044" type="#_x0000_t75" alt="This figure shows that over cycle 4 the ratio of intermediate inputs to sales in value terms has not changed significantly for FBT manufacturing in aggregate, or for the Food and BT subdivisions." style="width:424.45pt;height:198.4pt">
                  <v:imagedata r:id="rId29" o:title=""/>
                </v:shape>
              </w:pict>
            </w:r>
          </w:p>
        </w:tc>
      </w:tr>
    </w:tbl>
    <w:p w:rsidR="0013191D" w:rsidRPr="00B60243" w:rsidRDefault="00D2478F" w:rsidP="0084492B">
      <w:pPr>
        <w:pStyle w:val="Note"/>
        <w:spacing w:line="200" w:lineRule="exact"/>
      </w:pPr>
      <w:r w:rsidRPr="00B60243">
        <w:rPr>
          <w:rStyle w:val="NoteLabel"/>
        </w:rPr>
        <w:t>a</w:t>
      </w:r>
      <w:r w:rsidRPr="00B60243">
        <w:t xml:space="preserve"> Intermediate inputs includes </w:t>
      </w:r>
      <w:r w:rsidR="00A42696" w:rsidRPr="00B60243">
        <w:t xml:space="preserve">purchases of </w:t>
      </w:r>
      <w:r w:rsidRPr="00B60243">
        <w:t xml:space="preserve">goods, materials and services. </w:t>
      </w:r>
      <w:r w:rsidRPr="00B60243">
        <w:rPr>
          <w:rStyle w:val="NoteLabel"/>
        </w:rPr>
        <w:t>b</w:t>
      </w:r>
      <w:r w:rsidR="0013191D" w:rsidRPr="00B60243">
        <w:t xml:space="preserve"> </w:t>
      </w:r>
      <w:r w:rsidR="00A561BD" w:rsidRPr="00B60243">
        <w:t>Data</w:t>
      </w:r>
      <w:r w:rsidR="0013191D" w:rsidRPr="00B60243">
        <w:t xml:space="preserve"> not readily available for 1998</w:t>
      </w:r>
      <w:r w:rsidR="00E36E7F">
        <w:noBreakHyphen/>
      </w:r>
      <w:r w:rsidR="0013191D" w:rsidRPr="00B60243">
        <w:t>99.</w:t>
      </w:r>
      <w:r w:rsidR="00220845" w:rsidRPr="00B60243">
        <w:t xml:space="preserve"> 2003</w:t>
      </w:r>
      <w:r w:rsidR="00E36E7F">
        <w:noBreakHyphen/>
      </w:r>
      <w:r w:rsidR="00220845" w:rsidRPr="00B60243">
        <w:t xml:space="preserve">04 estimates based on </w:t>
      </w:r>
      <w:proofErr w:type="spellStart"/>
      <w:r w:rsidR="00220845" w:rsidRPr="00B60243">
        <w:t>ANZSIC93</w:t>
      </w:r>
      <w:proofErr w:type="spellEnd"/>
      <w:r w:rsidR="00220845" w:rsidRPr="00B60243">
        <w:t xml:space="preserve"> and 2007</w:t>
      </w:r>
      <w:r w:rsidR="00E36E7F">
        <w:noBreakHyphen/>
      </w:r>
      <w:r w:rsidR="00220845" w:rsidRPr="00B60243">
        <w:t xml:space="preserve">08 based on </w:t>
      </w:r>
      <w:proofErr w:type="spellStart"/>
      <w:r w:rsidR="00220845" w:rsidRPr="00B60243">
        <w:t>ANZSIC06</w:t>
      </w:r>
      <w:proofErr w:type="spellEnd"/>
      <w:r w:rsidR="00220845" w:rsidRPr="00B60243">
        <w:t>.</w:t>
      </w:r>
    </w:p>
    <w:p w:rsidR="0013191D" w:rsidRPr="00B60243" w:rsidRDefault="0013191D" w:rsidP="0084492B">
      <w:pPr>
        <w:pStyle w:val="Source"/>
        <w:spacing w:before="60" w:after="0" w:line="200" w:lineRule="exact"/>
      </w:pPr>
      <w:r w:rsidRPr="00B60243">
        <w:rPr>
          <w:i/>
        </w:rPr>
        <w:t>Data source</w:t>
      </w:r>
      <w:r w:rsidR="008759C7" w:rsidRPr="00B60243">
        <w:rPr>
          <w:i/>
        </w:rPr>
        <w:t>s</w:t>
      </w:r>
      <w:r w:rsidRPr="00B60243">
        <w:t xml:space="preserve">: </w:t>
      </w:r>
      <w:r w:rsidR="00072DEB" w:rsidRPr="00B60243">
        <w:t xml:space="preserve">Authors’ estimates based on </w:t>
      </w:r>
      <w:r w:rsidR="002A5A24" w:rsidRPr="00B60243">
        <w:t>ABS (</w:t>
      </w:r>
      <w:r w:rsidR="002A5A24" w:rsidRPr="00B60243">
        <w:rPr>
          <w:i/>
        </w:rPr>
        <w:t>Man</w:t>
      </w:r>
      <w:r w:rsidR="00B20345" w:rsidRPr="00B60243">
        <w:rPr>
          <w:i/>
        </w:rPr>
        <w:t>ufacturing Industry, Australia, 200</w:t>
      </w:r>
      <w:r w:rsidR="0025526B" w:rsidRPr="00B60243">
        <w:rPr>
          <w:i/>
        </w:rPr>
        <w:t>5</w:t>
      </w:r>
      <w:r w:rsidR="00E36E7F">
        <w:rPr>
          <w:i/>
        </w:rPr>
        <w:noBreakHyphen/>
      </w:r>
      <w:r w:rsidR="00B20345" w:rsidRPr="00B60243">
        <w:rPr>
          <w:i/>
        </w:rPr>
        <w:t>0</w:t>
      </w:r>
      <w:r w:rsidR="0025526B" w:rsidRPr="00B60243">
        <w:rPr>
          <w:i/>
        </w:rPr>
        <w:t>6</w:t>
      </w:r>
      <w:r w:rsidR="00AD1065" w:rsidRPr="00B60243">
        <w:t xml:space="preserve">, </w:t>
      </w:r>
      <w:r w:rsidR="002A5A24" w:rsidRPr="00B60243">
        <w:t>Cat. no.</w:t>
      </w:r>
      <w:r w:rsidR="00072DEB" w:rsidRPr="00B60243">
        <w:t> </w:t>
      </w:r>
      <w:r w:rsidR="002A5A24" w:rsidRPr="00B60243">
        <w:t>8221.0</w:t>
      </w:r>
      <w:r w:rsidR="00EE2E43" w:rsidRPr="00B60243">
        <w:t>)</w:t>
      </w:r>
      <w:r w:rsidR="002A5A24" w:rsidRPr="00B60243">
        <w:t>;</w:t>
      </w:r>
      <w:r w:rsidR="00EE2E43" w:rsidRPr="00B60243">
        <w:t xml:space="preserve"> </w:t>
      </w:r>
      <w:r w:rsidR="003F78C4" w:rsidRPr="00B60243">
        <w:t xml:space="preserve">and </w:t>
      </w:r>
      <w:r w:rsidR="00EE2E43" w:rsidRPr="00B60243">
        <w:t>ABS (</w:t>
      </w:r>
      <w:r w:rsidR="002A5A24" w:rsidRPr="00B60243">
        <w:rPr>
          <w:i/>
        </w:rPr>
        <w:t>Australian Industry,</w:t>
      </w:r>
      <w:r w:rsidR="00AD1065" w:rsidRPr="00B60243">
        <w:rPr>
          <w:i/>
        </w:rPr>
        <w:t xml:space="preserve"> </w:t>
      </w:r>
      <w:r w:rsidR="00B20345" w:rsidRPr="00B60243">
        <w:rPr>
          <w:i/>
        </w:rPr>
        <w:t>2007</w:t>
      </w:r>
      <w:r w:rsidR="00E36E7F">
        <w:rPr>
          <w:i/>
        </w:rPr>
        <w:noBreakHyphen/>
      </w:r>
      <w:r w:rsidR="00B20345" w:rsidRPr="00B60243">
        <w:rPr>
          <w:i/>
        </w:rPr>
        <w:t>08</w:t>
      </w:r>
      <w:r w:rsidR="00AD1065" w:rsidRPr="00B60243">
        <w:rPr>
          <w:i/>
        </w:rPr>
        <w:t>,</w:t>
      </w:r>
      <w:r w:rsidR="002A5A24" w:rsidRPr="00B60243">
        <w:t xml:space="preserve"> Cat. no.</w:t>
      </w:r>
      <w:r w:rsidR="006605CD" w:rsidRPr="00B60243">
        <w:t> </w:t>
      </w:r>
      <w:r w:rsidR="002A5A24" w:rsidRPr="00B60243">
        <w:t>8155.0).</w:t>
      </w:r>
    </w:p>
    <w:p w:rsidR="0023591B" w:rsidRPr="00B60243" w:rsidRDefault="0023591B" w:rsidP="0023591B">
      <w:pPr>
        <w:pStyle w:val="Heading3"/>
      </w:pPr>
      <w:r w:rsidRPr="00B60243">
        <w:lastRenderedPageBreak/>
        <w:t xml:space="preserve">Hours worked </w:t>
      </w:r>
    </w:p>
    <w:p w:rsidR="00E756E9" w:rsidRPr="00B60243" w:rsidRDefault="0023591B" w:rsidP="00E756E9">
      <w:pPr>
        <w:pStyle w:val="BodyText"/>
      </w:pPr>
      <w:r w:rsidRPr="00B60243">
        <w:t xml:space="preserve">The main proximate cause of the decline in </w:t>
      </w:r>
      <w:proofErr w:type="spellStart"/>
      <w:r w:rsidRPr="00B60243">
        <w:t>FBT</w:t>
      </w:r>
      <w:proofErr w:type="spellEnd"/>
      <w:r w:rsidRPr="00B60243">
        <w:t xml:space="preserve"> MFP growth between the last two complete productivity cycles </w:t>
      </w:r>
      <w:r w:rsidR="00D36CF2" w:rsidRPr="00B60243">
        <w:t>wa</w:t>
      </w:r>
      <w:r w:rsidRPr="00B60243">
        <w:t xml:space="preserve">s the turnaround in hours worked </w:t>
      </w:r>
      <w:r w:rsidR="00652BD2" w:rsidRPr="00B60243">
        <w:t xml:space="preserve">— </w:t>
      </w:r>
      <w:r w:rsidR="00E756E9" w:rsidRPr="00B60243">
        <w:t>from a fall in hours over cycle 3 to significant growth over cycle 4.</w:t>
      </w:r>
      <w:r w:rsidR="00E756E9" w:rsidRPr="00B60243">
        <w:rPr>
          <w:rStyle w:val="FootnoteReference"/>
        </w:rPr>
        <w:footnoteReference w:id="13"/>
      </w:r>
      <w:r w:rsidR="00E756E9" w:rsidRPr="00B60243">
        <w:t xml:space="preserve"> </w:t>
      </w:r>
    </w:p>
    <w:p w:rsidR="0023591B" w:rsidRPr="00B60243" w:rsidRDefault="0023591B" w:rsidP="0023591B">
      <w:pPr>
        <w:pStyle w:val="BodyText"/>
      </w:pPr>
      <w:r w:rsidRPr="00B60243">
        <w:t xml:space="preserve">Hours worked (and </w:t>
      </w:r>
      <w:r w:rsidR="00FF5E92" w:rsidRPr="00B60243">
        <w:t xml:space="preserve">numbers </w:t>
      </w:r>
      <w:r w:rsidRPr="00B60243">
        <w:t>employ</w:t>
      </w:r>
      <w:r w:rsidR="00FF5E92" w:rsidRPr="00B60243">
        <w:t>ed</w:t>
      </w:r>
      <w:r w:rsidRPr="00B60243">
        <w:t xml:space="preserve">) in </w:t>
      </w:r>
      <w:proofErr w:type="spellStart"/>
      <w:r w:rsidRPr="00B60243">
        <w:t>FBT</w:t>
      </w:r>
      <w:proofErr w:type="spellEnd"/>
      <w:r w:rsidRPr="00B60243">
        <w:t xml:space="preserve"> were relatively stable over cycle 3, compared with the increasing trend up to the mid</w:t>
      </w:r>
      <w:r w:rsidR="00E36E7F">
        <w:noBreakHyphen/>
      </w:r>
      <w:proofErr w:type="spellStart"/>
      <w:r w:rsidRPr="00B60243">
        <w:t>1990s</w:t>
      </w:r>
      <w:proofErr w:type="spellEnd"/>
      <w:r w:rsidRPr="00B60243">
        <w:t xml:space="preserve"> (figure </w:t>
      </w:r>
      <w:r w:rsidR="00B072C2" w:rsidRPr="00B60243">
        <w:t>5.14</w:t>
      </w:r>
      <w:r w:rsidRPr="00B60243">
        <w:t>). However, there was a decline in 2003</w:t>
      </w:r>
      <w:r w:rsidR="00E36E7F">
        <w:noBreakHyphen/>
      </w:r>
      <w:r w:rsidRPr="00B60243">
        <w:t xml:space="preserve">04 </w:t>
      </w:r>
      <w:r w:rsidR="00991E69" w:rsidRPr="00B60243">
        <w:t>(</w:t>
      </w:r>
      <w:r w:rsidR="0039037A" w:rsidRPr="00B60243">
        <w:t xml:space="preserve">which is </w:t>
      </w:r>
      <w:r w:rsidRPr="00B60243">
        <w:t>the final year of cycle 3</w:t>
      </w:r>
      <w:r w:rsidR="00991E69" w:rsidRPr="00B60243">
        <w:t xml:space="preserve"> and the first year of cycle 4)</w:t>
      </w:r>
      <w:r w:rsidRPr="00B60243">
        <w:t xml:space="preserve">. </w:t>
      </w:r>
      <w:r w:rsidR="00D90B09" w:rsidRPr="00B60243">
        <w:t>T</w:t>
      </w:r>
      <w:r w:rsidRPr="00B60243">
        <w:t>here was some volatility in hours worked and employment</w:t>
      </w:r>
      <w:r w:rsidR="00D90B09" w:rsidRPr="00B60243">
        <w:t xml:space="preserve"> during cycle 4, but both </w:t>
      </w:r>
      <w:r w:rsidRPr="00B60243">
        <w:t>were considerably higher in 2007</w:t>
      </w:r>
      <w:r w:rsidR="00E36E7F">
        <w:noBreakHyphen/>
      </w:r>
      <w:r w:rsidRPr="00B60243">
        <w:t>08 than 2003</w:t>
      </w:r>
      <w:r w:rsidR="00E36E7F">
        <w:noBreakHyphen/>
      </w:r>
      <w:r w:rsidRPr="00B60243">
        <w:t>04</w:t>
      </w:r>
      <w:r w:rsidR="00D90B09" w:rsidRPr="00B60243">
        <w:t>.</w:t>
      </w:r>
      <w:r w:rsidR="00084605" w:rsidRPr="00B60243">
        <w:rPr>
          <w:rStyle w:val="FootnoteReference"/>
        </w:rPr>
        <w:footnoteReference w:id="14"/>
      </w:r>
      <w:r w:rsidR="00D90B09" w:rsidRPr="00B60243">
        <w:t xml:space="preserve"> Labour input remained relatively stable at this higher level in the incomplete cycle.</w:t>
      </w:r>
      <w:r w:rsidR="0037369F" w:rsidRPr="00B60243">
        <w:t xml:space="preserve"> </w:t>
      </w:r>
    </w:p>
    <w:p w:rsidR="0023591B" w:rsidRPr="00B60243" w:rsidRDefault="0023591B" w:rsidP="0023591B">
      <w:pPr>
        <w:pStyle w:val="FigureTitle"/>
      </w:pPr>
      <w:r w:rsidRPr="00B60243">
        <w:rPr>
          <w:b w:val="0"/>
        </w:rPr>
        <w:t xml:space="preserve">Figure </w:t>
      </w:r>
      <w:bookmarkStart w:id="25" w:name="OLE_LINK40"/>
      <w:r w:rsidR="00B072C2" w:rsidRPr="00B60243">
        <w:rPr>
          <w:b w:val="0"/>
        </w:rPr>
        <w:t>5.</w:t>
      </w:r>
      <w:r w:rsidR="002E061A">
        <w:rPr>
          <w:b w:val="0"/>
          <w:noProof/>
        </w:rPr>
        <w:t>14</w:t>
      </w:r>
      <w:bookmarkEnd w:id="25"/>
      <w:r w:rsidRPr="00B60243">
        <w:tab/>
      </w:r>
      <w:proofErr w:type="spellStart"/>
      <w:r w:rsidR="00394109" w:rsidRPr="00B60243">
        <w:t>FBT</w:t>
      </w:r>
      <w:proofErr w:type="spellEnd"/>
      <w:r w:rsidR="00394109" w:rsidRPr="00B60243">
        <w:t xml:space="preserve"> e</w:t>
      </w:r>
      <w:r w:rsidRPr="00B60243">
        <w:t>mployment and hours worked</w:t>
      </w:r>
      <w:r w:rsidR="00E31785" w:rsidRPr="00B60243">
        <w:rPr>
          <w:rStyle w:val="NoteLabel"/>
          <w:b/>
        </w:rPr>
        <w:t>a</w:t>
      </w:r>
      <w:r w:rsidR="00394109" w:rsidRPr="00B60243">
        <w:t xml:space="preserve"> </w:t>
      </w:r>
    </w:p>
    <w:p w:rsidR="0023591B" w:rsidRPr="00B60243" w:rsidRDefault="0023591B" w:rsidP="0023591B">
      <w:pPr>
        <w:pStyle w:val="Subtitle"/>
      </w:pPr>
      <w:r w:rsidRPr="00B60243">
        <w:t xml:space="preserve">Index </w:t>
      </w:r>
      <w:r w:rsidR="006364C6" w:rsidRPr="00B60243">
        <w:t>2009</w:t>
      </w:r>
      <w:r w:rsidR="00E36E7F">
        <w:noBreakHyphen/>
      </w:r>
      <w:r w:rsidR="006364C6" w:rsidRPr="00B60243">
        <w:t>10</w:t>
      </w:r>
      <w:r w:rsidRPr="00B60243">
        <w:t xml:space="preserve">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3591B" w:rsidRPr="00B60243" w:rsidTr="0023591B">
        <w:tc>
          <w:tcPr>
            <w:tcW w:w="8777" w:type="dxa"/>
          </w:tcPr>
          <w:p w:rsidR="0023591B" w:rsidRPr="00B60243" w:rsidRDefault="00E406E7" w:rsidP="0023591B">
            <w:pPr>
              <w:pStyle w:val="Figure"/>
              <w:spacing w:before="0" w:after="0"/>
            </w:pPr>
            <w:r>
              <w:pict>
                <v:shape id="_x0000_i1045" type="#_x0000_t75" alt="This figure shows that hours worked and employment in FBT were relatively stable over cycle 3, compared with the increasing trend up to the mid-1990s. There was a decline in 2003-04 (which is the final year of cycle 3 and the first year of cycle 4). There was some volatility in hours worked and employment during cycle 4, but both were considerably higher in 2007-08 than 2003-04. Labour input remained relatively stable at this higher level in the incomplete cycle." style="width:424.45pt;height:199.25pt">
                  <v:imagedata r:id="rId30" o:title=""/>
                </v:shape>
              </w:pict>
            </w:r>
          </w:p>
        </w:tc>
      </w:tr>
    </w:tbl>
    <w:p w:rsidR="00E31785" w:rsidRPr="00B60243" w:rsidRDefault="00E31785" w:rsidP="003F78C4">
      <w:pPr>
        <w:pStyle w:val="Note"/>
      </w:pPr>
      <w:r w:rsidRPr="00B60243">
        <w:rPr>
          <w:rStyle w:val="NoteLabel"/>
        </w:rPr>
        <w:t>a</w:t>
      </w:r>
      <w:r w:rsidRPr="00B60243">
        <w:t xml:space="preserve"> Hours worked annualised and adjusted for public holidays and changes in survey methodology</w:t>
      </w:r>
      <w:r w:rsidR="00827050" w:rsidRPr="00B60243">
        <w:t xml:space="preserve"> (</w:t>
      </w:r>
      <w:r w:rsidRPr="00B60243">
        <w:t>appendix</w:t>
      </w:r>
      <w:r w:rsidR="00827050" w:rsidRPr="00B60243">
        <w:t> </w:t>
      </w:r>
      <w:r w:rsidRPr="00B60243">
        <w:t>A).</w:t>
      </w:r>
      <w:r w:rsidR="006C1332">
        <w:t xml:space="preserve"> Unadjusted employment numbers.</w:t>
      </w:r>
    </w:p>
    <w:p w:rsidR="0023591B" w:rsidRPr="00B60243" w:rsidRDefault="0023591B" w:rsidP="0023591B">
      <w:pPr>
        <w:pStyle w:val="Source"/>
      </w:pPr>
      <w:r w:rsidRPr="00B60243">
        <w:rPr>
          <w:i/>
        </w:rPr>
        <w:t>Data source</w:t>
      </w:r>
      <w:r w:rsidRPr="00B60243">
        <w:t xml:space="preserve">: </w:t>
      </w:r>
      <w:r w:rsidR="00A61C8F" w:rsidRPr="00B60243">
        <w:t>Authors’ estimates based on ABS (u</w:t>
      </w:r>
      <w:r w:rsidR="002A5A24" w:rsidRPr="00B60243">
        <w:t xml:space="preserve">npublished </w:t>
      </w:r>
      <w:r w:rsidRPr="00B60243">
        <w:t>L</w:t>
      </w:r>
      <w:r w:rsidR="002A5A24" w:rsidRPr="00B60243">
        <w:t xml:space="preserve">abour </w:t>
      </w:r>
      <w:r w:rsidRPr="00B60243">
        <w:t>F</w:t>
      </w:r>
      <w:r w:rsidR="002A5A24" w:rsidRPr="00B60243">
        <w:t xml:space="preserve">orce </w:t>
      </w:r>
      <w:r w:rsidRPr="00B60243">
        <w:t>S</w:t>
      </w:r>
      <w:r w:rsidR="002A5A24" w:rsidRPr="00B60243">
        <w:t>urvey data</w:t>
      </w:r>
      <w:r w:rsidR="00A61C8F" w:rsidRPr="00B60243">
        <w:t>)</w:t>
      </w:r>
      <w:r w:rsidRPr="00B60243">
        <w:t>.</w:t>
      </w:r>
    </w:p>
    <w:p w:rsidR="0023591B" w:rsidRPr="00B60243" w:rsidRDefault="0023591B" w:rsidP="0023591B">
      <w:pPr>
        <w:pStyle w:val="FigureTitle"/>
      </w:pPr>
      <w:r w:rsidRPr="00B60243">
        <w:rPr>
          <w:b w:val="0"/>
        </w:rPr>
        <w:lastRenderedPageBreak/>
        <w:t xml:space="preserve">Figure </w:t>
      </w:r>
      <w:bookmarkStart w:id="26" w:name="OLE_LINK38"/>
      <w:r w:rsidR="00B072C2" w:rsidRPr="00B60243">
        <w:rPr>
          <w:b w:val="0"/>
        </w:rPr>
        <w:t>5.</w:t>
      </w:r>
      <w:r w:rsidR="002E061A">
        <w:rPr>
          <w:b w:val="0"/>
          <w:noProof/>
        </w:rPr>
        <w:t>15</w:t>
      </w:r>
      <w:bookmarkEnd w:id="26"/>
      <w:r w:rsidRPr="00B60243">
        <w:tab/>
        <w:t>Contribution</w:t>
      </w:r>
      <w:r w:rsidR="00C20EB9" w:rsidRPr="00B60243">
        <w:t xml:space="preserve">s of </w:t>
      </w:r>
      <w:proofErr w:type="spellStart"/>
      <w:r w:rsidR="007B0BF1" w:rsidRPr="00B60243">
        <w:t>FBT</w:t>
      </w:r>
      <w:proofErr w:type="spellEnd"/>
      <w:r w:rsidR="007B0BF1" w:rsidRPr="00B60243">
        <w:t xml:space="preserve"> subdivisions to</w:t>
      </w:r>
      <w:r w:rsidR="000537A8" w:rsidRPr="00B60243">
        <w:t xml:space="preserve"> </w:t>
      </w:r>
      <w:r w:rsidR="007B0BF1" w:rsidRPr="00B60243">
        <w:t xml:space="preserve">average annual </w:t>
      </w:r>
      <w:r w:rsidR="00C20EB9" w:rsidRPr="00B60243">
        <w:t xml:space="preserve">growth in total </w:t>
      </w:r>
      <w:r w:rsidR="007B0BF1" w:rsidRPr="00B60243">
        <w:t xml:space="preserve">hours worked in the </w:t>
      </w:r>
      <w:proofErr w:type="spellStart"/>
      <w:r w:rsidR="00C20EB9" w:rsidRPr="00B60243">
        <w:t>FBT</w:t>
      </w:r>
      <w:proofErr w:type="spellEnd"/>
      <w:r w:rsidR="00C20EB9" w:rsidRPr="00B60243">
        <w:t xml:space="preserve"> </w:t>
      </w:r>
      <w:r w:rsidR="007B0BF1" w:rsidRPr="00B60243">
        <w:t>subsector</w:t>
      </w:r>
    </w:p>
    <w:p w:rsidR="0023591B" w:rsidRPr="00B60243" w:rsidRDefault="000537A8" w:rsidP="0023591B">
      <w:pPr>
        <w:pStyle w:val="Subtitle"/>
      </w:pPr>
      <w:r w:rsidRPr="00B60243">
        <w:t>Percentage points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3591B" w:rsidRPr="00B60243" w:rsidTr="0023591B">
        <w:tc>
          <w:tcPr>
            <w:tcW w:w="8777" w:type="dxa"/>
          </w:tcPr>
          <w:p w:rsidR="0023591B" w:rsidRPr="00B60243" w:rsidRDefault="00E406E7" w:rsidP="0023591B">
            <w:pPr>
              <w:pStyle w:val="Figure"/>
              <w:spacing w:before="0" w:after="0"/>
            </w:pPr>
            <w:r>
              <w:pict>
                <v:shape id="_x0000_i1046" type="#_x0000_t75" alt="This figure shows that FBT hours worked growth in cycle 4 was dominated by Food manufacturing (which was also responsible for the decline over cycle 3). The hours worked decline reversal between cycle 3 and 4 was almost solely due to the Food manufacturing subdivision." style="width:424.45pt;height:198.4pt">
                  <v:imagedata r:id="rId31" o:title=""/>
                </v:shape>
              </w:pict>
            </w:r>
          </w:p>
        </w:tc>
      </w:tr>
    </w:tbl>
    <w:p w:rsidR="0023591B" w:rsidRPr="00B60243" w:rsidRDefault="0023591B" w:rsidP="0023591B">
      <w:pPr>
        <w:pStyle w:val="Source"/>
      </w:pPr>
      <w:r w:rsidRPr="00B60243">
        <w:rPr>
          <w:i/>
        </w:rPr>
        <w:t>Data source</w:t>
      </w:r>
      <w:r w:rsidRPr="00B60243">
        <w:t xml:space="preserve">: </w:t>
      </w:r>
      <w:r w:rsidR="0061662B" w:rsidRPr="00B60243">
        <w:t>Authors’ estimates based on ABS (unpublished Labour Force Survey data)</w:t>
      </w:r>
      <w:r w:rsidR="002A5A24" w:rsidRPr="00B60243">
        <w:t>.</w:t>
      </w:r>
    </w:p>
    <w:p w:rsidR="00DE0F83" w:rsidRPr="00B60243" w:rsidRDefault="00DE0F83" w:rsidP="00DE0F83">
      <w:pPr>
        <w:pStyle w:val="BodyText"/>
      </w:pPr>
      <w:proofErr w:type="spellStart"/>
      <w:r w:rsidRPr="00B60243">
        <w:t>FBT</w:t>
      </w:r>
      <w:proofErr w:type="spellEnd"/>
      <w:r w:rsidRPr="00B60243">
        <w:t xml:space="preserve"> hours worked </w:t>
      </w:r>
      <w:r w:rsidR="000458EE">
        <w:t>were</w:t>
      </w:r>
      <w:r w:rsidRPr="00B60243">
        <w:t xml:space="preserve"> dominated by Food manufacturing rather than Beverage </w:t>
      </w:r>
      <w:r w:rsidR="001159D9" w:rsidRPr="00B60243">
        <w:t>and</w:t>
      </w:r>
      <w:r w:rsidRPr="00B60243">
        <w:t xml:space="preserve"> tobacco manufacturing. And in both cycles 3 and 4, the change was</w:t>
      </w:r>
      <w:r w:rsidR="008555A0" w:rsidRPr="00B60243">
        <w:t xml:space="preserve"> almost solely due to </w:t>
      </w:r>
      <w:r w:rsidRPr="00B60243">
        <w:t xml:space="preserve">the </w:t>
      </w:r>
      <w:r w:rsidR="008555A0" w:rsidRPr="00B60243">
        <w:t>F</w:t>
      </w:r>
      <w:r w:rsidRPr="00B60243">
        <w:t>ood manufacturing subdivision</w:t>
      </w:r>
      <w:r w:rsidR="00FE7624" w:rsidRPr="00B60243">
        <w:t xml:space="preserve"> (figure 5.15)</w:t>
      </w:r>
      <w:r w:rsidRPr="00B60243">
        <w:t xml:space="preserve">. </w:t>
      </w:r>
    </w:p>
    <w:p w:rsidR="00B41E00" w:rsidRPr="00B60243" w:rsidRDefault="009C24FF" w:rsidP="0023591B">
      <w:pPr>
        <w:pStyle w:val="BodyText"/>
      </w:pPr>
      <w:r w:rsidRPr="00B60243">
        <w:t xml:space="preserve">Explanations put forward for </w:t>
      </w:r>
      <w:r w:rsidR="00CA06AE" w:rsidRPr="00B60243">
        <w:t xml:space="preserve">the </w:t>
      </w:r>
      <w:r w:rsidRPr="00B60243">
        <w:t xml:space="preserve">decline in </w:t>
      </w:r>
      <w:r w:rsidR="00FE7624" w:rsidRPr="00B60243">
        <w:t>labour usage</w:t>
      </w:r>
      <w:r w:rsidRPr="00B60243">
        <w:t xml:space="preserve"> in </w:t>
      </w:r>
      <w:proofErr w:type="spellStart"/>
      <w:r w:rsidR="00C54565" w:rsidRPr="00B60243">
        <w:t>FBT</w:t>
      </w:r>
      <w:proofErr w:type="spellEnd"/>
      <w:r w:rsidR="00C54565" w:rsidRPr="00B60243">
        <w:t xml:space="preserve"> during cycle 3 include</w:t>
      </w:r>
      <w:r w:rsidR="00B41E00" w:rsidRPr="00B60243">
        <w:t>:</w:t>
      </w:r>
      <w:r w:rsidR="003739FC" w:rsidRPr="00B60243">
        <w:t xml:space="preserve"> </w:t>
      </w:r>
    </w:p>
    <w:p w:rsidR="00DC7873" w:rsidRPr="00B60243" w:rsidRDefault="000100E9" w:rsidP="00DC7873">
      <w:pPr>
        <w:pStyle w:val="ListBullet"/>
      </w:pPr>
      <w:r w:rsidRPr="00B60243">
        <w:t xml:space="preserve">rationalisation of production in some parts of </w:t>
      </w:r>
      <w:proofErr w:type="spellStart"/>
      <w:r w:rsidRPr="00B60243">
        <w:t>FBT</w:t>
      </w:r>
      <w:proofErr w:type="spellEnd"/>
      <w:r w:rsidRPr="00B60243">
        <w:t xml:space="preserve"> </w:t>
      </w:r>
      <w:r w:rsidR="009B4D36" w:rsidRPr="00B60243">
        <w:t xml:space="preserve">(including </w:t>
      </w:r>
      <w:r w:rsidR="00626232" w:rsidRPr="00B60243">
        <w:t>Meat</w:t>
      </w:r>
      <w:r w:rsidR="009B4D36" w:rsidRPr="00B60243">
        <w:t xml:space="preserve"> and Bakery) </w:t>
      </w:r>
      <w:r w:rsidRPr="00B60243">
        <w:t xml:space="preserve">and the </w:t>
      </w:r>
      <w:r w:rsidR="00DC7873" w:rsidRPr="00B60243">
        <w:t>rising Australian dollar between late 2001 and early 2003</w:t>
      </w:r>
      <w:r w:rsidRPr="00B60243">
        <w:t xml:space="preserve"> </w:t>
      </w:r>
      <w:r w:rsidR="00DC7873" w:rsidRPr="00B60243">
        <w:t xml:space="preserve">(Smith and </w:t>
      </w:r>
      <w:proofErr w:type="spellStart"/>
      <w:r w:rsidR="00DC7873" w:rsidRPr="00B60243">
        <w:t>Jahan</w:t>
      </w:r>
      <w:proofErr w:type="spellEnd"/>
      <w:r w:rsidR="00DC7873" w:rsidRPr="00B60243">
        <w:t xml:space="preserve"> 2003)</w:t>
      </w:r>
    </w:p>
    <w:p w:rsidR="00C54565" w:rsidRPr="00B60243" w:rsidRDefault="009C24FF" w:rsidP="00B41E00">
      <w:pPr>
        <w:pStyle w:val="ListBullet"/>
      </w:pPr>
      <w:r w:rsidRPr="00B60243">
        <w:t>decrease in underemployed labour due to changes in workplace arrangements allowing food processors to better match labour with fluctuating demand (</w:t>
      </w:r>
      <w:proofErr w:type="spellStart"/>
      <w:r w:rsidRPr="00B60243">
        <w:t>Delforce</w:t>
      </w:r>
      <w:proofErr w:type="spellEnd"/>
      <w:r w:rsidRPr="00B60243">
        <w:t>, Dickson and Hogan 2005)</w:t>
      </w:r>
    </w:p>
    <w:p w:rsidR="004862D9" w:rsidRPr="00B60243" w:rsidRDefault="004862D9" w:rsidP="004862D9">
      <w:pPr>
        <w:pStyle w:val="ListBullet"/>
      </w:pPr>
      <w:r w:rsidRPr="00B60243">
        <w:t>the severe and widespread drought in 2003 reducing the primary products available for food processi</w:t>
      </w:r>
      <w:r w:rsidR="00774623" w:rsidRPr="00B60243">
        <w:t>ng in 2003</w:t>
      </w:r>
      <w:r w:rsidR="00E36E7F">
        <w:noBreakHyphen/>
      </w:r>
      <w:r w:rsidR="00774623" w:rsidRPr="00B60243">
        <w:t xml:space="preserve">04 (DAFF </w:t>
      </w:r>
      <w:proofErr w:type="spellStart"/>
      <w:r w:rsidR="00774623" w:rsidRPr="00B60243">
        <w:t>2005b</w:t>
      </w:r>
      <w:proofErr w:type="spellEnd"/>
      <w:r w:rsidR="00774623" w:rsidRPr="00B60243">
        <w:t>;</w:t>
      </w:r>
      <w:r w:rsidRPr="00B60243">
        <w:t xml:space="preserve"> Smith and </w:t>
      </w:r>
      <w:proofErr w:type="spellStart"/>
      <w:r w:rsidRPr="00B60243">
        <w:t>Jahan</w:t>
      </w:r>
      <w:proofErr w:type="spellEnd"/>
      <w:r w:rsidR="00F63EED" w:rsidRPr="00B60243">
        <w:t> </w:t>
      </w:r>
      <w:r w:rsidRPr="00B60243">
        <w:t>2003).</w:t>
      </w:r>
    </w:p>
    <w:p w:rsidR="0023591B" w:rsidRPr="00B60243" w:rsidRDefault="009C24FF" w:rsidP="000720D9">
      <w:pPr>
        <w:pStyle w:val="BodyText"/>
      </w:pPr>
      <w:r w:rsidRPr="00B60243">
        <w:t xml:space="preserve">Explanations for the </w:t>
      </w:r>
      <w:r w:rsidR="008555A0" w:rsidRPr="00B60243">
        <w:t xml:space="preserve">significant </w:t>
      </w:r>
      <w:r w:rsidRPr="00B60243">
        <w:t xml:space="preserve">increase in </w:t>
      </w:r>
      <w:proofErr w:type="spellStart"/>
      <w:r w:rsidR="00FE7624" w:rsidRPr="00B60243">
        <w:t>FBT</w:t>
      </w:r>
      <w:proofErr w:type="spellEnd"/>
      <w:r w:rsidR="00FE7624" w:rsidRPr="00B60243">
        <w:t xml:space="preserve"> hours worked ove</w:t>
      </w:r>
      <w:r w:rsidRPr="00B60243">
        <w:t xml:space="preserve">r cycle 4 are less clear. </w:t>
      </w:r>
      <w:r w:rsidR="00B74E15" w:rsidRPr="00B60243">
        <w:t>T</w:t>
      </w:r>
      <w:r w:rsidR="0023591B" w:rsidRPr="00B60243">
        <w:t xml:space="preserve">he positive turnaround in hours worked growth in Food manufacturing appears to </w:t>
      </w:r>
      <w:r w:rsidR="00FE7624" w:rsidRPr="00B60243">
        <w:t xml:space="preserve">have </w:t>
      </w:r>
      <w:r w:rsidR="0023591B" w:rsidRPr="00B60243">
        <w:t>be</w:t>
      </w:r>
      <w:r w:rsidR="00FE7624" w:rsidRPr="00B60243">
        <w:t>en</w:t>
      </w:r>
      <w:r w:rsidR="0023591B" w:rsidRPr="00B60243">
        <w:t xml:space="preserve"> much stronger than the turnaround in </w:t>
      </w:r>
      <w:r w:rsidR="001A18EB" w:rsidRPr="00B60243">
        <w:t xml:space="preserve">real </w:t>
      </w:r>
      <w:r w:rsidR="0023591B" w:rsidRPr="00B60243">
        <w:t>VA growth. And in BT</w:t>
      </w:r>
      <w:r w:rsidR="00CA06AE" w:rsidRPr="00B60243">
        <w:t>,</w:t>
      </w:r>
      <w:r w:rsidR="0023591B" w:rsidRPr="00B60243">
        <w:t xml:space="preserve"> hours worked continued to grow (albeit at a slower rate), while VA declined. </w:t>
      </w:r>
      <w:r w:rsidR="00FF5E92" w:rsidRPr="00B60243">
        <w:t>During the process of adjustment of production, t</w:t>
      </w:r>
      <w:r w:rsidR="001366DC" w:rsidRPr="00B60243">
        <w:t xml:space="preserve">here may </w:t>
      </w:r>
      <w:r w:rsidR="000143C8" w:rsidRPr="00B60243">
        <w:t xml:space="preserve">have </w:t>
      </w:r>
      <w:r w:rsidR="001366DC" w:rsidRPr="00B60243">
        <w:t>be</w:t>
      </w:r>
      <w:r w:rsidR="000143C8" w:rsidRPr="00B60243">
        <w:t>en</w:t>
      </w:r>
      <w:r w:rsidR="001366DC" w:rsidRPr="00B60243">
        <w:t xml:space="preserve"> some underutilised labour </w:t>
      </w:r>
      <w:r w:rsidR="001749FA">
        <w:t xml:space="preserve">(or ‘labour hoarding’) </w:t>
      </w:r>
      <w:r w:rsidR="00FF5E92" w:rsidRPr="00B60243">
        <w:t xml:space="preserve">in the parts of </w:t>
      </w:r>
      <w:proofErr w:type="spellStart"/>
      <w:r w:rsidR="00FF5E92" w:rsidRPr="00B60243">
        <w:t>FBT</w:t>
      </w:r>
      <w:proofErr w:type="spellEnd"/>
      <w:r w:rsidR="00FF5E92" w:rsidRPr="00B60243">
        <w:t xml:space="preserve"> with </w:t>
      </w:r>
      <w:r w:rsidR="000143C8" w:rsidRPr="00B60243">
        <w:t>declining</w:t>
      </w:r>
      <w:r w:rsidR="00FF5E92" w:rsidRPr="00B60243">
        <w:t xml:space="preserve"> VA</w:t>
      </w:r>
      <w:r w:rsidR="005908E4" w:rsidRPr="00B60243">
        <w:t xml:space="preserve">, particularly if declines </w:t>
      </w:r>
      <w:r w:rsidR="00FE7624" w:rsidRPr="00B60243">
        <w:t>we</w:t>
      </w:r>
      <w:r w:rsidR="005908E4" w:rsidRPr="00B60243">
        <w:t xml:space="preserve">re expected to be temporary. </w:t>
      </w:r>
      <w:r w:rsidR="002C0566">
        <w:t xml:space="preserve">Firms may hoard labour in anticipation of an upturn, generally to avoid hiring costs and to retain employees </w:t>
      </w:r>
      <w:r w:rsidR="002C0566">
        <w:lastRenderedPageBreak/>
        <w:t>that may be difficult to replace.</w:t>
      </w:r>
      <w:r w:rsidR="002C0566">
        <w:rPr>
          <w:rStyle w:val="FootnoteReference"/>
        </w:rPr>
        <w:footnoteReference w:id="15"/>
      </w:r>
      <w:r w:rsidR="002C0566" w:rsidRPr="00B60243">
        <w:t xml:space="preserve"> </w:t>
      </w:r>
      <w:r w:rsidR="005908E4" w:rsidRPr="00B60243">
        <w:t xml:space="preserve">But change in the composition of output, including in response to consumer preferences, may </w:t>
      </w:r>
      <w:r w:rsidR="009247B4" w:rsidRPr="00B60243">
        <w:t xml:space="preserve">also have increased </w:t>
      </w:r>
      <w:r w:rsidR="005908E4" w:rsidRPr="00B60243">
        <w:t xml:space="preserve">the average labour intensity of production. </w:t>
      </w:r>
    </w:p>
    <w:p w:rsidR="0023591B" w:rsidRPr="00B60243" w:rsidRDefault="00E409B3" w:rsidP="0023591B">
      <w:pPr>
        <w:pStyle w:val="Heading4"/>
      </w:pPr>
      <w:r w:rsidRPr="00B60243">
        <w:t xml:space="preserve">Largest increases in hours worked in </w:t>
      </w:r>
      <w:r w:rsidR="001A18EB" w:rsidRPr="00B60243">
        <w:t>Bakery, Meat</w:t>
      </w:r>
      <w:r w:rsidR="000458EE">
        <w:t>,</w:t>
      </w:r>
      <w:r w:rsidR="001A18EB" w:rsidRPr="00B60243">
        <w:t xml:space="preserve"> and Sugar and </w:t>
      </w:r>
      <w:r w:rsidRPr="00B60243">
        <w:t>confectionery</w:t>
      </w:r>
    </w:p>
    <w:p w:rsidR="00A5259B" w:rsidRPr="00B60243" w:rsidRDefault="0090115C" w:rsidP="002A3BF1">
      <w:pPr>
        <w:pStyle w:val="BodyText"/>
      </w:pPr>
      <w:r w:rsidRPr="00B60243">
        <w:t xml:space="preserve">Most Food manufacturing </w:t>
      </w:r>
      <w:r w:rsidR="00A5259B" w:rsidRPr="00B60243">
        <w:t xml:space="preserve">groups </w:t>
      </w:r>
      <w:r w:rsidRPr="00B60243">
        <w:t>had a decline in hours worked in cycle 3, followed by a rise in hours worked in cycle 4</w:t>
      </w:r>
      <w:r w:rsidR="00CA7610" w:rsidRPr="00B60243">
        <w:t xml:space="preserve"> (figure </w:t>
      </w:r>
      <w:r w:rsidR="00B072C2" w:rsidRPr="00B60243">
        <w:t>5.16</w:t>
      </w:r>
      <w:r w:rsidR="00CA7610" w:rsidRPr="00B60243">
        <w:t>)</w:t>
      </w:r>
      <w:r w:rsidRPr="00B60243">
        <w:t>.</w:t>
      </w:r>
      <w:r w:rsidR="00CA7610" w:rsidRPr="00B60243">
        <w:rPr>
          <w:rStyle w:val="FootnoteReference"/>
        </w:rPr>
        <w:t xml:space="preserve"> </w:t>
      </w:r>
      <w:r w:rsidR="00A5259B" w:rsidRPr="00B60243">
        <w:t xml:space="preserve">But the largest turnarounds in hours worked were in </w:t>
      </w:r>
      <w:r w:rsidR="006057DD" w:rsidRPr="00B60243">
        <w:t>Bakery, Meat</w:t>
      </w:r>
      <w:r w:rsidR="005B0BFB" w:rsidRPr="00B60243">
        <w:t>,</w:t>
      </w:r>
      <w:r w:rsidR="006057DD" w:rsidRPr="00B60243">
        <w:t xml:space="preserve"> and Sugar</w:t>
      </w:r>
      <w:r w:rsidR="005B0BFB" w:rsidRPr="00B60243">
        <w:t xml:space="preserve"> and </w:t>
      </w:r>
      <w:r w:rsidR="006057DD" w:rsidRPr="00B60243">
        <w:t xml:space="preserve">confectionery. </w:t>
      </w:r>
    </w:p>
    <w:p w:rsidR="0023591B" w:rsidRPr="00B60243" w:rsidRDefault="0023591B" w:rsidP="0023591B">
      <w:pPr>
        <w:pStyle w:val="FigureTitle"/>
      </w:pPr>
      <w:r w:rsidRPr="00B60243">
        <w:rPr>
          <w:b w:val="0"/>
        </w:rPr>
        <w:t xml:space="preserve">Figure </w:t>
      </w:r>
      <w:bookmarkStart w:id="27" w:name="OLE_LINK15"/>
      <w:r w:rsidR="00B072C2" w:rsidRPr="00B60243">
        <w:rPr>
          <w:b w:val="0"/>
        </w:rPr>
        <w:t>5.</w:t>
      </w:r>
      <w:r w:rsidR="002E061A">
        <w:rPr>
          <w:b w:val="0"/>
          <w:noProof/>
        </w:rPr>
        <w:t>16</w:t>
      </w:r>
      <w:bookmarkEnd w:id="27"/>
      <w:r w:rsidRPr="00B60243">
        <w:tab/>
        <w:t>Hours worked by F</w:t>
      </w:r>
      <w:r w:rsidR="00CA7610" w:rsidRPr="00B60243">
        <w:t>ood manufacturing</w:t>
      </w:r>
      <w:r w:rsidRPr="00B60243">
        <w:t xml:space="preserve"> group</w:t>
      </w:r>
      <w:r w:rsidR="00AC0A83" w:rsidRPr="00B60243">
        <w:rPr>
          <w:rStyle w:val="NoteLabel"/>
          <w:b/>
        </w:rPr>
        <w:t>a</w:t>
      </w:r>
    </w:p>
    <w:p w:rsidR="0023591B" w:rsidRPr="00B60243" w:rsidRDefault="004D1D1D" w:rsidP="0023591B">
      <w:pPr>
        <w:pStyle w:val="Subtitle"/>
      </w:pPr>
      <w:r w:rsidRPr="00B60243">
        <w:t>‘000 h</w:t>
      </w:r>
      <w:r w:rsidR="0023591B" w:rsidRPr="00B60243">
        <w:t>ours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3591B" w:rsidRPr="00B60243" w:rsidTr="0023591B">
        <w:tc>
          <w:tcPr>
            <w:tcW w:w="8777" w:type="dxa"/>
          </w:tcPr>
          <w:p w:rsidR="0023591B" w:rsidRPr="00B60243" w:rsidRDefault="00E406E7" w:rsidP="00813503">
            <w:pPr>
              <w:pStyle w:val="Figure"/>
              <w:spacing w:before="0" w:after="0"/>
            </w:pPr>
            <w:r>
              <w:pict>
                <v:shape id="_x0000_i1047" type="#_x0000_t75" alt="This figure shows that most Food manufacturing groups had a decline in hours worked in cycle 3, followed by a rise in hours worked in cycle 4. The largest turnarounds in hours worked were in Bakery, Meat and Sugar and confectionery." style="width:425.3pt;height:205.95pt">
                  <v:imagedata r:id="rId32" o:title=""/>
                </v:shape>
              </w:pict>
            </w:r>
          </w:p>
        </w:tc>
      </w:tr>
    </w:tbl>
    <w:p w:rsidR="0023591B" w:rsidRPr="00B60243" w:rsidRDefault="0023591B" w:rsidP="0023591B">
      <w:pPr>
        <w:pStyle w:val="Note"/>
      </w:pPr>
      <w:r w:rsidRPr="00B60243">
        <w:rPr>
          <w:rStyle w:val="NoteLabel"/>
        </w:rPr>
        <w:t>a</w:t>
      </w:r>
      <w:r w:rsidR="00170E50" w:rsidRPr="00B60243">
        <w:rPr>
          <w:rStyle w:val="NoteLabel"/>
        </w:rPr>
        <w:t xml:space="preserve"> </w:t>
      </w:r>
      <w:r w:rsidR="00170E50" w:rsidRPr="00B60243">
        <w:t xml:space="preserve">Food </w:t>
      </w:r>
      <w:proofErr w:type="spellStart"/>
      <w:r w:rsidR="00170E50" w:rsidRPr="00B60243">
        <w:t>nfd</w:t>
      </w:r>
      <w:proofErr w:type="spellEnd"/>
      <w:r w:rsidR="00170E50" w:rsidRPr="00B60243">
        <w:t xml:space="preserve"> (not further defined) includes survey respondents who provided insufficient details to be allocated to an </w:t>
      </w:r>
      <w:proofErr w:type="spellStart"/>
      <w:r w:rsidR="00170E50" w:rsidRPr="00B60243">
        <w:t>ANZSIC</w:t>
      </w:r>
      <w:proofErr w:type="spellEnd"/>
      <w:r w:rsidR="00170E50" w:rsidRPr="00B60243">
        <w:t xml:space="preserve"> group.</w:t>
      </w:r>
      <w:r w:rsidR="0005767A" w:rsidRPr="00B60243">
        <w:t xml:space="preserve"> </w:t>
      </w:r>
    </w:p>
    <w:p w:rsidR="0023591B" w:rsidRPr="00B60243" w:rsidRDefault="0023591B" w:rsidP="0023591B">
      <w:pPr>
        <w:pStyle w:val="Source"/>
      </w:pPr>
      <w:r w:rsidRPr="00B60243">
        <w:rPr>
          <w:i/>
        </w:rPr>
        <w:t>Data source</w:t>
      </w:r>
      <w:r w:rsidRPr="00B60243">
        <w:t xml:space="preserve">: </w:t>
      </w:r>
      <w:r w:rsidR="0061662B" w:rsidRPr="00B60243">
        <w:t>Authors’ estimates based on ABS (unpublished Labour Force Survey data).</w:t>
      </w:r>
    </w:p>
    <w:p w:rsidR="00E06591" w:rsidRDefault="00E06591">
      <w:pPr>
        <w:rPr>
          <w:szCs w:val="20"/>
        </w:rPr>
      </w:pPr>
      <w:r>
        <w:br w:type="page"/>
      </w:r>
    </w:p>
    <w:p w:rsidR="002A3BF1" w:rsidRPr="00B60243" w:rsidRDefault="002A3BF1" w:rsidP="002A3BF1">
      <w:pPr>
        <w:pStyle w:val="BodyText"/>
      </w:pPr>
      <w:r w:rsidRPr="00B60243">
        <w:lastRenderedPageBreak/>
        <w:t xml:space="preserve">Figure </w:t>
      </w:r>
      <w:r w:rsidR="00B072C2" w:rsidRPr="00B60243">
        <w:t>5.17</w:t>
      </w:r>
      <w:r w:rsidRPr="00B60243">
        <w:t xml:space="preserve"> shows the </w:t>
      </w:r>
      <w:r w:rsidRPr="00B60243">
        <w:rPr>
          <w:i/>
        </w:rPr>
        <w:t>contributions</w:t>
      </w:r>
      <w:r w:rsidRPr="00B60243">
        <w:t xml:space="preserve"> of each of the groups to the increase in growth in aggregate </w:t>
      </w:r>
      <w:proofErr w:type="spellStart"/>
      <w:r w:rsidRPr="00B60243">
        <w:t>FBT</w:t>
      </w:r>
      <w:proofErr w:type="spellEnd"/>
      <w:r w:rsidRPr="00B60243">
        <w:t xml:space="preserve"> hours worked in cycles 3 and 4 and the change </w:t>
      </w:r>
      <w:r w:rsidRPr="00B60243">
        <w:rPr>
          <w:i/>
        </w:rPr>
        <w:t xml:space="preserve">between </w:t>
      </w:r>
      <w:r w:rsidRPr="00B60243">
        <w:t xml:space="preserve">cycles. </w:t>
      </w:r>
    </w:p>
    <w:p w:rsidR="002A3BF1" w:rsidRPr="00B60243" w:rsidRDefault="002A3BF1" w:rsidP="002A3BF1">
      <w:pPr>
        <w:pStyle w:val="ListBullet"/>
      </w:pPr>
      <w:r w:rsidRPr="00B60243">
        <w:t xml:space="preserve">Bakery contributed almost half of the total </w:t>
      </w:r>
      <w:proofErr w:type="spellStart"/>
      <w:r w:rsidRPr="00B60243">
        <w:t>FBT</w:t>
      </w:r>
      <w:proofErr w:type="spellEnd"/>
      <w:r w:rsidRPr="00B60243">
        <w:t xml:space="preserve"> increase in </w:t>
      </w:r>
      <w:r w:rsidR="008812BB">
        <w:t xml:space="preserve">hours worked </w:t>
      </w:r>
      <w:r w:rsidRPr="00B60243">
        <w:t>growth between cycles</w:t>
      </w:r>
      <w:r w:rsidR="00FE7624" w:rsidRPr="00B60243">
        <w:t>,</w:t>
      </w:r>
      <w:r w:rsidRPr="00B60243">
        <w:rPr>
          <w:rStyle w:val="FootnoteReference"/>
        </w:rPr>
        <w:footnoteReference w:id="16"/>
      </w:r>
      <w:r w:rsidRPr="00B60243">
        <w:t xml:space="preserve"> followed by Meat (almost a quarter), and Sugar </w:t>
      </w:r>
      <w:r w:rsidR="001159D9" w:rsidRPr="00B60243">
        <w:t>and</w:t>
      </w:r>
      <w:r w:rsidRPr="00B60243">
        <w:t xml:space="preserve"> confectionery (</w:t>
      </w:r>
      <w:r w:rsidR="004B52A9" w:rsidRPr="00B60243">
        <w:t>22 </w:t>
      </w:r>
      <w:r w:rsidRPr="00B60243">
        <w:t xml:space="preserve">per cent). It was large </w:t>
      </w:r>
      <w:r w:rsidR="008812BB">
        <w:t>increases</w:t>
      </w:r>
      <w:r w:rsidRPr="00B60243">
        <w:t xml:space="preserve"> in cycle 4 that led to the particularly large contributions from Bakery and Meat. </w:t>
      </w:r>
    </w:p>
    <w:p w:rsidR="002A3BF1" w:rsidRPr="00B60243" w:rsidRDefault="002A3BF1" w:rsidP="002A3BF1">
      <w:pPr>
        <w:pStyle w:val="ListBullet2"/>
      </w:pPr>
      <w:r w:rsidRPr="00B60243">
        <w:t>Within Bakery, it appears to be non</w:t>
      </w:r>
      <w:r w:rsidR="00E36E7F">
        <w:noBreakHyphen/>
      </w:r>
      <w:r w:rsidRPr="00B60243">
        <w:t xml:space="preserve">factory </w:t>
      </w:r>
      <w:r w:rsidR="008555A0" w:rsidRPr="00B60243">
        <w:t>baking (</w:t>
      </w:r>
      <w:r w:rsidR="000C1410" w:rsidRPr="00B60243">
        <w:t>for example,</w:t>
      </w:r>
      <w:r w:rsidR="008555A0" w:rsidRPr="00B60243">
        <w:t xml:space="preserve"> hot bread shops) </w:t>
      </w:r>
      <w:r w:rsidRPr="00B60243">
        <w:t>rather than factory baking that led to this growth.</w:t>
      </w:r>
      <w:r w:rsidRPr="00B60243">
        <w:rPr>
          <w:rStyle w:val="FootnoteReference"/>
        </w:rPr>
        <w:footnoteReference w:id="17"/>
      </w:r>
    </w:p>
    <w:p w:rsidR="002A3BF1" w:rsidRPr="00B60243" w:rsidRDefault="002A3BF1" w:rsidP="002A3BF1">
      <w:pPr>
        <w:pStyle w:val="ListBullet"/>
      </w:pPr>
      <w:r w:rsidRPr="00B60243">
        <w:t xml:space="preserve">Seafood, Oil </w:t>
      </w:r>
      <w:r w:rsidR="001159D9" w:rsidRPr="00B60243">
        <w:t>and</w:t>
      </w:r>
      <w:r w:rsidRPr="00B60243">
        <w:t xml:space="preserve"> fat, Grain </w:t>
      </w:r>
      <w:r w:rsidR="001159D9" w:rsidRPr="00B60243">
        <w:t>and</w:t>
      </w:r>
      <w:r w:rsidRPr="00B60243">
        <w:t xml:space="preserve"> cereal, Dairy and Other food made positive contributions of between 2 and 15 per cent of the total </w:t>
      </w:r>
      <w:proofErr w:type="spellStart"/>
      <w:r w:rsidRPr="00B60243">
        <w:t>FBT</w:t>
      </w:r>
      <w:proofErr w:type="spellEnd"/>
      <w:r w:rsidRPr="00B60243">
        <w:t xml:space="preserve"> increase. </w:t>
      </w:r>
    </w:p>
    <w:p w:rsidR="002A3BF1" w:rsidRPr="00B60243" w:rsidRDefault="002A3BF1" w:rsidP="002A3BF1">
      <w:pPr>
        <w:pStyle w:val="ListBullet"/>
      </w:pPr>
      <w:r w:rsidRPr="00B60243">
        <w:t xml:space="preserve">Fruit </w:t>
      </w:r>
      <w:r w:rsidR="001159D9" w:rsidRPr="00B60243">
        <w:t>and</w:t>
      </w:r>
      <w:r w:rsidRPr="00B60243">
        <w:t xml:space="preserve"> vegetable processing had an offsetting decline in hours worked, as did BT.</w:t>
      </w:r>
      <w:r w:rsidRPr="00B60243">
        <w:rPr>
          <w:rStyle w:val="FootnoteReference"/>
        </w:rPr>
        <w:footnoteReference w:id="18"/>
      </w:r>
      <w:r w:rsidRPr="00B60243">
        <w:t xml:space="preserve"> </w:t>
      </w:r>
    </w:p>
    <w:p w:rsidR="0023591B" w:rsidRPr="00B60243" w:rsidRDefault="0023591B" w:rsidP="0023591B">
      <w:pPr>
        <w:pStyle w:val="FigureTitle"/>
      </w:pPr>
      <w:r w:rsidRPr="00B60243">
        <w:rPr>
          <w:b w:val="0"/>
        </w:rPr>
        <w:t xml:space="preserve">Figure </w:t>
      </w:r>
      <w:bookmarkStart w:id="28" w:name="OLE_LINK16"/>
      <w:r w:rsidR="00B072C2" w:rsidRPr="00B60243">
        <w:rPr>
          <w:b w:val="0"/>
        </w:rPr>
        <w:t>5.</w:t>
      </w:r>
      <w:r w:rsidR="002E061A">
        <w:rPr>
          <w:b w:val="0"/>
          <w:noProof/>
        </w:rPr>
        <w:t>17</w:t>
      </w:r>
      <w:bookmarkEnd w:id="28"/>
      <w:r w:rsidRPr="00B60243">
        <w:tab/>
        <w:t xml:space="preserve">Contributions </w:t>
      </w:r>
      <w:r w:rsidR="007B0BF1" w:rsidRPr="00B60243">
        <w:t xml:space="preserve">of </w:t>
      </w:r>
      <w:proofErr w:type="spellStart"/>
      <w:r w:rsidR="007B0BF1" w:rsidRPr="00B60243">
        <w:t>FBT</w:t>
      </w:r>
      <w:proofErr w:type="spellEnd"/>
      <w:r w:rsidR="007B0BF1" w:rsidRPr="00B60243">
        <w:t xml:space="preserve"> groups </w:t>
      </w:r>
      <w:r w:rsidRPr="00B60243">
        <w:t xml:space="preserve">to </w:t>
      </w:r>
      <w:r w:rsidR="007B0BF1" w:rsidRPr="00B60243">
        <w:t xml:space="preserve">average annual </w:t>
      </w:r>
      <w:r w:rsidRPr="00B60243">
        <w:t xml:space="preserve">growth in </w:t>
      </w:r>
      <w:r w:rsidR="007B0BF1" w:rsidRPr="00B60243">
        <w:t xml:space="preserve">total </w:t>
      </w:r>
      <w:r w:rsidRPr="00B60243">
        <w:t xml:space="preserve">hours worked in </w:t>
      </w:r>
      <w:r w:rsidR="007B0BF1" w:rsidRPr="00B60243">
        <w:t xml:space="preserve">the </w:t>
      </w:r>
      <w:proofErr w:type="spellStart"/>
      <w:r w:rsidR="00606A3E" w:rsidRPr="00B60243">
        <w:t>FBT</w:t>
      </w:r>
      <w:proofErr w:type="spellEnd"/>
      <w:r w:rsidR="007B0BF1" w:rsidRPr="00B60243">
        <w:t xml:space="preserve"> subsector</w:t>
      </w:r>
      <w:r w:rsidR="00682A84" w:rsidRPr="00B60243">
        <w:rPr>
          <w:rStyle w:val="NoteLabel"/>
          <w:b/>
        </w:rPr>
        <w:t>a</w:t>
      </w:r>
    </w:p>
    <w:p w:rsidR="0023591B" w:rsidRPr="00B60243" w:rsidRDefault="0023591B" w:rsidP="0023591B">
      <w:pPr>
        <w:pStyle w:val="Subtitle"/>
      </w:pPr>
      <w:r w:rsidRPr="00B60243">
        <w:t>Percentage points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3591B" w:rsidRPr="00B60243" w:rsidTr="0023591B">
        <w:tc>
          <w:tcPr>
            <w:tcW w:w="8777" w:type="dxa"/>
          </w:tcPr>
          <w:p w:rsidR="0023591B" w:rsidRPr="00B60243" w:rsidRDefault="00E406E7" w:rsidP="004B4A39">
            <w:pPr>
              <w:pStyle w:val="Figure"/>
              <w:spacing w:before="0" w:after="0"/>
            </w:pPr>
            <w:r>
              <w:pict>
                <v:shape id="_x0000_i1048" type="#_x0000_t75" alt="This figure shows the contributions of each of the groups to the increase in growth in aggregate FBT hours worked in cycles 3 and 4 and the change between cycles. Bakery contributed almost half of the total FBT increase in growth between cycles , followed by Meat, and Sugar &amp; confectionery. It was the large rises in cycle 4 that led to the particularly large contributions from Bakery and Meat. Fruit &amp; vegetable processing had an offsetting decline in hours worked, as did BT.  " style="width:424.45pt;height:199.25pt">
                  <v:imagedata r:id="rId33" o:title=""/>
                </v:shape>
              </w:pict>
            </w:r>
          </w:p>
        </w:tc>
      </w:tr>
    </w:tbl>
    <w:p w:rsidR="0023591B" w:rsidRPr="00B60243" w:rsidRDefault="0023591B" w:rsidP="0023591B">
      <w:pPr>
        <w:pStyle w:val="Note"/>
      </w:pPr>
      <w:r w:rsidRPr="00B60243">
        <w:rPr>
          <w:rStyle w:val="NoteLabel"/>
        </w:rPr>
        <w:t>a</w:t>
      </w:r>
      <w:r w:rsidRPr="00B60243">
        <w:t xml:space="preserve"> Food </w:t>
      </w:r>
      <w:proofErr w:type="spellStart"/>
      <w:r w:rsidRPr="00B60243">
        <w:t>nfd</w:t>
      </w:r>
      <w:proofErr w:type="spellEnd"/>
      <w:r w:rsidRPr="00B60243">
        <w:t xml:space="preserve"> (not fur</w:t>
      </w:r>
      <w:r w:rsidR="002B7698" w:rsidRPr="00B60243">
        <w:t>ther defined) includes survey responses the ABS has</w:t>
      </w:r>
      <w:r w:rsidRPr="00B60243">
        <w:t xml:space="preserve"> been unable to allocate to a specific </w:t>
      </w:r>
      <w:proofErr w:type="spellStart"/>
      <w:r w:rsidRPr="00B60243">
        <w:t>ANZSIC</w:t>
      </w:r>
      <w:proofErr w:type="spellEnd"/>
      <w:r w:rsidRPr="00B60243">
        <w:t xml:space="preserve"> food group. </w:t>
      </w:r>
    </w:p>
    <w:p w:rsidR="0023591B" w:rsidRPr="00B60243" w:rsidRDefault="0023591B" w:rsidP="0023591B">
      <w:pPr>
        <w:pStyle w:val="Source"/>
      </w:pPr>
      <w:r w:rsidRPr="00B60243">
        <w:rPr>
          <w:i/>
        </w:rPr>
        <w:t>Data source</w:t>
      </w:r>
      <w:r w:rsidRPr="00B60243">
        <w:t xml:space="preserve">: </w:t>
      </w:r>
      <w:r w:rsidR="0061662B" w:rsidRPr="00B60243">
        <w:t>Authors’ estimates based on ABS (unpublished Labour Force Survey data).</w:t>
      </w:r>
    </w:p>
    <w:p w:rsidR="005C5824" w:rsidRPr="00B60243" w:rsidRDefault="006B2214" w:rsidP="005C5824">
      <w:pPr>
        <w:pStyle w:val="Heading4"/>
        <w:rPr>
          <w:rFonts w:eastAsia="FuturaT-Light"/>
        </w:rPr>
      </w:pPr>
      <w:r w:rsidRPr="00B60243">
        <w:rPr>
          <w:rFonts w:eastAsia="FuturaT-Light"/>
        </w:rPr>
        <w:lastRenderedPageBreak/>
        <w:t>A m</w:t>
      </w:r>
      <w:r w:rsidR="005C5824" w:rsidRPr="00B60243">
        <w:rPr>
          <w:rFonts w:eastAsia="FuturaT-Light"/>
        </w:rPr>
        <w:t>ove to more labour</w:t>
      </w:r>
      <w:r w:rsidR="00E36E7F">
        <w:rPr>
          <w:rFonts w:eastAsia="FuturaT-Light"/>
        </w:rPr>
        <w:noBreakHyphen/>
      </w:r>
      <w:r w:rsidR="005C5824" w:rsidRPr="00B60243">
        <w:rPr>
          <w:rFonts w:eastAsia="FuturaT-Light"/>
        </w:rPr>
        <w:t>intensive products and production processes?</w:t>
      </w:r>
    </w:p>
    <w:p w:rsidR="005C5824" w:rsidRPr="00B60243" w:rsidRDefault="005C5824" w:rsidP="005C5824">
      <w:pPr>
        <w:pStyle w:val="BodyText"/>
        <w:rPr>
          <w:rFonts w:eastAsia="FuturaT-Light"/>
        </w:rPr>
      </w:pPr>
      <w:r w:rsidRPr="00B60243">
        <w:rPr>
          <w:rFonts w:eastAsia="FuturaT-Light"/>
        </w:rPr>
        <w:t xml:space="preserve">There are some </w:t>
      </w:r>
      <w:r w:rsidR="000C4030" w:rsidRPr="00B60243">
        <w:rPr>
          <w:rFonts w:eastAsia="FuturaT-Light"/>
        </w:rPr>
        <w:t xml:space="preserve">trends in </w:t>
      </w:r>
      <w:r w:rsidR="00095F1C" w:rsidRPr="00B60243">
        <w:rPr>
          <w:rFonts w:eastAsia="FuturaT-Light"/>
        </w:rPr>
        <w:t xml:space="preserve">consumer </w:t>
      </w:r>
      <w:r w:rsidR="0083433B" w:rsidRPr="00B60243">
        <w:rPr>
          <w:rFonts w:eastAsia="FuturaT-Light"/>
        </w:rPr>
        <w:t>preference</w:t>
      </w:r>
      <w:r w:rsidR="000C4030" w:rsidRPr="00B60243">
        <w:rPr>
          <w:rFonts w:eastAsia="FuturaT-Light"/>
        </w:rPr>
        <w:t>s</w:t>
      </w:r>
      <w:r w:rsidRPr="00B60243">
        <w:rPr>
          <w:rFonts w:eastAsia="FuturaT-Light"/>
        </w:rPr>
        <w:t xml:space="preserve"> that </w:t>
      </w:r>
      <w:r w:rsidR="009D312E" w:rsidRPr="00B60243">
        <w:rPr>
          <w:rFonts w:eastAsia="FuturaT-Light"/>
        </w:rPr>
        <w:t xml:space="preserve">are </w:t>
      </w:r>
      <w:r w:rsidRPr="00B60243">
        <w:rPr>
          <w:rFonts w:eastAsia="FuturaT-Light"/>
        </w:rPr>
        <w:t xml:space="preserve">consistent with </w:t>
      </w:r>
      <w:r w:rsidR="00C94117" w:rsidRPr="00B60243">
        <w:rPr>
          <w:rFonts w:eastAsia="FuturaT-Light"/>
        </w:rPr>
        <w:t>an</w:t>
      </w:r>
      <w:r w:rsidRPr="00B60243">
        <w:rPr>
          <w:rFonts w:eastAsia="FuturaT-Light"/>
        </w:rPr>
        <w:t xml:space="preserve"> increase in </w:t>
      </w:r>
      <w:r w:rsidR="00095F1C" w:rsidRPr="00B60243">
        <w:rPr>
          <w:rFonts w:eastAsia="FuturaT-Light"/>
        </w:rPr>
        <w:t xml:space="preserve">the </w:t>
      </w:r>
      <w:r w:rsidRPr="00B60243">
        <w:rPr>
          <w:rFonts w:eastAsia="FuturaT-Light"/>
        </w:rPr>
        <w:t xml:space="preserve">labour </w:t>
      </w:r>
      <w:r w:rsidR="0083433B" w:rsidRPr="00B60243">
        <w:rPr>
          <w:rFonts w:eastAsia="FuturaT-Light"/>
        </w:rPr>
        <w:t>intensity</w:t>
      </w:r>
      <w:r w:rsidR="00095F1C" w:rsidRPr="00B60243">
        <w:rPr>
          <w:rFonts w:eastAsia="FuturaT-Light"/>
        </w:rPr>
        <w:t xml:space="preserve"> of </w:t>
      </w:r>
      <w:proofErr w:type="spellStart"/>
      <w:r w:rsidR="00095F1C" w:rsidRPr="00B60243">
        <w:rPr>
          <w:rFonts w:eastAsia="FuturaT-Light"/>
        </w:rPr>
        <w:t>FBT</w:t>
      </w:r>
      <w:proofErr w:type="spellEnd"/>
      <w:r w:rsidR="00095F1C" w:rsidRPr="00B60243">
        <w:rPr>
          <w:rFonts w:eastAsia="FuturaT-Light"/>
        </w:rPr>
        <w:t xml:space="preserve"> production</w:t>
      </w:r>
      <w:r w:rsidRPr="00B60243">
        <w:rPr>
          <w:rFonts w:eastAsia="FuturaT-Light"/>
        </w:rPr>
        <w:t>:</w:t>
      </w:r>
      <w:r w:rsidR="007171D6" w:rsidRPr="00B60243">
        <w:rPr>
          <w:rFonts w:eastAsia="FuturaT-Light"/>
        </w:rPr>
        <w:t xml:space="preserve"> </w:t>
      </w:r>
    </w:p>
    <w:p w:rsidR="00911A44" w:rsidRPr="00B60243" w:rsidRDefault="00911A44" w:rsidP="00911A44">
      <w:pPr>
        <w:pStyle w:val="ListBullet"/>
        <w:rPr>
          <w:rFonts w:eastAsia="FuturaT-Light"/>
        </w:rPr>
      </w:pPr>
      <w:r w:rsidRPr="00B60243">
        <w:rPr>
          <w:rFonts w:eastAsia="FuturaT-Light"/>
        </w:rPr>
        <w:t>‘home made’ products or ‘ready to eat’ products that are relatively labour intensive — such as artisan bread</w:t>
      </w:r>
      <w:r w:rsidR="005F6D6C">
        <w:rPr>
          <w:rFonts w:eastAsia="FuturaT-Light"/>
        </w:rPr>
        <w:t>,</w:t>
      </w:r>
      <w:r w:rsidRPr="00B60243">
        <w:rPr>
          <w:rFonts w:eastAsia="FuturaT-Light"/>
        </w:rPr>
        <w:t xml:space="preserve"> handmade chocolates</w:t>
      </w:r>
      <w:r w:rsidR="007F3A79">
        <w:rPr>
          <w:rFonts w:eastAsia="FuturaT-Light"/>
        </w:rPr>
        <w:t>,</w:t>
      </w:r>
      <w:r w:rsidRPr="00B60243">
        <w:rPr>
          <w:rFonts w:eastAsia="FuturaT-Light"/>
        </w:rPr>
        <w:t xml:space="preserve"> and some pre</w:t>
      </w:r>
      <w:r w:rsidR="00E36E7F">
        <w:rPr>
          <w:rFonts w:eastAsia="FuturaT-Light"/>
        </w:rPr>
        <w:noBreakHyphen/>
      </w:r>
      <w:r w:rsidRPr="00B60243">
        <w:rPr>
          <w:rFonts w:eastAsia="FuturaT-Light"/>
        </w:rPr>
        <w:t>prepared meals</w:t>
      </w:r>
    </w:p>
    <w:p w:rsidR="005F5EA5" w:rsidRPr="00B60243" w:rsidRDefault="005C5824" w:rsidP="005F5EA5">
      <w:pPr>
        <w:pStyle w:val="ListBullet"/>
        <w:rPr>
          <w:rFonts w:eastAsia="FuturaT-Light"/>
        </w:rPr>
      </w:pPr>
      <w:r w:rsidRPr="00B60243">
        <w:rPr>
          <w:rFonts w:eastAsia="FuturaT-Light"/>
        </w:rPr>
        <w:t>‘boutique’</w:t>
      </w:r>
      <w:r w:rsidR="000C4030" w:rsidRPr="00B60243">
        <w:rPr>
          <w:rFonts w:eastAsia="FuturaT-Light"/>
        </w:rPr>
        <w:t xml:space="preserve"> or</w:t>
      </w:r>
      <w:r w:rsidR="0083433B" w:rsidRPr="00B60243">
        <w:rPr>
          <w:rFonts w:eastAsia="FuturaT-Light"/>
        </w:rPr>
        <w:t xml:space="preserve"> niche </w:t>
      </w:r>
      <w:r w:rsidRPr="00B60243">
        <w:rPr>
          <w:rFonts w:eastAsia="FuturaT-Light"/>
        </w:rPr>
        <w:t xml:space="preserve">products made in smaller scale </w:t>
      </w:r>
      <w:r w:rsidR="00FA751A" w:rsidRPr="00B60243">
        <w:rPr>
          <w:rFonts w:eastAsia="FuturaT-Light"/>
        </w:rPr>
        <w:t>businesses</w:t>
      </w:r>
      <w:r w:rsidR="0083433B" w:rsidRPr="00B60243">
        <w:rPr>
          <w:rFonts w:eastAsia="FuturaT-Light"/>
        </w:rPr>
        <w:t xml:space="preserve"> </w:t>
      </w:r>
      <w:r w:rsidR="007171D6" w:rsidRPr="00B60243">
        <w:rPr>
          <w:rFonts w:eastAsia="FuturaT-Light"/>
        </w:rPr>
        <w:t>rather than large factories</w:t>
      </w:r>
      <w:r w:rsidR="000C4030" w:rsidRPr="00B60243">
        <w:rPr>
          <w:rFonts w:eastAsia="FuturaT-Light"/>
        </w:rPr>
        <w:t xml:space="preserve"> — for example, craft beer and non</w:t>
      </w:r>
      <w:r w:rsidR="00E36E7F">
        <w:rPr>
          <w:rFonts w:eastAsia="FuturaT-Light"/>
        </w:rPr>
        <w:noBreakHyphen/>
      </w:r>
      <w:r w:rsidR="000C4030" w:rsidRPr="00B60243">
        <w:rPr>
          <w:rFonts w:eastAsia="FuturaT-Light"/>
        </w:rPr>
        <w:t xml:space="preserve">factory </w:t>
      </w:r>
      <w:r w:rsidR="002D5DB1" w:rsidRPr="00B60243">
        <w:rPr>
          <w:rFonts w:eastAsia="FuturaT-Light"/>
        </w:rPr>
        <w:t>bakery products</w:t>
      </w:r>
      <w:r w:rsidR="005F5EA5" w:rsidRPr="00B60243">
        <w:rPr>
          <w:rFonts w:eastAsia="FuturaT-Light"/>
        </w:rPr>
        <w:t xml:space="preserve">. </w:t>
      </w:r>
      <w:r w:rsidR="00183B93" w:rsidRPr="00B60243">
        <w:t>Growth in the number of beer brewers was especially significant in cycle 4, increasing 25</w:t>
      </w:r>
      <w:r w:rsidR="002370A8" w:rsidRPr="00B60243">
        <w:t> </w:t>
      </w:r>
      <w:r w:rsidR="00183B93" w:rsidRPr="00B60243">
        <w:t>per cent a year from 51 to 126 (</w:t>
      </w:r>
      <w:r w:rsidR="00A65C88">
        <w:t>Australian Food and Grocery Council</w:t>
      </w:r>
      <w:r w:rsidR="00183B93" w:rsidRPr="00B60243">
        <w:t xml:space="preserve"> 2010).</w:t>
      </w:r>
    </w:p>
    <w:p w:rsidR="00AD5BD2" w:rsidRPr="00B60243" w:rsidRDefault="007618E1" w:rsidP="000F204A">
      <w:pPr>
        <w:pStyle w:val="BodyText"/>
      </w:pPr>
      <w:r w:rsidRPr="00B60243">
        <w:rPr>
          <w:rFonts w:eastAsia="FuturaT-Light"/>
        </w:rPr>
        <w:t>A</w:t>
      </w:r>
      <w:r w:rsidR="002D5DB1" w:rsidRPr="00B60243">
        <w:rPr>
          <w:rFonts w:eastAsia="FuturaT-Light"/>
        </w:rPr>
        <w:t xml:space="preserve">s noted </w:t>
      </w:r>
      <w:r w:rsidR="00C01CDF" w:rsidRPr="00B60243">
        <w:rPr>
          <w:rFonts w:eastAsia="FuturaT-Light"/>
        </w:rPr>
        <w:t xml:space="preserve">in the </w:t>
      </w:r>
      <w:r w:rsidR="002D5DB1" w:rsidRPr="00B60243">
        <w:rPr>
          <w:rFonts w:eastAsia="FuturaT-Light"/>
        </w:rPr>
        <w:t>‘value added’</w:t>
      </w:r>
      <w:r w:rsidR="00C01CDF" w:rsidRPr="00B60243">
        <w:rPr>
          <w:rFonts w:eastAsia="FuturaT-Light"/>
        </w:rPr>
        <w:t xml:space="preserve"> section</w:t>
      </w:r>
      <w:r w:rsidR="002D5DB1" w:rsidRPr="00B60243">
        <w:rPr>
          <w:rFonts w:eastAsia="FuturaT-Light"/>
        </w:rPr>
        <w:t xml:space="preserve">, it is difficult to identify the timing and extent of </w:t>
      </w:r>
      <w:r w:rsidRPr="00B60243">
        <w:rPr>
          <w:rFonts w:eastAsia="FuturaT-Light"/>
        </w:rPr>
        <w:t xml:space="preserve">these </w:t>
      </w:r>
      <w:r w:rsidR="00E830B5" w:rsidRPr="00B60243">
        <w:rPr>
          <w:rFonts w:eastAsia="FuturaT-Light"/>
        </w:rPr>
        <w:t>changes</w:t>
      </w:r>
      <w:r w:rsidR="008555A0" w:rsidRPr="00B60243">
        <w:rPr>
          <w:rFonts w:eastAsia="FuturaT-Light"/>
        </w:rPr>
        <w:t>,</w:t>
      </w:r>
      <w:r w:rsidR="00E830B5" w:rsidRPr="00B60243">
        <w:rPr>
          <w:rFonts w:eastAsia="FuturaT-Light"/>
        </w:rPr>
        <w:t xml:space="preserve"> </w:t>
      </w:r>
      <w:r w:rsidR="005F36C0" w:rsidRPr="00B60243">
        <w:rPr>
          <w:rFonts w:eastAsia="FuturaT-Light"/>
        </w:rPr>
        <w:t xml:space="preserve">and data for such finely differentiated products </w:t>
      </w:r>
      <w:r w:rsidR="008555A0" w:rsidRPr="00B60243">
        <w:rPr>
          <w:rFonts w:eastAsia="FuturaT-Light"/>
        </w:rPr>
        <w:t>are</w:t>
      </w:r>
      <w:r w:rsidR="005F36C0" w:rsidRPr="00B60243">
        <w:rPr>
          <w:rFonts w:eastAsia="FuturaT-Light"/>
        </w:rPr>
        <w:t xml:space="preserve"> not available</w:t>
      </w:r>
      <w:r w:rsidRPr="00B60243">
        <w:rPr>
          <w:rFonts w:eastAsia="FuturaT-Light"/>
        </w:rPr>
        <w:t xml:space="preserve">. </w:t>
      </w:r>
      <w:r w:rsidR="004E3D3E" w:rsidRPr="00B60243">
        <w:rPr>
          <w:rFonts w:eastAsia="FuturaT-Light"/>
        </w:rPr>
        <w:t>However,</w:t>
      </w:r>
      <w:r w:rsidR="00053CDD" w:rsidRPr="00B60243">
        <w:rPr>
          <w:rFonts w:eastAsia="FuturaT-Light"/>
        </w:rPr>
        <w:t xml:space="preserve"> the </w:t>
      </w:r>
      <w:r w:rsidR="00AA1B96" w:rsidRPr="00B60243">
        <w:rPr>
          <w:rFonts w:eastAsia="FuturaT-Light"/>
        </w:rPr>
        <w:t>labour intensity</w:t>
      </w:r>
      <w:r w:rsidR="00053CDD" w:rsidRPr="00B60243">
        <w:rPr>
          <w:rFonts w:eastAsia="FuturaT-Light"/>
        </w:rPr>
        <w:t xml:space="preserve"> of </w:t>
      </w:r>
      <w:proofErr w:type="spellStart"/>
      <w:r w:rsidR="00053CDD" w:rsidRPr="00B60243">
        <w:rPr>
          <w:rFonts w:eastAsia="FuturaT-Light"/>
        </w:rPr>
        <w:t>FBT</w:t>
      </w:r>
      <w:proofErr w:type="spellEnd"/>
      <w:r w:rsidR="00053CDD" w:rsidRPr="00B60243">
        <w:rPr>
          <w:rFonts w:eastAsia="FuturaT-Light"/>
        </w:rPr>
        <w:t xml:space="preserve"> </w:t>
      </w:r>
      <w:proofErr w:type="spellStart"/>
      <w:r w:rsidR="00053CDD" w:rsidRPr="00B60243">
        <w:rPr>
          <w:rFonts w:eastAsia="FuturaT-Light"/>
        </w:rPr>
        <w:t>ANZSIC</w:t>
      </w:r>
      <w:proofErr w:type="spellEnd"/>
      <w:r w:rsidR="00053CDD" w:rsidRPr="00B60243">
        <w:rPr>
          <w:rFonts w:eastAsia="FuturaT-Light"/>
        </w:rPr>
        <w:t xml:space="preserve"> </w:t>
      </w:r>
      <w:r w:rsidR="00053CDD" w:rsidRPr="00B60243">
        <w:rPr>
          <w:rFonts w:eastAsia="FuturaT-Light"/>
          <w:i/>
        </w:rPr>
        <w:t>groups</w:t>
      </w:r>
      <w:r w:rsidR="00053CDD" w:rsidRPr="00B60243">
        <w:rPr>
          <w:rFonts w:eastAsia="FuturaT-Light"/>
        </w:rPr>
        <w:t xml:space="preserve"> can </w:t>
      </w:r>
      <w:r w:rsidR="00AA1B96" w:rsidRPr="00B60243">
        <w:rPr>
          <w:rFonts w:eastAsia="FuturaT-Light"/>
        </w:rPr>
        <w:t>be compared</w:t>
      </w:r>
      <w:r w:rsidR="00053CDD" w:rsidRPr="00B60243">
        <w:rPr>
          <w:rFonts w:eastAsia="FuturaT-Light"/>
        </w:rPr>
        <w:t xml:space="preserve">. </w:t>
      </w:r>
      <w:r w:rsidR="008C0262" w:rsidRPr="00B60243">
        <w:t>Figure </w:t>
      </w:r>
      <w:r w:rsidR="00B072C2" w:rsidRPr="00B60243">
        <w:t>5.18</w:t>
      </w:r>
      <w:r w:rsidR="00AA1B96" w:rsidRPr="00B60243">
        <w:t xml:space="preserve"> shows that </w:t>
      </w:r>
      <w:r w:rsidR="005A1CB1" w:rsidRPr="00B60243">
        <w:t xml:space="preserve">Food </w:t>
      </w:r>
      <w:r w:rsidR="005D3983" w:rsidRPr="00B60243">
        <w:t xml:space="preserve">is more labour intensive than BT (that is, </w:t>
      </w:r>
      <w:r w:rsidR="006D1F72" w:rsidRPr="00B60243">
        <w:t xml:space="preserve">has </w:t>
      </w:r>
      <w:r w:rsidR="005D3983" w:rsidRPr="00B60243">
        <w:t xml:space="preserve">a higher number of employees per </w:t>
      </w:r>
      <w:r w:rsidR="00AC7F33">
        <w:t>million dollars</w:t>
      </w:r>
      <w:r w:rsidR="005D3983" w:rsidRPr="00B60243">
        <w:t xml:space="preserve"> of real VA</w:t>
      </w:r>
      <w:r w:rsidR="00D45A4E" w:rsidRPr="00B60243">
        <w:t>)</w:t>
      </w:r>
      <w:r w:rsidR="006D1F72" w:rsidRPr="00B60243">
        <w:t>.</w:t>
      </w:r>
      <w:r w:rsidR="00D36A2E" w:rsidRPr="00B60243">
        <w:rPr>
          <w:rStyle w:val="FootnoteReference"/>
        </w:rPr>
        <w:footnoteReference w:id="19"/>
      </w:r>
      <w:r w:rsidR="006D1F72" w:rsidRPr="00B60243">
        <w:t xml:space="preserve"> </w:t>
      </w:r>
      <w:r w:rsidR="005D3983" w:rsidRPr="00B60243">
        <w:t>Therefore the increase in Food manu</w:t>
      </w:r>
      <w:r w:rsidR="00C01CDF" w:rsidRPr="00B60243">
        <w:t xml:space="preserve">facturing as a share of </w:t>
      </w:r>
      <w:proofErr w:type="spellStart"/>
      <w:r w:rsidR="00C01CDF" w:rsidRPr="00B60243">
        <w:t>FBT</w:t>
      </w:r>
      <w:proofErr w:type="spellEnd"/>
      <w:r w:rsidR="00C01CDF" w:rsidRPr="00B60243">
        <w:t xml:space="preserve"> VA</w:t>
      </w:r>
      <w:r w:rsidR="005D3983" w:rsidRPr="00B60243">
        <w:t xml:space="preserve"> is consistent with a higher average level of labour intensity for </w:t>
      </w:r>
      <w:proofErr w:type="spellStart"/>
      <w:r w:rsidR="005D3983" w:rsidRPr="00B60243">
        <w:t>FBT</w:t>
      </w:r>
      <w:proofErr w:type="spellEnd"/>
      <w:r w:rsidR="005D3983" w:rsidRPr="00B60243">
        <w:t xml:space="preserve"> manufacturing</w:t>
      </w:r>
      <w:r w:rsidR="00080FEC" w:rsidRPr="00B60243">
        <w:t xml:space="preserve"> as a whole</w:t>
      </w:r>
      <w:r w:rsidR="005D3983" w:rsidRPr="00B60243">
        <w:t xml:space="preserve">. </w:t>
      </w:r>
      <w:r w:rsidR="00080FEC" w:rsidRPr="00B60243">
        <w:t>Furthermore,</w:t>
      </w:r>
      <w:r w:rsidR="00527F7A" w:rsidRPr="00B60243">
        <w:t xml:space="preserve"> w</w:t>
      </w:r>
      <w:r w:rsidR="005D3983" w:rsidRPr="00B60243">
        <w:t xml:space="preserve">ithin Food, there </w:t>
      </w:r>
      <w:r w:rsidR="00D36A2E" w:rsidRPr="00B60243">
        <w:t xml:space="preserve">has been </w:t>
      </w:r>
      <w:r w:rsidR="00080FEC" w:rsidRPr="00B60243">
        <w:t xml:space="preserve">an </w:t>
      </w:r>
      <w:r w:rsidR="00C01CDF" w:rsidRPr="00B60243">
        <w:t xml:space="preserve">increase in the </w:t>
      </w:r>
      <w:r w:rsidR="00080FEC" w:rsidRPr="00B60243">
        <w:t xml:space="preserve">VA </w:t>
      </w:r>
      <w:r w:rsidR="00C01CDF" w:rsidRPr="00B60243">
        <w:t>share of</w:t>
      </w:r>
      <w:r w:rsidR="00D36A2E" w:rsidRPr="00B60243">
        <w:t xml:space="preserve"> </w:t>
      </w:r>
      <w:r w:rsidR="00C01CDF" w:rsidRPr="00B60243">
        <w:t xml:space="preserve">some of the </w:t>
      </w:r>
      <w:r w:rsidR="00D36A2E" w:rsidRPr="00B60243">
        <w:t>mo</w:t>
      </w:r>
      <w:r w:rsidR="00D97E03" w:rsidRPr="00B60243">
        <w:t>r</w:t>
      </w:r>
      <w:r w:rsidR="00D36A2E" w:rsidRPr="00B60243">
        <w:t>e labour</w:t>
      </w:r>
      <w:r w:rsidR="00E36E7F">
        <w:noBreakHyphen/>
      </w:r>
      <w:r w:rsidR="00D36A2E" w:rsidRPr="00B60243">
        <w:t>intensive groups (</w:t>
      </w:r>
      <w:r w:rsidR="005C6748" w:rsidRPr="00B60243">
        <w:t>for example, to</w:t>
      </w:r>
      <w:r w:rsidR="00D36A2E" w:rsidRPr="00B60243">
        <w:t xml:space="preserve"> </w:t>
      </w:r>
      <w:r w:rsidR="005D3983" w:rsidRPr="00B60243">
        <w:t>Meat</w:t>
      </w:r>
      <w:r w:rsidR="00442634" w:rsidRPr="00B60243">
        <w:t>, Dairy</w:t>
      </w:r>
      <w:r w:rsidR="005D3983" w:rsidRPr="00B60243">
        <w:t xml:space="preserve"> and Bakery</w:t>
      </w:r>
      <w:r w:rsidR="005C6748" w:rsidRPr="00B60243">
        <w:t xml:space="preserve"> away from </w:t>
      </w:r>
      <w:r w:rsidR="00442634" w:rsidRPr="00B60243">
        <w:t xml:space="preserve">Oil </w:t>
      </w:r>
      <w:r w:rsidR="001159D9" w:rsidRPr="00B60243">
        <w:t>and</w:t>
      </w:r>
      <w:r w:rsidR="00442634" w:rsidRPr="00B60243">
        <w:t xml:space="preserve"> fat</w:t>
      </w:r>
      <w:r w:rsidR="008A13CE" w:rsidRPr="00B60243">
        <w:t>,</w:t>
      </w:r>
      <w:r w:rsidR="00442634" w:rsidRPr="00B60243">
        <w:t xml:space="preserve"> and Grain</w:t>
      </w:r>
      <w:r w:rsidR="008A13CE" w:rsidRPr="00B60243">
        <w:t xml:space="preserve"> and </w:t>
      </w:r>
      <w:r w:rsidR="00442634" w:rsidRPr="00B60243">
        <w:t>cereal</w:t>
      </w:r>
      <w:r w:rsidR="00D36A2E" w:rsidRPr="00B60243">
        <w:t>)</w:t>
      </w:r>
      <w:r w:rsidR="00AA1B96" w:rsidRPr="00B60243">
        <w:t>.</w:t>
      </w:r>
      <w:r w:rsidR="005A1CB1" w:rsidRPr="00B60243">
        <w:t xml:space="preserve"> </w:t>
      </w:r>
    </w:p>
    <w:p w:rsidR="00DD48D6" w:rsidRPr="00B60243" w:rsidRDefault="00DD48D6">
      <w:pPr>
        <w:pStyle w:val="FigureTitle"/>
      </w:pPr>
      <w:r w:rsidRPr="00B60243">
        <w:rPr>
          <w:b w:val="0"/>
        </w:rPr>
        <w:lastRenderedPageBreak/>
        <w:t xml:space="preserve">Figure </w:t>
      </w:r>
      <w:bookmarkStart w:id="29" w:name="OLE_LINK24"/>
      <w:r w:rsidR="00B072C2" w:rsidRPr="00B60243">
        <w:rPr>
          <w:b w:val="0"/>
        </w:rPr>
        <w:t>5.</w:t>
      </w:r>
      <w:r w:rsidR="002E061A">
        <w:rPr>
          <w:b w:val="0"/>
          <w:noProof/>
        </w:rPr>
        <w:t>18</w:t>
      </w:r>
      <w:bookmarkEnd w:id="29"/>
      <w:r w:rsidRPr="00B60243">
        <w:tab/>
      </w:r>
      <w:r w:rsidR="001C0EB9" w:rsidRPr="00B60243">
        <w:t xml:space="preserve">Employed persons per $m </w:t>
      </w:r>
      <w:r w:rsidR="00E467EC" w:rsidRPr="00B60243">
        <w:t xml:space="preserve">of </w:t>
      </w:r>
      <w:r w:rsidR="001C0EB9" w:rsidRPr="00B60243">
        <w:t>r</w:t>
      </w:r>
      <w:r w:rsidR="00737C4E" w:rsidRPr="00B60243">
        <w:t>eal v</w:t>
      </w:r>
      <w:r w:rsidRPr="00B60243">
        <w:t>a</w:t>
      </w:r>
      <w:r w:rsidR="001C0EB9" w:rsidRPr="00B60243">
        <w:t>lue added</w:t>
      </w:r>
      <w:r w:rsidR="007B0BF1" w:rsidRPr="00B60243">
        <w:t xml:space="preserve"> in </w:t>
      </w:r>
      <w:proofErr w:type="spellStart"/>
      <w:r w:rsidR="007B0BF1" w:rsidRPr="00B60243">
        <w:t>FBT</w:t>
      </w:r>
      <w:proofErr w:type="spellEnd"/>
      <w:r w:rsidR="007B0BF1" w:rsidRPr="00B60243">
        <w:t xml:space="preserve"> by </w:t>
      </w:r>
      <w:proofErr w:type="spellStart"/>
      <w:r w:rsidR="007B0BF1" w:rsidRPr="00B60243">
        <w:t>ANZSIC</w:t>
      </w:r>
      <w:proofErr w:type="spellEnd"/>
      <w:r w:rsidR="007B0BF1" w:rsidRPr="00B60243">
        <w:t xml:space="preserve"> group</w:t>
      </w:r>
      <w:r w:rsidR="00103076" w:rsidRPr="00B60243">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D5BD2" w:rsidRPr="00B60243">
        <w:tc>
          <w:tcPr>
            <w:tcW w:w="8777" w:type="dxa"/>
          </w:tcPr>
          <w:p w:rsidR="00AD5BD2" w:rsidRPr="00B60243" w:rsidRDefault="00E406E7" w:rsidP="005D3983">
            <w:pPr>
              <w:pStyle w:val="Figure"/>
              <w:spacing w:before="0" w:after="0"/>
            </w:pPr>
            <w:r>
              <w:pict>
                <v:shape id="_x0000_i1049" type="#_x0000_t75" alt="This figure shows that Food had a higher number of employees per $million of real VA than BT (that is, was more labour intensive). Seafood, Meat and Bakery are the most labour intensive FBT groups in 2006-07. Labour intensity increased most in Seafood and Bakery from 2003-04 to 2006-07." style="width:424.45pt;height:198.4pt">
                  <v:imagedata r:id="rId34" o:title=""/>
                </v:shape>
              </w:pict>
            </w:r>
          </w:p>
        </w:tc>
      </w:tr>
    </w:tbl>
    <w:p w:rsidR="00DD48D6" w:rsidRPr="00B60243" w:rsidRDefault="00DD48D6">
      <w:pPr>
        <w:pStyle w:val="Note"/>
      </w:pPr>
      <w:r w:rsidRPr="00B60243">
        <w:rPr>
          <w:rStyle w:val="NoteLabel"/>
        </w:rPr>
        <w:t>a</w:t>
      </w:r>
      <w:r w:rsidRPr="00B60243">
        <w:t xml:space="preserve"> </w:t>
      </w:r>
      <w:r w:rsidR="0018687A" w:rsidRPr="00B60243">
        <w:t>Real VA in 2009</w:t>
      </w:r>
      <w:r w:rsidR="00E36E7F">
        <w:noBreakHyphen/>
      </w:r>
      <w:r w:rsidR="0018687A" w:rsidRPr="00B60243">
        <w:t>10 dollars</w:t>
      </w:r>
      <w:r w:rsidR="00241D53" w:rsidRPr="00B60243">
        <w:t xml:space="preserve"> — approximate estimates based on nominal VA deflated by producer price indexes for output (appendix </w:t>
      </w:r>
      <w:r w:rsidR="008124B4" w:rsidRPr="00B60243">
        <w:t>G</w:t>
      </w:r>
      <w:r w:rsidR="00241D53" w:rsidRPr="00B60243">
        <w:t>)</w:t>
      </w:r>
      <w:r w:rsidR="0018687A" w:rsidRPr="00B60243">
        <w:t xml:space="preserve">. </w:t>
      </w:r>
      <w:r w:rsidR="00103076" w:rsidRPr="00B60243">
        <w:t>Data for employment for 2007</w:t>
      </w:r>
      <w:r w:rsidR="00E36E7F">
        <w:noBreakHyphen/>
      </w:r>
      <w:r w:rsidR="00103076" w:rsidRPr="00B60243">
        <w:t xml:space="preserve">08 are not available from the </w:t>
      </w:r>
      <w:r w:rsidR="00880613" w:rsidRPr="00B60243">
        <w:t xml:space="preserve">ABS </w:t>
      </w:r>
      <w:r w:rsidR="00103076" w:rsidRPr="00B60243">
        <w:rPr>
          <w:i/>
        </w:rPr>
        <w:t>Economic Activity Survey</w:t>
      </w:r>
      <w:r w:rsidR="00103076" w:rsidRPr="00B60243">
        <w:t xml:space="preserve">. </w:t>
      </w:r>
      <w:r w:rsidR="00E561E3" w:rsidRPr="00B60243">
        <w:t>Data for</w:t>
      </w:r>
      <w:r w:rsidR="00AD27A7" w:rsidRPr="00B60243">
        <w:t xml:space="preserve"> 2006</w:t>
      </w:r>
      <w:r w:rsidR="00E36E7F">
        <w:noBreakHyphen/>
      </w:r>
      <w:r w:rsidR="00AD27A7" w:rsidRPr="00B60243">
        <w:t xml:space="preserve">07 </w:t>
      </w:r>
      <w:r w:rsidR="00E561E3" w:rsidRPr="00B60243">
        <w:t>ha</w:t>
      </w:r>
      <w:r w:rsidR="002370A8" w:rsidRPr="00B60243">
        <w:t>ve</w:t>
      </w:r>
      <w:r w:rsidR="00E561E3" w:rsidRPr="00B60243">
        <w:t xml:space="preserve"> </w:t>
      </w:r>
      <w:r w:rsidR="00AD27A7" w:rsidRPr="00B60243">
        <w:t xml:space="preserve">not </w:t>
      </w:r>
      <w:r w:rsidR="00E561E3" w:rsidRPr="00B60243">
        <w:t xml:space="preserve">been </w:t>
      </w:r>
      <w:r w:rsidR="00AD27A7" w:rsidRPr="00B60243">
        <w:t xml:space="preserve">adjusted for </w:t>
      </w:r>
      <w:r w:rsidR="00E561E3" w:rsidRPr="00B60243">
        <w:t>change in industry classification in 2006</w:t>
      </w:r>
      <w:r w:rsidR="00E36E7F">
        <w:noBreakHyphen/>
      </w:r>
      <w:r w:rsidR="00E561E3" w:rsidRPr="00B60243">
        <w:t>07</w:t>
      </w:r>
      <w:r w:rsidRPr="00B60243">
        <w:t>.</w:t>
      </w:r>
      <w:r w:rsidR="004A2292" w:rsidRPr="00B60243">
        <w:t xml:space="preserve"> Bakery includes non</w:t>
      </w:r>
      <w:r w:rsidR="00E36E7F">
        <w:noBreakHyphen/>
      </w:r>
      <w:r w:rsidR="004A2292" w:rsidRPr="00B60243">
        <w:t>factory baking</w:t>
      </w:r>
      <w:r w:rsidR="00AC269C">
        <w:t xml:space="preserve"> for 2006</w:t>
      </w:r>
      <w:r w:rsidR="00E36E7F">
        <w:noBreakHyphen/>
      </w:r>
      <w:r w:rsidR="00AC269C">
        <w:t>07 but not for 2003</w:t>
      </w:r>
      <w:r w:rsidR="00E36E7F">
        <w:noBreakHyphen/>
      </w:r>
      <w:r w:rsidR="00AC269C">
        <w:t>04</w:t>
      </w:r>
      <w:r w:rsidR="004A2292" w:rsidRPr="00B60243">
        <w:t>.</w:t>
      </w:r>
    </w:p>
    <w:p w:rsidR="00DD48D6" w:rsidRPr="00B60243" w:rsidRDefault="00DD48D6" w:rsidP="000C1410">
      <w:pPr>
        <w:pStyle w:val="Note"/>
      </w:pPr>
      <w:r w:rsidRPr="00B60243">
        <w:rPr>
          <w:i/>
        </w:rPr>
        <w:t>Data source</w:t>
      </w:r>
      <w:r w:rsidR="006C1B9B" w:rsidRPr="00B60243">
        <w:rPr>
          <w:i/>
        </w:rPr>
        <w:t>s</w:t>
      </w:r>
      <w:r w:rsidRPr="00B60243">
        <w:t xml:space="preserve">: Authors’ estimates </w:t>
      </w:r>
      <w:r w:rsidR="0061662B" w:rsidRPr="00B60243">
        <w:t>based on</w:t>
      </w:r>
      <w:r w:rsidRPr="00B60243">
        <w:t xml:space="preserve"> </w:t>
      </w:r>
      <w:r w:rsidR="002A5A24" w:rsidRPr="00B60243">
        <w:t>ABS (</w:t>
      </w:r>
      <w:r w:rsidR="002A5A24" w:rsidRPr="00B60243">
        <w:rPr>
          <w:i/>
        </w:rPr>
        <w:t xml:space="preserve">Manufacturing Industry, Australia, </w:t>
      </w:r>
      <w:r w:rsidR="0061662B" w:rsidRPr="00B60243">
        <w:t xml:space="preserve">various issues, </w:t>
      </w:r>
      <w:r w:rsidR="002A5A24" w:rsidRPr="00B60243">
        <w:t>Cat.</w:t>
      </w:r>
      <w:r w:rsidR="00590656">
        <w:t> </w:t>
      </w:r>
      <w:r w:rsidR="002A5A24" w:rsidRPr="00B60243">
        <w:t>no.</w:t>
      </w:r>
      <w:r w:rsidR="0061662B" w:rsidRPr="00B60243">
        <w:t> </w:t>
      </w:r>
      <w:r w:rsidR="002A5A24" w:rsidRPr="00B60243">
        <w:t>8221.0</w:t>
      </w:r>
      <w:r w:rsidR="0061662B" w:rsidRPr="00B60243">
        <w:t>);</w:t>
      </w:r>
      <w:r w:rsidR="002A5A24" w:rsidRPr="00B60243">
        <w:t xml:space="preserve"> </w:t>
      </w:r>
      <w:r w:rsidR="00A573A8" w:rsidRPr="00B60243">
        <w:t>and</w:t>
      </w:r>
      <w:r w:rsidR="00F35EF1" w:rsidRPr="00B60243">
        <w:t xml:space="preserve"> ABS (</w:t>
      </w:r>
      <w:r w:rsidR="002A5A24" w:rsidRPr="00B60243">
        <w:rPr>
          <w:i/>
          <w:shd w:val="clear" w:color="auto" w:fill="FFFFFF"/>
        </w:rPr>
        <w:t>Producer Price Indexes, Australia</w:t>
      </w:r>
      <w:r w:rsidR="002A5A24" w:rsidRPr="00B60243">
        <w:t xml:space="preserve">, </w:t>
      </w:r>
      <w:r w:rsidR="00584002" w:rsidRPr="00B60243">
        <w:rPr>
          <w:i/>
        </w:rPr>
        <w:t xml:space="preserve">June 2012, </w:t>
      </w:r>
      <w:r w:rsidR="002A5A24" w:rsidRPr="00B60243">
        <w:t xml:space="preserve">Cat. no. </w:t>
      </w:r>
      <w:r w:rsidR="00F35EF1" w:rsidRPr="00B60243">
        <w:t>6427.0).</w:t>
      </w:r>
    </w:p>
    <w:p w:rsidR="00205ACC" w:rsidRPr="00B60243" w:rsidRDefault="00303E1E" w:rsidP="00205ACC">
      <w:pPr>
        <w:pStyle w:val="BodyText"/>
        <w:rPr>
          <w:b/>
        </w:rPr>
      </w:pPr>
      <w:r w:rsidRPr="00B60243">
        <w:t>Compounding these share changes,</w:t>
      </w:r>
      <w:r w:rsidR="00205ACC" w:rsidRPr="00B60243">
        <w:t xml:space="preserve"> there has also been some change between 2003</w:t>
      </w:r>
      <w:r w:rsidRPr="00B60243">
        <w:noBreakHyphen/>
      </w:r>
      <w:r w:rsidR="00205ACC" w:rsidRPr="00B60243">
        <w:t>04 and 2006</w:t>
      </w:r>
      <w:r w:rsidR="00E36E7F">
        <w:noBreakHyphen/>
      </w:r>
      <w:r w:rsidR="00205ACC" w:rsidRPr="00B60243">
        <w:t xml:space="preserve">07 in the labour intensity of some of the </w:t>
      </w:r>
      <w:proofErr w:type="spellStart"/>
      <w:r w:rsidR="00205ACC" w:rsidRPr="00B60243">
        <w:t>ANZSIC</w:t>
      </w:r>
      <w:proofErr w:type="spellEnd"/>
      <w:r w:rsidR="00205ACC" w:rsidRPr="00B60243">
        <w:t xml:space="preserve"> groups and this accounts for more than half of the change in</w:t>
      </w:r>
      <w:r w:rsidR="008555A0" w:rsidRPr="00B60243">
        <w:t xml:space="preserve"> overall </w:t>
      </w:r>
      <w:proofErr w:type="spellStart"/>
      <w:r w:rsidR="008555A0" w:rsidRPr="00B60243">
        <w:t>FBT</w:t>
      </w:r>
      <w:proofErr w:type="spellEnd"/>
      <w:r w:rsidR="00205ACC" w:rsidRPr="00B60243">
        <w:t xml:space="preserve"> labour intensity.</w:t>
      </w:r>
      <w:r w:rsidR="00205ACC" w:rsidRPr="00B60243">
        <w:rPr>
          <w:rStyle w:val="FootnoteReference"/>
        </w:rPr>
        <w:footnoteReference w:id="20"/>
      </w:r>
      <w:r w:rsidR="00205ACC" w:rsidRPr="00B60243">
        <w:t xml:space="preserve"> However, in some cases</w:t>
      </w:r>
      <w:r w:rsidRPr="00B60243">
        <w:t>,</w:t>
      </w:r>
      <w:r w:rsidR="00205ACC" w:rsidRPr="00B60243">
        <w:t xml:space="preserve"> this </w:t>
      </w:r>
      <w:r w:rsidR="00F254F1">
        <w:t>change</w:t>
      </w:r>
      <w:r w:rsidR="00F254F1" w:rsidRPr="00B60243">
        <w:t xml:space="preserve"> </w:t>
      </w:r>
      <w:r w:rsidR="00F254F1">
        <w:t xml:space="preserve">over time </w:t>
      </w:r>
      <w:r w:rsidR="00205ACC" w:rsidRPr="00B60243">
        <w:t>is accentuated by industry classification</w:t>
      </w:r>
      <w:r w:rsidR="00F254F1">
        <w:t xml:space="preserve"> change</w:t>
      </w:r>
      <w:r w:rsidR="00205ACC" w:rsidRPr="00B60243">
        <w:t>. The large increase for Bakery</w:t>
      </w:r>
      <w:r w:rsidRPr="00B60243">
        <w:t>, for example,</w:t>
      </w:r>
      <w:r w:rsidR="00205ACC" w:rsidRPr="00B60243">
        <w:t xml:space="preserve"> is due to the addition </w:t>
      </w:r>
      <w:r w:rsidR="002370A8" w:rsidRPr="00B60243">
        <w:t>to th</w:t>
      </w:r>
      <w:r w:rsidR="00306E67" w:rsidRPr="00B60243">
        <w:t>is</w:t>
      </w:r>
      <w:r w:rsidR="002370A8" w:rsidRPr="00B60243">
        <w:t xml:space="preserve"> </w:t>
      </w:r>
      <w:proofErr w:type="spellStart"/>
      <w:r w:rsidR="002370A8" w:rsidRPr="00B60243">
        <w:t>ANZSIC</w:t>
      </w:r>
      <w:proofErr w:type="spellEnd"/>
      <w:r w:rsidR="002370A8" w:rsidRPr="00B60243">
        <w:t xml:space="preserve"> group </w:t>
      </w:r>
      <w:r w:rsidR="00205ACC" w:rsidRPr="00B60243">
        <w:t>of non</w:t>
      </w:r>
      <w:r w:rsidR="00E36E7F">
        <w:noBreakHyphen/>
      </w:r>
      <w:r w:rsidR="00205ACC" w:rsidRPr="00B60243">
        <w:t>factory baking which is more labour intensive than factory baking.</w:t>
      </w:r>
      <w:r w:rsidR="00205ACC" w:rsidRPr="00B60243">
        <w:rPr>
          <w:rStyle w:val="FootnoteReference"/>
        </w:rPr>
        <w:footnoteReference w:id="21"/>
      </w:r>
      <w:r w:rsidR="00205ACC" w:rsidRPr="00B60243">
        <w:t xml:space="preserve"> (</w:t>
      </w:r>
      <w:r w:rsidR="00205ACC" w:rsidRPr="00B60243">
        <w:rPr>
          <w:rFonts w:eastAsia="FuturaT-Light"/>
        </w:rPr>
        <w:t xml:space="preserve">The change in the nature of Bakery products and production processes is discussed further in section </w:t>
      </w:r>
      <w:r w:rsidR="009B4D57" w:rsidRPr="00B60243">
        <w:t>5.4</w:t>
      </w:r>
      <w:r w:rsidR="00205ACC" w:rsidRPr="00B60243">
        <w:rPr>
          <w:rFonts w:eastAsia="FuturaT-Light"/>
        </w:rPr>
        <w:t xml:space="preserve">.) </w:t>
      </w:r>
    </w:p>
    <w:p w:rsidR="006821FD" w:rsidRPr="00B60243" w:rsidRDefault="00FC316D" w:rsidP="00A01A71">
      <w:pPr>
        <w:pStyle w:val="BodyText"/>
      </w:pPr>
      <w:r w:rsidRPr="00B60243">
        <w:lastRenderedPageBreak/>
        <w:t xml:space="preserve">Most </w:t>
      </w:r>
      <w:proofErr w:type="spellStart"/>
      <w:r w:rsidRPr="00B60243">
        <w:t>FBT</w:t>
      </w:r>
      <w:proofErr w:type="spellEnd"/>
      <w:r w:rsidRPr="00B60243">
        <w:t xml:space="preserve"> businesses employ </w:t>
      </w:r>
      <w:r w:rsidR="00E75585" w:rsidRPr="00B60243">
        <w:t>fewer</w:t>
      </w:r>
      <w:r w:rsidRPr="00B60243">
        <w:t xml:space="preserve"> than 200 persons — and small firms </w:t>
      </w:r>
      <w:r w:rsidR="00E75585" w:rsidRPr="00B60243">
        <w:t>are less able to capture</w:t>
      </w:r>
      <w:r w:rsidRPr="00B60243">
        <w:t xml:space="preserve"> economies of scale. </w:t>
      </w:r>
      <w:r w:rsidR="008555A0" w:rsidRPr="00B60243">
        <w:t xml:space="preserve">The Prime Minister’s </w:t>
      </w:r>
      <w:r w:rsidRPr="00B60243">
        <w:t>Taskforce</w:t>
      </w:r>
      <w:r w:rsidR="008555A0" w:rsidRPr="00B60243">
        <w:t xml:space="preserve"> on Manufacturing</w:t>
      </w:r>
      <w:r w:rsidR="00046BF2" w:rsidRPr="00B60243">
        <w:t> </w:t>
      </w:r>
      <w:r w:rsidRPr="00B60243">
        <w:t xml:space="preserve">(2012) noted that </w:t>
      </w:r>
      <w:proofErr w:type="spellStart"/>
      <w:r w:rsidR="00D01685" w:rsidRPr="00B60243">
        <w:t>FBT</w:t>
      </w:r>
      <w:proofErr w:type="spellEnd"/>
      <w:r w:rsidR="00D01685" w:rsidRPr="00B60243">
        <w:t xml:space="preserve"> manufacturers </w:t>
      </w:r>
      <w:r w:rsidR="00531B41" w:rsidRPr="00B60243">
        <w:t>were of</w:t>
      </w:r>
      <w:r w:rsidR="00D01685" w:rsidRPr="00B60243">
        <w:t xml:space="preserve"> significantly smaller average scale </w:t>
      </w:r>
      <w:r w:rsidR="00391F77" w:rsidRPr="00B60243">
        <w:t xml:space="preserve">(by employment) </w:t>
      </w:r>
      <w:r w:rsidR="00531B41" w:rsidRPr="00B60243">
        <w:t xml:space="preserve">in Australia </w:t>
      </w:r>
      <w:r w:rsidR="00D01685" w:rsidRPr="00B60243">
        <w:t>than in Germany and the United State</w:t>
      </w:r>
      <w:r w:rsidR="00391F77" w:rsidRPr="00B60243">
        <w:t xml:space="preserve">s. </w:t>
      </w:r>
      <w:r w:rsidR="00643DB3" w:rsidRPr="00B60243">
        <w:t xml:space="preserve">However, </w:t>
      </w:r>
      <w:r w:rsidR="00FA526B" w:rsidRPr="00B60243">
        <w:t xml:space="preserve">the </w:t>
      </w:r>
      <w:r w:rsidR="00667BDC" w:rsidRPr="00B60243">
        <w:t xml:space="preserve">number of </w:t>
      </w:r>
      <w:r w:rsidR="00531B41" w:rsidRPr="00B60243">
        <w:t xml:space="preserve">Australian </w:t>
      </w:r>
      <w:proofErr w:type="spellStart"/>
      <w:r w:rsidR="00531B41" w:rsidRPr="00B60243">
        <w:t>FBT</w:t>
      </w:r>
      <w:proofErr w:type="spellEnd"/>
      <w:r w:rsidR="00531B41" w:rsidRPr="00B60243">
        <w:t xml:space="preserve"> </w:t>
      </w:r>
      <w:r w:rsidR="00A80D30" w:rsidRPr="00B60243">
        <w:t>business</w:t>
      </w:r>
      <w:r w:rsidR="00531B41" w:rsidRPr="00B60243">
        <w:t>es</w:t>
      </w:r>
      <w:r w:rsidR="00A80D30" w:rsidRPr="00B60243">
        <w:t xml:space="preserve"> classified a</w:t>
      </w:r>
      <w:r w:rsidR="00531B41" w:rsidRPr="00B60243">
        <w:t>s</w:t>
      </w:r>
      <w:r w:rsidR="00A80D30" w:rsidRPr="00B60243">
        <w:t xml:space="preserve"> small (employing </w:t>
      </w:r>
      <w:r w:rsidR="00303E1E" w:rsidRPr="00B60243">
        <w:t>fewer</w:t>
      </w:r>
      <w:r w:rsidR="00A80D30" w:rsidRPr="00B60243">
        <w:t xml:space="preserve"> than 20 person), medium (20</w:t>
      </w:r>
      <w:r w:rsidR="00303E1E" w:rsidRPr="00B60243">
        <w:t>–</w:t>
      </w:r>
      <w:r w:rsidR="00A80D30" w:rsidRPr="00B60243">
        <w:t>199 persons)</w:t>
      </w:r>
      <w:r w:rsidR="00A01207" w:rsidRPr="00B60243">
        <w:t xml:space="preserve"> and large (200 or more) </w:t>
      </w:r>
      <w:r w:rsidR="00FA526B" w:rsidRPr="00B60243">
        <w:t>remained relatively stable between 2003</w:t>
      </w:r>
      <w:r w:rsidR="00E36E7F">
        <w:noBreakHyphen/>
      </w:r>
      <w:r w:rsidR="00FA526B" w:rsidRPr="00B60243">
        <w:t>04 and 2006</w:t>
      </w:r>
      <w:r w:rsidR="00E36E7F">
        <w:noBreakHyphen/>
      </w:r>
      <w:r w:rsidR="00FA526B" w:rsidRPr="00B60243">
        <w:t>07</w:t>
      </w:r>
      <w:r w:rsidR="004C5835" w:rsidRPr="00B60243">
        <w:t xml:space="preserve"> (figure </w:t>
      </w:r>
      <w:r w:rsidR="00B072C2" w:rsidRPr="00B60243">
        <w:t>5.19</w:t>
      </w:r>
      <w:r w:rsidR="004C5835" w:rsidRPr="00B60243">
        <w:t>)</w:t>
      </w:r>
      <w:r w:rsidR="00A01207" w:rsidRPr="00B60243">
        <w:t>.</w:t>
      </w:r>
      <w:r w:rsidR="002C60A8" w:rsidRPr="00B60243">
        <w:rPr>
          <w:rStyle w:val="FootnoteReference"/>
        </w:rPr>
        <w:footnoteReference w:id="22"/>
      </w:r>
      <w:r w:rsidR="00A01207" w:rsidRPr="00B60243">
        <w:t xml:space="preserve"> What has changed is the makeup of the small business category — the number of </w:t>
      </w:r>
      <w:r w:rsidR="00D23BED" w:rsidRPr="00B60243">
        <w:t>non</w:t>
      </w:r>
      <w:r w:rsidR="00E36E7F">
        <w:noBreakHyphen/>
      </w:r>
      <w:r w:rsidR="00D23BED" w:rsidRPr="00B60243">
        <w:t xml:space="preserve">employing businesses </w:t>
      </w:r>
      <w:r w:rsidR="00A01207" w:rsidRPr="00B60243">
        <w:t xml:space="preserve">has declined </w:t>
      </w:r>
      <w:r w:rsidR="00D23BED" w:rsidRPr="00B60243">
        <w:t xml:space="preserve">and </w:t>
      </w:r>
      <w:r w:rsidR="00A01207" w:rsidRPr="00B60243">
        <w:t xml:space="preserve">there has been </w:t>
      </w:r>
      <w:r w:rsidR="002A0312" w:rsidRPr="00B60243">
        <w:t xml:space="preserve">a marked increase in the number of businesses employing </w:t>
      </w:r>
      <w:r w:rsidR="00921608" w:rsidRPr="00B60243">
        <w:t>1</w:t>
      </w:r>
      <w:r w:rsidR="00303E1E" w:rsidRPr="00B60243">
        <w:t>–</w:t>
      </w:r>
      <w:r w:rsidR="00921608" w:rsidRPr="00B60243">
        <w:t>19</w:t>
      </w:r>
      <w:r w:rsidR="002A0312" w:rsidRPr="00B60243">
        <w:t xml:space="preserve"> persons</w:t>
      </w:r>
      <w:r w:rsidR="004C5835" w:rsidRPr="00B60243">
        <w:t>.</w:t>
      </w:r>
      <w:r w:rsidR="002A0312" w:rsidRPr="00B60243">
        <w:t xml:space="preserve"> </w:t>
      </w:r>
      <w:r w:rsidR="002532CA" w:rsidRPr="00B60243">
        <w:t xml:space="preserve">This </w:t>
      </w:r>
      <w:r w:rsidR="002147A3">
        <w:t>change</w:t>
      </w:r>
      <w:r w:rsidR="002147A3" w:rsidRPr="00B60243">
        <w:t xml:space="preserve"> </w:t>
      </w:r>
      <w:r w:rsidR="002532CA" w:rsidRPr="00B60243">
        <w:t xml:space="preserve">has been more pronounced in Food than </w:t>
      </w:r>
      <w:r w:rsidR="00303E1E" w:rsidRPr="00B60243">
        <w:t xml:space="preserve">in </w:t>
      </w:r>
      <w:r w:rsidR="002532CA" w:rsidRPr="00B60243">
        <w:t>BT.</w:t>
      </w:r>
    </w:p>
    <w:p w:rsidR="006821FD" w:rsidRPr="00B60243" w:rsidRDefault="006821FD">
      <w:pPr>
        <w:pStyle w:val="FigureTitle"/>
      </w:pPr>
      <w:r w:rsidRPr="00B60243">
        <w:rPr>
          <w:b w:val="0"/>
        </w:rPr>
        <w:t xml:space="preserve">Figure </w:t>
      </w:r>
      <w:bookmarkStart w:id="30" w:name="OLE_LINK25"/>
      <w:r w:rsidR="00B072C2" w:rsidRPr="00B60243">
        <w:rPr>
          <w:b w:val="0"/>
        </w:rPr>
        <w:t>5.</w:t>
      </w:r>
      <w:r w:rsidR="002E061A">
        <w:rPr>
          <w:b w:val="0"/>
          <w:noProof/>
        </w:rPr>
        <w:t>19</w:t>
      </w:r>
      <w:bookmarkEnd w:id="30"/>
      <w:r w:rsidRPr="00B60243">
        <w:tab/>
      </w:r>
      <w:r w:rsidR="007B0BF1" w:rsidRPr="00B60243">
        <w:t xml:space="preserve">Shifts in the scale of </w:t>
      </w:r>
      <w:proofErr w:type="spellStart"/>
      <w:r w:rsidR="007B0BF1" w:rsidRPr="00B60243">
        <w:t>FBT</w:t>
      </w:r>
      <w:proofErr w:type="spellEnd"/>
      <w:r w:rsidR="007B0BF1" w:rsidRPr="00B60243">
        <w:t xml:space="preserve"> businesses</w:t>
      </w:r>
      <w:r w:rsidR="0077005B" w:rsidRPr="00B60243">
        <w:rPr>
          <w:rStyle w:val="NoteLabel"/>
          <w:b/>
        </w:rPr>
        <w:t>a</w:t>
      </w:r>
    </w:p>
    <w:p w:rsidR="006821FD" w:rsidRPr="00B60243" w:rsidRDefault="006821FD">
      <w:pPr>
        <w:pStyle w:val="Subtitle"/>
      </w:pPr>
      <w:r w:rsidRPr="00B60243">
        <w:t>Number of businesses by employment size</w:t>
      </w:r>
      <w:r w:rsidR="002C60A8" w:rsidRPr="00B60243">
        <w:rPr>
          <w:rStyle w:val="NoteLabel"/>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A47C61" w:rsidRPr="00A47C61" w:rsidTr="00042733">
        <w:tc>
          <w:tcPr>
            <w:tcW w:w="4388" w:type="dxa"/>
          </w:tcPr>
          <w:p w:rsidR="00A47C61" w:rsidRPr="00A47C61" w:rsidRDefault="00A47C61" w:rsidP="00A41060">
            <w:pPr>
              <w:pStyle w:val="Figure"/>
              <w:rPr>
                <w:i/>
                <w:sz w:val="22"/>
                <w:szCs w:val="22"/>
              </w:rPr>
            </w:pPr>
            <w:r w:rsidRPr="00A47C61">
              <w:rPr>
                <w:i/>
                <w:sz w:val="22"/>
                <w:szCs w:val="22"/>
              </w:rPr>
              <w:t>Food manufacturing</w:t>
            </w:r>
          </w:p>
        </w:tc>
        <w:tc>
          <w:tcPr>
            <w:tcW w:w="4389" w:type="dxa"/>
          </w:tcPr>
          <w:p w:rsidR="00A47C61" w:rsidRPr="00A47C61" w:rsidRDefault="00A47C61" w:rsidP="00A41060">
            <w:pPr>
              <w:pStyle w:val="Figure"/>
              <w:rPr>
                <w:i/>
                <w:sz w:val="22"/>
                <w:szCs w:val="22"/>
              </w:rPr>
            </w:pPr>
            <w:r w:rsidRPr="00A47C61">
              <w:rPr>
                <w:i/>
                <w:sz w:val="22"/>
                <w:szCs w:val="22"/>
              </w:rPr>
              <w:t>BT manufacturing</w:t>
            </w:r>
          </w:p>
        </w:tc>
      </w:tr>
      <w:tr w:rsidR="00D24200" w:rsidRPr="00B60243" w:rsidTr="00042733">
        <w:tc>
          <w:tcPr>
            <w:tcW w:w="4388" w:type="dxa"/>
          </w:tcPr>
          <w:p w:rsidR="00042733" w:rsidRPr="00B60243" w:rsidRDefault="00E406E7" w:rsidP="00D722AD">
            <w:pPr>
              <w:pStyle w:val="Figure"/>
              <w:spacing w:before="0" w:after="0"/>
              <w:ind w:left="-119"/>
            </w:pPr>
            <w:r>
              <w:pict>
                <v:shape id="_x0000_i1050" type="#_x0000_t75" alt="This figure comprises of two charts divided into Food and Beverage and Tobacco manufacturing. These two charts show that the number of Australian FBT businesses classified as small (employing less than 20 person), medium (20-199 persons) and large (200 or more) remained relatively stable between 2003-04 and 2006-07. The makeup of the small business category has changed with the number of non-employing businesses declining while there has been a marked increase in the number of businesses employing 1-19 persons. This trend has been more pronounced in Food than BT." style="width:205.95pt;height:183.35pt">
                  <v:imagedata r:id="rId35" o:title=""/>
                </v:shape>
              </w:pict>
            </w:r>
          </w:p>
        </w:tc>
        <w:tc>
          <w:tcPr>
            <w:tcW w:w="4389" w:type="dxa"/>
          </w:tcPr>
          <w:p w:rsidR="007847A8" w:rsidRPr="00B60243" w:rsidRDefault="00E406E7" w:rsidP="00D722AD">
            <w:pPr>
              <w:pStyle w:val="Figure"/>
              <w:spacing w:before="0" w:after="0"/>
              <w:ind w:left="-112"/>
            </w:pPr>
            <w:r>
              <w:rPr>
                <w:i/>
              </w:rPr>
              <w:pict>
                <v:shape id="_x0000_i1051" type="#_x0000_t75" alt="This figure comprises of two charts divided into Food and Beverage and Tobacco manufacturing. These two charts show that the number of Australian FBT businesses classified as small (employing less than 20 person), medium (20-199 persons) and large (200 or more) remained relatively stable between 2003-04 and 2006-07. The makeup of the small business category has changed with the number of non-employing businesses declining while there has been a marked increase in the number of businesses employing 1-19 persons. This trend has been more pronounced in Food than BT." style="width:205.95pt;height:183.35pt">
                  <v:imagedata r:id="rId36" o:title=""/>
                </v:shape>
              </w:pict>
            </w:r>
          </w:p>
        </w:tc>
      </w:tr>
      <w:tr w:rsidR="00D24200" w:rsidRPr="00B60243" w:rsidTr="00042733">
        <w:tblPrEx>
          <w:tblCellMar>
            <w:left w:w="0" w:type="dxa"/>
            <w:right w:w="0" w:type="dxa"/>
          </w:tblCellMar>
        </w:tblPrEx>
        <w:tc>
          <w:tcPr>
            <w:tcW w:w="8777" w:type="dxa"/>
            <w:gridSpan w:val="2"/>
          </w:tcPr>
          <w:p w:rsidR="00D24200" w:rsidRPr="00B60243" w:rsidRDefault="00E406E7" w:rsidP="00AD291E">
            <w:pPr>
              <w:pStyle w:val="Figure"/>
              <w:spacing w:before="0" w:after="0" w:line="80" w:lineRule="atLeast"/>
            </w:pPr>
            <w:r>
              <w:rPr>
                <w:noProof/>
              </w:rPr>
              <w:pict>
                <v:shape id="_x0000_i1052" type="#_x0000_t75" style="width:424.45pt;height:36.85pt">
                  <v:imagedata r:id="rId37" o:title=""/>
                </v:shape>
              </w:pict>
            </w:r>
          </w:p>
        </w:tc>
      </w:tr>
    </w:tbl>
    <w:p w:rsidR="006821FD" w:rsidRPr="00B60243" w:rsidRDefault="006821FD" w:rsidP="00E557EA">
      <w:pPr>
        <w:pStyle w:val="Note"/>
        <w:spacing w:line="200" w:lineRule="exact"/>
      </w:pPr>
      <w:proofErr w:type="spellStart"/>
      <w:r w:rsidRPr="00B60243">
        <w:rPr>
          <w:rStyle w:val="NoteLabel"/>
        </w:rPr>
        <w:t>a</w:t>
      </w:r>
      <w:proofErr w:type="spellEnd"/>
      <w:r w:rsidRPr="00B60243">
        <w:t xml:space="preserve"> </w:t>
      </w:r>
      <w:r w:rsidR="0077005B" w:rsidRPr="00B60243">
        <w:t xml:space="preserve">On an </w:t>
      </w:r>
      <w:proofErr w:type="spellStart"/>
      <w:r w:rsidR="0077005B" w:rsidRPr="00B60243">
        <w:t>ANZSIC93</w:t>
      </w:r>
      <w:proofErr w:type="spellEnd"/>
      <w:r w:rsidR="0077005B" w:rsidRPr="00B60243">
        <w:t xml:space="preserve"> basis</w:t>
      </w:r>
      <w:r w:rsidR="00046BF2" w:rsidRPr="00B60243">
        <w:t xml:space="preserve"> (d</w:t>
      </w:r>
      <w:r w:rsidR="005B45D4" w:rsidRPr="00B60243">
        <w:t>oes not include non</w:t>
      </w:r>
      <w:r w:rsidR="00E36E7F">
        <w:noBreakHyphen/>
      </w:r>
      <w:r w:rsidR="005B45D4" w:rsidRPr="00B60243">
        <w:t>factory baking</w:t>
      </w:r>
      <w:r w:rsidR="00046BF2" w:rsidRPr="00B60243">
        <w:t>)</w:t>
      </w:r>
      <w:r w:rsidR="005B45D4" w:rsidRPr="00B60243">
        <w:t>.</w:t>
      </w:r>
      <w:r w:rsidR="002C60A8" w:rsidRPr="00B60243">
        <w:t xml:space="preserve"> </w:t>
      </w:r>
      <w:r w:rsidR="002C60A8" w:rsidRPr="00B60243">
        <w:rPr>
          <w:rStyle w:val="NoteLabel"/>
        </w:rPr>
        <w:t>b</w:t>
      </w:r>
      <w:r w:rsidR="002C60A8" w:rsidRPr="00B60243">
        <w:t xml:space="preserve"> A non</w:t>
      </w:r>
      <w:r w:rsidR="00E36E7F">
        <w:noBreakHyphen/>
      </w:r>
      <w:r w:rsidR="002C60A8" w:rsidRPr="00B60243">
        <w:t xml:space="preserve">employing business </w:t>
      </w:r>
      <w:r w:rsidR="00236919" w:rsidRPr="00B60243">
        <w:t>is</w:t>
      </w:r>
      <w:r w:rsidR="002C60A8" w:rsidRPr="00B60243">
        <w:t xml:space="preserve"> </w:t>
      </w:r>
      <w:r w:rsidR="00236919" w:rsidRPr="00B60243">
        <w:t>one</w:t>
      </w:r>
      <w:r w:rsidR="002C60A8" w:rsidRPr="00B60243">
        <w:t xml:space="preserve"> without an active </w:t>
      </w:r>
      <w:r w:rsidR="001E228A">
        <w:t>i</w:t>
      </w:r>
      <w:r w:rsidR="002C60A8" w:rsidRPr="00B60243">
        <w:t xml:space="preserve">ncome </w:t>
      </w:r>
      <w:r w:rsidR="001E228A">
        <w:t>t</w:t>
      </w:r>
      <w:r w:rsidR="002C60A8" w:rsidRPr="00B60243">
        <w:t xml:space="preserve">ax </w:t>
      </w:r>
      <w:r w:rsidR="001E228A">
        <w:t>w</w:t>
      </w:r>
      <w:r w:rsidR="002C60A8" w:rsidRPr="00B60243">
        <w:t xml:space="preserve">ithholding role or which has not remitted </w:t>
      </w:r>
      <w:r w:rsidR="001E228A">
        <w:t>i</w:t>
      </w:r>
      <w:r w:rsidR="003114D2" w:rsidRPr="00B60243">
        <w:t xml:space="preserve">ncome </w:t>
      </w:r>
      <w:r w:rsidR="001E228A">
        <w:t>t</w:t>
      </w:r>
      <w:r w:rsidR="003114D2" w:rsidRPr="00B60243">
        <w:t xml:space="preserve">ax </w:t>
      </w:r>
      <w:r w:rsidR="001E228A">
        <w:t>w</w:t>
      </w:r>
      <w:r w:rsidR="003114D2" w:rsidRPr="00B60243">
        <w:t>ithholding</w:t>
      </w:r>
      <w:r w:rsidR="002C60A8" w:rsidRPr="00B60243">
        <w:t xml:space="preserve"> for five consecutive quarters.</w:t>
      </w:r>
      <w:r w:rsidR="00A75D3F" w:rsidRPr="00B60243">
        <w:t xml:space="preserve"> Business counts include only those registered for an Australian Business Number (during the period covered by this figure businesses with a turnover of at least $50</w:t>
      </w:r>
      <w:r w:rsidR="00046BF2" w:rsidRPr="00B60243">
        <w:t xml:space="preserve"> </w:t>
      </w:r>
      <w:r w:rsidR="00A75D3F" w:rsidRPr="00B60243">
        <w:t>000 per year, or $100</w:t>
      </w:r>
      <w:r w:rsidR="00046BF2" w:rsidRPr="00B60243">
        <w:t xml:space="preserve"> </w:t>
      </w:r>
      <w:r w:rsidR="00A75D3F" w:rsidRPr="00B60243">
        <w:t xml:space="preserve">000 in the case of </w:t>
      </w:r>
      <w:proofErr w:type="spellStart"/>
      <w:r w:rsidR="00A75D3F" w:rsidRPr="00B60243">
        <w:t>non</w:t>
      </w:r>
      <w:r w:rsidR="00E36E7F">
        <w:noBreakHyphen/>
      </w:r>
      <w:r w:rsidR="00A75D3F" w:rsidRPr="00B60243">
        <w:t>profit</w:t>
      </w:r>
      <w:proofErr w:type="spellEnd"/>
      <w:r w:rsidR="00A75D3F" w:rsidRPr="00B60243">
        <w:t xml:space="preserve"> organisations, were required to register for an A</w:t>
      </w:r>
      <w:r w:rsidR="003114D2">
        <w:t xml:space="preserve">ustralian </w:t>
      </w:r>
      <w:r w:rsidR="00A75D3F" w:rsidRPr="00B60243">
        <w:t>B</w:t>
      </w:r>
      <w:r w:rsidR="003114D2">
        <w:t xml:space="preserve">usiness </w:t>
      </w:r>
      <w:r w:rsidR="00A75D3F" w:rsidRPr="00B60243">
        <w:t>N</w:t>
      </w:r>
      <w:r w:rsidR="003114D2">
        <w:t>umber</w:t>
      </w:r>
      <w:r w:rsidR="00A75D3F" w:rsidRPr="00B60243">
        <w:t xml:space="preserve"> and remit </w:t>
      </w:r>
      <w:r w:rsidR="001E228A">
        <w:t>goods and services tax</w:t>
      </w:r>
      <w:r w:rsidR="00A75D3F" w:rsidRPr="00B60243">
        <w:t>).</w:t>
      </w:r>
    </w:p>
    <w:p w:rsidR="002F2116" w:rsidRPr="00B60243" w:rsidRDefault="006821FD" w:rsidP="00E557EA">
      <w:pPr>
        <w:pStyle w:val="Source"/>
        <w:spacing w:line="200" w:lineRule="exact"/>
      </w:pPr>
      <w:r w:rsidRPr="00B60243">
        <w:rPr>
          <w:i/>
        </w:rPr>
        <w:t>Data source</w:t>
      </w:r>
      <w:r w:rsidRPr="00B60243">
        <w:t xml:space="preserve">: </w:t>
      </w:r>
      <w:r w:rsidR="00FB3821" w:rsidRPr="00B60243">
        <w:t>ABS (</w:t>
      </w:r>
      <w:r w:rsidR="00FB3821" w:rsidRPr="00B60243">
        <w:rPr>
          <w:i/>
        </w:rPr>
        <w:t>Counts of Australian Businesses, including Entries and Exits, Jun</w:t>
      </w:r>
      <w:r w:rsidR="00F63EED" w:rsidRPr="00B60243">
        <w:rPr>
          <w:i/>
        </w:rPr>
        <w:t>e</w:t>
      </w:r>
      <w:r w:rsidR="00FB3821" w:rsidRPr="00B60243">
        <w:rPr>
          <w:i/>
        </w:rPr>
        <w:t xml:space="preserve"> 2003 to Jun</w:t>
      </w:r>
      <w:r w:rsidR="00F63EED" w:rsidRPr="00B60243">
        <w:rPr>
          <w:i/>
        </w:rPr>
        <w:t>e</w:t>
      </w:r>
      <w:r w:rsidR="00FB3821" w:rsidRPr="00B60243">
        <w:rPr>
          <w:i/>
        </w:rPr>
        <w:t xml:space="preserve"> 2007</w:t>
      </w:r>
      <w:r w:rsidR="00FB3821" w:rsidRPr="00B60243">
        <w:t>, Cat.</w:t>
      </w:r>
      <w:r w:rsidR="00664582" w:rsidRPr="00B60243">
        <w:t> </w:t>
      </w:r>
      <w:r w:rsidR="00FB3821" w:rsidRPr="00B60243">
        <w:t>no. 8165.0).</w:t>
      </w:r>
    </w:p>
    <w:p w:rsidR="00CA08B1" w:rsidRDefault="00CA08B1">
      <w:pPr>
        <w:rPr>
          <w:szCs w:val="20"/>
        </w:rPr>
      </w:pPr>
      <w:r>
        <w:br w:type="page"/>
      </w:r>
    </w:p>
    <w:p w:rsidR="00404CF5" w:rsidRPr="00B60243" w:rsidRDefault="00404CF5" w:rsidP="00404CF5">
      <w:pPr>
        <w:pStyle w:val="BodyText"/>
      </w:pPr>
      <w:r w:rsidRPr="00B60243">
        <w:lastRenderedPageBreak/>
        <w:t>The Food manufacturing groups that had the largest turnarounds in hours worked growth between cycles 3 and 4 — Meat, Bakery and Sugar and confectionery — also had large shifts from non</w:t>
      </w:r>
      <w:r w:rsidR="00E36E7F">
        <w:noBreakHyphen/>
      </w:r>
      <w:r w:rsidRPr="00B60243">
        <w:t>employing businesses to businesses employing 1–19 persons (figure 5.20).</w:t>
      </w:r>
      <w:r w:rsidRPr="00B60243">
        <w:rPr>
          <w:rStyle w:val="FootnoteReference"/>
        </w:rPr>
        <w:footnoteReference w:id="23"/>
      </w:r>
    </w:p>
    <w:p w:rsidR="000E3D7E" w:rsidRPr="00B60243" w:rsidRDefault="000E3D7E">
      <w:pPr>
        <w:pStyle w:val="FigureTitle"/>
      </w:pPr>
      <w:r w:rsidRPr="00B60243">
        <w:rPr>
          <w:b w:val="0"/>
        </w:rPr>
        <w:t xml:space="preserve">Figure </w:t>
      </w:r>
      <w:bookmarkStart w:id="31" w:name="OLE_LINK26"/>
      <w:r w:rsidR="00B072C2" w:rsidRPr="00B60243">
        <w:rPr>
          <w:b w:val="0"/>
        </w:rPr>
        <w:t>5.</w:t>
      </w:r>
      <w:r w:rsidR="002E061A">
        <w:rPr>
          <w:b w:val="0"/>
          <w:noProof/>
        </w:rPr>
        <w:t>20</w:t>
      </w:r>
      <w:bookmarkEnd w:id="31"/>
      <w:r w:rsidRPr="00B60243">
        <w:tab/>
        <w:t>Small</w:t>
      </w:r>
      <w:r w:rsidR="00E36E7F">
        <w:noBreakHyphen/>
      </w:r>
      <w:r w:rsidRPr="00B60243">
        <w:t xml:space="preserve">scale </w:t>
      </w:r>
      <w:proofErr w:type="spellStart"/>
      <w:r w:rsidR="007B0BF1" w:rsidRPr="00B60243">
        <w:t>FBT</w:t>
      </w:r>
      <w:proofErr w:type="spellEnd"/>
      <w:r w:rsidR="007B0BF1" w:rsidRPr="00B60243">
        <w:t xml:space="preserve"> </w:t>
      </w:r>
      <w:r w:rsidRPr="00B60243">
        <w:t xml:space="preserve">businesses by </w:t>
      </w:r>
      <w:proofErr w:type="spellStart"/>
      <w:r w:rsidR="007B0BF1" w:rsidRPr="00B60243">
        <w:t>ANZSIC</w:t>
      </w:r>
      <w:proofErr w:type="spellEnd"/>
      <w:r w:rsidRPr="00B60243">
        <w:t xml:space="preserve"> group</w:t>
      </w:r>
      <w:r w:rsidR="00C852B4" w:rsidRPr="00B60243">
        <w:rPr>
          <w:rStyle w:val="NoteLabel"/>
          <w:b/>
        </w:rPr>
        <w:t>a</w:t>
      </w:r>
    </w:p>
    <w:p w:rsidR="000E3D7E" w:rsidRPr="00B60243" w:rsidRDefault="000E3D7E" w:rsidP="000E3D7E">
      <w:pPr>
        <w:pStyle w:val="Subtitle"/>
      </w:pPr>
      <w:r w:rsidRPr="00B60243">
        <w:t>Number of businesses by employment size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E3D7E" w:rsidRPr="00B60243">
        <w:tc>
          <w:tcPr>
            <w:tcW w:w="8777" w:type="dxa"/>
          </w:tcPr>
          <w:p w:rsidR="000E3D7E" w:rsidRPr="00B60243" w:rsidRDefault="00E406E7" w:rsidP="00384EA6">
            <w:pPr>
              <w:pStyle w:val="Figure"/>
              <w:spacing w:before="0" w:after="0"/>
            </w:pPr>
            <w:r>
              <w:pict>
                <v:shape id="_x0000_i1053" type="#_x0000_t75" alt="This figure shows that the Meat, Bakery and Other food groups experienced the biggest shifts from non-employing businesses to businesses employing 1-19 persons between 2003-04 to 2006 07." style="width:424.45pt;height:198.4pt">
                  <v:imagedata r:id="rId38" o:title=""/>
                </v:shape>
              </w:pict>
            </w:r>
          </w:p>
        </w:tc>
      </w:tr>
    </w:tbl>
    <w:p w:rsidR="000E3D7E" w:rsidRPr="00B60243" w:rsidRDefault="000E3D7E" w:rsidP="0084492B">
      <w:pPr>
        <w:pStyle w:val="Note"/>
        <w:spacing w:line="200" w:lineRule="exact"/>
      </w:pPr>
      <w:proofErr w:type="spellStart"/>
      <w:r w:rsidRPr="00B60243">
        <w:rPr>
          <w:rStyle w:val="NoteLabel"/>
        </w:rPr>
        <w:t>a</w:t>
      </w:r>
      <w:proofErr w:type="spellEnd"/>
      <w:r w:rsidRPr="00B60243">
        <w:t xml:space="preserve"> On an </w:t>
      </w:r>
      <w:proofErr w:type="spellStart"/>
      <w:r w:rsidRPr="00B60243">
        <w:t>ANZSIC93</w:t>
      </w:r>
      <w:proofErr w:type="spellEnd"/>
      <w:r w:rsidRPr="00B60243">
        <w:t xml:space="preserve"> basis</w:t>
      </w:r>
      <w:r w:rsidR="007F3A79">
        <w:t xml:space="preserve">: </w:t>
      </w:r>
      <w:r w:rsidR="008555A0" w:rsidRPr="00B60243">
        <w:t>Sugar</w:t>
      </w:r>
      <w:r w:rsidR="008A13CE" w:rsidRPr="00B60243">
        <w:t xml:space="preserve"> and </w:t>
      </w:r>
      <w:r w:rsidR="008555A0" w:rsidRPr="00B60243">
        <w:t>confectionery is included in Other food manufacturing</w:t>
      </w:r>
      <w:r w:rsidR="007F3A79">
        <w:t>;</w:t>
      </w:r>
      <w:r w:rsidR="008555A0" w:rsidRPr="00B60243">
        <w:t xml:space="preserve"> and Bakery does not include non</w:t>
      </w:r>
      <w:r w:rsidR="00E36E7F">
        <w:noBreakHyphen/>
      </w:r>
      <w:r w:rsidR="008555A0" w:rsidRPr="00B60243">
        <w:t>factory baking</w:t>
      </w:r>
      <w:r w:rsidR="00791C5E" w:rsidRPr="00B60243">
        <w:t>. Tobacco product manufacturers are not included.</w:t>
      </w:r>
    </w:p>
    <w:p w:rsidR="000E3D7E" w:rsidRPr="00B60243" w:rsidRDefault="000E3D7E" w:rsidP="0084492B">
      <w:pPr>
        <w:pStyle w:val="Source"/>
        <w:spacing w:before="120" w:line="200" w:lineRule="exact"/>
      </w:pPr>
      <w:r w:rsidRPr="00B60243">
        <w:rPr>
          <w:i/>
        </w:rPr>
        <w:t>Data source</w:t>
      </w:r>
      <w:r w:rsidRPr="00E36E7F">
        <w:t>:</w:t>
      </w:r>
      <w:r w:rsidRPr="00B60243">
        <w:t xml:space="preserve"> ABS (</w:t>
      </w:r>
      <w:r w:rsidRPr="00B60243">
        <w:rPr>
          <w:i/>
        </w:rPr>
        <w:t>Counts of Australian Businesses, including Entries and Exits, Jun</w:t>
      </w:r>
      <w:r w:rsidR="00F63EED" w:rsidRPr="00B60243">
        <w:rPr>
          <w:i/>
        </w:rPr>
        <w:t>e</w:t>
      </w:r>
      <w:r w:rsidRPr="00B60243">
        <w:rPr>
          <w:i/>
        </w:rPr>
        <w:t xml:space="preserve"> 2003 to Jun</w:t>
      </w:r>
      <w:r w:rsidR="00F63EED" w:rsidRPr="00B60243">
        <w:rPr>
          <w:i/>
        </w:rPr>
        <w:t>e</w:t>
      </w:r>
      <w:r w:rsidRPr="00B60243">
        <w:rPr>
          <w:i/>
        </w:rPr>
        <w:t xml:space="preserve"> 2007</w:t>
      </w:r>
      <w:r w:rsidRPr="00B60243">
        <w:t>, Cat. no. 8165.0).</w:t>
      </w:r>
    </w:p>
    <w:p w:rsidR="00C0114D" w:rsidRPr="00B60243" w:rsidRDefault="00C0114D" w:rsidP="00C0114D">
      <w:pPr>
        <w:pStyle w:val="Heading4"/>
      </w:pPr>
      <w:r w:rsidRPr="00B60243">
        <w:t>Measurement error?</w:t>
      </w:r>
    </w:p>
    <w:p w:rsidR="00386A6D" w:rsidRPr="00B60243" w:rsidRDefault="00BA69AD" w:rsidP="00C0114D">
      <w:pPr>
        <w:pStyle w:val="BodyText"/>
        <w:rPr>
          <w:rFonts w:eastAsia="FuturaT-Light"/>
        </w:rPr>
      </w:pPr>
      <w:r w:rsidRPr="00B60243">
        <w:rPr>
          <w:rFonts w:eastAsia="FuturaT-Light"/>
        </w:rPr>
        <w:t xml:space="preserve">The hours worked estimates used in the MFP </w:t>
      </w:r>
      <w:r w:rsidR="00303E1E" w:rsidRPr="00B60243">
        <w:rPr>
          <w:rFonts w:eastAsia="FuturaT-Light"/>
        </w:rPr>
        <w:t xml:space="preserve">and labour productivity </w:t>
      </w:r>
      <w:r w:rsidRPr="00B60243">
        <w:rPr>
          <w:rFonts w:eastAsia="FuturaT-Light"/>
        </w:rPr>
        <w:t xml:space="preserve">estimates </w:t>
      </w:r>
      <w:r w:rsidR="006A6A0B" w:rsidRPr="00B60243">
        <w:rPr>
          <w:rFonts w:eastAsia="FuturaT-Light"/>
        </w:rPr>
        <w:t xml:space="preserve">in this paper </w:t>
      </w:r>
      <w:r w:rsidRPr="00B60243">
        <w:rPr>
          <w:rFonts w:eastAsia="FuturaT-Light"/>
        </w:rPr>
        <w:t xml:space="preserve">are based on the ABS </w:t>
      </w:r>
      <w:r w:rsidRPr="00B60243">
        <w:rPr>
          <w:rFonts w:eastAsia="FuturaT-Light"/>
          <w:i/>
        </w:rPr>
        <w:t>Labour Force Survey</w:t>
      </w:r>
      <w:r w:rsidRPr="00B60243">
        <w:rPr>
          <w:rFonts w:eastAsia="FuturaT-Light"/>
        </w:rPr>
        <w:t xml:space="preserve"> </w:t>
      </w:r>
      <w:r w:rsidR="00845101" w:rsidRPr="00B60243">
        <w:rPr>
          <w:rFonts w:eastAsia="FuturaT-Light"/>
        </w:rPr>
        <w:t>data that ha</w:t>
      </w:r>
      <w:r w:rsidR="000E6FA0" w:rsidRPr="00B60243">
        <w:rPr>
          <w:rFonts w:eastAsia="FuturaT-Light"/>
        </w:rPr>
        <w:t>ve</w:t>
      </w:r>
      <w:r w:rsidR="00845101" w:rsidRPr="00B60243">
        <w:rPr>
          <w:rFonts w:eastAsia="FuturaT-Light"/>
        </w:rPr>
        <w:t xml:space="preserve"> been </w:t>
      </w:r>
      <w:proofErr w:type="spellStart"/>
      <w:r w:rsidRPr="00B60243">
        <w:rPr>
          <w:rFonts w:eastAsia="FuturaT-Light"/>
        </w:rPr>
        <w:t>backcast</w:t>
      </w:r>
      <w:proofErr w:type="spellEnd"/>
      <w:r w:rsidRPr="00B60243">
        <w:rPr>
          <w:rFonts w:eastAsia="FuturaT-Light"/>
        </w:rPr>
        <w:t xml:space="preserve"> by the ABS to account for changes in industry classification over time. </w:t>
      </w:r>
      <w:r w:rsidR="00386A6D" w:rsidRPr="00B60243">
        <w:rPr>
          <w:rFonts w:eastAsia="FuturaT-Light"/>
        </w:rPr>
        <w:t>It is possible that these estimates are subject to some measurement error.</w:t>
      </w:r>
    </w:p>
    <w:p w:rsidR="00386A6D" w:rsidRPr="00B60243" w:rsidRDefault="006A6A0B" w:rsidP="00386A6D">
      <w:pPr>
        <w:pStyle w:val="ListBullet"/>
        <w:rPr>
          <w:rFonts w:eastAsia="FuturaT-Light"/>
        </w:rPr>
      </w:pPr>
      <w:r w:rsidRPr="00B60243">
        <w:rPr>
          <w:rFonts w:eastAsia="FuturaT-Light"/>
        </w:rPr>
        <w:t xml:space="preserve">Industry misclassification is possible in </w:t>
      </w:r>
      <w:r w:rsidR="00167471" w:rsidRPr="00B60243">
        <w:rPr>
          <w:rFonts w:eastAsia="FuturaT-Light"/>
        </w:rPr>
        <w:t>household</w:t>
      </w:r>
      <w:r w:rsidRPr="00B60243">
        <w:rPr>
          <w:rFonts w:eastAsia="FuturaT-Light"/>
        </w:rPr>
        <w:t xml:space="preserve"> surveys</w:t>
      </w:r>
      <w:r w:rsidR="00845101" w:rsidRPr="00B60243">
        <w:rPr>
          <w:rFonts w:eastAsia="FuturaT-Light"/>
        </w:rPr>
        <w:t xml:space="preserve">, such as the </w:t>
      </w:r>
      <w:r w:rsidR="00845101" w:rsidRPr="00B60243">
        <w:rPr>
          <w:rFonts w:eastAsia="FuturaT-Light"/>
          <w:i/>
        </w:rPr>
        <w:t>Labour Force Survey</w:t>
      </w:r>
      <w:r w:rsidR="00845101" w:rsidRPr="00B60243">
        <w:rPr>
          <w:rFonts w:eastAsia="FuturaT-Light"/>
        </w:rPr>
        <w:t>,</w:t>
      </w:r>
      <w:r w:rsidRPr="00B60243">
        <w:rPr>
          <w:rFonts w:eastAsia="FuturaT-Light"/>
        </w:rPr>
        <w:t xml:space="preserve"> as employees</w:t>
      </w:r>
      <w:r w:rsidR="00847AB9" w:rsidRPr="00B60243">
        <w:rPr>
          <w:rFonts w:eastAsia="FuturaT-Light"/>
        </w:rPr>
        <w:t>’</w:t>
      </w:r>
      <w:r w:rsidRPr="00B60243">
        <w:rPr>
          <w:rFonts w:eastAsia="FuturaT-Light"/>
        </w:rPr>
        <w:t xml:space="preserve"> description</w:t>
      </w:r>
      <w:r w:rsidR="00847AB9" w:rsidRPr="00B60243">
        <w:rPr>
          <w:rFonts w:eastAsia="FuturaT-Light"/>
        </w:rPr>
        <w:t>s</w:t>
      </w:r>
      <w:r w:rsidRPr="00B60243">
        <w:rPr>
          <w:rFonts w:eastAsia="FuturaT-Light"/>
        </w:rPr>
        <w:t xml:space="preserve"> of </w:t>
      </w:r>
      <w:r w:rsidR="00845101" w:rsidRPr="00B60243">
        <w:rPr>
          <w:rFonts w:eastAsia="FuturaT-Light"/>
        </w:rPr>
        <w:t xml:space="preserve">their </w:t>
      </w:r>
      <w:r w:rsidRPr="00B60243">
        <w:rPr>
          <w:rFonts w:eastAsia="FuturaT-Light"/>
        </w:rPr>
        <w:t>industry of employment may be less precise than th</w:t>
      </w:r>
      <w:r w:rsidR="00B5478A">
        <w:rPr>
          <w:rFonts w:eastAsia="FuturaT-Light"/>
        </w:rPr>
        <w:t>ose</w:t>
      </w:r>
      <w:r w:rsidRPr="00B60243">
        <w:rPr>
          <w:rFonts w:eastAsia="FuturaT-Light"/>
        </w:rPr>
        <w:t xml:space="preserve"> provided by employer</w:t>
      </w:r>
      <w:r w:rsidR="00845101" w:rsidRPr="00B60243">
        <w:rPr>
          <w:rFonts w:eastAsia="FuturaT-Light"/>
        </w:rPr>
        <w:t>s</w:t>
      </w:r>
      <w:r w:rsidRPr="00B60243">
        <w:rPr>
          <w:rFonts w:eastAsia="FuturaT-Light"/>
        </w:rPr>
        <w:t xml:space="preserve">. </w:t>
      </w:r>
    </w:p>
    <w:p w:rsidR="00386A6D" w:rsidRPr="00B60243" w:rsidRDefault="00386A6D" w:rsidP="00386A6D">
      <w:pPr>
        <w:pStyle w:val="ListBullet"/>
        <w:rPr>
          <w:rFonts w:eastAsia="FuturaT-Light"/>
        </w:rPr>
      </w:pPr>
      <w:proofErr w:type="spellStart"/>
      <w:r w:rsidRPr="00B60243">
        <w:rPr>
          <w:rFonts w:eastAsia="FuturaT-Light"/>
        </w:rPr>
        <w:t>B</w:t>
      </w:r>
      <w:r w:rsidR="006A6A0B" w:rsidRPr="00B60243">
        <w:rPr>
          <w:rFonts w:eastAsia="FuturaT-Light"/>
        </w:rPr>
        <w:t>ackcasting</w:t>
      </w:r>
      <w:proofErr w:type="spellEnd"/>
      <w:r w:rsidR="006A6A0B" w:rsidRPr="00B60243">
        <w:rPr>
          <w:rFonts w:eastAsia="FuturaT-Light"/>
        </w:rPr>
        <w:t xml:space="preserve"> for change in industry classification </w:t>
      </w:r>
      <w:r w:rsidR="000E6FA0" w:rsidRPr="00B60243">
        <w:rPr>
          <w:rFonts w:eastAsia="FuturaT-Light"/>
        </w:rPr>
        <w:t>is unavoidably</w:t>
      </w:r>
      <w:r w:rsidR="006A6A0B" w:rsidRPr="00B60243">
        <w:rPr>
          <w:rFonts w:eastAsia="FuturaT-Light"/>
        </w:rPr>
        <w:t xml:space="preserve"> based on assumptions and may </w:t>
      </w:r>
      <w:r w:rsidRPr="00B60243">
        <w:rPr>
          <w:rFonts w:eastAsia="FuturaT-Light"/>
        </w:rPr>
        <w:t xml:space="preserve">be subject to imprecision where assumptions </w:t>
      </w:r>
      <w:r w:rsidR="00B5478A">
        <w:rPr>
          <w:rFonts w:eastAsia="FuturaT-Light"/>
        </w:rPr>
        <w:t>do not reflect actual movements</w:t>
      </w:r>
      <w:r w:rsidRPr="00B60243">
        <w:rPr>
          <w:rFonts w:eastAsia="FuturaT-Light"/>
        </w:rPr>
        <w:t xml:space="preserve">. </w:t>
      </w:r>
    </w:p>
    <w:p w:rsidR="00C0114D" w:rsidRPr="00B60243" w:rsidRDefault="007C6042" w:rsidP="00C0114D">
      <w:pPr>
        <w:pStyle w:val="BodyText"/>
        <w:rPr>
          <w:rFonts w:eastAsia="FuturaT-Light"/>
        </w:rPr>
      </w:pPr>
      <w:r w:rsidRPr="00B60243">
        <w:rPr>
          <w:rFonts w:eastAsia="FuturaT-Light"/>
        </w:rPr>
        <w:lastRenderedPageBreak/>
        <w:t xml:space="preserve">These issues are discussed further in appendix </w:t>
      </w:r>
      <w:r w:rsidR="008124B4" w:rsidRPr="00B60243">
        <w:rPr>
          <w:rFonts w:eastAsia="FuturaT-Light"/>
        </w:rPr>
        <w:t>G</w:t>
      </w:r>
      <w:r w:rsidRPr="00B60243">
        <w:rPr>
          <w:rFonts w:eastAsia="FuturaT-Light"/>
        </w:rPr>
        <w:t>. However, it should be borne in</w:t>
      </w:r>
      <w:r w:rsidR="006A6A0B" w:rsidRPr="00B60243">
        <w:rPr>
          <w:rFonts w:eastAsia="FuturaT-Light"/>
        </w:rPr>
        <w:t xml:space="preserve"> </w:t>
      </w:r>
      <w:r w:rsidR="00386A6D" w:rsidRPr="00B60243">
        <w:rPr>
          <w:rFonts w:eastAsia="FuturaT-Light"/>
        </w:rPr>
        <w:t xml:space="preserve">mind that </w:t>
      </w:r>
      <w:r w:rsidR="000E6FA0" w:rsidRPr="00B60243">
        <w:rPr>
          <w:rFonts w:eastAsia="FuturaT-Light"/>
        </w:rPr>
        <w:t xml:space="preserve">any </w:t>
      </w:r>
      <w:r w:rsidR="00386A6D" w:rsidRPr="00B60243">
        <w:rPr>
          <w:rFonts w:eastAsia="FuturaT-Light"/>
        </w:rPr>
        <w:t xml:space="preserve">measurement error </w:t>
      </w:r>
      <w:r w:rsidR="00AE02E0" w:rsidRPr="00B60243">
        <w:rPr>
          <w:rFonts w:eastAsia="FuturaT-Light"/>
        </w:rPr>
        <w:t xml:space="preserve">in hours worked growth </w:t>
      </w:r>
      <w:r w:rsidR="00386A6D" w:rsidRPr="00B60243">
        <w:rPr>
          <w:rFonts w:eastAsia="FuturaT-Light"/>
        </w:rPr>
        <w:t xml:space="preserve">would need to be </w:t>
      </w:r>
      <w:r w:rsidR="00167471" w:rsidRPr="00B60243">
        <w:rPr>
          <w:rFonts w:eastAsia="FuturaT-Light"/>
        </w:rPr>
        <w:t>very</w:t>
      </w:r>
      <w:r w:rsidR="00386A6D" w:rsidRPr="00B60243">
        <w:rPr>
          <w:rFonts w:eastAsia="FuturaT-Light"/>
        </w:rPr>
        <w:t xml:space="preserve"> large to reverse the decline in measured MFP in cycle 4</w:t>
      </w:r>
      <w:r w:rsidRPr="00B60243">
        <w:rPr>
          <w:rFonts w:eastAsia="FuturaT-Light"/>
        </w:rPr>
        <w:t xml:space="preserve"> (appendix</w:t>
      </w:r>
      <w:r w:rsidR="006C1B9B" w:rsidRPr="00B60243">
        <w:rPr>
          <w:rFonts w:eastAsia="FuturaT-Light"/>
        </w:rPr>
        <w:t> </w:t>
      </w:r>
      <w:r w:rsidR="008124B4" w:rsidRPr="00B60243">
        <w:rPr>
          <w:rFonts w:eastAsia="FuturaT-Light"/>
        </w:rPr>
        <w:t>E</w:t>
      </w:r>
      <w:r w:rsidRPr="00B60243">
        <w:rPr>
          <w:rFonts w:eastAsia="FuturaT-Light"/>
        </w:rPr>
        <w:t>)</w:t>
      </w:r>
      <w:r w:rsidR="00386A6D" w:rsidRPr="00B60243">
        <w:rPr>
          <w:rFonts w:eastAsia="FuturaT-Light"/>
        </w:rPr>
        <w:t>.</w:t>
      </w:r>
      <w:r w:rsidR="00BA69AD" w:rsidRPr="00B60243">
        <w:rPr>
          <w:rFonts w:eastAsia="FuturaT-Light"/>
        </w:rPr>
        <w:t xml:space="preserve"> </w:t>
      </w:r>
    </w:p>
    <w:p w:rsidR="00673E10" w:rsidRPr="00B60243" w:rsidRDefault="00673E10" w:rsidP="00673E10">
      <w:pPr>
        <w:pStyle w:val="Heading3"/>
      </w:pPr>
      <w:r w:rsidRPr="00B60243">
        <w:t>Capital</w:t>
      </w:r>
    </w:p>
    <w:p w:rsidR="006763B2" w:rsidRPr="00B60243" w:rsidRDefault="002258D2" w:rsidP="006763B2">
      <w:pPr>
        <w:pStyle w:val="BodyText"/>
      </w:pPr>
      <w:r w:rsidRPr="00B60243">
        <w:t xml:space="preserve">Capital services </w:t>
      </w:r>
      <w:r w:rsidR="00964AA8" w:rsidRPr="00B60243">
        <w:t>grew at similar rate</w:t>
      </w:r>
      <w:r w:rsidR="0079307D" w:rsidRPr="00B60243">
        <w:t>s</w:t>
      </w:r>
      <w:r w:rsidR="00964AA8" w:rsidRPr="00B60243">
        <w:t xml:space="preserve"> over cycle 4 (5.1 per cent a year) and cycle 3 (6.0 per cent a year) — so </w:t>
      </w:r>
      <w:r w:rsidR="00122B8D" w:rsidRPr="00B60243">
        <w:t xml:space="preserve">an increase in capital growth was not the proximate cause of the </w:t>
      </w:r>
      <w:r w:rsidR="00964AA8" w:rsidRPr="00B60243">
        <w:t xml:space="preserve">fall in </w:t>
      </w:r>
      <w:proofErr w:type="spellStart"/>
      <w:r w:rsidR="003F6365">
        <w:t>FBT</w:t>
      </w:r>
      <w:proofErr w:type="spellEnd"/>
      <w:r w:rsidR="003F6365">
        <w:t xml:space="preserve"> </w:t>
      </w:r>
      <w:r w:rsidR="00964AA8" w:rsidRPr="00B60243">
        <w:t xml:space="preserve">MFP growth </w:t>
      </w:r>
      <w:r w:rsidR="00964AA8" w:rsidRPr="00B60243">
        <w:rPr>
          <w:i/>
        </w:rPr>
        <w:t>between</w:t>
      </w:r>
      <w:r w:rsidR="00964AA8" w:rsidRPr="00B60243">
        <w:t xml:space="preserve"> these cycles. </w:t>
      </w:r>
      <w:r w:rsidR="00113371" w:rsidRPr="00B60243">
        <w:t xml:space="preserve">However, </w:t>
      </w:r>
      <w:r w:rsidR="00122B8D" w:rsidRPr="00B60243">
        <w:t>capital growth over cycle</w:t>
      </w:r>
      <w:r w:rsidR="000E6FA0" w:rsidRPr="00B60243">
        <w:t> </w:t>
      </w:r>
      <w:r w:rsidR="00122B8D" w:rsidRPr="00B60243">
        <w:t xml:space="preserve">4 </w:t>
      </w:r>
      <w:r w:rsidR="00C34ED7" w:rsidRPr="00B60243">
        <w:t>in particular</w:t>
      </w:r>
      <w:r w:rsidR="00122B8D" w:rsidRPr="00B60243">
        <w:t xml:space="preserve"> warrants closer examination since</w:t>
      </w:r>
      <w:r w:rsidR="000E6FA0" w:rsidRPr="00B60243">
        <w:t>,</w:t>
      </w:r>
      <w:r w:rsidR="00122B8D" w:rsidRPr="00B60243">
        <w:t xml:space="preserve"> </w:t>
      </w:r>
      <w:r w:rsidR="00122B8D" w:rsidRPr="00B60243">
        <w:rPr>
          <w:i/>
        </w:rPr>
        <w:t>in aggregate</w:t>
      </w:r>
      <w:r w:rsidR="000E6FA0" w:rsidRPr="00B60243">
        <w:t>,</w:t>
      </w:r>
      <w:r w:rsidR="00695822" w:rsidRPr="00B60243">
        <w:t xml:space="preserve"> it produced little growth in </w:t>
      </w:r>
      <w:r w:rsidR="00D224C6" w:rsidRPr="00B60243">
        <w:t xml:space="preserve">the </w:t>
      </w:r>
      <w:r w:rsidR="00283977" w:rsidRPr="00B60243">
        <w:t xml:space="preserve">real </w:t>
      </w:r>
      <w:r w:rsidR="00695822" w:rsidRPr="00B60243">
        <w:t>VA</w:t>
      </w:r>
      <w:r w:rsidR="00D224C6" w:rsidRPr="00B60243">
        <w:t xml:space="preserve"> measure</w:t>
      </w:r>
      <w:r w:rsidR="00FC653C">
        <w:t>.</w:t>
      </w:r>
      <w:r w:rsidR="00695822" w:rsidRPr="00B60243">
        <w:t xml:space="preserve"> </w:t>
      </w:r>
      <w:r w:rsidR="00FC653C">
        <w:t>A</w:t>
      </w:r>
      <w:r w:rsidR="00695822" w:rsidRPr="00B60243">
        <w:t xml:space="preserve">nd </w:t>
      </w:r>
      <w:r w:rsidR="00283977" w:rsidRPr="00B60243">
        <w:t xml:space="preserve">it </w:t>
      </w:r>
      <w:r w:rsidR="000A6640" w:rsidRPr="00B60243">
        <w:t xml:space="preserve">does not appear to </w:t>
      </w:r>
      <w:r w:rsidR="008555A0" w:rsidRPr="00B60243">
        <w:t xml:space="preserve">reflect </w:t>
      </w:r>
      <w:r w:rsidR="000A6640" w:rsidRPr="00B60243">
        <w:t xml:space="preserve">a </w:t>
      </w:r>
      <w:r w:rsidR="00667B6F" w:rsidRPr="00B60243">
        <w:t xml:space="preserve">substitution of capital for labour </w:t>
      </w:r>
      <w:r w:rsidR="00695822" w:rsidRPr="00B60243">
        <w:t xml:space="preserve">inputs </w:t>
      </w:r>
      <w:r w:rsidR="00122B8D" w:rsidRPr="00B60243">
        <w:t xml:space="preserve">(since hours worked growth </w:t>
      </w:r>
      <w:r w:rsidR="00283977" w:rsidRPr="00B60243">
        <w:t>was</w:t>
      </w:r>
      <w:r w:rsidR="00122B8D" w:rsidRPr="00B60243">
        <w:t xml:space="preserve"> even stronger). </w:t>
      </w:r>
    </w:p>
    <w:p w:rsidR="00346420" w:rsidRPr="00B60243" w:rsidRDefault="006763B2" w:rsidP="00695822">
      <w:pPr>
        <w:pStyle w:val="BodyText"/>
      </w:pPr>
      <w:r w:rsidRPr="00B60243">
        <w:t xml:space="preserve">Changes in product mix and levels of processing, as discussed </w:t>
      </w:r>
      <w:r w:rsidR="008C0DD6" w:rsidRPr="00B60243">
        <w:t>above</w:t>
      </w:r>
      <w:r w:rsidRPr="00B60243">
        <w:t xml:space="preserve">, </w:t>
      </w:r>
      <w:r w:rsidR="00DD3779" w:rsidRPr="00B60243">
        <w:t>may</w:t>
      </w:r>
      <w:r w:rsidRPr="00B60243">
        <w:t xml:space="preserve"> have required new types of capital and led to a decline in the </w:t>
      </w:r>
      <w:r w:rsidR="00DD3779" w:rsidRPr="00B60243">
        <w:t>utilisation</w:t>
      </w:r>
      <w:r w:rsidRPr="00B60243">
        <w:t xml:space="preserve"> of some of the existing capital stock. </w:t>
      </w:r>
      <w:r w:rsidR="000E6FA0" w:rsidRPr="00B60243">
        <w:t>T</w:t>
      </w:r>
      <w:r w:rsidRPr="00B60243">
        <w:t xml:space="preserve">here may </w:t>
      </w:r>
      <w:r w:rsidR="000E6FA0" w:rsidRPr="00B60243">
        <w:t xml:space="preserve">also </w:t>
      </w:r>
      <w:r w:rsidR="00151602" w:rsidRPr="00B60243">
        <w:t xml:space="preserve">have </w:t>
      </w:r>
      <w:r w:rsidRPr="00B60243">
        <w:t>be</w:t>
      </w:r>
      <w:r w:rsidR="00151602" w:rsidRPr="00B60243">
        <w:t>en</w:t>
      </w:r>
      <w:r w:rsidRPr="00B60243">
        <w:t xml:space="preserve"> an adjustment period before some investment </w:t>
      </w:r>
      <w:r w:rsidR="008555A0" w:rsidRPr="00B60243">
        <w:t>(</w:t>
      </w:r>
      <w:r w:rsidRPr="00B60243">
        <w:t>in response to increased competition and input costs</w:t>
      </w:r>
      <w:r w:rsidR="008555A0" w:rsidRPr="00B60243">
        <w:t>)</w:t>
      </w:r>
      <w:r w:rsidRPr="00B60243">
        <w:t xml:space="preserve"> provide</w:t>
      </w:r>
      <w:r w:rsidR="00151602" w:rsidRPr="00B60243">
        <w:t>d</w:t>
      </w:r>
      <w:r w:rsidRPr="00B60243">
        <w:t xml:space="preserve"> benefits in terms of productivity and/or profitability. </w:t>
      </w:r>
    </w:p>
    <w:p w:rsidR="00122B8D" w:rsidRPr="00B60243" w:rsidRDefault="00397683" w:rsidP="00397683">
      <w:pPr>
        <w:pStyle w:val="Heading4"/>
      </w:pPr>
      <w:r w:rsidRPr="00B60243">
        <w:t xml:space="preserve">Most investment </w:t>
      </w:r>
      <w:r w:rsidR="00CB4C2C">
        <w:t>wa</w:t>
      </w:r>
      <w:r w:rsidRPr="00B60243">
        <w:t xml:space="preserve">s in machinery and equipment for Food manufacturing </w:t>
      </w:r>
    </w:p>
    <w:p w:rsidR="0018410C" w:rsidRPr="00B60243" w:rsidRDefault="00C62AF4" w:rsidP="0018410C">
      <w:pPr>
        <w:pStyle w:val="BodyText"/>
        <w:rPr>
          <w:b/>
        </w:rPr>
      </w:pPr>
      <w:r w:rsidRPr="00B60243">
        <w:t xml:space="preserve">The majority of </w:t>
      </w:r>
      <w:proofErr w:type="spellStart"/>
      <w:r w:rsidRPr="00B60243">
        <w:t>FBT</w:t>
      </w:r>
      <w:proofErr w:type="spellEnd"/>
      <w:r w:rsidRPr="00B60243">
        <w:t xml:space="preserve"> </w:t>
      </w:r>
      <w:r w:rsidR="00F00D89" w:rsidRPr="00B60243">
        <w:t xml:space="preserve">investment </w:t>
      </w:r>
      <w:r w:rsidR="00CB4C2C">
        <w:t>wa</w:t>
      </w:r>
      <w:r w:rsidR="00F00D89" w:rsidRPr="00B60243">
        <w:t>s in machinery and equipment (</w:t>
      </w:r>
      <w:proofErr w:type="spellStart"/>
      <w:r w:rsidR="00F00D89" w:rsidRPr="00B60243">
        <w:t>M&amp;E</w:t>
      </w:r>
      <w:proofErr w:type="spellEnd"/>
      <w:r w:rsidR="00F00D89" w:rsidRPr="00B60243">
        <w:t xml:space="preserve">) </w:t>
      </w:r>
      <w:r w:rsidR="002764D2" w:rsidRPr="00B60243">
        <w:t xml:space="preserve">— </w:t>
      </w:r>
      <w:r w:rsidR="00F00D89" w:rsidRPr="00B60243">
        <w:t>around two</w:t>
      </w:r>
      <w:r w:rsidR="00E36E7F">
        <w:noBreakHyphen/>
      </w:r>
      <w:r w:rsidR="00F00D89" w:rsidRPr="00B60243">
        <w:t xml:space="preserve">thirds on average in both cycles 3 and 4 (figure </w:t>
      </w:r>
      <w:r w:rsidR="00B072C2" w:rsidRPr="00B60243">
        <w:t>5.21</w:t>
      </w:r>
      <w:r w:rsidR="00F00D89" w:rsidRPr="00B60243">
        <w:t xml:space="preserve">). </w:t>
      </w:r>
      <w:proofErr w:type="spellStart"/>
      <w:r w:rsidR="00DE3FAF" w:rsidRPr="00B60243">
        <w:t>M&amp;E</w:t>
      </w:r>
      <w:proofErr w:type="spellEnd"/>
      <w:r w:rsidR="002764D2" w:rsidRPr="00B60243">
        <w:t xml:space="preserve"> also account</w:t>
      </w:r>
      <w:r w:rsidR="0079307D" w:rsidRPr="00B60243">
        <w:t>ed</w:t>
      </w:r>
      <w:r w:rsidR="002764D2" w:rsidRPr="00B60243">
        <w:t xml:space="preserve"> for the majority of investment</w:t>
      </w:r>
      <w:r w:rsidR="00DE3FAF" w:rsidRPr="00B60243">
        <w:t xml:space="preserve"> growth</w:t>
      </w:r>
      <w:r w:rsidR="00E668C3" w:rsidRPr="00B60243">
        <w:t xml:space="preserve">, although there </w:t>
      </w:r>
      <w:r w:rsidR="000E6FA0" w:rsidRPr="00B60243">
        <w:t>wa</w:t>
      </w:r>
      <w:r w:rsidR="00E668C3" w:rsidRPr="00B60243">
        <w:t>s growth in all</w:t>
      </w:r>
      <w:r w:rsidR="00544139" w:rsidRPr="00B60243">
        <w:t xml:space="preserve"> </w:t>
      </w:r>
      <w:r w:rsidR="0079307D" w:rsidRPr="00B60243">
        <w:t xml:space="preserve">asset </w:t>
      </w:r>
      <w:r w:rsidR="00E668C3" w:rsidRPr="00B60243">
        <w:t>types.</w:t>
      </w:r>
      <w:r w:rsidR="00DE3FAF" w:rsidRPr="00B60243">
        <w:t xml:space="preserve"> </w:t>
      </w:r>
      <w:r w:rsidR="00E668C3" w:rsidRPr="00B60243">
        <w:t>Non</w:t>
      </w:r>
      <w:r w:rsidR="00E36E7F">
        <w:noBreakHyphen/>
      </w:r>
      <w:r w:rsidR="00E668C3" w:rsidRPr="00B60243">
        <w:t>dwelling construction (</w:t>
      </w:r>
      <w:proofErr w:type="spellStart"/>
      <w:r w:rsidR="00E668C3" w:rsidRPr="00B60243">
        <w:t>NDC</w:t>
      </w:r>
      <w:proofErr w:type="spellEnd"/>
      <w:r w:rsidR="00E668C3" w:rsidRPr="00B60243">
        <w:t xml:space="preserve">) </w:t>
      </w:r>
      <w:r w:rsidR="000E6FA0" w:rsidRPr="00B60243">
        <w:t>wa</w:t>
      </w:r>
      <w:r w:rsidR="00E668C3" w:rsidRPr="00B60243">
        <w:t>s relatively volatile, but t</w:t>
      </w:r>
      <w:r w:rsidR="00DE3FAF" w:rsidRPr="00B60243">
        <w:t xml:space="preserve">here </w:t>
      </w:r>
      <w:r w:rsidR="000E6FA0" w:rsidRPr="00B60243">
        <w:t>wa</w:t>
      </w:r>
      <w:r w:rsidR="00DE3FAF" w:rsidRPr="00B60243">
        <w:t xml:space="preserve">s steady growth in </w:t>
      </w:r>
      <w:r w:rsidR="00E668C3" w:rsidRPr="00B60243">
        <w:t xml:space="preserve">software and </w:t>
      </w:r>
      <w:r w:rsidR="00DE3FAF" w:rsidRPr="00B60243">
        <w:t>R&amp;D</w:t>
      </w:r>
      <w:r w:rsidR="00E668C3" w:rsidRPr="00B60243">
        <w:t>. R&amp;D intensity also gr</w:t>
      </w:r>
      <w:r w:rsidR="0079307D" w:rsidRPr="00B60243">
        <w:t>ew</w:t>
      </w:r>
      <w:r w:rsidR="000E6590" w:rsidRPr="00B60243">
        <w:t xml:space="preserve"> — </w:t>
      </w:r>
      <w:r w:rsidR="0079307D" w:rsidRPr="00B60243">
        <w:t xml:space="preserve">at </w:t>
      </w:r>
      <w:r w:rsidR="000E6590" w:rsidRPr="00B60243">
        <w:t>a faster rate over the last two complete productivity cycles than in</w:t>
      </w:r>
      <w:r w:rsidR="00544139" w:rsidRPr="00B60243">
        <w:t xml:space="preserve"> the</w:t>
      </w:r>
      <w:r w:rsidR="000E6590" w:rsidRPr="00B60243">
        <w:t xml:space="preserve"> previous decade</w:t>
      </w:r>
      <w:r w:rsidR="00BA5E81" w:rsidRPr="00B60243">
        <w:t xml:space="preserve"> </w:t>
      </w:r>
      <w:r w:rsidR="00E668C3" w:rsidRPr="00B60243">
        <w:t>(</w:t>
      </w:r>
      <w:r w:rsidR="000E6590" w:rsidRPr="00B60243">
        <w:t>figure</w:t>
      </w:r>
      <w:r w:rsidR="00CB4C2C">
        <w:t> </w:t>
      </w:r>
      <w:r w:rsidR="00B072C2" w:rsidRPr="00B60243">
        <w:t>5.22</w:t>
      </w:r>
      <w:r w:rsidR="00E668C3" w:rsidRPr="00B60243">
        <w:t>).</w:t>
      </w:r>
    </w:p>
    <w:p w:rsidR="003043F3" w:rsidRPr="00B60243" w:rsidRDefault="003043F3" w:rsidP="003043F3">
      <w:pPr>
        <w:pStyle w:val="BodyText"/>
      </w:pPr>
      <w:bookmarkStart w:id="32" w:name="OLE_LINK32"/>
      <w:r w:rsidRPr="00B60243">
        <w:t xml:space="preserve">Food manufacturing accounted for the majority of the investment and the growth in investment in both </w:t>
      </w:r>
      <w:proofErr w:type="spellStart"/>
      <w:r w:rsidRPr="00B60243">
        <w:t>M&amp;E</w:t>
      </w:r>
      <w:proofErr w:type="spellEnd"/>
      <w:r w:rsidRPr="00B60243">
        <w:t xml:space="preserve"> and </w:t>
      </w:r>
      <w:proofErr w:type="spellStart"/>
      <w:r w:rsidRPr="00B60243">
        <w:t>NDC</w:t>
      </w:r>
      <w:proofErr w:type="spellEnd"/>
      <w:r w:rsidRPr="00B60243">
        <w:t xml:space="preserve"> (figure 5.23). On average over cycle 3 and 4 this subdivision accounted for around 70 per cent of </w:t>
      </w:r>
      <w:proofErr w:type="spellStart"/>
      <w:r w:rsidRPr="00B60243">
        <w:t>M&amp;E</w:t>
      </w:r>
      <w:proofErr w:type="spellEnd"/>
      <w:r w:rsidRPr="00B60243">
        <w:t xml:space="preserve"> and 80 per cent of </w:t>
      </w:r>
      <w:proofErr w:type="spellStart"/>
      <w:r w:rsidR="008E7D37">
        <w:t>NDC</w:t>
      </w:r>
      <w:proofErr w:type="spellEnd"/>
      <w:r w:rsidRPr="00B60243">
        <w:t xml:space="preserve"> investment.</w:t>
      </w:r>
      <w:r w:rsidRPr="00B60243">
        <w:rPr>
          <w:rStyle w:val="FootnoteReference"/>
        </w:rPr>
        <w:footnoteReference w:id="24"/>
      </w:r>
      <w:r w:rsidRPr="00B60243">
        <w:t xml:space="preserve"> </w:t>
      </w:r>
    </w:p>
    <w:bookmarkEnd w:id="32"/>
    <w:p w:rsidR="00F00D89" w:rsidRPr="00B60243" w:rsidRDefault="00F00D89" w:rsidP="00F00D89">
      <w:pPr>
        <w:pStyle w:val="FigureTitle"/>
      </w:pPr>
      <w:r w:rsidRPr="00B60243">
        <w:rPr>
          <w:b w:val="0"/>
        </w:rPr>
        <w:lastRenderedPageBreak/>
        <w:t xml:space="preserve">Figure </w:t>
      </w:r>
      <w:bookmarkStart w:id="33" w:name="OLE_LINK31"/>
      <w:r w:rsidR="00B072C2" w:rsidRPr="00B60243">
        <w:rPr>
          <w:b w:val="0"/>
        </w:rPr>
        <w:t>5.</w:t>
      </w:r>
      <w:r w:rsidR="002E061A">
        <w:rPr>
          <w:b w:val="0"/>
          <w:noProof/>
        </w:rPr>
        <w:t>21</w:t>
      </w:r>
      <w:bookmarkEnd w:id="33"/>
      <w:r w:rsidRPr="00B60243">
        <w:tab/>
      </w:r>
      <w:proofErr w:type="spellStart"/>
      <w:r w:rsidRPr="00B60243">
        <w:t>FBT</w:t>
      </w:r>
      <w:proofErr w:type="spellEnd"/>
      <w:r w:rsidRPr="00B60243">
        <w:t xml:space="preserve"> </w:t>
      </w:r>
      <w:r w:rsidR="004402FA" w:rsidRPr="00B60243">
        <w:t xml:space="preserve">gross fixed capital formation </w:t>
      </w:r>
      <w:r w:rsidRPr="00B60243">
        <w:t>by asset type</w:t>
      </w:r>
      <w:r w:rsidR="008B5B21" w:rsidRPr="00B60243">
        <w:rPr>
          <w:rStyle w:val="NoteLabel"/>
          <w:b/>
        </w:rPr>
        <w:t>a</w:t>
      </w:r>
    </w:p>
    <w:p w:rsidR="00F00D89" w:rsidRPr="00B60243" w:rsidRDefault="00F00D89" w:rsidP="00F00D89">
      <w:pPr>
        <w:pStyle w:val="Subtitle"/>
      </w:pPr>
      <w:r w:rsidRPr="00B60243">
        <w:t>2009</w:t>
      </w:r>
      <w:r w:rsidR="00E36E7F">
        <w:noBreakHyphen/>
      </w:r>
      <w:r w:rsidRPr="00B60243">
        <w:t>10</w:t>
      </w:r>
      <w:r w:rsidR="00E52BAB" w:rsidRPr="00B60243">
        <w:t xml:space="preserve"> </w:t>
      </w:r>
      <w:r w:rsidRPr="00B60243">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00D89" w:rsidRPr="00B60243" w:rsidTr="00F00D89">
        <w:tc>
          <w:tcPr>
            <w:tcW w:w="8777" w:type="dxa"/>
          </w:tcPr>
          <w:p w:rsidR="00F00D89" w:rsidRPr="00B60243" w:rsidRDefault="00E406E7" w:rsidP="0084492B">
            <w:pPr>
              <w:pStyle w:val="Figure"/>
            </w:pPr>
            <w:r>
              <w:pict>
                <v:shape id="_x0000_i1054" type="#_x0000_t75" alt="This figure shows that in both cycles 3 and 4 the majority of FBT investment is in machinery and equipment (M&amp;E) (on average around two-thirds). M&amp;E also accounts for the majority of investment growth, although there is growth in all types of investment. Non-dwelling construction (NDC) is relatively volatile, but there is steady growth in software and R&amp;D. " style="width:424.45pt;height:198.4pt;mso-position-vertical:absolute">
                  <v:imagedata r:id="rId39" o:title=""/>
                </v:shape>
              </w:pict>
            </w:r>
          </w:p>
        </w:tc>
      </w:tr>
    </w:tbl>
    <w:p w:rsidR="00B00F7A" w:rsidRDefault="00B00F7A" w:rsidP="00B00F7A">
      <w:pPr>
        <w:pStyle w:val="Note"/>
        <w:rPr>
          <w:i/>
        </w:rPr>
      </w:pPr>
      <w:r>
        <w:rPr>
          <w:rStyle w:val="NoteLabel"/>
        </w:rPr>
        <w:t>a</w:t>
      </w:r>
      <w:r>
        <w:t xml:space="preserve"> The estimation of capital services for each subsector of Manufacturing (as discussed in chapter 3), involved apportioning Manufacturing investment (gross fixed capital formation from the ABS National Accounts) across the different subsectors. This allowed for the construction of a time series for </w:t>
      </w:r>
      <w:proofErr w:type="spellStart"/>
      <w:r>
        <w:t>FBT</w:t>
      </w:r>
      <w:proofErr w:type="spellEnd"/>
      <w:r>
        <w:t xml:space="preserve"> investment in different capital asset types (see appendix A for details).</w:t>
      </w:r>
    </w:p>
    <w:p w:rsidR="00F00D89" w:rsidRPr="00B60243" w:rsidRDefault="00F00D89" w:rsidP="0079307D">
      <w:pPr>
        <w:pStyle w:val="Source"/>
        <w:spacing w:after="0"/>
      </w:pPr>
      <w:r w:rsidRPr="00B60243">
        <w:rPr>
          <w:i/>
        </w:rPr>
        <w:t>Data source</w:t>
      </w:r>
      <w:r w:rsidR="00F76F25" w:rsidRPr="00B60243">
        <w:rPr>
          <w:i/>
        </w:rPr>
        <w:t>s</w:t>
      </w:r>
      <w:r w:rsidRPr="00B60243">
        <w:t>: Authors’ estimates</w:t>
      </w:r>
      <w:r w:rsidR="00622DC9" w:rsidRPr="00B60243">
        <w:t xml:space="preserve"> based on ABS (</w:t>
      </w:r>
      <w:r w:rsidR="00622DC9" w:rsidRPr="00B60243">
        <w:rPr>
          <w:i/>
        </w:rPr>
        <w:t>Australian System of National Accounts, 2010</w:t>
      </w:r>
      <w:r w:rsidR="00E36E7F">
        <w:rPr>
          <w:i/>
        </w:rPr>
        <w:noBreakHyphen/>
      </w:r>
      <w:r w:rsidR="00622DC9" w:rsidRPr="00B60243">
        <w:rPr>
          <w:i/>
        </w:rPr>
        <w:t>11</w:t>
      </w:r>
      <w:r w:rsidR="00622DC9" w:rsidRPr="00B60243">
        <w:t>, Cat.</w:t>
      </w:r>
      <w:r w:rsidR="0093728A">
        <w:t> </w:t>
      </w:r>
      <w:r w:rsidR="00622DC9" w:rsidRPr="00B60243">
        <w:t>no.</w:t>
      </w:r>
      <w:r w:rsidR="0093728A">
        <w:t> </w:t>
      </w:r>
      <w:r w:rsidR="00622DC9" w:rsidRPr="00B60243">
        <w:t>5204.0); and ABS (unpublished Survey o</w:t>
      </w:r>
      <w:r w:rsidR="00F63EED" w:rsidRPr="00B60243">
        <w:t>f</w:t>
      </w:r>
      <w:r w:rsidR="00622DC9" w:rsidRPr="00B60243">
        <w:t xml:space="preserve"> New Capital Expenditure data)</w:t>
      </w:r>
      <w:r w:rsidRPr="00B60243">
        <w:t>.</w:t>
      </w:r>
    </w:p>
    <w:p w:rsidR="00C74393" w:rsidRPr="00B60243" w:rsidRDefault="00C74393" w:rsidP="0084492B">
      <w:pPr>
        <w:pStyle w:val="FigureTitle"/>
        <w:spacing w:before="480"/>
      </w:pPr>
      <w:r w:rsidRPr="00B60243">
        <w:rPr>
          <w:b w:val="0"/>
        </w:rPr>
        <w:t xml:space="preserve">Figure </w:t>
      </w:r>
      <w:bookmarkStart w:id="34" w:name="OLE_LINK8"/>
      <w:r w:rsidR="00B072C2" w:rsidRPr="00B60243">
        <w:rPr>
          <w:b w:val="0"/>
        </w:rPr>
        <w:t>5.</w:t>
      </w:r>
      <w:r w:rsidR="002E061A">
        <w:rPr>
          <w:b w:val="0"/>
          <w:noProof/>
        </w:rPr>
        <w:t>22</w:t>
      </w:r>
      <w:bookmarkEnd w:id="34"/>
      <w:r w:rsidRPr="00B60243">
        <w:tab/>
        <w:t>R&amp;D intensity</w:t>
      </w:r>
      <w:r w:rsidR="00585184" w:rsidRPr="00B60243">
        <w:rPr>
          <w:rStyle w:val="NoteLabel"/>
          <w:b/>
        </w:rPr>
        <w:t>a</w:t>
      </w:r>
      <w:r w:rsidRPr="00B60243">
        <w:t xml:space="preserve"> </w:t>
      </w:r>
      <w:r w:rsidR="00585184" w:rsidRPr="00B60243">
        <w:t>for</w:t>
      </w:r>
      <w:r w:rsidRPr="00B60243">
        <w:t xml:space="preserve"> </w:t>
      </w:r>
      <w:proofErr w:type="spellStart"/>
      <w:r w:rsidRPr="00B60243">
        <w:t>FBT</w:t>
      </w:r>
      <w:proofErr w:type="spellEnd"/>
    </w:p>
    <w:p w:rsidR="00C74393" w:rsidRPr="00B60243" w:rsidRDefault="00C74393" w:rsidP="00C74393">
      <w:pPr>
        <w:pStyle w:val="Subtitle"/>
      </w:pPr>
      <w:r w:rsidRPr="00B60243">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74393" w:rsidRPr="00B60243" w:rsidTr="0071471E">
        <w:tc>
          <w:tcPr>
            <w:tcW w:w="8777" w:type="dxa"/>
          </w:tcPr>
          <w:p w:rsidR="00C74393" w:rsidRPr="00B60243" w:rsidRDefault="00E406E7" w:rsidP="0084492B">
            <w:pPr>
              <w:pStyle w:val="Figure"/>
            </w:pPr>
            <w:r>
              <w:pict>
                <v:shape id="_x0000_i1055" type="#_x0000_t75" alt="This figure shows that R&amp;D intensity has grown between 1988-89 to 2010-11, with a faster rate of growth over the last two complete productivity cycles than in the previous decade." style="width:424.45pt;height:199.25pt;mso-position-vertical:absolute">
                  <v:imagedata r:id="rId40" o:title=""/>
                </v:shape>
              </w:pict>
            </w:r>
          </w:p>
        </w:tc>
      </w:tr>
    </w:tbl>
    <w:p w:rsidR="00C74393" w:rsidRPr="00B60243" w:rsidRDefault="00C74393" w:rsidP="00C74393">
      <w:pPr>
        <w:pStyle w:val="Note"/>
      </w:pPr>
      <w:r w:rsidRPr="00B60243">
        <w:rPr>
          <w:rStyle w:val="NoteLabel"/>
        </w:rPr>
        <w:t>a</w:t>
      </w:r>
      <w:r w:rsidRPr="00B60243">
        <w:t xml:space="preserve"> </w:t>
      </w:r>
      <w:r w:rsidR="00585184" w:rsidRPr="00B60243">
        <w:t>T</w:t>
      </w:r>
      <w:r w:rsidRPr="00B60243">
        <w:t xml:space="preserve">otal R&amp;D expenditure (current and capital expenditure) </w:t>
      </w:r>
      <w:r w:rsidR="00585184" w:rsidRPr="00B60243">
        <w:t>as a percentage of</w:t>
      </w:r>
      <w:r w:rsidRPr="00B60243">
        <w:t xml:space="preserve"> industry value added.</w:t>
      </w:r>
    </w:p>
    <w:p w:rsidR="00C74393" w:rsidRPr="00B60243" w:rsidRDefault="00C74393" w:rsidP="00965C3C">
      <w:pPr>
        <w:pStyle w:val="Note"/>
      </w:pPr>
      <w:r w:rsidRPr="00B60243">
        <w:rPr>
          <w:i/>
        </w:rPr>
        <w:t>Data source</w:t>
      </w:r>
      <w:r w:rsidR="005C2019" w:rsidRPr="00B60243">
        <w:rPr>
          <w:i/>
        </w:rPr>
        <w:t>s</w:t>
      </w:r>
      <w:r w:rsidRPr="00B60243">
        <w:t xml:space="preserve">: </w:t>
      </w:r>
      <w:r w:rsidR="00BC2523" w:rsidRPr="00B60243">
        <w:t>Authors’ estimates based on</w:t>
      </w:r>
      <w:r w:rsidRPr="00B60243">
        <w:t xml:space="preserve"> ABS (</w:t>
      </w:r>
      <w:r w:rsidR="00965C3C" w:rsidRPr="00B60243">
        <w:rPr>
          <w:i/>
          <w:shd w:val="clear" w:color="auto" w:fill="FFFFFF"/>
        </w:rPr>
        <w:t>Research and Experimental Development, Businesses, Australia</w:t>
      </w:r>
      <w:r w:rsidR="00965C3C" w:rsidRPr="00B60243">
        <w:t xml:space="preserve">, </w:t>
      </w:r>
      <w:r w:rsidRPr="00B60243">
        <w:t>Cat. no</w:t>
      </w:r>
      <w:r w:rsidR="00965C3C" w:rsidRPr="00B60243">
        <w:t>.</w:t>
      </w:r>
      <w:r w:rsidRPr="00B60243">
        <w:t xml:space="preserve"> 8104.0</w:t>
      </w:r>
      <w:r w:rsidR="00965C3C" w:rsidRPr="00B60243">
        <w:t>)</w:t>
      </w:r>
      <w:r w:rsidR="00BC2523" w:rsidRPr="00B60243">
        <w:t>;</w:t>
      </w:r>
      <w:r w:rsidRPr="00B60243">
        <w:t xml:space="preserve"> </w:t>
      </w:r>
      <w:r w:rsidR="00965C3C" w:rsidRPr="00B60243">
        <w:t>ABS (</w:t>
      </w:r>
      <w:r w:rsidR="00965C3C" w:rsidRPr="00B60243">
        <w:rPr>
          <w:i/>
        </w:rPr>
        <w:t>Manufacturing Industry Australia</w:t>
      </w:r>
      <w:r w:rsidR="00965C3C" w:rsidRPr="00B60243">
        <w:t xml:space="preserve">, </w:t>
      </w:r>
      <w:r w:rsidR="00BC2523" w:rsidRPr="00B60243">
        <w:t xml:space="preserve">various issues, </w:t>
      </w:r>
      <w:r w:rsidR="00965C3C" w:rsidRPr="00B60243">
        <w:t>Cat. no. 8221.0</w:t>
      </w:r>
      <w:r w:rsidR="00BC2523" w:rsidRPr="00B60243">
        <w:t>)</w:t>
      </w:r>
      <w:r w:rsidR="00965C3C" w:rsidRPr="00B60243">
        <w:t xml:space="preserve">; </w:t>
      </w:r>
      <w:r w:rsidR="00BC2523" w:rsidRPr="00B60243">
        <w:t>and ABS</w:t>
      </w:r>
      <w:r w:rsidR="0096271B" w:rsidRPr="00B60243">
        <w:t> </w:t>
      </w:r>
      <w:r w:rsidR="00BC2523" w:rsidRPr="00B60243">
        <w:t>(</w:t>
      </w:r>
      <w:r w:rsidR="00965C3C" w:rsidRPr="00B60243">
        <w:rPr>
          <w:i/>
        </w:rPr>
        <w:t>Australian Industry</w:t>
      </w:r>
      <w:r w:rsidR="00965C3C" w:rsidRPr="00B60243">
        <w:t xml:space="preserve">, </w:t>
      </w:r>
      <w:r w:rsidR="00BC2523" w:rsidRPr="00B60243">
        <w:t xml:space="preserve">various issues, </w:t>
      </w:r>
      <w:r w:rsidR="00965C3C" w:rsidRPr="00B60243">
        <w:t>Cat. no. 8155.0</w:t>
      </w:r>
      <w:r w:rsidRPr="00B60243">
        <w:t>).</w:t>
      </w:r>
    </w:p>
    <w:p w:rsidR="00F52CF4" w:rsidRPr="00B60243" w:rsidRDefault="00F52CF4" w:rsidP="00F52CF4">
      <w:pPr>
        <w:pStyle w:val="FigureTitle"/>
      </w:pPr>
      <w:r w:rsidRPr="00B60243">
        <w:rPr>
          <w:b w:val="0"/>
        </w:rPr>
        <w:lastRenderedPageBreak/>
        <w:t xml:space="preserve">Figure </w:t>
      </w:r>
      <w:bookmarkStart w:id="35" w:name="OLE_LINK33"/>
      <w:r w:rsidR="00B072C2" w:rsidRPr="00B60243">
        <w:rPr>
          <w:b w:val="0"/>
        </w:rPr>
        <w:t>5.</w:t>
      </w:r>
      <w:r w:rsidR="002E061A">
        <w:rPr>
          <w:b w:val="0"/>
          <w:noProof/>
        </w:rPr>
        <w:t>23</w:t>
      </w:r>
      <w:bookmarkEnd w:id="35"/>
      <w:r w:rsidRPr="00B60243">
        <w:tab/>
      </w:r>
      <w:proofErr w:type="spellStart"/>
      <w:r w:rsidRPr="00B60243">
        <w:t>FBT</w:t>
      </w:r>
      <w:proofErr w:type="spellEnd"/>
      <w:r w:rsidRPr="00B60243">
        <w:t xml:space="preserve"> </w:t>
      </w:r>
      <w:r w:rsidR="007B0BF1" w:rsidRPr="00B60243">
        <w:t>gross fixed capital formation</w:t>
      </w:r>
      <w:r w:rsidRPr="00B60243">
        <w:t xml:space="preserve"> by subdivision</w:t>
      </w:r>
      <w:r w:rsidR="00F26056" w:rsidRPr="00B60243">
        <w:t xml:space="preserve"> and asset type</w:t>
      </w:r>
      <w:r w:rsidR="009B5CF1" w:rsidRPr="00B60243">
        <w:rPr>
          <w:rStyle w:val="NoteLabel"/>
          <w:b/>
        </w:rPr>
        <w:t>a</w:t>
      </w:r>
    </w:p>
    <w:p w:rsidR="00F52CF4" w:rsidRPr="00B60243" w:rsidRDefault="00F52CF4" w:rsidP="00F52CF4">
      <w:pPr>
        <w:pStyle w:val="Subtitle"/>
      </w:pPr>
      <w:r w:rsidRPr="00B60243">
        <w:t>2009</w:t>
      </w:r>
      <w:r w:rsidR="00E36E7F">
        <w:noBreakHyphen/>
      </w:r>
      <w:r w:rsidRPr="00B60243">
        <w:t>10</w:t>
      </w:r>
      <w:r w:rsidR="00BA126A" w:rsidRPr="00B60243">
        <w:t xml:space="preserve"> </w:t>
      </w:r>
      <w:r w:rsidRPr="00B60243">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D3114" w:rsidRPr="00B60243" w:rsidTr="00162B15">
        <w:tc>
          <w:tcPr>
            <w:tcW w:w="8777" w:type="dxa"/>
          </w:tcPr>
          <w:p w:rsidR="000D3114" w:rsidRPr="000D3114" w:rsidRDefault="000D3114" w:rsidP="00CC7B9D">
            <w:pPr>
              <w:pStyle w:val="Figure"/>
              <w:spacing w:before="80" w:after="0"/>
              <w:rPr>
                <w:i/>
                <w:sz w:val="22"/>
                <w:szCs w:val="22"/>
              </w:rPr>
            </w:pPr>
            <w:r w:rsidRPr="000D3114">
              <w:rPr>
                <w:i/>
                <w:sz w:val="22"/>
                <w:szCs w:val="22"/>
              </w:rPr>
              <w:t>Machinery &amp; equipment</w:t>
            </w:r>
          </w:p>
        </w:tc>
      </w:tr>
      <w:tr w:rsidR="00162B15" w:rsidRPr="00B60243" w:rsidTr="00162B15">
        <w:tc>
          <w:tcPr>
            <w:tcW w:w="8777" w:type="dxa"/>
          </w:tcPr>
          <w:p w:rsidR="00D97F31" w:rsidRPr="00B60243" w:rsidRDefault="00E406E7" w:rsidP="000E194B">
            <w:pPr>
              <w:pStyle w:val="Figure"/>
              <w:spacing w:before="0" w:after="0"/>
              <w:rPr>
                <w:szCs w:val="24"/>
              </w:rPr>
            </w:pPr>
            <w:r>
              <w:rPr>
                <w:szCs w:val="24"/>
              </w:rPr>
              <w:pict>
                <v:shape id="_x0000_i1056" type="#_x0000_t75" alt="This figure comprises of two charts, which show that Food manufacturing accounted for the majority of the investment and for growth in investment in both M&amp;E and NDC. On average over cycle 3 and 4 it was around 70 per cent of M&amp;E and 80 per cent of non-dwelling construction investment." style="width:424.45pt;height:198.4pt">
                  <v:imagedata r:id="rId41" o:title=""/>
                </v:shape>
              </w:pict>
            </w:r>
          </w:p>
        </w:tc>
      </w:tr>
      <w:tr w:rsidR="003867B1" w:rsidRPr="003867B1" w:rsidTr="00162B15">
        <w:tc>
          <w:tcPr>
            <w:tcW w:w="8777" w:type="dxa"/>
          </w:tcPr>
          <w:p w:rsidR="003867B1" w:rsidRPr="003867B1" w:rsidRDefault="003867B1" w:rsidP="003867B1">
            <w:pPr>
              <w:pStyle w:val="Figure"/>
              <w:spacing w:before="80" w:after="0"/>
              <w:rPr>
                <w:sz w:val="22"/>
                <w:szCs w:val="22"/>
              </w:rPr>
            </w:pPr>
            <w:r w:rsidRPr="003867B1">
              <w:rPr>
                <w:i/>
                <w:sz w:val="22"/>
                <w:szCs w:val="22"/>
              </w:rPr>
              <w:t>Non</w:t>
            </w:r>
            <w:r w:rsidR="00E36E7F">
              <w:rPr>
                <w:i/>
                <w:sz w:val="22"/>
                <w:szCs w:val="22"/>
              </w:rPr>
              <w:noBreakHyphen/>
            </w:r>
            <w:r w:rsidRPr="003867B1">
              <w:rPr>
                <w:i/>
                <w:sz w:val="22"/>
                <w:szCs w:val="22"/>
              </w:rPr>
              <w:t>dwelling construction</w:t>
            </w:r>
          </w:p>
        </w:tc>
      </w:tr>
      <w:tr w:rsidR="00162B15" w:rsidRPr="00B60243" w:rsidTr="00162B15">
        <w:tc>
          <w:tcPr>
            <w:tcW w:w="8777" w:type="dxa"/>
            <w:tcBorders>
              <w:bottom w:val="single" w:sz="6" w:space="0" w:color="auto"/>
            </w:tcBorders>
          </w:tcPr>
          <w:p w:rsidR="00D97F31" w:rsidRPr="00B60243" w:rsidRDefault="00E406E7" w:rsidP="001D2D55">
            <w:pPr>
              <w:pStyle w:val="Figure"/>
              <w:spacing w:before="0" w:after="0"/>
              <w:rPr>
                <w:szCs w:val="24"/>
              </w:rPr>
            </w:pPr>
            <w:r>
              <w:pict>
                <v:shape id="_x0000_i1057" type="#_x0000_t75" alt="This figure comprises of two charts, which show that Food manufacturing accounted for the majority of the investment and for growth in investment in both M&amp;E and NDC. On average over cycle 3 and 4 it was around 70 per cent of M&amp;E and 80 per cent of non-dwelling construction investment." style="width:424.45pt;height:211.8pt">
                  <v:imagedata r:id="rId42" o:title=""/>
                </v:shape>
              </w:pict>
            </w:r>
          </w:p>
        </w:tc>
      </w:tr>
    </w:tbl>
    <w:p w:rsidR="00F76F25" w:rsidRPr="00B60243" w:rsidRDefault="00F76F25" w:rsidP="00F76F25">
      <w:pPr>
        <w:pStyle w:val="Source"/>
        <w:spacing w:after="0"/>
      </w:pPr>
      <w:r w:rsidRPr="00B60243">
        <w:rPr>
          <w:i/>
        </w:rPr>
        <w:t>Data sources</w:t>
      </w:r>
      <w:r w:rsidRPr="00B60243">
        <w:t>: Authors’ estimates based on ABS (</w:t>
      </w:r>
      <w:r w:rsidRPr="00B60243">
        <w:rPr>
          <w:i/>
        </w:rPr>
        <w:t>Australian System of National Accounts, 2010</w:t>
      </w:r>
      <w:r w:rsidR="00E36E7F">
        <w:rPr>
          <w:i/>
        </w:rPr>
        <w:noBreakHyphen/>
      </w:r>
      <w:r w:rsidRPr="00B60243">
        <w:rPr>
          <w:i/>
        </w:rPr>
        <w:t>11</w:t>
      </w:r>
      <w:r w:rsidRPr="00B60243">
        <w:t>, Cat.</w:t>
      </w:r>
      <w:r w:rsidR="0093728A">
        <w:t> </w:t>
      </w:r>
      <w:r w:rsidRPr="00B60243">
        <w:t>no.</w:t>
      </w:r>
      <w:r w:rsidR="0093728A">
        <w:t> </w:t>
      </w:r>
      <w:r w:rsidRPr="00B60243">
        <w:t>5204.0); and ABS (unpublished Survey o</w:t>
      </w:r>
      <w:r w:rsidR="00F63EED" w:rsidRPr="00B60243">
        <w:t>f</w:t>
      </w:r>
      <w:r w:rsidRPr="00B60243">
        <w:t xml:space="preserve"> New Capital Expenditure data).</w:t>
      </w:r>
    </w:p>
    <w:p w:rsidR="00AD45E4" w:rsidRPr="00B60243" w:rsidRDefault="00C404AD" w:rsidP="000E6FA0">
      <w:pPr>
        <w:pStyle w:val="Heading4"/>
      </w:pPr>
      <w:r w:rsidRPr="00B60243">
        <w:t>New products and processes require different capital</w:t>
      </w:r>
    </w:p>
    <w:p w:rsidR="00B11E89" w:rsidRPr="00B60243" w:rsidRDefault="00375F74" w:rsidP="00711950">
      <w:pPr>
        <w:pStyle w:val="BodyText"/>
        <w:spacing w:before="120"/>
      </w:pPr>
      <w:r w:rsidRPr="00B60243">
        <w:t xml:space="preserve">There has been steady growth </w:t>
      </w:r>
      <w:r w:rsidR="000E6FA0" w:rsidRPr="00B60243">
        <w:t xml:space="preserve">in capital in </w:t>
      </w:r>
      <w:proofErr w:type="spellStart"/>
      <w:r w:rsidR="000E6FA0" w:rsidRPr="00B60243">
        <w:t>FBT</w:t>
      </w:r>
      <w:proofErr w:type="spellEnd"/>
      <w:r w:rsidR="000E6FA0" w:rsidRPr="00B60243">
        <w:t xml:space="preserve"> for some time</w:t>
      </w:r>
      <w:r w:rsidRPr="00B60243">
        <w:t xml:space="preserve"> but</w:t>
      </w:r>
      <w:r w:rsidR="000E6FA0" w:rsidRPr="00B60243">
        <w:t>,</w:t>
      </w:r>
      <w:r w:rsidRPr="00B60243">
        <w:t xml:space="preserve"> more recently</w:t>
      </w:r>
      <w:r w:rsidR="000E6FA0" w:rsidRPr="00B60243">
        <w:t>,</w:t>
      </w:r>
      <w:r w:rsidRPr="00B60243">
        <w:t xml:space="preserve"> this has been accompanied by </w:t>
      </w:r>
      <w:r w:rsidR="00EE55E6" w:rsidRPr="00B60243">
        <w:t>low</w:t>
      </w:r>
      <w:r w:rsidRPr="00B60243">
        <w:t xml:space="preserve"> growth in VA in aggregate.</w:t>
      </w:r>
      <w:r w:rsidR="00F6213D" w:rsidRPr="00B60243">
        <w:t xml:space="preserve"> </w:t>
      </w:r>
      <w:r w:rsidRPr="00B60243">
        <w:t xml:space="preserve">Given the diversity of </w:t>
      </w:r>
      <w:proofErr w:type="spellStart"/>
      <w:r w:rsidR="00F6213D" w:rsidRPr="00B60243">
        <w:t>FBT</w:t>
      </w:r>
      <w:proofErr w:type="spellEnd"/>
      <w:r w:rsidR="00F6213D" w:rsidRPr="00B60243">
        <w:t xml:space="preserve"> </w:t>
      </w:r>
      <w:r w:rsidRPr="00B60243">
        <w:t>manufacturing activities and limited data on capital</w:t>
      </w:r>
      <w:r w:rsidR="00E64140" w:rsidRPr="00B60243">
        <w:t xml:space="preserve"> at a disaggregate</w:t>
      </w:r>
      <w:r w:rsidR="000E6FA0" w:rsidRPr="00B60243">
        <w:t>d</w:t>
      </w:r>
      <w:r w:rsidR="00E64140" w:rsidRPr="00B60243">
        <w:t xml:space="preserve"> level</w:t>
      </w:r>
      <w:r w:rsidRPr="00B60243">
        <w:t xml:space="preserve">, a detailed look at </w:t>
      </w:r>
      <w:proofErr w:type="spellStart"/>
      <w:r w:rsidRPr="00B60243">
        <w:t>FBT</w:t>
      </w:r>
      <w:proofErr w:type="spellEnd"/>
      <w:r w:rsidRPr="00B60243">
        <w:t xml:space="preserve"> investment and its drivers is beyond the scope of this paper. </w:t>
      </w:r>
      <w:r w:rsidR="00B11E89" w:rsidRPr="00B60243">
        <w:t xml:space="preserve">Recent studies of </w:t>
      </w:r>
      <w:proofErr w:type="spellStart"/>
      <w:r w:rsidR="00B11E89" w:rsidRPr="00B60243">
        <w:t>FBT</w:t>
      </w:r>
      <w:proofErr w:type="spellEnd"/>
      <w:r w:rsidR="00B11E89" w:rsidRPr="00B60243">
        <w:t xml:space="preserve"> manufacturing </w:t>
      </w:r>
      <w:r w:rsidR="0071471E" w:rsidRPr="00B60243">
        <w:t xml:space="preserve">(box </w:t>
      </w:r>
      <w:r w:rsidR="00B072C2" w:rsidRPr="00B60243">
        <w:t>5.6</w:t>
      </w:r>
      <w:r w:rsidR="0071471E" w:rsidRPr="00B60243">
        <w:t xml:space="preserve">) note that competitive pressures have </w:t>
      </w:r>
      <w:r w:rsidR="0071471E" w:rsidRPr="00B60243">
        <w:lastRenderedPageBreak/>
        <w:t xml:space="preserve">led to </w:t>
      </w:r>
      <w:r w:rsidR="00E64140" w:rsidRPr="00B60243">
        <w:t xml:space="preserve">some </w:t>
      </w:r>
      <w:r w:rsidR="0071471E" w:rsidRPr="00B60243">
        <w:t xml:space="preserve">consolidation/rationalisation of existing capital and </w:t>
      </w:r>
      <w:r w:rsidR="00544139" w:rsidRPr="00B60243">
        <w:t xml:space="preserve">to </w:t>
      </w:r>
      <w:r w:rsidR="0071471E" w:rsidRPr="00B60243">
        <w:t>investment in improved technology. S</w:t>
      </w:r>
      <w:r w:rsidR="00B11E89" w:rsidRPr="00B60243">
        <w:t xml:space="preserve">hifts </w:t>
      </w:r>
      <w:r w:rsidR="001E10AB" w:rsidRPr="00B60243">
        <w:t>in the nature of investment</w:t>
      </w:r>
      <w:r w:rsidR="0071471E" w:rsidRPr="00B60243">
        <w:t xml:space="preserve"> identified include</w:t>
      </w:r>
      <w:r w:rsidR="00B11E89" w:rsidRPr="00B60243">
        <w:t xml:space="preserve">: </w:t>
      </w:r>
    </w:p>
    <w:p w:rsidR="009F11D3" w:rsidRPr="00B60243" w:rsidRDefault="009F11D3" w:rsidP="00D31B3E">
      <w:pPr>
        <w:pStyle w:val="ListBullet"/>
        <w:spacing w:before="100"/>
      </w:pPr>
      <w:r w:rsidRPr="00B60243">
        <w:t xml:space="preserve">more energy efficient </w:t>
      </w:r>
      <w:proofErr w:type="spellStart"/>
      <w:r w:rsidRPr="00B60243">
        <w:t>M&amp;E</w:t>
      </w:r>
      <w:proofErr w:type="spellEnd"/>
      <w:r w:rsidRPr="00B60243">
        <w:t xml:space="preserve"> to reduce operating costs</w:t>
      </w:r>
    </w:p>
    <w:p w:rsidR="009F11D3" w:rsidRPr="00B60243" w:rsidRDefault="009F11D3" w:rsidP="00D31B3E">
      <w:pPr>
        <w:pStyle w:val="ListBullet"/>
        <w:spacing w:before="100"/>
      </w:pPr>
      <w:r w:rsidRPr="00B60243">
        <w:t>more automation, including for packaging</w:t>
      </w:r>
    </w:p>
    <w:p w:rsidR="009F11D3" w:rsidRPr="00B60243" w:rsidRDefault="009F11D3" w:rsidP="00D31B3E">
      <w:pPr>
        <w:pStyle w:val="ListBullet"/>
        <w:spacing w:before="100"/>
      </w:pPr>
      <w:r w:rsidRPr="00B60243">
        <w:t>additional equipment needed for higher levels of processing for growing product groups such as ‘ready to eat’ meals</w:t>
      </w:r>
    </w:p>
    <w:p w:rsidR="001E10AB" w:rsidRPr="00B60243" w:rsidRDefault="00B97BBC" w:rsidP="00D31B3E">
      <w:pPr>
        <w:pStyle w:val="ListBullet"/>
        <w:spacing w:before="100"/>
      </w:pPr>
      <w:r w:rsidRPr="00B60243">
        <w:t>more</w:t>
      </w:r>
      <w:r w:rsidR="00B537AF" w:rsidRPr="00B60243">
        <w:t xml:space="preserve"> divers</w:t>
      </w:r>
      <w:r w:rsidRPr="00B60243">
        <w:t>e</w:t>
      </w:r>
      <w:r w:rsidR="00B537AF" w:rsidRPr="00B60243">
        <w:t xml:space="preserve"> equipment to produce a wider variety of </w:t>
      </w:r>
      <w:r w:rsidR="00EA03E3" w:rsidRPr="00B60243">
        <w:t>products</w:t>
      </w:r>
      <w:r w:rsidR="00FB7700" w:rsidRPr="00B60243">
        <w:t xml:space="preserve"> — including </w:t>
      </w:r>
      <w:r w:rsidR="004E11E9" w:rsidRPr="00B60243">
        <w:t>more specialised, smaller and sometimes purpose</w:t>
      </w:r>
      <w:r w:rsidR="00E36E7F">
        <w:noBreakHyphen/>
      </w:r>
      <w:r w:rsidR="004E11E9" w:rsidRPr="00B60243">
        <w:t xml:space="preserve">built </w:t>
      </w:r>
      <w:proofErr w:type="spellStart"/>
      <w:r w:rsidR="004E11E9" w:rsidRPr="00B60243">
        <w:t>M&amp;E</w:t>
      </w:r>
      <w:proofErr w:type="spellEnd"/>
      <w:r w:rsidR="004E11E9" w:rsidRPr="00B60243">
        <w:t xml:space="preserve"> to produce </w:t>
      </w:r>
      <w:r w:rsidR="00FB7700" w:rsidRPr="00B60243">
        <w:t>specific niche products</w:t>
      </w:r>
      <w:r w:rsidR="00F6213D" w:rsidRPr="00B60243">
        <w:t xml:space="preserve">. (Scale of production is discussed for Bakery in section </w:t>
      </w:r>
      <w:r w:rsidR="009B4D57" w:rsidRPr="00B60243">
        <w:t>5.4</w:t>
      </w:r>
      <w:r w:rsidR="00F6213D" w:rsidRPr="00B60243">
        <w:t>.)</w:t>
      </w:r>
    </w:p>
    <w:p w:rsidR="00AA56CC" w:rsidRPr="00B60243" w:rsidRDefault="00AA56CC" w:rsidP="00CA070B">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A56CC" w:rsidRPr="009D3338" w:rsidTr="00DD4059">
        <w:tc>
          <w:tcPr>
            <w:tcW w:w="8771" w:type="dxa"/>
            <w:tcBorders>
              <w:top w:val="single" w:sz="4" w:space="0" w:color="auto"/>
              <w:left w:val="single" w:sz="4" w:space="0" w:color="auto"/>
              <w:bottom w:val="nil"/>
              <w:right w:val="single" w:sz="4" w:space="0" w:color="auto"/>
            </w:tcBorders>
          </w:tcPr>
          <w:p w:rsidR="00AA56CC" w:rsidRPr="00555201" w:rsidRDefault="00AA56CC" w:rsidP="000E6FA0">
            <w:pPr>
              <w:pStyle w:val="BoxTitle"/>
              <w:spacing w:before="80"/>
              <w:rPr>
                <w:sz w:val="24"/>
              </w:rPr>
            </w:pPr>
            <w:r w:rsidRPr="00555201">
              <w:rPr>
                <w:b w:val="0"/>
                <w:sz w:val="24"/>
              </w:rPr>
              <w:t xml:space="preserve">Box </w:t>
            </w:r>
            <w:bookmarkStart w:id="36" w:name="OLE_LINK2"/>
            <w:r w:rsidR="00B072C2" w:rsidRPr="00555201">
              <w:rPr>
                <w:b w:val="0"/>
                <w:sz w:val="24"/>
              </w:rPr>
              <w:t>5.</w:t>
            </w:r>
            <w:r w:rsidR="002E061A">
              <w:rPr>
                <w:b w:val="0"/>
                <w:noProof/>
                <w:sz w:val="24"/>
              </w:rPr>
              <w:t>6</w:t>
            </w:r>
            <w:bookmarkEnd w:id="36"/>
            <w:r w:rsidRPr="00555201">
              <w:rPr>
                <w:sz w:val="24"/>
              </w:rPr>
              <w:tab/>
            </w:r>
            <w:r w:rsidR="00D61655" w:rsidRPr="00555201">
              <w:rPr>
                <w:sz w:val="24"/>
              </w:rPr>
              <w:t xml:space="preserve">Some </w:t>
            </w:r>
            <w:r w:rsidR="00090759" w:rsidRPr="00555201">
              <w:rPr>
                <w:sz w:val="24"/>
              </w:rPr>
              <w:t>influences on</w:t>
            </w:r>
            <w:r w:rsidR="008365FC" w:rsidRPr="00555201">
              <w:rPr>
                <w:sz w:val="24"/>
              </w:rPr>
              <w:t xml:space="preserve"> </w:t>
            </w:r>
            <w:r w:rsidRPr="00555201">
              <w:rPr>
                <w:sz w:val="24"/>
              </w:rPr>
              <w:t xml:space="preserve">investment in </w:t>
            </w:r>
            <w:proofErr w:type="spellStart"/>
            <w:r w:rsidRPr="00555201">
              <w:rPr>
                <w:sz w:val="24"/>
              </w:rPr>
              <w:t>FBT</w:t>
            </w:r>
            <w:proofErr w:type="spellEnd"/>
            <w:r w:rsidRPr="00555201">
              <w:rPr>
                <w:sz w:val="24"/>
              </w:rPr>
              <w:t xml:space="preserve"> </w:t>
            </w:r>
          </w:p>
        </w:tc>
      </w:tr>
      <w:tr w:rsidR="007707AA" w:rsidRPr="00B60243" w:rsidTr="00DD4059">
        <w:tc>
          <w:tcPr>
            <w:tcW w:w="8771" w:type="dxa"/>
            <w:tcBorders>
              <w:top w:val="nil"/>
              <w:bottom w:val="nil"/>
            </w:tcBorders>
          </w:tcPr>
          <w:p w:rsidR="007707AA" w:rsidRPr="00B60243" w:rsidRDefault="007707AA" w:rsidP="00D31B3E">
            <w:pPr>
              <w:pStyle w:val="Box"/>
              <w:spacing w:before="100"/>
            </w:pPr>
            <w:r w:rsidRPr="00B60243">
              <w:t xml:space="preserve">Competitive pressures on </w:t>
            </w:r>
            <w:proofErr w:type="spellStart"/>
            <w:r w:rsidRPr="00B60243">
              <w:t>FBT</w:t>
            </w:r>
            <w:proofErr w:type="spellEnd"/>
            <w:r w:rsidRPr="00B60243">
              <w:t xml:space="preserve"> </w:t>
            </w:r>
            <w:r w:rsidR="00544139" w:rsidRPr="00B60243">
              <w:t xml:space="preserve">have led </w:t>
            </w:r>
            <w:r w:rsidRPr="00B60243">
              <w:t xml:space="preserve">to investment in improved technology, </w:t>
            </w:r>
            <w:r w:rsidR="00544139" w:rsidRPr="00B60243">
              <w:t>and also to a</w:t>
            </w:r>
            <w:r w:rsidRPr="00B60243">
              <w:t xml:space="preserve"> rationalisation and offshoring of production. </w:t>
            </w:r>
          </w:p>
          <w:p w:rsidR="007707AA" w:rsidRPr="00B60243" w:rsidRDefault="00CB4C2C" w:rsidP="00D31B3E">
            <w:pPr>
              <w:pStyle w:val="BoxListBullet"/>
              <w:spacing w:before="100"/>
            </w:pPr>
            <w:r>
              <w:t xml:space="preserve">The </w:t>
            </w:r>
            <w:r w:rsidR="007707AA" w:rsidRPr="00B60243">
              <w:t>A</w:t>
            </w:r>
            <w:r>
              <w:t xml:space="preserve">ustralian </w:t>
            </w:r>
            <w:r w:rsidR="00D31B3E" w:rsidRPr="00B60243">
              <w:t>F</w:t>
            </w:r>
            <w:r>
              <w:t xml:space="preserve">ood and </w:t>
            </w:r>
            <w:r w:rsidR="00D31B3E" w:rsidRPr="00B60243">
              <w:t>G</w:t>
            </w:r>
            <w:r>
              <w:t xml:space="preserve">rocery </w:t>
            </w:r>
            <w:r w:rsidR="00D31B3E" w:rsidRPr="00B60243">
              <w:t>C</w:t>
            </w:r>
            <w:r>
              <w:t>ouncil</w:t>
            </w:r>
            <w:r w:rsidR="00D31B3E" w:rsidRPr="00B60243">
              <w:t xml:space="preserve"> (</w:t>
            </w:r>
            <w:proofErr w:type="spellStart"/>
            <w:r w:rsidR="00D31B3E" w:rsidRPr="00B60243">
              <w:t>2011a</w:t>
            </w:r>
            <w:proofErr w:type="spellEnd"/>
            <w:r w:rsidR="007707AA" w:rsidRPr="00B60243">
              <w:t>) noted that</w:t>
            </w:r>
            <w:r w:rsidR="000E6FA0" w:rsidRPr="00B60243">
              <w:t>,</w:t>
            </w:r>
            <w:r w:rsidR="007707AA" w:rsidRPr="00B60243">
              <w:t xml:space="preserve"> between 2005 and 2010</w:t>
            </w:r>
            <w:r w:rsidR="00544139" w:rsidRPr="00B60243">
              <w:t>,</w:t>
            </w:r>
            <w:r w:rsidR="007707AA" w:rsidRPr="00B60243">
              <w:t xml:space="preserve"> food and grocery manufacturers had responded to pressures </w:t>
            </w:r>
            <w:r w:rsidR="00D31B3E" w:rsidRPr="00B60243">
              <w:t xml:space="preserve">on the industry </w:t>
            </w:r>
            <w:r w:rsidR="007707AA" w:rsidRPr="00B60243">
              <w:t xml:space="preserve">by rationalising operations through a combination of consolidation and productivity initiatives to cut costs. </w:t>
            </w:r>
          </w:p>
          <w:p w:rsidR="00CA0428" w:rsidRPr="00B60243" w:rsidRDefault="00544139" w:rsidP="00D31B3E">
            <w:pPr>
              <w:pStyle w:val="BoxListBullet"/>
              <w:spacing w:before="100"/>
            </w:pPr>
            <w:r w:rsidRPr="00B60243">
              <w:t>Ambler (2005) found that</w:t>
            </w:r>
            <w:r w:rsidR="009C1E2C" w:rsidRPr="00B60243">
              <w:t>:</w:t>
            </w:r>
            <w:r w:rsidRPr="00B60243">
              <w:t xml:space="preserve"> </w:t>
            </w:r>
          </w:p>
          <w:p w:rsidR="00D31B3E" w:rsidRPr="00B60243" w:rsidRDefault="00CA0428" w:rsidP="00D31B3E">
            <w:pPr>
              <w:pStyle w:val="BoxQuote"/>
              <w:spacing w:before="40"/>
            </w:pPr>
            <w:r w:rsidRPr="00B60243">
              <w:t>I</w:t>
            </w:r>
            <w:r w:rsidR="007707AA" w:rsidRPr="00B60243">
              <w:t>n 2004</w:t>
            </w:r>
            <w:r w:rsidR="00E36E7F">
              <w:noBreakHyphen/>
            </w:r>
            <w:r w:rsidR="007707AA" w:rsidRPr="00B60243">
              <w:t>05 there was further rationalisation and increased capital investment in the food manufacturing sector. Many parts of the industry are seeking to lift their competitiveness against increasing competition. Technological capabilities are improving in low</w:t>
            </w:r>
            <w:r w:rsidR="00E36E7F">
              <w:noBreakHyphen/>
            </w:r>
            <w:r w:rsidR="007707AA" w:rsidRPr="00B60243">
              <w:t>cost competitor countries, and local food retailers, in response to commercial pressures, are benchmarking supplier competitiveness on an increasingly wide geographical basis and changing their sourcing arrangements accordingly. …</w:t>
            </w:r>
            <w:r w:rsidRPr="00B60243">
              <w:t xml:space="preserve"> </w:t>
            </w:r>
            <w:r w:rsidR="007707AA" w:rsidRPr="00B60243">
              <w:t>The commercial success of the Australian food industry lies in its capacity to innovate its practices, processes and products and exploit niche markets through the supply of specialised, high quality, differentiated products. It is likely the move toward private labels wi</w:t>
            </w:r>
            <w:r w:rsidRPr="00B60243">
              <w:t>ll reinforce this trend.</w:t>
            </w:r>
            <w:r w:rsidR="007707AA" w:rsidRPr="00B60243">
              <w:t xml:space="preserve"> </w:t>
            </w:r>
            <w:r w:rsidRPr="00B60243">
              <w:t>(p.</w:t>
            </w:r>
            <w:r w:rsidR="00E36E7F">
              <w:t> </w:t>
            </w:r>
            <w:r w:rsidRPr="00B60243">
              <w:t>31)</w:t>
            </w:r>
            <w:r w:rsidRPr="00B60243" w:rsidDel="00544139">
              <w:t xml:space="preserve"> </w:t>
            </w:r>
          </w:p>
          <w:p w:rsidR="00D31B3E" w:rsidRPr="00B60243" w:rsidRDefault="00D31B3E" w:rsidP="00D31B3E">
            <w:pPr>
              <w:pStyle w:val="Box"/>
              <w:spacing w:before="100"/>
            </w:pPr>
            <w:r w:rsidRPr="00B60243">
              <w:t xml:space="preserve">Changing product types have required additional/new equipment. </w:t>
            </w:r>
          </w:p>
          <w:p w:rsidR="00D31B3E" w:rsidRPr="00B60243" w:rsidRDefault="00CB4C2C" w:rsidP="00D31B3E">
            <w:pPr>
              <w:pStyle w:val="BoxListBullet"/>
              <w:spacing w:before="100"/>
            </w:pPr>
            <w:r>
              <w:t xml:space="preserve">The </w:t>
            </w:r>
            <w:r w:rsidR="00D31B3E" w:rsidRPr="00B60243">
              <w:t>F</w:t>
            </w:r>
            <w:r>
              <w:t xml:space="preserve">ood </w:t>
            </w:r>
            <w:r w:rsidR="00D31B3E" w:rsidRPr="00B60243">
              <w:t>P</w:t>
            </w:r>
            <w:r>
              <w:t xml:space="preserve">rocessing </w:t>
            </w:r>
            <w:r w:rsidR="00D31B3E" w:rsidRPr="00B60243">
              <w:t>I</w:t>
            </w:r>
            <w:r>
              <w:t xml:space="preserve">ndustry </w:t>
            </w:r>
            <w:r w:rsidR="00D31B3E" w:rsidRPr="00B60243">
              <w:t>S</w:t>
            </w:r>
            <w:r>
              <w:t xml:space="preserve">trategy </w:t>
            </w:r>
            <w:r w:rsidR="00D31B3E" w:rsidRPr="00B60243">
              <w:t>G</w:t>
            </w:r>
            <w:r>
              <w:t>roup</w:t>
            </w:r>
            <w:r w:rsidR="00D31B3E" w:rsidRPr="00B60243">
              <w:t xml:space="preserve"> (2012) noted that</w:t>
            </w:r>
            <w:r w:rsidR="009C1E2C" w:rsidRPr="00B60243">
              <w:t>:</w:t>
            </w:r>
          </w:p>
          <w:p w:rsidR="00022925" w:rsidRPr="00B60243" w:rsidRDefault="00D31B3E" w:rsidP="002C2A1C">
            <w:pPr>
              <w:pStyle w:val="BoxQuote"/>
              <w:spacing w:before="40"/>
            </w:pPr>
            <w:r w:rsidRPr="00B60243">
              <w:t xml:space="preserve">During the </w:t>
            </w:r>
            <w:proofErr w:type="spellStart"/>
            <w:r w:rsidRPr="00B60243">
              <w:t>1970s</w:t>
            </w:r>
            <w:proofErr w:type="spellEnd"/>
            <w:r w:rsidRPr="00B60243">
              <w:t xml:space="preserve"> and </w:t>
            </w:r>
            <w:proofErr w:type="spellStart"/>
            <w:r w:rsidRPr="00B60243">
              <w:t>1980s</w:t>
            </w:r>
            <w:proofErr w:type="spellEnd"/>
            <w:r w:rsidRPr="00B60243">
              <w:t xml:space="preserve"> there was significant growth in the variety of processed food products; however, the changing nature of this market caused a movement away from standard food machinery products to a diverse market of specialised food machinery (typically smaller machines for specific niche products). … There is great diversity in the food processing sector and the type of machinery used is often highly specialised and sometimes purpose</w:t>
            </w:r>
            <w:r w:rsidR="00E36E7F">
              <w:noBreakHyphen/>
            </w:r>
            <w:r w:rsidRPr="00B60243">
              <w:t>built. (p.</w:t>
            </w:r>
            <w:r w:rsidR="00E36E7F">
              <w:t> </w:t>
            </w:r>
            <w:r w:rsidRPr="00B60243">
              <w:t>91)</w:t>
            </w:r>
          </w:p>
          <w:p w:rsidR="003043F3" w:rsidRPr="00B60243" w:rsidRDefault="00D125CB" w:rsidP="003043F3">
            <w:pPr>
              <w:pStyle w:val="BoxListBullet"/>
            </w:pPr>
            <w:r>
              <w:t xml:space="preserve">The </w:t>
            </w:r>
            <w:r w:rsidRPr="00B60243">
              <w:t>A</w:t>
            </w:r>
            <w:r>
              <w:t xml:space="preserve">ustralian </w:t>
            </w:r>
            <w:r w:rsidRPr="00B60243">
              <w:t>F</w:t>
            </w:r>
            <w:r>
              <w:t xml:space="preserve">ood and </w:t>
            </w:r>
            <w:r w:rsidRPr="00B60243">
              <w:t>G</w:t>
            </w:r>
            <w:r>
              <w:t xml:space="preserve">rocery </w:t>
            </w:r>
            <w:r w:rsidRPr="00B60243">
              <w:t>C</w:t>
            </w:r>
            <w:r>
              <w:t>ouncil</w:t>
            </w:r>
            <w:r w:rsidRPr="00B60243">
              <w:t xml:space="preserve"> </w:t>
            </w:r>
            <w:r w:rsidR="003043F3" w:rsidRPr="00B60243">
              <w:t>(</w:t>
            </w:r>
            <w:proofErr w:type="spellStart"/>
            <w:r w:rsidR="003043F3" w:rsidRPr="00B60243">
              <w:t>2011b</w:t>
            </w:r>
            <w:proofErr w:type="spellEnd"/>
            <w:r w:rsidR="003043F3" w:rsidRPr="00B60243">
              <w:t xml:space="preserve">) noted that: </w:t>
            </w:r>
          </w:p>
          <w:p w:rsidR="00404CF5" w:rsidRDefault="003043F3" w:rsidP="00404CF5">
            <w:pPr>
              <w:pStyle w:val="BoxQuote"/>
            </w:pPr>
            <w:r w:rsidRPr="00B60243">
              <w:t>Prepared meals that are sold at supermarkets or specialist food retailers generally have higher levels of processing, therefore the demand for food has a positive effect on dem</w:t>
            </w:r>
            <w:r w:rsidR="00306E67" w:rsidRPr="00B60243">
              <w:t>and for food machinery. (p.</w:t>
            </w:r>
            <w:r w:rsidR="00E36E7F">
              <w:t> </w:t>
            </w:r>
            <w:r w:rsidR="00306E67" w:rsidRPr="00B60243">
              <w:t>47)</w:t>
            </w:r>
          </w:p>
          <w:p w:rsidR="00900E7F" w:rsidRPr="00900E7F" w:rsidRDefault="00900E7F" w:rsidP="00900E7F">
            <w:pPr>
              <w:pStyle w:val="BoxListBullet"/>
            </w:pPr>
            <w:r w:rsidRPr="00B60243">
              <w:t>New biscuit products have been enabled by improved oven technology and new manufacturing lines (</w:t>
            </w:r>
            <w:proofErr w:type="spellStart"/>
            <w:r w:rsidRPr="00B60243">
              <w:t>Funnell</w:t>
            </w:r>
            <w:proofErr w:type="spellEnd"/>
            <w:r w:rsidRPr="00B60243">
              <w:t xml:space="preserve"> 2012, p.</w:t>
            </w:r>
            <w:r>
              <w:t> 58).</w:t>
            </w:r>
          </w:p>
        </w:tc>
      </w:tr>
      <w:tr w:rsidR="000D165F" w:rsidRPr="00B60243" w:rsidTr="000D165F">
        <w:tc>
          <w:tcPr>
            <w:tcW w:w="8771" w:type="dxa"/>
            <w:tcBorders>
              <w:top w:val="nil"/>
              <w:bottom w:val="single" w:sz="4" w:space="0" w:color="auto"/>
            </w:tcBorders>
          </w:tcPr>
          <w:p w:rsidR="000D165F" w:rsidRPr="00B60243" w:rsidRDefault="000D165F" w:rsidP="00B121BD">
            <w:pPr>
              <w:pStyle w:val="Continued"/>
              <w:spacing w:before="0"/>
            </w:pPr>
            <w:r w:rsidRPr="00B60243">
              <w:t>(</w:t>
            </w:r>
            <w:r w:rsidR="00B121BD">
              <w:t>c</w:t>
            </w:r>
            <w:r w:rsidRPr="00B60243">
              <w:t>ontinued on next page)</w:t>
            </w:r>
          </w:p>
        </w:tc>
      </w:tr>
    </w:tbl>
    <w:p w:rsidR="00DF0148" w:rsidRPr="00B60243" w:rsidRDefault="00DF0148" w:rsidP="00DF0148">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F0148" w:rsidRPr="009D3338" w:rsidTr="00384EA6">
        <w:tc>
          <w:tcPr>
            <w:tcW w:w="8771" w:type="dxa"/>
            <w:tcBorders>
              <w:top w:val="single" w:sz="4" w:space="0" w:color="auto"/>
              <w:left w:val="single" w:sz="4" w:space="0" w:color="auto"/>
              <w:bottom w:val="nil"/>
              <w:right w:val="single" w:sz="4" w:space="0" w:color="auto"/>
            </w:tcBorders>
          </w:tcPr>
          <w:p w:rsidR="00DF0148" w:rsidRPr="00555201" w:rsidRDefault="00DF0148" w:rsidP="00DF0148">
            <w:pPr>
              <w:pStyle w:val="BoxTitle"/>
              <w:spacing w:before="80"/>
              <w:rPr>
                <w:sz w:val="24"/>
              </w:rPr>
            </w:pPr>
            <w:r w:rsidRPr="00DF0148">
              <w:rPr>
                <w:b w:val="0"/>
                <w:sz w:val="24"/>
              </w:rPr>
              <w:t>Box 5.6</w:t>
            </w:r>
            <w:r w:rsidRPr="00555201">
              <w:rPr>
                <w:sz w:val="24"/>
              </w:rPr>
              <w:tab/>
            </w:r>
            <w:r w:rsidRPr="00DF0148">
              <w:rPr>
                <w:sz w:val="22"/>
                <w:szCs w:val="22"/>
              </w:rPr>
              <w:t>(continued)</w:t>
            </w:r>
          </w:p>
        </w:tc>
      </w:tr>
      <w:tr w:rsidR="008365FC" w:rsidRPr="00B60243" w:rsidTr="00542BB7">
        <w:tc>
          <w:tcPr>
            <w:tcW w:w="8771" w:type="dxa"/>
            <w:tcBorders>
              <w:top w:val="nil"/>
              <w:bottom w:val="nil"/>
            </w:tcBorders>
          </w:tcPr>
          <w:p w:rsidR="008365FC" w:rsidRPr="00B60243" w:rsidRDefault="00D713E2" w:rsidP="00CA0428">
            <w:pPr>
              <w:pStyle w:val="Box"/>
            </w:pPr>
            <w:r w:rsidRPr="00B60243">
              <w:t>There has been i</w:t>
            </w:r>
            <w:r w:rsidR="008365FC" w:rsidRPr="00B60243">
              <w:t>nvestment in energy efficiency</w:t>
            </w:r>
            <w:r w:rsidR="00926ACC" w:rsidRPr="00B60243">
              <w:t>,</w:t>
            </w:r>
            <w:r w:rsidR="008365FC" w:rsidRPr="00B60243">
              <w:t xml:space="preserve"> waste reduction and automation</w:t>
            </w:r>
            <w:r w:rsidR="00DA2F31" w:rsidRPr="00B60243">
              <w:t>.</w:t>
            </w:r>
          </w:p>
          <w:p w:rsidR="00CA0428" w:rsidRPr="00B60243" w:rsidRDefault="00D125CB" w:rsidP="00CA0428">
            <w:pPr>
              <w:pStyle w:val="BoxListBullet"/>
            </w:pPr>
            <w:r>
              <w:t xml:space="preserve">The </w:t>
            </w:r>
            <w:r w:rsidRPr="00B60243">
              <w:t>F</w:t>
            </w:r>
            <w:r>
              <w:t xml:space="preserve">ood </w:t>
            </w:r>
            <w:r w:rsidRPr="00B60243">
              <w:t>P</w:t>
            </w:r>
            <w:r>
              <w:t xml:space="preserve">rocessing </w:t>
            </w:r>
            <w:r w:rsidRPr="00B60243">
              <w:t>I</w:t>
            </w:r>
            <w:r>
              <w:t xml:space="preserve">ndustry </w:t>
            </w:r>
            <w:r w:rsidRPr="00B60243">
              <w:t>S</w:t>
            </w:r>
            <w:r>
              <w:t xml:space="preserve">trategy </w:t>
            </w:r>
            <w:r w:rsidRPr="00B60243">
              <w:t>G</w:t>
            </w:r>
            <w:r>
              <w:t>roup</w:t>
            </w:r>
            <w:r w:rsidR="00CA0428" w:rsidRPr="00B60243">
              <w:t xml:space="preserve"> (2012)</w:t>
            </w:r>
            <w:r w:rsidR="00D31B3E" w:rsidRPr="00B60243">
              <w:t xml:space="preserve"> noted increased investment in energy efficiency and automation</w:t>
            </w:r>
            <w:r w:rsidR="009C1E2C" w:rsidRPr="00B60243">
              <w:t>.</w:t>
            </w:r>
          </w:p>
          <w:p w:rsidR="008365FC" w:rsidRPr="00B60243" w:rsidRDefault="008365FC" w:rsidP="008365FC">
            <w:pPr>
              <w:pStyle w:val="BoxQuote"/>
            </w:pPr>
            <w:r w:rsidRPr="00B60243">
              <w:t>Today there is an increasing trend to invest in more energy</w:t>
            </w:r>
            <w:r w:rsidR="00E36E7F">
              <w:noBreakHyphen/>
            </w:r>
            <w:r w:rsidRPr="00B60243">
              <w:t>efficient machinery and equipment in the food and beverage processing sector to save on operating costs and to ensure the longer</w:t>
            </w:r>
            <w:r w:rsidR="00E36E7F">
              <w:noBreakHyphen/>
            </w:r>
            <w:r w:rsidRPr="00B60243">
              <w:t xml:space="preserve">term sustainability of the industry. … </w:t>
            </w:r>
            <w:proofErr w:type="spellStart"/>
            <w:r w:rsidRPr="00B60243">
              <w:t>IBISWorld</w:t>
            </w:r>
            <w:proofErr w:type="spellEnd"/>
            <w:r w:rsidRPr="00B60243">
              <w:t xml:space="preserve"> estimates major markets for Australian machinery uptake are the meat and seafood processing sectors. These sectors are converting to energy</w:t>
            </w:r>
            <w:r w:rsidR="00E36E7F">
              <w:noBreakHyphen/>
            </w:r>
            <w:r w:rsidRPr="00B60243">
              <w:t xml:space="preserve">efficient machinery to reduce operating costs. Upgrades to increase automation have also influenced growth. </w:t>
            </w:r>
            <w:r w:rsidR="00CA0428" w:rsidRPr="00B60243">
              <w:t>(p.</w:t>
            </w:r>
            <w:r w:rsidR="00E36E7F">
              <w:t> </w:t>
            </w:r>
            <w:r w:rsidR="00CA0428" w:rsidRPr="00B60243">
              <w:t>91)</w:t>
            </w:r>
          </w:p>
          <w:p w:rsidR="00230DCF" w:rsidRPr="00B60243" w:rsidRDefault="00230DCF" w:rsidP="00230DCF">
            <w:pPr>
              <w:pStyle w:val="BoxQuote"/>
            </w:pPr>
            <w:r w:rsidRPr="00B60243">
              <w:t xml:space="preserve">The high cost of labour makes decisions to replace labour with automation easy, despite redundancy costs. </w:t>
            </w:r>
            <w:r w:rsidR="00286CFB" w:rsidRPr="00B60243">
              <w:t>…</w:t>
            </w:r>
            <w:r w:rsidRPr="00B60243">
              <w:t xml:space="preserve"> However higher automation means that there is a greater need for trade and engineering skills (restructuring to a higher</w:t>
            </w:r>
            <w:r w:rsidR="00E36E7F">
              <w:noBreakHyphen/>
            </w:r>
            <w:r w:rsidRPr="00B60243">
              <w:t xml:space="preserve">paid workforce). The trend toward greater mechanisation of food and beverage processing also potentially diminishes the significance of labour costs in Australia’s comparative competitiveness, but perhaps not materially so in the short term. </w:t>
            </w:r>
            <w:r w:rsidR="00286CFB" w:rsidRPr="00B60243">
              <w:t>(p.</w:t>
            </w:r>
            <w:r w:rsidR="00E36E7F">
              <w:t> </w:t>
            </w:r>
            <w:r w:rsidR="00286CFB" w:rsidRPr="00B60243">
              <w:t>138)</w:t>
            </w:r>
          </w:p>
          <w:p w:rsidR="00D31B3E" w:rsidRPr="00B60243" w:rsidRDefault="00D31B3E" w:rsidP="00D31B3E">
            <w:pPr>
              <w:pStyle w:val="BoxListBullet"/>
            </w:pPr>
            <w:r w:rsidRPr="00B60243">
              <w:t>Significant capital investment by major confectionery producers has occurred over the last decade to improve the efficiency of their production, including greater automation and higher speed production lines (</w:t>
            </w:r>
            <w:proofErr w:type="spellStart"/>
            <w:r w:rsidR="003F7F8D" w:rsidRPr="00B60243">
              <w:t>Sivasailam</w:t>
            </w:r>
            <w:proofErr w:type="spellEnd"/>
            <w:r w:rsidRPr="00B60243">
              <w:t xml:space="preserve"> 2010)</w:t>
            </w:r>
            <w:r w:rsidR="0065266B" w:rsidRPr="00B60243">
              <w:t>.</w:t>
            </w:r>
          </w:p>
          <w:p w:rsidR="008365FC" w:rsidRPr="00B60243" w:rsidRDefault="00286CFB" w:rsidP="00836F43">
            <w:pPr>
              <w:pStyle w:val="BoxListBullet"/>
            </w:pPr>
            <w:r w:rsidRPr="00B60243">
              <w:t>Some firms are using robotic packaging equipment</w:t>
            </w:r>
            <w:r w:rsidR="00C442AA" w:rsidRPr="00B60243">
              <w:t xml:space="preserve">. One firm in the frozen food industry has installed </w:t>
            </w:r>
            <w:r w:rsidR="000A7AB0" w:rsidRPr="00B60243">
              <w:t>robotic packing equipment for its pie</w:t>
            </w:r>
            <w:r w:rsidR="00E36E7F">
              <w:noBreakHyphen/>
            </w:r>
            <w:r w:rsidR="000A7AB0" w:rsidRPr="00B60243">
              <w:t>packing line</w:t>
            </w:r>
            <w:r w:rsidR="000E6FA0" w:rsidRPr="00B60243">
              <w:t>;</w:t>
            </w:r>
            <w:r w:rsidR="000A7AB0" w:rsidRPr="00B60243">
              <w:t xml:space="preserve"> however </w:t>
            </w:r>
            <w:r w:rsidR="00AA546F" w:rsidRPr="00B60243">
              <w:t xml:space="preserve">its introduction </w:t>
            </w:r>
            <w:r w:rsidR="00A6527D" w:rsidRPr="00B60243">
              <w:t>involve</w:t>
            </w:r>
            <w:r w:rsidR="000A7AB0" w:rsidRPr="00B60243">
              <w:t>d</w:t>
            </w:r>
            <w:r w:rsidR="00A6527D" w:rsidRPr="00B60243">
              <w:t xml:space="preserve"> high conversion costs and </w:t>
            </w:r>
            <w:r w:rsidR="00AA546F" w:rsidRPr="00B60243">
              <w:t>supply disruptions</w:t>
            </w:r>
            <w:r w:rsidRPr="00B60243">
              <w:t xml:space="preserve"> (</w:t>
            </w:r>
            <w:r w:rsidR="00355EF3" w:rsidRPr="00B60243">
              <w:t>World Packaging News 2011</w:t>
            </w:r>
            <w:r w:rsidR="00836F43" w:rsidRPr="00B60243">
              <w:t>;</w:t>
            </w:r>
            <w:r w:rsidR="00355EF3" w:rsidRPr="00B60243">
              <w:t xml:space="preserve"> </w:t>
            </w:r>
            <w:r w:rsidR="00F63EED" w:rsidRPr="00B60243">
              <w:t>T</w:t>
            </w:r>
            <w:r w:rsidR="00836F43" w:rsidRPr="00B60243">
              <w:t xml:space="preserve">he </w:t>
            </w:r>
            <w:r w:rsidR="00355EF3" w:rsidRPr="00B60243">
              <w:t>Australian</w:t>
            </w:r>
            <w:r w:rsidR="00836F43" w:rsidRPr="00B60243">
              <w:rPr>
                <w:i/>
              </w:rPr>
              <w:t xml:space="preserve"> </w:t>
            </w:r>
            <w:r w:rsidR="00836F43" w:rsidRPr="00B60243">
              <w:t>2013</w:t>
            </w:r>
            <w:r w:rsidR="00EB27AC" w:rsidRPr="00B60243">
              <w:t>).</w:t>
            </w:r>
            <w:r w:rsidR="00D31B3E" w:rsidRPr="00B60243">
              <w:t xml:space="preserve"> </w:t>
            </w:r>
            <w:r w:rsidR="00CA070B" w:rsidRPr="00B60243">
              <w:t>A major</w:t>
            </w:r>
            <w:r w:rsidR="00AD75BB" w:rsidRPr="00B60243">
              <w:t xml:space="preserve"> biscuit manufacturer is also extending the use of robotics in its biscuit packing (</w:t>
            </w:r>
            <w:proofErr w:type="spellStart"/>
            <w:r w:rsidR="00AD75BB" w:rsidRPr="00B60243">
              <w:t>Funnell</w:t>
            </w:r>
            <w:proofErr w:type="spellEnd"/>
            <w:r w:rsidR="00AD75BB" w:rsidRPr="00B60243">
              <w:t xml:space="preserve"> 2012, p.</w:t>
            </w:r>
            <w:r w:rsidR="00E36E7F">
              <w:t> </w:t>
            </w:r>
            <w:r w:rsidR="00AD75BB" w:rsidRPr="00B60243">
              <w:t>58).</w:t>
            </w:r>
          </w:p>
          <w:p w:rsidR="007707AA" w:rsidRPr="00B60243" w:rsidRDefault="00316A24" w:rsidP="00D31B3E">
            <w:pPr>
              <w:pStyle w:val="Box"/>
            </w:pPr>
            <w:r w:rsidRPr="00B60243">
              <w:t xml:space="preserve">The </w:t>
            </w:r>
            <w:r w:rsidR="00E97C45">
              <w:t>higher</w:t>
            </w:r>
            <w:r w:rsidR="00E97C45" w:rsidRPr="00B60243">
              <w:t xml:space="preserve"> </w:t>
            </w:r>
            <w:r w:rsidRPr="00B60243">
              <w:t xml:space="preserve">exchange rate, which makes imported capital cheaper, may have been a factor in the continued investment by </w:t>
            </w:r>
            <w:proofErr w:type="spellStart"/>
            <w:r w:rsidRPr="00B60243">
              <w:t>FBT</w:t>
            </w:r>
            <w:proofErr w:type="spellEnd"/>
            <w:r w:rsidRPr="00B60243">
              <w:t xml:space="preserve"> manufacturers.</w:t>
            </w:r>
            <w:r w:rsidR="007707AA" w:rsidRPr="00B60243">
              <w:t xml:space="preserve"> </w:t>
            </w:r>
          </w:p>
          <w:p w:rsidR="00D61655" w:rsidRPr="00B60243" w:rsidRDefault="002D3A08" w:rsidP="00D31B3E">
            <w:pPr>
              <w:pStyle w:val="BoxListBullet"/>
            </w:pPr>
            <w:r w:rsidRPr="00B60243">
              <w:t>I</w:t>
            </w:r>
            <w:r w:rsidR="007707AA" w:rsidRPr="00B60243">
              <w:t>mports are a major source of food processing machinery</w:t>
            </w:r>
            <w:r w:rsidRPr="00B60243">
              <w:t xml:space="preserve"> (A</w:t>
            </w:r>
            <w:r w:rsidR="00D125CB">
              <w:t xml:space="preserve">ustralian </w:t>
            </w:r>
            <w:r w:rsidRPr="00B60243">
              <w:t>F</w:t>
            </w:r>
            <w:r w:rsidR="00D125CB">
              <w:t xml:space="preserve">ood and </w:t>
            </w:r>
            <w:r w:rsidRPr="00B60243">
              <w:t>G</w:t>
            </w:r>
            <w:r w:rsidR="00D125CB">
              <w:t xml:space="preserve">rocery </w:t>
            </w:r>
            <w:r w:rsidRPr="00B60243">
              <w:t>C</w:t>
            </w:r>
            <w:r w:rsidR="00D125CB">
              <w:t>ouncil</w:t>
            </w:r>
            <w:r w:rsidRPr="00B60243">
              <w:t xml:space="preserve"> </w:t>
            </w:r>
            <w:proofErr w:type="spellStart"/>
            <w:r w:rsidRPr="00B60243">
              <w:t>2011b</w:t>
            </w:r>
            <w:proofErr w:type="spellEnd"/>
            <w:r w:rsidRPr="00B60243">
              <w:t>, p.</w:t>
            </w:r>
            <w:r w:rsidR="00E36E7F">
              <w:t> </w:t>
            </w:r>
            <w:r w:rsidRPr="00B60243">
              <w:t xml:space="preserve">47). </w:t>
            </w:r>
          </w:p>
          <w:p w:rsidR="00221329" w:rsidRPr="00B60243" w:rsidRDefault="00596CEE" w:rsidP="00D31B3E">
            <w:pPr>
              <w:pStyle w:val="BoxListBullet"/>
            </w:pPr>
            <w:proofErr w:type="spellStart"/>
            <w:r w:rsidRPr="00B60243">
              <w:t>Funnell</w:t>
            </w:r>
            <w:proofErr w:type="spellEnd"/>
            <w:r w:rsidRPr="00B60243">
              <w:t xml:space="preserve"> (2012, p.</w:t>
            </w:r>
            <w:r w:rsidR="00E36E7F">
              <w:t> </w:t>
            </w:r>
            <w:r w:rsidRPr="00B60243">
              <w:t xml:space="preserve">58) noted that the strong dollar had enabled Campbell Arnott’s to </w:t>
            </w:r>
            <w:r w:rsidR="00630E43" w:rsidRPr="00B60243">
              <w:t>get much better returns on predominantly overseas sourced manufacturing equipment and technology.</w:t>
            </w:r>
          </w:p>
        </w:tc>
      </w:tr>
      <w:tr w:rsidR="00AA56CC" w:rsidRPr="00B60243">
        <w:trPr>
          <w:cantSplit/>
        </w:trPr>
        <w:tc>
          <w:tcPr>
            <w:tcW w:w="8771" w:type="dxa"/>
            <w:tcBorders>
              <w:top w:val="nil"/>
              <w:left w:val="single" w:sz="6" w:space="0" w:color="auto"/>
              <w:bottom w:val="single" w:sz="6" w:space="0" w:color="auto"/>
              <w:right w:val="single" w:sz="6" w:space="0" w:color="auto"/>
            </w:tcBorders>
          </w:tcPr>
          <w:p w:rsidR="00AA56CC" w:rsidRPr="00B60243" w:rsidRDefault="00AA56CC">
            <w:pPr>
              <w:pStyle w:val="Box"/>
              <w:spacing w:before="0" w:line="120" w:lineRule="exact"/>
            </w:pPr>
          </w:p>
        </w:tc>
      </w:tr>
      <w:tr w:rsidR="00AA56CC" w:rsidRPr="00B60243">
        <w:tc>
          <w:tcPr>
            <w:tcW w:w="8771" w:type="dxa"/>
            <w:tcBorders>
              <w:top w:val="nil"/>
              <w:left w:val="nil"/>
              <w:bottom w:val="nil"/>
              <w:right w:val="nil"/>
            </w:tcBorders>
          </w:tcPr>
          <w:p w:rsidR="00AA56CC" w:rsidRPr="00B60243" w:rsidRDefault="00AA56CC" w:rsidP="00AA56CC">
            <w:pPr>
              <w:pStyle w:val="BoxSpaceBelow"/>
            </w:pPr>
          </w:p>
        </w:tc>
      </w:tr>
    </w:tbl>
    <w:p w:rsidR="00C404AD" w:rsidRPr="00B60243" w:rsidRDefault="00962A4D" w:rsidP="00151602">
      <w:pPr>
        <w:pStyle w:val="Heading4"/>
      </w:pPr>
      <w:r>
        <w:t xml:space="preserve">Possible </w:t>
      </w:r>
      <w:r w:rsidR="00037F05">
        <w:t xml:space="preserve">decline in the utilisation of </w:t>
      </w:r>
      <w:r>
        <w:t>capital</w:t>
      </w:r>
      <w:r w:rsidR="00037F05">
        <w:t xml:space="preserve"> </w:t>
      </w:r>
    </w:p>
    <w:p w:rsidR="00C404AD" w:rsidRPr="00B60243" w:rsidRDefault="00C404AD" w:rsidP="00E91796">
      <w:pPr>
        <w:pStyle w:val="BodyText"/>
        <w:spacing w:before="80"/>
      </w:pPr>
      <w:r w:rsidRPr="00B60243">
        <w:t>As well as affecting investmen</w:t>
      </w:r>
      <w:r w:rsidR="000028B3" w:rsidRPr="00B60243">
        <w:t>t</w:t>
      </w:r>
      <w:r w:rsidRPr="00B60243">
        <w:t xml:space="preserve"> in new capital, changes in consumer preferences</w:t>
      </w:r>
      <w:r w:rsidR="00816CE4" w:rsidRPr="00B60243">
        <w:t xml:space="preserve"> and </w:t>
      </w:r>
      <w:r w:rsidR="00D24B64" w:rsidRPr="00B60243">
        <w:t xml:space="preserve">the composition of output </w:t>
      </w:r>
      <w:r w:rsidRPr="00B60243">
        <w:t xml:space="preserve">may </w:t>
      </w:r>
      <w:r w:rsidR="00D24B64" w:rsidRPr="00B60243">
        <w:t xml:space="preserve">have </w:t>
      </w:r>
      <w:r w:rsidRPr="00B60243">
        <w:t>affect</w:t>
      </w:r>
      <w:r w:rsidR="00D24B64" w:rsidRPr="00B60243">
        <w:t>ed</w:t>
      </w:r>
      <w:r w:rsidRPr="00B60243">
        <w:t xml:space="preserve"> the use of existing capital. </w:t>
      </w:r>
      <w:r w:rsidR="00FC653C">
        <w:t>I</w:t>
      </w:r>
      <w:r w:rsidRPr="00B60243">
        <w:t>n the longer term</w:t>
      </w:r>
      <w:r w:rsidR="000E6FA0" w:rsidRPr="00B60243">
        <w:t>,</w:t>
      </w:r>
      <w:r w:rsidRPr="00B60243">
        <w:t xml:space="preserve"> producers may respond to reduced </w:t>
      </w:r>
      <w:r w:rsidR="00816CE4" w:rsidRPr="00B60243">
        <w:t xml:space="preserve">levels of </w:t>
      </w:r>
      <w:r w:rsidRPr="00B60243">
        <w:t>demand by rationalising production facilities or exiting the industry</w:t>
      </w:r>
      <w:r w:rsidR="000E6FA0" w:rsidRPr="00B60243">
        <w:t xml:space="preserve"> altogether</w:t>
      </w:r>
      <w:r w:rsidR="00F112E4">
        <w:t>.</w:t>
      </w:r>
      <w:r w:rsidRPr="00B60243">
        <w:t xml:space="preserve"> </w:t>
      </w:r>
      <w:r w:rsidR="00F112E4">
        <w:t>B</w:t>
      </w:r>
      <w:r w:rsidR="00FC653C">
        <w:t xml:space="preserve">ut </w:t>
      </w:r>
      <w:r w:rsidRPr="00B60243">
        <w:t>in the short term</w:t>
      </w:r>
      <w:r w:rsidR="006E2AA3">
        <w:t>,</w:t>
      </w:r>
      <w:r w:rsidRPr="00B60243">
        <w:t xml:space="preserve"> capital may be </w:t>
      </w:r>
      <w:r w:rsidR="00816CE4" w:rsidRPr="00B60243">
        <w:t>underutilised</w:t>
      </w:r>
      <w:r w:rsidR="00F112E4">
        <w:t xml:space="preserve"> </w:t>
      </w:r>
      <w:r w:rsidR="00F22C95">
        <w:t>when</w:t>
      </w:r>
      <w:r w:rsidR="00C32CE4">
        <w:t xml:space="preserve"> </w:t>
      </w:r>
      <w:r w:rsidR="00F112E4">
        <w:t xml:space="preserve">output </w:t>
      </w:r>
      <w:r w:rsidR="00F22C95">
        <w:t>is</w:t>
      </w:r>
      <w:r w:rsidR="00F112E4">
        <w:t xml:space="preserve"> reduced</w:t>
      </w:r>
      <w:r w:rsidR="00754004">
        <w:t>.</w:t>
      </w:r>
      <w:r w:rsidR="00F112E4">
        <w:t xml:space="preserve"> </w:t>
      </w:r>
      <w:r w:rsidR="00754004" w:rsidRPr="00B60243">
        <w:t>Measures of capital services do not account for declines in utilisation and also may not capture early retirement of capital</w:t>
      </w:r>
      <w:r w:rsidR="00754004">
        <w:t xml:space="preserve">, </w:t>
      </w:r>
      <w:r w:rsidR="00B26F76">
        <w:t xml:space="preserve">so </w:t>
      </w:r>
      <w:r w:rsidR="00E713B7">
        <w:t>in these circumstances</w:t>
      </w:r>
      <w:r w:rsidR="00754004">
        <w:t xml:space="preserve"> </w:t>
      </w:r>
      <w:r w:rsidR="00754004" w:rsidRPr="009E0468">
        <w:t>m</w:t>
      </w:r>
      <w:r w:rsidR="00F112E4" w:rsidRPr="009E0468">
        <w:t xml:space="preserve">easured </w:t>
      </w:r>
      <w:r w:rsidR="009829E7">
        <w:t>productivity</w:t>
      </w:r>
      <w:r w:rsidR="00E713B7">
        <w:t xml:space="preserve"> will decline</w:t>
      </w:r>
      <w:r w:rsidRPr="00B60243">
        <w:t xml:space="preserve">. </w:t>
      </w:r>
    </w:p>
    <w:p w:rsidR="00BB7191" w:rsidRPr="00B60243" w:rsidRDefault="00431A94" w:rsidP="00E91796">
      <w:pPr>
        <w:pStyle w:val="Heading5"/>
        <w:spacing w:before="360"/>
      </w:pPr>
      <w:r w:rsidRPr="00B60243">
        <w:lastRenderedPageBreak/>
        <w:t xml:space="preserve">Rates of capacity utilisation in </w:t>
      </w:r>
      <w:proofErr w:type="spellStart"/>
      <w:r w:rsidRPr="00B60243">
        <w:t>FBT</w:t>
      </w:r>
      <w:proofErr w:type="spellEnd"/>
      <w:r w:rsidRPr="00B60243">
        <w:t xml:space="preserve"> manufacturing may be low</w:t>
      </w:r>
      <w:r w:rsidR="002D4BAE" w:rsidRPr="00B60243">
        <w:t xml:space="preserve"> and declining</w:t>
      </w:r>
    </w:p>
    <w:p w:rsidR="00215D99" w:rsidRPr="00B60243" w:rsidRDefault="00994BF9" w:rsidP="00A15927">
      <w:pPr>
        <w:pStyle w:val="BodyText"/>
      </w:pPr>
      <w:r w:rsidRPr="00B60243">
        <w:t>T</w:t>
      </w:r>
      <w:r w:rsidR="00BB7191" w:rsidRPr="00B60243">
        <w:t xml:space="preserve">here </w:t>
      </w:r>
      <w:r w:rsidR="006B4FC7" w:rsidRPr="00B60243">
        <w:t xml:space="preserve">are indications that </w:t>
      </w:r>
      <w:r w:rsidRPr="00B60243">
        <w:t xml:space="preserve">average capacity utilisation in </w:t>
      </w:r>
      <w:proofErr w:type="spellStart"/>
      <w:r w:rsidRPr="00B60243">
        <w:t>FBT</w:t>
      </w:r>
      <w:proofErr w:type="spellEnd"/>
      <w:r w:rsidRPr="00B60243">
        <w:t xml:space="preserve"> manufacturing </w:t>
      </w:r>
      <w:r w:rsidR="006B4FC7" w:rsidRPr="00B60243">
        <w:t xml:space="preserve">is </w:t>
      </w:r>
      <w:r w:rsidR="00FC653C">
        <w:t>perennially low</w:t>
      </w:r>
      <w:r w:rsidRPr="00B60243">
        <w:t xml:space="preserve">, although information is very limited </w:t>
      </w:r>
      <w:r w:rsidR="00876F18" w:rsidRPr="00B60243">
        <w:t>(box</w:t>
      </w:r>
      <w:r w:rsidR="00596A4B" w:rsidRPr="00B60243">
        <w:t> </w:t>
      </w:r>
      <w:r w:rsidR="00B072C2" w:rsidRPr="00B60243">
        <w:t>5.7</w:t>
      </w:r>
      <w:r w:rsidR="00876F18" w:rsidRPr="00B60243">
        <w:t>)</w:t>
      </w:r>
      <w:r w:rsidR="00BB7191" w:rsidRPr="00B60243">
        <w:t xml:space="preserve">. </w:t>
      </w:r>
      <w:r w:rsidR="00EB2E0B" w:rsidRPr="00B60243">
        <w:t>But</w:t>
      </w:r>
      <w:r w:rsidR="000E6FA0" w:rsidRPr="00B60243">
        <w:t>, in order</w:t>
      </w:r>
      <w:r w:rsidR="00915392" w:rsidRPr="00B60243">
        <w:t xml:space="preserve"> </w:t>
      </w:r>
      <w:r w:rsidR="005E503F" w:rsidRPr="00B60243">
        <w:t>to contribute to a decline in measured MFP</w:t>
      </w:r>
      <w:r w:rsidR="00D713E2" w:rsidRPr="00B60243">
        <w:t>,</w:t>
      </w:r>
      <w:r w:rsidR="005E503F" w:rsidRPr="00B60243">
        <w:t xml:space="preserve"> </w:t>
      </w:r>
      <w:r w:rsidR="00915392" w:rsidRPr="00B60243">
        <w:t>u</w:t>
      </w:r>
      <w:r w:rsidR="002F6754" w:rsidRPr="00B60243">
        <w:t xml:space="preserve">tilisation </w:t>
      </w:r>
      <w:r w:rsidR="00D713E2" w:rsidRPr="00B60243">
        <w:t xml:space="preserve">rates </w:t>
      </w:r>
      <w:r w:rsidR="002F6754" w:rsidRPr="00B60243">
        <w:t xml:space="preserve">need to </w:t>
      </w:r>
      <w:r w:rsidR="002F6754" w:rsidRPr="00B60243">
        <w:rPr>
          <w:i/>
        </w:rPr>
        <w:t>decrease</w:t>
      </w:r>
      <w:r w:rsidR="002F6754" w:rsidRPr="00B60243">
        <w:t xml:space="preserve">. </w:t>
      </w:r>
      <w:r w:rsidR="00532D3A" w:rsidRPr="00B60243">
        <w:t xml:space="preserve">This </w:t>
      </w:r>
      <w:r w:rsidR="00151602" w:rsidRPr="00B60243">
        <w:t>can</w:t>
      </w:r>
      <w:r w:rsidR="00532D3A" w:rsidRPr="00B60243">
        <w:t xml:space="preserve"> occur as a result of change</w:t>
      </w:r>
      <w:r w:rsidR="00EA619E" w:rsidRPr="00B60243">
        <w:t xml:space="preserve"> in the composition of production</w:t>
      </w:r>
      <w:r w:rsidR="00FE2505" w:rsidRPr="00B60243">
        <w:t xml:space="preserve"> </w:t>
      </w:r>
      <w:r w:rsidR="00151602" w:rsidRPr="00B60243">
        <w:t>when</w:t>
      </w:r>
      <w:r w:rsidR="00215D99" w:rsidRPr="00B60243">
        <w:t>:</w:t>
      </w:r>
    </w:p>
    <w:p w:rsidR="00215D99" w:rsidRPr="00B60243" w:rsidRDefault="00215D99" w:rsidP="00215D99">
      <w:pPr>
        <w:pStyle w:val="ListBullet"/>
      </w:pPr>
      <w:r w:rsidRPr="00B60243">
        <w:t xml:space="preserve">the parts of </w:t>
      </w:r>
      <w:proofErr w:type="spellStart"/>
      <w:r w:rsidRPr="00B60243">
        <w:t>FBT</w:t>
      </w:r>
      <w:proofErr w:type="spellEnd"/>
      <w:r w:rsidRPr="00B60243">
        <w:t xml:space="preserve"> that are maintaining or increasing production have </w:t>
      </w:r>
      <w:r w:rsidR="00EA619E" w:rsidRPr="00B60243">
        <w:t xml:space="preserve">relatively </w:t>
      </w:r>
      <w:r w:rsidRPr="00B60243">
        <w:t xml:space="preserve">low rates of utilisation </w:t>
      </w:r>
    </w:p>
    <w:p w:rsidR="002F6754" w:rsidRPr="00B60243" w:rsidRDefault="00215D99" w:rsidP="00215D99">
      <w:pPr>
        <w:pStyle w:val="ListBullet"/>
      </w:pPr>
      <w:r w:rsidRPr="00B60243">
        <w:t xml:space="preserve">the parts of </w:t>
      </w:r>
      <w:proofErr w:type="spellStart"/>
      <w:r w:rsidR="00A15927" w:rsidRPr="00B60243">
        <w:t>FBT</w:t>
      </w:r>
      <w:proofErr w:type="spellEnd"/>
      <w:r w:rsidR="00A15927" w:rsidRPr="00B60243">
        <w:t xml:space="preserve"> </w:t>
      </w:r>
      <w:r w:rsidRPr="00B60243">
        <w:t xml:space="preserve">with absolute declines in production have </w:t>
      </w:r>
      <w:r w:rsidR="003B0926" w:rsidRPr="00B60243">
        <w:t xml:space="preserve">not made matching reductions in their capital stock, so </w:t>
      </w:r>
      <w:r w:rsidR="00532D3A" w:rsidRPr="00B60243">
        <w:t xml:space="preserve">that </w:t>
      </w:r>
      <w:r w:rsidR="003B0926" w:rsidRPr="00B60243">
        <w:t xml:space="preserve">their utilisation rate has fallen. </w:t>
      </w:r>
    </w:p>
    <w:p w:rsidR="00EE5FEC" w:rsidRPr="00B60243" w:rsidRDefault="00EE5FEC" w:rsidP="00EE5FE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E5FEC" w:rsidRPr="009D3338" w:rsidTr="00E266C5">
        <w:tc>
          <w:tcPr>
            <w:tcW w:w="8771" w:type="dxa"/>
            <w:tcBorders>
              <w:top w:val="single" w:sz="6" w:space="0" w:color="auto"/>
              <w:bottom w:val="nil"/>
            </w:tcBorders>
          </w:tcPr>
          <w:p w:rsidR="00915392" w:rsidRPr="00D57EDF" w:rsidRDefault="00EE5FEC" w:rsidP="00FC653C">
            <w:pPr>
              <w:pStyle w:val="BoxTitle"/>
              <w:rPr>
                <w:sz w:val="24"/>
              </w:rPr>
            </w:pPr>
            <w:r w:rsidRPr="00D57EDF">
              <w:rPr>
                <w:b w:val="0"/>
                <w:sz w:val="24"/>
              </w:rPr>
              <w:t xml:space="preserve">Box </w:t>
            </w:r>
            <w:bookmarkStart w:id="37" w:name="OLE_LINK35"/>
            <w:r w:rsidR="00B072C2" w:rsidRPr="00D57EDF">
              <w:rPr>
                <w:b w:val="0"/>
                <w:sz w:val="24"/>
              </w:rPr>
              <w:t>5.</w:t>
            </w:r>
            <w:r w:rsidR="002E061A">
              <w:rPr>
                <w:b w:val="0"/>
                <w:noProof/>
                <w:sz w:val="24"/>
              </w:rPr>
              <w:t>7</w:t>
            </w:r>
            <w:bookmarkEnd w:id="37"/>
            <w:r w:rsidRPr="00D57EDF">
              <w:rPr>
                <w:sz w:val="24"/>
              </w:rPr>
              <w:tab/>
            </w:r>
            <w:r w:rsidR="00561A75" w:rsidRPr="00D57EDF">
              <w:rPr>
                <w:sz w:val="24"/>
              </w:rPr>
              <w:t>U</w:t>
            </w:r>
            <w:r w:rsidRPr="00D57EDF">
              <w:rPr>
                <w:sz w:val="24"/>
              </w:rPr>
              <w:t>nderutilised capacity</w:t>
            </w:r>
            <w:r w:rsidR="00FC653C" w:rsidRPr="00D57EDF">
              <w:rPr>
                <w:sz w:val="24"/>
              </w:rPr>
              <w:t xml:space="preserve"> in </w:t>
            </w:r>
            <w:proofErr w:type="spellStart"/>
            <w:r w:rsidR="00FC653C" w:rsidRPr="00D57EDF">
              <w:rPr>
                <w:sz w:val="24"/>
              </w:rPr>
              <w:t>FBT</w:t>
            </w:r>
            <w:proofErr w:type="spellEnd"/>
          </w:p>
        </w:tc>
      </w:tr>
      <w:tr w:rsidR="00EE5FEC" w:rsidRPr="00B60243" w:rsidTr="00E266C5">
        <w:trPr>
          <w:cantSplit/>
        </w:trPr>
        <w:tc>
          <w:tcPr>
            <w:tcW w:w="8771" w:type="dxa"/>
            <w:tcBorders>
              <w:top w:val="nil"/>
              <w:left w:val="single" w:sz="6" w:space="0" w:color="auto"/>
              <w:bottom w:val="nil"/>
              <w:right w:val="single" w:sz="6" w:space="0" w:color="auto"/>
            </w:tcBorders>
          </w:tcPr>
          <w:p w:rsidR="00827A87" w:rsidRPr="00B60243" w:rsidRDefault="00997369" w:rsidP="00827A87">
            <w:pPr>
              <w:pStyle w:val="Box"/>
            </w:pPr>
            <w:r w:rsidRPr="00B60243">
              <w:t xml:space="preserve">Available information suggests </w:t>
            </w:r>
            <w:r w:rsidR="00532D3A" w:rsidRPr="00B60243">
              <w:t xml:space="preserve">that </w:t>
            </w:r>
            <w:r w:rsidR="006F2CC3" w:rsidRPr="00B60243">
              <w:t xml:space="preserve">there is </w:t>
            </w:r>
            <w:r w:rsidR="00532D3A" w:rsidRPr="00B60243">
              <w:t xml:space="preserve">perennially </w:t>
            </w:r>
            <w:r w:rsidRPr="00B60243">
              <w:t xml:space="preserve">underutilised capacity in </w:t>
            </w:r>
            <w:proofErr w:type="spellStart"/>
            <w:r w:rsidRPr="00B60243">
              <w:t>FBT</w:t>
            </w:r>
            <w:proofErr w:type="spellEnd"/>
            <w:r w:rsidRPr="00B60243">
              <w:t xml:space="preserve">. </w:t>
            </w:r>
          </w:p>
          <w:p w:rsidR="00827A87" w:rsidRPr="00B60243" w:rsidRDefault="00FF52B5" w:rsidP="00827A87">
            <w:pPr>
              <w:pStyle w:val="BoxListBullet"/>
            </w:pPr>
            <w:r>
              <w:t>A</w:t>
            </w:r>
            <w:r w:rsidRPr="00B60243">
              <w:t xml:space="preserve"> survey in 1999</w:t>
            </w:r>
            <w:r>
              <w:t xml:space="preserve"> </w:t>
            </w:r>
            <w:r w:rsidR="00B57563" w:rsidRPr="00B60243">
              <w:t xml:space="preserve">reported </w:t>
            </w:r>
            <w:r w:rsidR="00997369" w:rsidRPr="00B60243">
              <w:t>low capacity utilisation (</w:t>
            </w:r>
            <w:r w:rsidR="00827A87" w:rsidRPr="00B60243">
              <w:t>60 per c</w:t>
            </w:r>
            <w:r w:rsidR="00B57563" w:rsidRPr="00B60243">
              <w:t>ent or lower</w:t>
            </w:r>
            <w:r w:rsidR="00997369" w:rsidRPr="00B60243">
              <w:t>)</w:t>
            </w:r>
            <w:r w:rsidR="00B57563" w:rsidRPr="00B60243">
              <w:t xml:space="preserve"> </w:t>
            </w:r>
            <w:r>
              <w:t>(</w:t>
            </w:r>
            <w:proofErr w:type="spellStart"/>
            <w:r>
              <w:t>AFFA</w:t>
            </w:r>
            <w:proofErr w:type="spellEnd"/>
            <w:r>
              <w:t> </w:t>
            </w:r>
            <w:r w:rsidRPr="00B60243">
              <w:t>2000)</w:t>
            </w:r>
            <w:r w:rsidR="005E503F" w:rsidRPr="00B60243">
              <w:t>.</w:t>
            </w:r>
            <w:r w:rsidR="00827A87" w:rsidRPr="00B60243">
              <w:t xml:space="preserve"> </w:t>
            </w:r>
          </w:p>
          <w:p w:rsidR="00827A87" w:rsidRPr="00B60243" w:rsidRDefault="00FF52B5" w:rsidP="00827A87">
            <w:pPr>
              <w:pStyle w:val="BoxListBullet"/>
            </w:pPr>
            <w:r>
              <w:t xml:space="preserve">The </w:t>
            </w:r>
            <w:r w:rsidRPr="00B60243">
              <w:t>F</w:t>
            </w:r>
            <w:r>
              <w:t xml:space="preserve">ood </w:t>
            </w:r>
            <w:r w:rsidRPr="00B60243">
              <w:t>P</w:t>
            </w:r>
            <w:r>
              <w:t xml:space="preserve">rocessing </w:t>
            </w:r>
            <w:r w:rsidRPr="00B60243">
              <w:t>I</w:t>
            </w:r>
            <w:r>
              <w:t xml:space="preserve">ndustry </w:t>
            </w:r>
            <w:r w:rsidRPr="00B60243">
              <w:t>S</w:t>
            </w:r>
            <w:r>
              <w:t xml:space="preserve">trategy </w:t>
            </w:r>
            <w:r w:rsidRPr="00B60243">
              <w:t>G</w:t>
            </w:r>
            <w:r>
              <w:t>roup</w:t>
            </w:r>
            <w:r w:rsidR="00B57563" w:rsidRPr="00B60243">
              <w:t xml:space="preserve"> (2012) reported a </w:t>
            </w:r>
            <w:r w:rsidR="00FC653C">
              <w:t xml:space="preserve">2011 </w:t>
            </w:r>
            <w:r w:rsidR="00B57563" w:rsidRPr="00B60243">
              <w:t>P</w:t>
            </w:r>
            <w:r w:rsidR="001F3D11">
              <w:t>rice</w:t>
            </w:r>
            <w:r w:rsidR="00B57563" w:rsidRPr="00B60243">
              <w:t>w</w:t>
            </w:r>
            <w:r w:rsidR="001F3D11">
              <w:t>aterhouse</w:t>
            </w:r>
            <w:r w:rsidR="00B57563" w:rsidRPr="00B60243">
              <w:t>C</w:t>
            </w:r>
            <w:r w:rsidR="001F3D11">
              <w:t>oopers</w:t>
            </w:r>
            <w:r w:rsidR="00B57563" w:rsidRPr="00B60243">
              <w:t xml:space="preserve"> survey that found </w:t>
            </w:r>
            <w:r w:rsidR="00306E67" w:rsidRPr="00B60243">
              <w:t xml:space="preserve">underutilisation of plant and equipment was an issue for </w:t>
            </w:r>
            <w:proofErr w:type="spellStart"/>
            <w:r w:rsidR="00306E67" w:rsidRPr="00B60243">
              <w:t>FBT</w:t>
            </w:r>
            <w:proofErr w:type="spellEnd"/>
            <w:r w:rsidR="00306E67" w:rsidRPr="00B60243">
              <w:t xml:space="preserve"> manufacturers — with around half of respondents citing market demand preventing greater sales. </w:t>
            </w:r>
          </w:p>
          <w:p w:rsidR="0079021D" w:rsidRPr="00B60243" w:rsidRDefault="0098077D" w:rsidP="00827A87">
            <w:pPr>
              <w:pStyle w:val="BoxListBullet"/>
            </w:pPr>
            <w:r w:rsidRPr="00B60243">
              <w:t xml:space="preserve">Spencer and Kneebone </w:t>
            </w:r>
            <w:r w:rsidR="00B57563" w:rsidRPr="00B60243">
              <w:t>(2012) identified u</w:t>
            </w:r>
            <w:r w:rsidR="0079021D" w:rsidRPr="00B60243">
              <w:t xml:space="preserve">nderutilisation of </w:t>
            </w:r>
            <w:r w:rsidR="003A37F8" w:rsidRPr="00B60243">
              <w:t xml:space="preserve">food </w:t>
            </w:r>
            <w:r w:rsidR="0079021D" w:rsidRPr="00B60243">
              <w:t xml:space="preserve">processing facilities </w:t>
            </w:r>
            <w:r w:rsidR="00B57563" w:rsidRPr="00B60243">
              <w:t>a</w:t>
            </w:r>
            <w:r w:rsidR="0079021D" w:rsidRPr="00B60243">
              <w:t>s a mature risk to the food supply chain</w:t>
            </w:r>
            <w:r w:rsidR="00BF25A0" w:rsidRPr="00B60243">
              <w:t xml:space="preserve">. </w:t>
            </w:r>
          </w:p>
          <w:p w:rsidR="00556A90" w:rsidRPr="00B60243" w:rsidRDefault="00556A90" w:rsidP="00556A90">
            <w:pPr>
              <w:pStyle w:val="BoxListBullet"/>
            </w:pPr>
            <w:r w:rsidRPr="00B60243">
              <w:t>Treasury Wine Estates and Accolade Wines entered into reciprocal bottling and packaging contracts in July 2012</w:t>
            </w:r>
            <w:r w:rsidR="00E91796" w:rsidRPr="00B60243">
              <w:t>.</w:t>
            </w:r>
            <w:r w:rsidRPr="00B60243">
              <w:t xml:space="preserve"> Accolade Wines </w:t>
            </w:r>
            <w:r w:rsidR="00E91796" w:rsidRPr="00B60243">
              <w:t xml:space="preserve">will </w:t>
            </w:r>
            <w:r w:rsidRPr="00B60243">
              <w:t xml:space="preserve">bottle for </w:t>
            </w:r>
            <w:r w:rsidR="00F00128" w:rsidRPr="00B60243">
              <w:t>Treasury Wine Estates</w:t>
            </w:r>
            <w:r w:rsidRPr="00B60243">
              <w:t xml:space="preserve"> in the U</w:t>
            </w:r>
            <w:r w:rsidR="001D0E45">
              <w:t xml:space="preserve">nited </w:t>
            </w:r>
            <w:r w:rsidRPr="00B60243">
              <w:t>K</w:t>
            </w:r>
            <w:r w:rsidR="001D0E45">
              <w:t>ingdom</w:t>
            </w:r>
            <w:r w:rsidRPr="00B60243">
              <w:t xml:space="preserve"> and </w:t>
            </w:r>
            <w:r w:rsidR="00F00128" w:rsidRPr="00B60243">
              <w:t>Treasury Wine Estates</w:t>
            </w:r>
            <w:r w:rsidRPr="00B60243">
              <w:t xml:space="preserve"> for Accolade Wines in Australia. </w:t>
            </w:r>
            <w:r w:rsidR="00F00128" w:rsidRPr="00B60243">
              <w:t>Treasury Wine Estates</w:t>
            </w:r>
            <w:r w:rsidRPr="00B60243">
              <w:t xml:space="preserve"> reported that this arrangement will allow them to use spare capacity in their Australian facilities.</w:t>
            </w:r>
            <w:r w:rsidR="007B1937" w:rsidRPr="00B60243">
              <w:t xml:space="preserve"> (T</w:t>
            </w:r>
            <w:r w:rsidR="007F4D95" w:rsidRPr="00B60243">
              <w:t>reasury Wine Estates</w:t>
            </w:r>
            <w:r w:rsidR="007B1937" w:rsidRPr="00B60243">
              <w:t xml:space="preserve"> 2012)</w:t>
            </w:r>
          </w:p>
          <w:p w:rsidR="00D3541B" w:rsidRPr="00B60243" w:rsidRDefault="00827A87" w:rsidP="00A448CB">
            <w:pPr>
              <w:pStyle w:val="Box"/>
              <w:rPr>
                <w:b/>
              </w:rPr>
            </w:pPr>
            <w:r w:rsidRPr="00B60243">
              <w:t>Reasons given for low utilisation rates include:</w:t>
            </w:r>
            <w:r w:rsidR="00A448CB" w:rsidRPr="00B60243">
              <w:t xml:space="preserve"> </w:t>
            </w:r>
            <w:r w:rsidRPr="00B60243">
              <w:t>seasonality of supply of raw materials</w:t>
            </w:r>
            <w:r w:rsidR="00A448CB" w:rsidRPr="00B60243">
              <w:t xml:space="preserve">, </w:t>
            </w:r>
            <w:r w:rsidRPr="00B60243">
              <w:t>misjudgements about the likely rapidity of growth</w:t>
            </w:r>
            <w:r w:rsidR="00A448CB" w:rsidRPr="00B60243">
              <w:t xml:space="preserve"> of domestic and export markets, and </w:t>
            </w:r>
            <w:r w:rsidRPr="00B60243">
              <w:t>the unavailability of ‘off</w:t>
            </w:r>
            <w:r w:rsidR="00E36E7F">
              <w:noBreakHyphen/>
            </w:r>
            <w:r w:rsidRPr="00B60243">
              <w:t>the</w:t>
            </w:r>
            <w:r w:rsidR="00E36E7F">
              <w:noBreakHyphen/>
            </w:r>
            <w:r w:rsidRPr="00B60243">
              <w:t>shelf’ smaller sets of plant and equipment (</w:t>
            </w:r>
            <w:proofErr w:type="spellStart"/>
            <w:r w:rsidRPr="00B60243">
              <w:t>AFFA</w:t>
            </w:r>
            <w:proofErr w:type="spellEnd"/>
            <w:r w:rsidRPr="00B60243">
              <w:t xml:space="preserve"> 2000)</w:t>
            </w:r>
            <w:r w:rsidR="00A448CB" w:rsidRPr="00B60243">
              <w:t xml:space="preserve">; and </w:t>
            </w:r>
            <w:r w:rsidRPr="00B60243">
              <w:t xml:space="preserve">lack </w:t>
            </w:r>
            <w:r w:rsidR="0091198E" w:rsidRPr="00B60243">
              <w:t>of market demand (</w:t>
            </w:r>
            <w:r w:rsidR="00FF52B5" w:rsidRPr="00B60243">
              <w:t>F</w:t>
            </w:r>
            <w:r w:rsidR="00FF52B5">
              <w:t xml:space="preserve">ood </w:t>
            </w:r>
            <w:r w:rsidR="00FF52B5" w:rsidRPr="00B60243">
              <w:t>P</w:t>
            </w:r>
            <w:r w:rsidR="00FF52B5">
              <w:t xml:space="preserve">rocessing </w:t>
            </w:r>
            <w:r w:rsidR="00FF52B5" w:rsidRPr="00B60243">
              <w:t>I</w:t>
            </w:r>
            <w:r w:rsidR="00FF52B5">
              <w:t xml:space="preserve">ndustry </w:t>
            </w:r>
            <w:r w:rsidR="00FF52B5" w:rsidRPr="00B60243">
              <w:t>S</w:t>
            </w:r>
            <w:r w:rsidR="00FF52B5">
              <w:t xml:space="preserve">trategy </w:t>
            </w:r>
            <w:r w:rsidR="00FF52B5" w:rsidRPr="00B60243">
              <w:t>G</w:t>
            </w:r>
            <w:r w:rsidR="00FF52B5">
              <w:t>roup</w:t>
            </w:r>
            <w:r w:rsidR="0091198E" w:rsidRPr="00B60243">
              <w:t xml:space="preserve"> 2012). </w:t>
            </w:r>
          </w:p>
        </w:tc>
      </w:tr>
      <w:tr w:rsidR="00EE5FEC" w:rsidRPr="00B60243" w:rsidTr="00E266C5">
        <w:trPr>
          <w:cantSplit/>
        </w:trPr>
        <w:tc>
          <w:tcPr>
            <w:tcW w:w="8771" w:type="dxa"/>
            <w:tcBorders>
              <w:top w:val="nil"/>
              <w:left w:val="single" w:sz="6" w:space="0" w:color="auto"/>
              <w:bottom w:val="single" w:sz="6" w:space="0" w:color="auto"/>
              <w:right w:val="single" w:sz="6" w:space="0" w:color="auto"/>
            </w:tcBorders>
          </w:tcPr>
          <w:p w:rsidR="00EE5FEC" w:rsidRPr="00B60243" w:rsidRDefault="00EE5FEC" w:rsidP="00E266C5">
            <w:pPr>
              <w:pStyle w:val="Box"/>
              <w:spacing w:before="0" w:line="120" w:lineRule="exact"/>
            </w:pPr>
          </w:p>
        </w:tc>
      </w:tr>
      <w:tr w:rsidR="00EE5FEC" w:rsidRPr="00B60243" w:rsidTr="00E266C5">
        <w:tc>
          <w:tcPr>
            <w:tcW w:w="8771" w:type="dxa"/>
            <w:tcBorders>
              <w:top w:val="nil"/>
              <w:left w:val="nil"/>
              <w:bottom w:val="nil"/>
              <w:right w:val="nil"/>
            </w:tcBorders>
          </w:tcPr>
          <w:p w:rsidR="00EE5FEC" w:rsidRPr="00B60243" w:rsidRDefault="00EE5FEC" w:rsidP="00E266C5">
            <w:pPr>
              <w:pStyle w:val="BoxSpaceBelow"/>
            </w:pPr>
          </w:p>
        </w:tc>
      </w:tr>
    </w:tbl>
    <w:p w:rsidR="00561A75" w:rsidRPr="00B60243" w:rsidRDefault="00561A75" w:rsidP="00561A75">
      <w:pPr>
        <w:pStyle w:val="BodyText"/>
      </w:pPr>
      <w:r w:rsidRPr="00B60243">
        <w:t xml:space="preserve">No specific measures of </w:t>
      </w:r>
      <w:proofErr w:type="spellStart"/>
      <w:r w:rsidRPr="00B60243">
        <w:t>FBT</w:t>
      </w:r>
      <w:proofErr w:type="spellEnd"/>
      <w:r w:rsidRPr="00B60243">
        <w:t xml:space="preserve"> utilisation rates over time are available</w:t>
      </w:r>
      <w:r w:rsidR="00220440" w:rsidRPr="00B60243">
        <w:t>.</w:t>
      </w:r>
      <w:r w:rsidRPr="00B60243">
        <w:t xml:space="preserve"> Anecdotal evidence suggests that:</w:t>
      </w:r>
    </w:p>
    <w:p w:rsidR="00561A75" w:rsidRPr="00B60243" w:rsidRDefault="00EE144C" w:rsidP="00561A75">
      <w:pPr>
        <w:pStyle w:val="ListBullet"/>
      </w:pPr>
      <w:r>
        <w:t>A</w:t>
      </w:r>
      <w:r w:rsidR="00561A75" w:rsidRPr="00B60243">
        <w:t xml:space="preserve"> fall in utilisation rates is plausible for those </w:t>
      </w:r>
      <w:proofErr w:type="spellStart"/>
      <w:r w:rsidR="00561A75" w:rsidRPr="00B60243">
        <w:t>FBT</w:t>
      </w:r>
      <w:proofErr w:type="spellEnd"/>
      <w:r w:rsidR="00561A75" w:rsidRPr="00B60243">
        <w:t xml:space="preserve"> manufacturers experiencing </w:t>
      </w:r>
      <w:r w:rsidR="004A55BD" w:rsidRPr="00B60243">
        <w:t xml:space="preserve">a loss of competitiveness and </w:t>
      </w:r>
      <w:r w:rsidR="00776494" w:rsidRPr="00B60243">
        <w:t>increased import competition</w:t>
      </w:r>
      <w:r w:rsidR="00561A75" w:rsidRPr="00B60243">
        <w:t xml:space="preserve">. However, this may </w:t>
      </w:r>
      <w:r w:rsidR="000C0BAA" w:rsidRPr="00B60243">
        <w:t>have been</w:t>
      </w:r>
      <w:r w:rsidR="00561A75" w:rsidRPr="00B60243">
        <w:t xml:space="preserve"> a larger influence in the incomplete cycle than </w:t>
      </w:r>
      <w:r w:rsidR="000C0BAA" w:rsidRPr="00B60243">
        <w:t xml:space="preserve">in </w:t>
      </w:r>
      <w:r w:rsidR="00561A75" w:rsidRPr="00B60243">
        <w:t>cycle 4</w:t>
      </w:r>
      <w:r>
        <w:t>.</w:t>
      </w:r>
      <w:r w:rsidR="00561A75" w:rsidRPr="00B60243">
        <w:t xml:space="preserve"> </w:t>
      </w:r>
    </w:p>
    <w:p w:rsidR="00306D40" w:rsidRPr="00B60243" w:rsidRDefault="00EE144C" w:rsidP="008E3DCC">
      <w:pPr>
        <w:pStyle w:val="ListBullet"/>
      </w:pPr>
      <w:r>
        <w:t>C</w:t>
      </w:r>
      <w:r w:rsidR="00561A75" w:rsidRPr="00B60243">
        <w:t xml:space="preserve">apacity utilisation in Wine may have decreased as a result of recent lower production and VA levels (this is discussed in section </w:t>
      </w:r>
      <w:r w:rsidR="009B4D57" w:rsidRPr="00B60243">
        <w:t>5.4</w:t>
      </w:r>
      <w:r w:rsidR="00561A75" w:rsidRPr="00B60243">
        <w:t>)</w:t>
      </w:r>
      <w:r>
        <w:t>.</w:t>
      </w:r>
    </w:p>
    <w:p w:rsidR="008E3DCC" w:rsidRPr="00B60243" w:rsidRDefault="00EE144C" w:rsidP="00561A75">
      <w:pPr>
        <w:pStyle w:val="ListBullet"/>
      </w:pPr>
      <w:r>
        <w:lastRenderedPageBreak/>
        <w:t>I</w:t>
      </w:r>
      <w:r w:rsidR="002A0989" w:rsidRPr="00B60243">
        <w:t>n</w:t>
      </w:r>
      <w:r w:rsidR="00561A75" w:rsidRPr="00B60243">
        <w:t xml:space="preserve"> Dairy manufacturing </w:t>
      </w:r>
      <w:r w:rsidR="002A0989" w:rsidRPr="00B60243">
        <w:t xml:space="preserve">there </w:t>
      </w:r>
      <w:r w:rsidR="00DB4690" w:rsidRPr="00B60243">
        <w:t xml:space="preserve">have been some reductions in the </w:t>
      </w:r>
      <w:r w:rsidR="00561A75" w:rsidRPr="00B60243">
        <w:t xml:space="preserve">excess processing capacity </w:t>
      </w:r>
      <w:r w:rsidR="00DB4690" w:rsidRPr="00B60243">
        <w:t xml:space="preserve">that existed </w:t>
      </w:r>
      <w:r w:rsidR="00561A75" w:rsidRPr="00B60243">
        <w:t xml:space="preserve">after the reductions in milk supply </w:t>
      </w:r>
      <w:r w:rsidR="00013106" w:rsidRPr="00B60243">
        <w:t>following</w:t>
      </w:r>
      <w:r w:rsidR="00561A75" w:rsidRPr="00B60243">
        <w:t xml:space="preserve"> </w:t>
      </w:r>
      <w:r w:rsidR="005F26A5" w:rsidRPr="00B60243">
        <w:t xml:space="preserve">the </w:t>
      </w:r>
      <w:r w:rsidR="00561A75" w:rsidRPr="00B60243">
        <w:t>rationalisation of dairy farming in 2000</w:t>
      </w:r>
      <w:r w:rsidR="00B8240D" w:rsidRPr="00B60243">
        <w:t>.</w:t>
      </w:r>
      <w:r w:rsidR="008E3DCC" w:rsidRPr="00B60243">
        <w:t xml:space="preserve"> </w:t>
      </w:r>
    </w:p>
    <w:p w:rsidR="00561A75" w:rsidRPr="00B60243" w:rsidRDefault="002A0989" w:rsidP="002A0989">
      <w:pPr>
        <w:pStyle w:val="Quote"/>
      </w:pPr>
      <w:r w:rsidRPr="00B60243">
        <w:t xml:space="preserve">As in the farm sector, the milk processing sector is undergoing continuing rationalisation. This has resulted in improved factory capacity, as larger operations have improved their efficiency and economies of scale. The lack of growth in milk production over the past </w:t>
      </w:r>
      <w:r w:rsidR="003A37F8" w:rsidRPr="00B60243">
        <w:t xml:space="preserve">decade </w:t>
      </w:r>
      <w:r w:rsidRPr="00B60243">
        <w:t>has relieved the pressure on Australian dairy companies to continue to invest in increasing processing capacity</w:t>
      </w:r>
      <w:r w:rsidR="00E36E7F">
        <w:t xml:space="preserve"> </w:t>
      </w:r>
      <w:r w:rsidRPr="00B60243">
        <w:t>—</w:t>
      </w:r>
      <w:r w:rsidR="00E36E7F">
        <w:t xml:space="preserve"> </w:t>
      </w:r>
      <w:r w:rsidRPr="00B60243">
        <w:t>at least in the short to medium term. Instead, the challenge has been to remove surplus capacity</w:t>
      </w:r>
      <w:r w:rsidR="0061157A" w:rsidRPr="00B60243">
        <w:t xml:space="preserve"> </w:t>
      </w:r>
      <w:r w:rsidRPr="00B60243">
        <w:t>and to utilise the existing capacity as profitably as possible. (Dairy Australia 2013)</w:t>
      </w:r>
    </w:p>
    <w:p w:rsidR="00561A75" w:rsidRPr="00B60243" w:rsidRDefault="00561A75" w:rsidP="00561A75">
      <w:pPr>
        <w:pStyle w:val="BodyText"/>
      </w:pPr>
      <w:r w:rsidRPr="00B60243">
        <w:t xml:space="preserve">The net effect of change in utilisation rates in different parts of </w:t>
      </w:r>
      <w:proofErr w:type="spellStart"/>
      <w:r w:rsidRPr="00B60243">
        <w:t>FBT</w:t>
      </w:r>
      <w:proofErr w:type="spellEnd"/>
      <w:r w:rsidRPr="00B60243">
        <w:t xml:space="preserve"> is </w:t>
      </w:r>
      <w:r w:rsidR="00EC294B" w:rsidRPr="00B60243">
        <w:t xml:space="preserve">not </w:t>
      </w:r>
      <w:r w:rsidRPr="00B60243">
        <w:t>known.</w:t>
      </w:r>
    </w:p>
    <w:p w:rsidR="00D64966" w:rsidRPr="00B60243" w:rsidRDefault="00D64966" w:rsidP="00D64966">
      <w:pPr>
        <w:pStyle w:val="Heading5"/>
      </w:pPr>
      <w:bookmarkStart w:id="38" w:name="OLE_LINK19"/>
      <w:r w:rsidRPr="00B60243">
        <w:t>Unmeasured retirements of capital?</w:t>
      </w:r>
    </w:p>
    <w:p w:rsidR="00D64966" w:rsidRPr="00B60243" w:rsidRDefault="00D64966" w:rsidP="00D64966">
      <w:pPr>
        <w:pStyle w:val="BodyText"/>
      </w:pPr>
      <w:r w:rsidRPr="00B60243">
        <w:t>A complicating factor in the measurement of capital is that some capital that has been retired from production may still remain ‘on the books’ in the statistics.</w:t>
      </w:r>
      <w:r w:rsidR="00033A79" w:rsidRPr="00B60243">
        <w:rPr>
          <w:rStyle w:val="FootnoteReference"/>
        </w:rPr>
        <w:footnoteReference w:id="25"/>
      </w:r>
      <w:r w:rsidRPr="00B60243">
        <w:t xml:space="preserve"> This may occur</w:t>
      </w:r>
      <w:r w:rsidR="007E6151" w:rsidRPr="00B60243">
        <w:t>, for example,</w:t>
      </w:r>
      <w:r w:rsidRPr="00B60243">
        <w:t xml:space="preserve"> in some cases when machinery and equipment is scrapped early to reduce production capacity. </w:t>
      </w:r>
      <w:r w:rsidR="00967B76" w:rsidRPr="00B60243">
        <w:t xml:space="preserve">Reductions in the capital stock as a result of factory closures </w:t>
      </w:r>
      <w:r w:rsidR="007E6151" w:rsidRPr="00B60243">
        <w:t xml:space="preserve">also </w:t>
      </w:r>
      <w:r w:rsidR="00967B76" w:rsidRPr="00B60243">
        <w:t xml:space="preserve">may not be fully reflected in the measures of capital, while </w:t>
      </w:r>
      <w:r w:rsidR="00495A73" w:rsidRPr="00B60243">
        <w:t xml:space="preserve">the capital associated with </w:t>
      </w:r>
      <w:r w:rsidR="00967B76" w:rsidRPr="00B60243">
        <w:t xml:space="preserve">new factories </w:t>
      </w:r>
      <w:r w:rsidR="00495A73" w:rsidRPr="00B60243">
        <w:t>will be measured</w:t>
      </w:r>
      <w:r w:rsidR="00967B76" w:rsidRPr="00B60243">
        <w:t xml:space="preserve">. </w:t>
      </w:r>
      <w:r w:rsidR="00A852AA">
        <w:t>Part of the decline in measured productivity may be attributable to this capital that remains on the books but is no longer producing output.</w:t>
      </w:r>
      <w:r w:rsidRPr="00B60243">
        <w:t xml:space="preserve"> </w:t>
      </w:r>
    </w:p>
    <w:p w:rsidR="00D64966" w:rsidRDefault="00D64966" w:rsidP="00D64966">
      <w:pPr>
        <w:pStyle w:val="BodyText"/>
      </w:pPr>
      <w:r w:rsidRPr="00B60243">
        <w:t xml:space="preserve">The capital services estimates for </w:t>
      </w:r>
      <w:proofErr w:type="spellStart"/>
      <w:r w:rsidRPr="00B60243">
        <w:t>FBT</w:t>
      </w:r>
      <w:proofErr w:type="spellEnd"/>
      <w:r w:rsidRPr="00B60243">
        <w:t xml:space="preserve"> </w:t>
      </w:r>
      <w:r w:rsidR="007E6151" w:rsidRPr="00B60243">
        <w:t xml:space="preserve">manufacturing </w:t>
      </w:r>
      <w:r w:rsidR="00967B76" w:rsidRPr="00B60243">
        <w:t xml:space="preserve">in this paper </w:t>
      </w:r>
      <w:r w:rsidRPr="00B60243">
        <w:t>assume that capital is not retired before it is fully depreciated and the asset life and age</w:t>
      </w:r>
      <w:r w:rsidR="00E36E7F">
        <w:noBreakHyphen/>
      </w:r>
      <w:r w:rsidRPr="00B60243">
        <w:t xml:space="preserve">efficiency assumptions are the same as those used by the ABS for </w:t>
      </w:r>
      <w:r w:rsidR="00753370" w:rsidRPr="00B60243">
        <w:t>M</w:t>
      </w:r>
      <w:r w:rsidRPr="00B60243">
        <w:t xml:space="preserve">anufacturing </w:t>
      </w:r>
      <w:r w:rsidR="00753370" w:rsidRPr="00B60243">
        <w:t xml:space="preserve">as a whole </w:t>
      </w:r>
      <w:r w:rsidRPr="00B60243">
        <w:t xml:space="preserve">(appendix A). The above discussion has identified possible changes in the </w:t>
      </w:r>
      <w:proofErr w:type="spellStart"/>
      <w:r w:rsidRPr="00B60243">
        <w:t>FBT</w:t>
      </w:r>
      <w:proofErr w:type="spellEnd"/>
      <w:r w:rsidRPr="00B60243">
        <w:t xml:space="preserve"> product mix and the </w:t>
      </w:r>
      <w:r w:rsidR="00967B76" w:rsidRPr="00B60243">
        <w:t xml:space="preserve">associated </w:t>
      </w:r>
      <w:r w:rsidRPr="00B60243">
        <w:t xml:space="preserve">capital requirements. </w:t>
      </w:r>
      <w:r w:rsidR="00967B76" w:rsidRPr="00B60243">
        <w:t xml:space="preserve">And there are a number of examples of </w:t>
      </w:r>
      <w:proofErr w:type="spellStart"/>
      <w:r w:rsidR="007E6151" w:rsidRPr="00B60243">
        <w:t>FBT</w:t>
      </w:r>
      <w:proofErr w:type="spellEnd"/>
      <w:r w:rsidR="007E6151" w:rsidRPr="00B60243">
        <w:t xml:space="preserve"> </w:t>
      </w:r>
      <w:r w:rsidR="00967B76" w:rsidRPr="00B60243">
        <w:t>plants closures</w:t>
      </w:r>
      <w:r w:rsidR="007B41F6">
        <w:t xml:space="preserve"> and consolidations</w:t>
      </w:r>
      <w:r w:rsidR="00967B76" w:rsidRPr="00B60243">
        <w:t xml:space="preserve"> </w:t>
      </w:r>
      <w:r w:rsidR="00495A73" w:rsidRPr="00B60243">
        <w:t>(box</w:t>
      </w:r>
      <w:r w:rsidR="007B41F6">
        <w:t> </w:t>
      </w:r>
      <w:r w:rsidR="00B072C2" w:rsidRPr="00B60243">
        <w:t>5.8</w:t>
      </w:r>
      <w:r w:rsidR="00495A73" w:rsidRPr="00B60243">
        <w:t xml:space="preserve">). </w:t>
      </w:r>
      <w:r w:rsidRPr="00B60243">
        <w:t>However, data are not available to test for an increase in unmeasured retirements of capital</w:t>
      </w:r>
      <w:r w:rsidR="00770727" w:rsidRPr="00B60243">
        <w:t xml:space="preserve"> in </w:t>
      </w:r>
      <w:proofErr w:type="spellStart"/>
      <w:r w:rsidR="00770727" w:rsidRPr="00B60243">
        <w:t>FBT</w:t>
      </w:r>
      <w:proofErr w:type="spellEnd"/>
      <w:r w:rsidR="00770727" w:rsidRPr="00B60243">
        <w:t xml:space="preserve"> manufacturing during cycle 4</w:t>
      </w:r>
      <w:r w:rsidRPr="00B60243">
        <w:t>.</w:t>
      </w:r>
      <w:r w:rsidR="00967B76" w:rsidRPr="00B60243">
        <w:t xml:space="preserve"> </w:t>
      </w:r>
    </w:p>
    <w:p w:rsidR="00B07EA4" w:rsidRPr="00B60243" w:rsidRDefault="00B07EA4" w:rsidP="00D64966">
      <w:pPr>
        <w:pStyle w:val="BodyText"/>
      </w:pPr>
      <w:r w:rsidRPr="00B60243">
        <w:t xml:space="preserve">Lags between when investment is recorded and when it produces output can also depress measured MFP in the short term. However, this is less likely to be a significant issue for </w:t>
      </w:r>
      <w:proofErr w:type="spellStart"/>
      <w:r w:rsidRPr="00B60243">
        <w:t>FBT</w:t>
      </w:r>
      <w:proofErr w:type="spellEnd"/>
      <w:r w:rsidRPr="00B60243">
        <w:t xml:space="preserve"> than other parts of the economy with very large multi</w:t>
      </w:r>
      <w:r w:rsidR="00E36E7F">
        <w:noBreakHyphen/>
      </w:r>
      <w:r w:rsidRPr="00B60243">
        <w:t xml:space="preserve">year investment projects, such as Mining and some parts of Metal products manufacturing (which is discussed in chapter 6). </w:t>
      </w:r>
    </w:p>
    <w:p w:rsidR="00495A73" w:rsidRPr="00B60243" w:rsidRDefault="00495A7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95A73" w:rsidRPr="009D3338">
        <w:tc>
          <w:tcPr>
            <w:tcW w:w="8771" w:type="dxa"/>
            <w:tcBorders>
              <w:top w:val="single" w:sz="6" w:space="0" w:color="auto"/>
              <w:bottom w:val="nil"/>
            </w:tcBorders>
          </w:tcPr>
          <w:p w:rsidR="00495A73" w:rsidRPr="00D57EDF" w:rsidRDefault="00495A73" w:rsidP="00FC653C">
            <w:pPr>
              <w:pStyle w:val="BoxTitle"/>
              <w:rPr>
                <w:sz w:val="24"/>
              </w:rPr>
            </w:pPr>
            <w:r w:rsidRPr="00D57EDF">
              <w:rPr>
                <w:b w:val="0"/>
                <w:sz w:val="24"/>
              </w:rPr>
              <w:t xml:space="preserve">Box </w:t>
            </w:r>
            <w:bookmarkStart w:id="39" w:name="OLE_LINK30"/>
            <w:r w:rsidR="00B072C2" w:rsidRPr="00D57EDF">
              <w:rPr>
                <w:b w:val="0"/>
                <w:sz w:val="24"/>
              </w:rPr>
              <w:t>5.</w:t>
            </w:r>
            <w:r w:rsidR="002E061A">
              <w:rPr>
                <w:b w:val="0"/>
                <w:noProof/>
                <w:sz w:val="24"/>
              </w:rPr>
              <w:t>8</w:t>
            </w:r>
            <w:bookmarkEnd w:id="39"/>
            <w:r w:rsidRPr="00D57EDF">
              <w:rPr>
                <w:sz w:val="24"/>
              </w:rPr>
              <w:tab/>
            </w:r>
            <w:r w:rsidR="00711D2F" w:rsidRPr="00D57EDF">
              <w:rPr>
                <w:sz w:val="24"/>
              </w:rPr>
              <w:t>Some c</w:t>
            </w:r>
            <w:r w:rsidRPr="00D57EDF">
              <w:rPr>
                <w:sz w:val="24"/>
              </w:rPr>
              <w:t>losures</w:t>
            </w:r>
            <w:r w:rsidR="00FC653C" w:rsidRPr="00D57EDF">
              <w:rPr>
                <w:sz w:val="24"/>
              </w:rPr>
              <w:t xml:space="preserve"> and consolidations in </w:t>
            </w:r>
            <w:proofErr w:type="spellStart"/>
            <w:r w:rsidR="00FC653C" w:rsidRPr="00D57EDF">
              <w:rPr>
                <w:sz w:val="24"/>
              </w:rPr>
              <w:t>FBT</w:t>
            </w:r>
            <w:proofErr w:type="spellEnd"/>
          </w:p>
        </w:tc>
      </w:tr>
      <w:tr w:rsidR="00495A73" w:rsidRPr="00B60243">
        <w:trPr>
          <w:cantSplit/>
        </w:trPr>
        <w:tc>
          <w:tcPr>
            <w:tcW w:w="8771" w:type="dxa"/>
            <w:tcBorders>
              <w:top w:val="nil"/>
              <w:left w:val="single" w:sz="6" w:space="0" w:color="auto"/>
              <w:bottom w:val="nil"/>
              <w:right w:val="single" w:sz="6" w:space="0" w:color="auto"/>
            </w:tcBorders>
          </w:tcPr>
          <w:p w:rsidR="00C1071E" w:rsidRPr="00B60243" w:rsidRDefault="00C1071E" w:rsidP="00352322">
            <w:pPr>
              <w:pStyle w:val="Box"/>
            </w:pPr>
            <w:r w:rsidRPr="00B60243">
              <w:t xml:space="preserve">A number of closures and consolidation of </w:t>
            </w:r>
            <w:proofErr w:type="spellStart"/>
            <w:r w:rsidRPr="00B60243">
              <w:t>FBT</w:t>
            </w:r>
            <w:proofErr w:type="spellEnd"/>
            <w:r w:rsidRPr="00B60243">
              <w:t xml:space="preserve"> plants have occurred over the period examined in this study. For example:</w:t>
            </w:r>
          </w:p>
          <w:p w:rsidR="00C1071E" w:rsidRPr="00B60243" w:rsidRDefault="00C1071E" w:rsidP="00C1071E">
            <w:pPr>
              <w:pStyle w:val="BoxListBullet"/>
              <w:spacing w:before="60"/>
            </w:pPr>
            <w:r w:rsidRPr="00B60243">
              <w:t>in April 2003, Foster’s Group Limited (2003) announced the closure of its Kent B</w:t>
            </w:r>
            <w:r w:rsidR="00352322" w:rsidRPr="00B60243">
              <w:t>rewery in NSW by February 2005</w:t>
            </w:r>
          </w:p>
          <w:p w:rsidR="00C1071E" w:rsidRPr="00B60243" w:rsidRDefault="00C1071E" w:rsidP="00C1071E">
            <w:pPr>
              <w:pStyle w:val="BoxListBullet"/>
              <w:spacing w:before="60"/>
            </w:pPr>
            <w:r w:rsidRPr="00B60243">
              <w:t xml:space="preserve">in July 2003, Simplot announced the closure of its pie factory in Kensington after selling its bakery business brands to </w:t>
            </w:r>
            <w:r w:rsidR="00352322" w:rsidRPr="00B60243">
              <w:t>Patties Bakery (</w:t>
            </w:r>
            <w:r w:rsidR="0043000A" w:rsidRPr="00B60243">
              <w:t>Das 2003</w:t>
            </w:r>
            <w:r w:rsidR="0064412D" w:rsidRPr="00B60243">
              <w:t>)</w:t>
            </w:r>
          </w:p>
          <w:p w:rsidR="00C1071E" w:rsidRPr="00B60243" w:rsidRDefault="00C1071E" w:rsidP="00C1071E">
            <w:pPr>
              <w:pStyle w:val="BoxListBullet"/>
              <w:spacing w:before="60"/>
            </w:pPr>
            <w:r w:rsidRPr="00B60243">
              <w:t xml:space="preserve">in 2004, George Weston Foods closed its Camperdown and Abbotsford manufacturing sites (George Weston Foods </w:t>
            </w:r>
            <w:r w:rsidR="00352322" w:rsidRPr="00B60243">
              <w:t>2013)</w:t>
            </w:r>
          </w:p>
          <w:p w:rsidR="00C1071E" w:rsidRPr="00B60243" w:rsidRDefault="00C1071E" w:rsidP="00C1071E">
            <w:pPr>
              <w:pStyle w:val="BoxListBullet"/>
              <w:spacing w:before="60"/>
            </w:pPr>
            <w:r w:rsidRPr="00B60243">
              <w:t xml:space="preserve">in September 2004, </w:t>
            </w:r>
            <w:proofErr w:type="spellStart"/>
            <w:r w:rsidRPr="00B60243">
              <w:t>Parmalat</w:t>
            </w:r>
            <w:proofErr w:type="spellEnd"/>
            <w:r w:rsidRPr="00B60243">
              <w:t xml:space="preserve"> Australia announced the closure of its soft cheese and butter factory in Warwick, Queensland (Sydney Morning Herald 2004)</w:t>
            </w:r>
          </w:p>
          <w:p w:rsidR="00C1071E" w:rsidRPr="00B60243" w:rsidRDefault="00C1071E" w:rsidP="00C1071E">
            <w:pPr>
              <w:pStyle w:val="BoxListBullet"/>
              <w:spacing w:before="60"/>
            </w:pPr>
            <w:r w:rsidRPr="00B60243">
              <w:t xml:space="preserve">in August 2005, Foster’s Group </w:t>
            </w:r>
            <w:r w:rsidR="0065266B" w:rsidRPr="00B60243">
              <w:t xml:space="preserve">Limited </w:t>
            </w:r>
            <w:r w:rsidRPr="00B60243">
              <w:t>(</w:t>
            </w:r>
            <w:proofErr w:type="spellStart"/>
            <w:r w:rsidRPr="00B60243">
              <w:t>2005</w:t>
            </w:r>
            <w:r w:rsidR="006B39CF">
              <w:t>a</w:t>
            </w:r>
            <w:proofErr w:type="spellEnd"/>
            <w:r w:rsidRPr="00B60243">
              <w:t>) announced its intention to sell its Lower Hunter Valley winery and the smaller of its Coonawarr</w:t>
            </w:r>
            <w:r w:rsidR="00352322" w:rsidRPr="00B60243">
              <w:t>a wineries as soon as practical</w:t>
            </w:r>
          </w:p>
          <w:p w:rsidR="00C1071E" w:rsidRPr="00B60243" w:rsidRDefault="00C1071E" w:rsidP="00C1071E">
            <w:pPr>
              <w:pStyle w:val="BoxListBullet"/>
              <w:spacing w:before="60"/>
            </w:pPr>
            <w:r w:rsidRPr="00B60243">
              <w:t>in January 2006, Kraft announced the closure of a biscuit plant in Broadmeadows shifting production to China (Sydney Morning Herald</w:t>
            </w:r>
            <w:r w:rsidR="00352322" w:rsidRPr="00B60243">
              <w:t xml:space="preserve"> 2006)</w:t>
            </w:r>
          </w:p>
          <w:p w:rsidR="00C1071E" w:rsidRPr="00B60243" w:rsidRDefault="00C1071E" w:rsidP="00C1071E">
            <w:pPr>
              <w:pStyle w:val="BoxListBullet"/>
              <w:spacing w:before="60"/>
            </w:pPr>
            <w:r w:rsidRPr="00B60243">
              <w:t xml:space="preserve">in June 2006, Foster’s Group </w:t>
            </w:r>
            <w:r w:rsidR="0065266B" w:rsidRPr="00B60243">
              <w:t xml:space="preserve">Limited </w:t>
            </w:r>
            <w:r w:rsidRPr="00B60243">
              <w:t xml:space="preserve">(2006) announced its intention to sell two Australian wineries, as well as surplus production and packaging facilities in the Upper Hunter Valley, Barossa Valley, and selected facilities at </w:t>
            </w:r>
            <w:proofErr w:type="spellStart"/>
            <w:r w:rsidRPr="00B60243">
              <w:t>Penfolds</w:t>
            </w:r>
            <w:proofErr w:type="spellEnd"/>
            <w:r w:rsidRPr="00B60243">
              <w:t xml:space="preserve"> Nurio</w:t>
            </w:r>
            <w:r w:rsidR="00352322" w:rsidRPr="00B60243">
              <w:t>otpa</w:t>
            </w:r>
          </w:p>
          <w:p w:rsidR="00C1071E" w:rsidRPr="00B60243" w:rsidRDefault="00C1071E" w:rsidP="00C1071E">
            <w:pPr>
              <w:pStyle w:val="BoxListBullet"/>
              <w:spacing w:before="60"/>
            </w:pPr>
            <w:r w:rsidRPr="00B60243">
              <w:t>in June 2007, Foster’s Group Limited (2007) announced that it would cease beer production at its North Fremantle brewery by the end of September, with production sh</w:t>
            </w:r>
            <w:r w:rsidR="00352322" w:rsidRPr="00B60243">
              <w:t>ifting to other Foster’s sites</w:t>
            </w:r>
          </w:p>
          <w:p w:rsidR="00C1071E" w:rsidRPr="00B60243" w:rsidRDefault="00C1071E" w:rsidP="00C1071E">
            <w:pPr>
              <w:pStyle w:val="BoxListBullet"/>
              <w:spacing w:before="60"/>
            </w:pPr>
            <w:r w:rsidRPr="00B60243">
              <w:t>in November 2007, Hardy Wine Company announced that from 2008, winemaking and packaging at its Buronga winery would be consolidated to its Berri Estates win</w:t>
            </w:r>
            <w:r w:rsidR="00352322" w:rsidRPr="00B60243">
              <w:t>ery (Constellation Brands</w:t>
            </w:r>
            <w:r w:rsidR="00EB08B3" w:rsidRPr="00B60243">
              <w:t xml:space="preserve"> Incorporated</w:t>
            </w:r>
            <w:r w:rsidR="00352322" w:rsidRPr="00B60243">
              <w:t xml:space="preserve"> 2007)</w:t>
            </w:r>
          </w:p>
          <w:p w:rsidR="00C1071E" w:rsidRPr="00B60243" w:rsidRDefault="00C1071E" w:rsidP="00C1071E">
            <w:pPr>
              <w:pStyle w:val="BoxListBullet"/>
              <w:spacing w:before="60"/>
            </w:pPr>
            <w:r w:rsidRPr="00B60243">
              <w:t>in April 2008, Campbell Arnott’s announced plans to close its Players biscuit and chocolate factory in Sydney, shifting production of Arnott's branded products to other facilities in Australia (</w:t>
            </w:r>
            <w:r w:rsidR="00836F43" w:rsidRPr="00B60243">
              <w:t>West</w:t>
            </w:r>
            <w:r w:rsidR="00352322" w:rsidRPr="00B60243">
              <w:t xml:space="preserve"> 2008)</w:t>
            </w:r>
          </w:p>
          <w:p w:rsidR="00C1071E" w:rsidRPr="00B60243" w:rsidRDefault="00C1071E" w:rsidP="00C1071E">
            <w:pPr>
              <w:pStyle w:val="BoxListBullet"/>
              <w:spacing w:before="60"/>
            </w:pPr>
            <w:r w:rsidRPr="00B60243">
              <w:t xml:space="preserve">in August 2008, Constellation Wines Australia (formerly Hardy Wine Company) announced its intention to sell three of 10 production facilities, in addition to the sale of more than 20 vineyard properties; consolidation of bottling operations; portfolio streamlining and rationalization of more than 30 per cent of the company's Australian </w:t>
            </w:r>
            <w:r w:rsidR="00487C45" w:rsidRPr="00B60243">
              <w:t>product lines</w:t>
            </w:r>
            <w:r w:rsidRPr="00B60243">
              <w:t xml:space="preserve"> </w:t>
            </w:r>
            <w:r w:rsidR="00352322" w:rsidRPr="00B60243">
              <w:t xml:space="preserve">(Constellation Brands </w:t>
            </w:r>
            <w:r w:rsidR="00EB08B3" w:rsidRPr="00B60243">
              <w:t xml:space="preserve">Incorporated </w:t>
            </w:r>
            <w:r w:rsidR="00352322" w:rsidRPr="00B60243">
              <w:t>2008)</w:t>
            </w:r>
          </w:p>
          <w:p w:rsidR="00C1071E" w:rsidRPr="00B60243" w:rsidRDefault="00C1071E" w:rsidP="00C1071E">
            <w:pPr>
              <w:pStyle w:val="BoxListBullet"/>
              <w:spacing w:before="60"/>
            </w:pPr>
            <w:r w:rsidRPr="00B60243">
              <w:t>in November 2010, McCain Foods closed its vegetable plant in Smithton, Tasmania (McCain Foods Australia/New Ze</w:t>
            </w:r>
            <w:r w:rsidR="00352322" w:rsidRPr="00B60243">
              <w:t>aland 2012)</w:t>
            </w:r>
          </w:p>
          <w:p w:rsidR="00C1071E" w:rsidRPr="00B60243" w:rsidRDefault="00C1071E" w:rsidP="00C1071E">
            <w:pPr>
              <w:pStyle w:val="BoxListBullet"/>
              <w:spacing w:before="60"/>
            </w:pPr>
            <w:r w:rsidRPr="00B60243">
              <w:t>in May 2011, Heinz announced that it would close its tomato sauce factory in Girgarre, Victoria and relocate Golden Circle’s beetroot</w:t>
            </w:r>
            <w:r w:rsidR="00E36E7F">
              <w:noBreakHyphen/>
            </w:r>
            <w:r w:rsidRPr="00B60243">
              <w:t>processing operations in Northgate, Brisbane to New Zealand (</w:t>
            </w:r>
            <w:proofErr w:type="spellStart"/>
            <w:r w:rsidRPr="00B60243">
              <w:t>Hat</w:t>
            </w:r>
            <w:r w:rsidR="00352322" w:rsidRPr="00B60243">
              <w:t>tersley</w:t>
            </w:r>
            <w:proofErr w:type="spellEnd"/>
            <w:r w:rsidR="00352322" w:rsidRPr="00B60243">
              <w:t>, Isaacs and Burch 2013)</w:t>
            </w:r>
          </w:p>
          <w:p w:rsidR="00495A73" w:rsidRPr="00B60243" w:rsidRDefault="00C1071E" w:rsidP="00C1071E">
            <w:pPr>
              <w:pStyle w:val="BoxListBullet"/>
              <w:rPr>
                <w:szCs w:val="26"/>
              </w:rPr>
            </w:pPr>
            <w:r w:rsidRPr="00B60243">
              <w:t>in August 2011, Coca</w:t>
            </w:r>
            <w:r w:rsidR="00E36E7F">
              <w:noBreakHyphen/>
            </w:r>
            <w:r w:rsidRPr="00B60243">
              <w:t xml:space="preserve">Cola </w:t>
            </w:r>
            <w:proofErr w:type="spellStart"/>
            <w:r w:rsidRPr="00B60243">
              <w:t>Amatil</w:t>
            </w:r>
            <w:proofErr w:type="spellEnd"/>
            <w:r w:rsidRPr="00B60243">
              <w:t xml:space="preserve"> announced that it would close its Mooroopna fruit and vegetable processing facilities (</w:t>
            </w:r>
            <w:proofErr w:type="spellStart"/>
            <w:r w:rsidRPr="00B60243">
              <w:t>Hattersley</w:t>
            </w:r>
            <w:proofErr w:type="spellEnd"/>
            <w:r w:rsidRPr="00B60243">
              <w:t>, Isaacs and Burch 2013).</w:t>
            </w:r>
          </w:p>
        </w:tc>
      </w:tr>
      <w:tr w:rsidR="00495A73" w:rsidRPr="00B60243">
        <w:trPr>
          <w:cantSplit/>
        </w:trPr>
        <w:tc>
          <w:tcPr>
            <w:tcW w:w="8771" w:type="dxa"/>
            <w:tcBorders>
              <w:top w:val="nil"/>
              <w:left w:val="single" w:sz="6" w:space="0" w:color="auto"/>
              <w:bottom w:val="single" w:sz="6" w:space="0" w:color="auto"/>
              <w:right w:val="single" w:sz="6" w:space="0" w:color="auto"/>
            </w:tcBorders>
          </w:tcPr>
          <w:p w:rsidR="00495A73" w:rsidRPr="00B60243" w:rsidRDefault="00495A73">
            <w:pPr>
              <w:pStyle w:val="Box"/>
              <w:spacing w:before="0" w:line="120" w:lineRule="exact"/>
            </w:pPr>
          </w:p>
        </w:tc>
      </w:tr>
      <w:tr w:rsidR="00495A73" w:rsidRPr="00B60243">
        <w:tc>
          <w:tcPr>
            <w:tcW w:w="8771" w:type="dxa"/>
            <w:tcBorders>
              <w:top w:val="nil"/>
              <w:left w:val="nil"/>
              <w:bottom w:val="nil"/>
              <w:right w:val="nil"/>
            </w:tcBorders>
          </w:tcPr>
          <w:p w:rsidR="00495A73" w:rsidRPr="00B60243" w:rsidRDefault="00495A73" w:rsidP="000F423A">
            <w:pPr>
              <w:pStyle w:val="BoxSpaceBelow"/>
            </w:pPr>
          </w:p>
        </w:tc>
      </w:tr>
    </w:tbl>
    <w:p w:rsidR="005731E5" w:rsidRPr="00B60243" w:rsidRDefault="00B072C2" w:rsidP="00C04CBA">
      <w:pPr>
        <w:pStyle w:val="Heading2"/>
      </w:pPr>
      <w:bookmarkStart w:id="40" w:name="OLE_LINK4"/>
      <w:r w:rsidRPr="00B60243">
        <w:lastRenderedPageBreak/>
        <w:t>5.</w:t>
      </w:r>
      <w:r w:rsidR="002E061A">
        <w:rPr>
          <w:noProof/>
        </w:rPr>
        <w:t>4</w:t>
      </w:r>
      <w:bookmarkEnd w:id="38"/>
      <w:bookmarkEnd w:id="40"/>
      <w:r w:rsidR="00C04CBA" w:rsidRPr="00B60243">
        <w:tab/>
      </w:r>
      <w:r w:rsidR="003B71D0" w:rsidRPr="00B60243">
        <w:t xml:space="preserve">A closer look at Wine and Bakery </w:t>
      </w:r>
      <w:r w:rsidR="004A0E85" w:rsidRPr="00B60243">
        <w:t>manufacturing</w:t>
      </w:r>
    </w:p>
    <w:p w:rsidR="005731E5" w:rsidRPr="00B60243" w:rsidRDefault="002C7743" w:rsidP="005731E5">
      <w:pPr>
        <w:pStyle w:val="BodyText"/>
      </w:pPr>
      <w:r w:rsidRPr="00B60243">
        <w:t>A</w:t>
      </w:r>
      <w:r w:rsidR="005731E5" w:rsidRPr="00B60243">
        <w:t xml:space="preserve"> closer examination of </w:t>
      </w:r>
      <w:r w:rsidR="00E25B8E" w:rsidRPr="00B60243">
        <w:t>two</w:t>
      </w:r>
      <w:r w:rsidR="0034788A">
        <w:t xml:space="preserve"> key </w:t>
      </w:r>
      <w:r w:rsidR="005731E5" w:rsidRPr="00B60243">
        <w:t xml:space="preserve">groups within </w:t>
      </w:r>
      <w:proofErr w:type="spellStart"/>
      <w:r w:rsidR="005731E5" w:rsidRPr="00B60243">
        <w:t>FBT</w:t>
      </w:r>
      <w:proofErr w:type="spellEnd"/>
      <w:r w:rsidR="005731E5" w:rsidRPr="00B60243">
        <w:t xml:space="preserve"> provide</w:t>
      </w:r>
      <w:r w:rsidR="00014035" w:rsidRPr="00B60243">
        <w:t>s</w:t>
      </w:r>
      <w:r w:rsidR="005731E5" w:rsidRPr="00B60243">
        <w:t xml:space="preserve"> further insight into the interactions between </w:t>
      </w:r>
      <w:r w:rsidR="00AC03A8" w:rsidRPr="00B60243">
        <w:t xml:space="preserve">key </w:t>
      </w:r>
      <w:r w:rsidR="005731E5" w:rsidRPr="00B60243">
        <w:t xml:space="preserve">influences </w:t>
      </w:r>
      <w:r w:rsidR="00AC03A8" w:rsidRPr="00B60243">
        <w:t xml:space="preserve">on </w:t>
      </w:r>
      <w:proofErr w:type="spellStart"/>
      <w:r w:rsidR="00AC03A8" w:rsidRPr="00B60243">
        <w:t>FBT</w:t>
      </w:r>
      <w:proofErr w:type="spellEnd"/>
      <w:r w:rsidR="00AC03A8" w:rsidRPr="00B60243">
        <w:t xml:space="preserve"> manufacturers </w:t>
      </w:r>
      <w:r w:rsidR="005731E5" w:rsidRPr="00B60243">
        <w:t>and measured productivity.</w:t>
      </w:r>
      <w:r w:rsidRPr="00B60243">
        <w:t xml:space="preserve"> Wine manufacturing was the largest contributor to the decline in </w:t>
      </w:r>
      <w:proofErr w:type="spellStart"/>
      <w:r w:rsidR="000261A7" w:rsidRPr="00B60243">
        <w:t>FBT</w:t>
      </w:r>
      <w:proofErr w:type="spellEnd"/>
      <w:r w:rsidR="000261A7" w:rsidRPr="00B60243">
        <w:t xml:space="preserve"> </w:t>
      </w:r>
      <w:r w:rsidRPr="00B60243">
        <w:t>VA between cycles 3 and 4, and Bakery product manufacturing was the largest contributor to the growth in hours worked.</w:t>
      </w:r>
    </w:p>
    <w:p w:rsidR="005731E5" w:rsidRPr="00B60243" w:rsidRDefault="005731E5" w:rsidP="005731E5">
      <w:pPr>
        <w:pStyle w:val="BodyText"/>
      </w:pPr>
      <w:r w:rsidRPr="00B60243">
        <w:t>For Wine</w:t>
      </w:r>
      <w:r w:rsidR="00014035" w:rsidRPr="00B60243">
        <w:t>,</w:t>
      </w:r>
      <w:r w:rsidRPr="00B60243">
        <w:t xml:space="preserve"> declines in output </w:t>
      </w:r>
      <w:r w:rsidR="00014035" w:rsidRPr="00B60243">
        <w:t xml:space="preserve">volumes </w:t>
      </w:r>
      <w:r w:rsidR="00BB69D4" w:rsidRPr="00B60243">
        <w:t>and the amount of value adding per unit</w:t>
      </w:r>
      <w:r w:rsidR="00014035" w:rsidRPr="00B60243">
        <w:t xml:space="preserve"> of output</w:t>
      </w:r>
      <w:r w:rsidR="003B7FA9" w:rsidRPr="00B60243">
        <w:t xml:space="preserve"> (in particular more ‘bulk wine’ exporting)</w:t>
      </w:r>
      <w:r w:rsidR="00BB69D4" w:rsidRPr="00B60243">
        <w:t xml:space="preserve">, </w:t>
      </w:r>
      <w:r w:rsidRPr="00B60243">
        <w:t>and associated underutilised capacity</w:t>
      </w:r>
      <w:r w:rsidR="003B7FA9" w:rsidRPr="00B60243">
        <w:t>,</w:t>
      </w:r>
      <w:r w:rsidRPr="00B60243">
        <w:t xml:space="preserve"> may have contributed to the decline in </w:t>
      </w:r>
      <w:proofErr w:type="spellStart"/>
      <w:r w:rsidRPr="00B60243">
        <w:t>FBT</w:t>
      </w:r>
      <w:proofErr w:type="spellEnd"/>
      <w:r w:rsidRPr="00B60243">
        <w:t xml:space="preserve"> MFP. For Bakery product manufacturing</w:t>
      </w:r>
      <w:r w:rsidR="00014035" w:rsidRPr="00B60243">
        <w:t>,</w:t>
      </w:r>
      <w:r w:rsidRPr="00B60243">
        <w:t xml:space="preserve"> changes in the nature of the output and how it is produced (with growth in non</w:t>
      </w:r>
      <w:r w:rsidR="00E36E7F">
        <w:noBreakHyphen/>
      </w:r>
      <w:r w:rsidRPr="00B60243">
        <w:t xml:space="preserve">factory </w:t>
      </w:r>
      <w:r w:rsidR="00CB145C" w:rsidRPr="00B60243">
        <w:t>bakeries</w:t>
      </w:r>
      <w:r w:rsidRPr="00B60243">
        <w:t xml:space="preserve">) may </w:t>
      </w:r>
      <w:r w:rsidR="000261A7" w:rsidRPr="00B60243">
        <w:t xml:space="preserve">also </w:t>
      </w:r>
      <w:r w:rsidRPr="00B60243">
        <w:t xml:space="preserve">have contributed to the decline in </w:t>
      </w:r>
      <w:proofErr w:type="spellStart"/>
      <w:r w:rsidRPr="00B60243">
        <w:t>FBT</w:t>
      </w:r>
      <w:proofErr w:type="spellEnd"/>
      <w:r w:rsidRPr="00B60243">
        <w:t xml:space="preserve"> MFP</w:t>
      </w:r>
      <w:r w:rsidR="00C04CBA" w:rsidRPr="00B60243">
        <w:t xml:space="preserve">, particularly through its contribution to </w:t>
      </w:r>
      <w:r w:rsidR="003B7FA9" w:rsidRPr="00B60243">
        <w:t xml:space="preserve">growth in </w:t>
      </w:r>
      <w:r w:rsidR="00C04CBA" w:rsidRPr="00B60243">
        <w:t xml:space="preserve">hours worked. Bakery product manufacturing </w:t>
      </w:r>
      <w:r w:rsidR="00151602" w:rsidRPr="00B60243">
        <w:t>has</w:t>
      </w:r>
      <w:r w:rsidR="00C04CBA" w:rsidRPr="00B60243">
        <w:t xml:space="preserve"> also been affected by measurement </w:t>
      </w:r>
      <w:r w:rsidR="00885CB0" w:rsidRPr="00B60243">
        <w:t>issues</w:t>
      </w:r>
      <w:r w:rsidR="00C04CBA" w:rsidRPr="00B60243">
        <w:t xml:space="preserve">. </w:t>
      </w:r>
    </w:p>
    <w:p w:rsidR="005731E5" w:rsidRPr="00B60243" w:rsidRDefault="005731E5" w:rsidP="005731E5">
      <w:pPr>
        <w:pStyle w:val="Heading4"/>
      </w:pPr>
      <w:r w:rsidRPr="00B60243">
        <w:t xml:space="preserve">Wine </w:t>
      </w:r>
    </w:p>
    <w:p w:rsidR="00626CBE" w:rsidRPr="00B60243" w:rsidRDefault="00626CBE" w:rsidP="00626CBE">
      <w:pPr>
        <w:pStyle w:val="BodyText"/>
      </w:pPr>
      <w:r w:rsidRPr="00B60243">
        <w:t xml:space="preserve">Wine manufacturing is likely to have contributed to the decline in aggregate </w:t>
      </w:r>
      <w:proofErr w:type="spellStart"/>
      <w:r w:rsidRPr="00B60243">
        <w:t>FBT</w:t>
      </w:r>
      <w:proofErr w:type="spellEnd"/>
      <w:r w:rsidRPr="00B60243">
        <w:t xml:space="preserve"> MFP between the last two complete productivity cycles. Assuming no comparable adjustment in the inputs used in Wine manufacturing, the driver of this decline is likely to have been the significant fall in </w:t>
      </w:r>
      <w:r w:rsidR="00A72C11">
        <w:t>VA</w:t>
      </w:r>
      <w:r w:rsidRPr="00B60243">
        <w:t xml:space="preserve"> in cycle 4 after strong </w:t>
      </w:r>
      <w:r w:rsidR="00A72C11">
        <w:t>VA</w:t>
      </w:r>
      <w:r w:rsidRPr="00B60243">
        <w:t xml:space="preserve"> growth during cycle 3. This section provides a summary of the influences on productivity in </w:t>
      </w:r>
      <w:r w:rsidR="00057822" w:rsidRPr="00B60243">
        <w:t>Wine manufacturing</w:t>
      </w:r>
      <w:r w:rsidRPr="00B60243">
        <w:t xml:space="preserve"> — further details are provided in appendix </w:t>
      </w:r>
      <w:r w:rsidR="008124B4" w:rsidRPr="00B60243">
        <w:t>G</w:t>
      </w:r>
      <w:r w:rsidRPr="00B60243">
        <w:t>.</w:t>
      </w:r>
    </w:p>
    <w:p w:rsidR="00626CBE" w:rsidRPr="00B60243" w:rsidRDefault="00626CBE" w:rsidP="009B6E1B">
      <w:pPr>
        <w:pStyle w:val="Heading5"/>
      </w:pPr>
      <w:r w:rsidRPr="00B60243">
        <w:t xml:space="preserve">Declining output and reduced value added </w:t>
      </w:r>
    </w:p>
    <w:p w:rsidR="00626CBE" w:rsidRPr="00B60243" w:rsidRDefault="00626CBE" w:rsidP="00626CBE">
      <w:pPr>
        <w:pStyle w:val="BodyText"/>
      </w:pPr>
      <w:r w:rsidRPr="00B60243">
        <w:t xml:space="preserve">Strong international demand for Australian wine, beginning in the late </w:t>
      </w:r>
      <w:proofErr w:type="spellStart"/>
      <w:r w:rsidRPr="00B60243">
        <w:t>1980s</w:t>
      </w:r>
      <w:proofErr w:type="spellEnd"/>
      <w:r w:rsidRPr="00B60243">
        <w:t xml:space="preserve">, led to a significant expansion in Australian grape growing and wine production capacity. This underpinned the strong production, </w:t>
      </w:r>
      <w:r w:rsidR="00A72C11">
        <w:t>VA</w:t>
      </w:r>
      <w:r w:rsidRPr="00B60243">
        <w:t xml:space="preserve"> and export growth in the Australian wine industry in cycle 3 (figure </w:t>
      </w:r>
      <w:r w:rsidR="00B072C2" w:rsidRPr="00B60243">
        <w:t>5.24</w:t>
      </w:r>
      <w:r w:rsidRPr="00B60243">
        <w:t>).</w:t>
      </w:r>
      <w:r w:rsidR="0090612D" w:rsidRPr="00B60243">
        <w:rPr>
          <w:rStyle w:val="FootnoteReference"/>
        </w:rPr>
        <w:footnoteReference w:id="26"/>
      </w:r>
      <w:r w:rsidRPr="00B60243">
        <w:t xml:space="preserve"> By the middle of cycle 4, Wine manufacturers faced </w:t>
      </w:r>
      <w:r w:rsidR="00256133" w:rsidRPr="00B60243">
        <w:t>an excess supply of wine relative to demand (</w:t>
      </w:r>
      <w:proofErr w:type="spellStart"/>
      <w:r w:rsidR="00BD003E" w:rsidRPr="00B60243">
        <w:t>Sheales</w:t>
      </w:r>
      <w:proofErr w:type="spellEnd"/>
      <w:r w:rsidR="00896C11">
        <w:t> </w:t>
      </w:r>
      <w:r w:rsidR="00BD003E" w:rsidRPr="00B60243">
        <w:t>et</w:t>
      </w:r>
      <w:r w:rsidR="00896C11">
        <w:t> </w:t>
      </w:r>
      <w:r w:rsidR="00BD003E" w:rsidRPr="00B60243">
        <w:t>al.</w:t>
      </w:r>
      <w:r w:rsidR="00F63EED" w:rsidRPr="00B60243">
        <w:t> </w:t>
      </w:r>
      <w:r w:rsidR="00256133" w:rsidRPr="00B60243">
        <w:t>2006)</w:t>
      </w:r>
      <w:r w:rsidR="00A36A61" w:rsidRPr="00B60243">
        <w:t xml:space="preserve">. These market circumstances </w:t>
      </w:r>
      <w:r w:rsidRPr="00B60243">
        <w:t xml:space="preserve">contributed to the significant decline in (nominal) </w:t>
      </w:r>
      <w:r w:rsidR="00A72C11">
        <w:t>VA</w:t>
      </w:r>
      <w:r w:rsidRPr="00B60243">
        <w:t xml:space="preserve"> by the end of the cycle. </w:t>
      </w:r>
    </w:p>
    <w:p w:rsidR="00626CBE" w:rsidRPr="00B60243" w:rsidRDefault="00626CBE" w:rsidP="00626CBE">
      <w:pPr>
        <w:pStyle w:val="FigureTitle"/>
      </w:pPr>
      <w:r w:rsidRPr="00B60243">
        <w:rPr>
          <w:b w:val="0"/>
        </w:rPr>
        <w:lastRenderedPageBreak/>
        <w:t xml:space="preserve">Figure </w:t>
      </w:r>
      <w:bookmarkStart w:id="41" w:name="OLE_LINK6"/>
      <w:r w:rsidR="00B072C2" w:rsidRPr="00B60243">
        <w:rPr>
          <w:b w:val="0"/>
        </w:rPr>
        <w:t>5.</w:t>
      </w:r>
      <w:r w:rsidR="002E061A">
        <w:rPr>
          <w:b w:val="0"/>
          <w:noProof/>
        </w:rPr>
        <w:t>24</w:t>
      </w:r>
      <w:bookmarkEnd w:id="41"/>
      <w:r w:rsidRPr="00B60243">
        <w:tab/>
        <w:t>Wine manufacturing output and export</w:t>
      </w:r>
      <w:r w:rsidR="00D5693E">
        <w:t>s</w:t>
      </w:r>
      <w:r w:rsidRPr="00B60243">
        <w:t xml:space="preserve"> </w:t>
      </w:r>
    </w:p>
    <w:tbl>
      <w:tblPr>
        <w:tblW w:w="0" w:type="auto"/>
        <w:tblInd w:w="137" w:type="dxa"/>
        <w:tblBorders>
          <w:top w:val="single" w:sz="6" w:space="0" w:color="auto"/>
          <w:bottom w:val="single" w:sz="6" w:space="0" w:color="auto"/>
        </w:tblBorders>
        <w:tblLayout w:type="fixed"/>
        <w:tblLook w:val="0000" w:firstRow="0" w:lastRow="0" w:firstColumn="0" w:lastColumn="0" w:noHBand="0" w:noVBand="0"/>
      </w:tblPr>
      <w:tblGrid>
        <w:gridCol w:w="4379"/>
        <w:gridCol w:w="4380"/>
      </w:tblGrid>
      <w:tr w:rsidR="00BD1406" w:rsidRPr="00B60243" w:rsidTr="00757EBE">
        <w:tc>
          <w:tcPr>
            <w:tcW w:w="4379" w:type="dxa"/>
            <w:vAlign w:val="bottom"/>
          </w:tcPr>
          <w:p w:rsidR="00BD1406" w:rsidRPr="00B60243" w:rsidRDefault="00BD1406" w:rsidP="00757EBE">
            <w:pPr>
              <w:pStyle w:val="Figure"/>
              <w:spacing w:after="0"/>
              <w:ind w:right="-95"/>
              <w:rPr>
                <w:b/>
                <w:sz w:val="18"/>
              </w:rPr>
            </w:pPr>
            <w:r w:rsidRPr="003867B1">
              <w:rPr>
                <w:i/>
                <w:sz w:val="22"/>
                <w:szCs w:val="22"/>
              </w:rPr>
              <w:t>Output</w:t>
            </w:r>
            <w:r w:rsidR="0096271B" w:rsidRPr="00B60243">
              <w:rPr>
                <w:rStyle w:val="NoteLabel"/>
              </w:rPr>
              <w:t>a</w:t>
            </w:r>
          </w:p>
        </w:tc>
        <w:tc>
          <w:tcPr>
            <w:tcW w:w="4380" w:type="dxa"/>
            <w:vAlign w:val="bottom"/>
          </w:tcPr>
          <w:p w:rsidR="00BD1406" w:rsidRPr="003867B1" w:rsidRDefault="00BD1406" w:rsidP="00757EBE">
            <w:pPr>
              <w:pStyle w:val="Figure"/>
              <w:spacing w:after="0"/>
              <w:ind w:right="-95"/>
              <w:rPr>
                <w:b/>
                <w:sz w:val="22"/>
                <w:szCs w:val="22"/>
              </w:rPr>
            </w:pPr>
            <w:r w:rsidRPr="003867B1">
              <w:rPr>
                <w:i/>
                <w:sz w:val="22"/>
                <w:szCs w:val="22"/>
              </w:rPr>
              <w:t>Exports</w:t>
            </w:r>
          </w:p>
        </w:tc>
      </w:tr>
      <w:tr w:rsidR="000A1B38" w:rsidRPr="00B60243" w:rsidTr="00461D06">
        <w:trPr>
          <w:cantSplit/>
          <w:trHeight w:val="1134"/>
        </w:trPr>
        <w:tc>
          <w:tcPr>
            <w:tcW w:w="4379" w:type="dxa"/>
          </w:tcPr>
          <w:p w:rsidR="000A1B38" w:rsidRPr="00B60243" w:rsidRDefault="00E406E7" w:rsidP="00404CF5">
            <w:pPr>
              <w:pStyle w:val="Figure"/>
              <w:spacing w:before="0"/>
              <w:ind w:right="-96"/>
              <w:rPr>
                <w:sz w:val="18"/>
              </w:rPr>
            </w:pPr>
            <w:r>
              <w:pict>
                <v:shape id="_x0000_i1058" type="#_x0000_t75" alt="This figure comprises of two charts. The first chart shows trends in wine production volumes and nominal value added from 1998-99 to 2010-11. Both output measures grew during cycle 3 and declined during cycle 4 and the incomplete cycle. The second chart shows the trend in the average wine export price and the share of bulk and bottled wine exports. The average export price of Australian wine has declined since 2002-03 and bulk wine export volumes has increased as a share of total exports since 1998-99." style="width:211.8pt;height:211.8pt;mso-position-horizontal:absolute">
                  <v:imagedata r:id="rId43" o:title=""/>
                </v:shape>
              </w:pict>
            </w:r>
          </w:p>
        </w:tc>
        <w:tc>
          <w:tcPr>
            <w:tcW w:w="4380" w:type="dxa"/>
          </w:tcPr>
          <w:p w:rsidR="000A1B38" w:rsidRPr="00B60243" w:rsidRDefault="00E406E7" w:rsidP="00404CF5">
            <w:pPr>
              <w:pStyle w:val="Figure"/>
              <w:spacing w:before="0"/>
              <w:ind w:left="-121" w:right="-109"/>
            </w:pPr>
            <w:r>
              <w:rPr>
                <w:noProof/>
              </w:rPr>
              <w:pict>
                <v:shape id="_x0000_i1059" type="#_x0000_t75" alt="This figure comprises of two charts. The first chart shows trends in wine production volumes and nominal value added from 1998-99 to 2010-11. Both output measures grew during cycle 3 and declined during cycle 4 and the incomplete cycle. The second chart shows the trend in the average wine export price and the share of bulk and bottled wine exports. The average export price of Australian wine has declined since 2002-03 and bulk wine export volumes has increased as a share of total exports since 1998-99." style="width:211.8pt;height:211.8pt">
                  <v:imagedata r:id="rId44" o:title=""/>
                </v:shape>
              </w:pict>
            </w:r>
          </w:p>
        </w:tc>
      </w:tr>
    </w:tbl>
    <w:p w:rsidR="00626CBE" w:rsidRPr="00B60243" w:rsidRDefault="00626CBE" w:rsidP="00626CBE">
      <w:pPr>
        <w:pStyle w:val="Note"/>
      </w:pPr>
      <w:r w:rsidRPr="00B60243">
        <w:rPr>
          <w:rStyle w:val="NoteLabel"/>
        </w:rPr>
        <w:t>a</w:t>
      </w:r>
      <w:r w:rsidRPr="00B60243">
        <w:t xml:space="preserve"> Nominal industry </w:t>
      </w:r>
      <w:r w:rsidR="003147CD">
        <w:t>VA</w:t>
      </w:r>
      <w:r w:rsidRPr="00B60243">
        <w:t xml:space="preserve"> ($m), survey break in 2000</w:t>
      </w:r>
      <w:r w:rsidR="00E36E7F">
        <w:noBreakHyphen/>
      </w:r>
      <w:r w:rsidRPr="00B60243">
        <w:t>01. Production (</w:t>
      </w:r>
      <w:proofErr w:type="spellStart"/>
      <w:r w:rsidRPr="00B60243">
        <w:t>megalitres</w:t>
      </w:r>
      <w:proofErr w:type="spellEnd"/>
      <w:r w:rsidRPr="00B60243">
        <w:t>), only includes wineries crushing more than 400 tonnes annually.</w:t>
      </w:r>
      <w:r w:rsidRPr="00B60243">
        <w:rPr>
          <w:rStyle w:val="NoteLabel"/>
        </w:rPr>
        <w:t xml:space="preserve"> </w:t>
      </w:r>
    </w:p>
    <w:p w:rsidR="00626CBE" w:rsidRPr="00B60243" w:rsidRDefault="00626CBE" w:rsidP="00626CBE">
      <w:pPr>
        <w:pStyle w:val="Source"/>
      </w:pPr>
      <w:r w:rsidRPr="00B60243">
        <w:rPr>
          <w:i/>
        </w:rPr>
        <w:t>Data source</w:t>
      </w:r>
      <w:r w:rsidR="00DC57C4" w:rsidRPr="00B60243">
        <w:rPr>
          <w:i/>
        </w:rPr>
        <w:t>s</w:t>
      </w:r>
      <w:r w:rsidRPr="00B60243">
        <w:t>: ABS (</w:t>
      </w:r>
      <w:r w:rsidRPr="00B60243">
        <w:rPr>
          <w:i/>
        </w:rPr>
        <w:t>Australian Wine and Grape Industry</w:t>
      </w:r>
      <w:r w:rsidRPr="00B60243">
        <w:t>,</w:t>
      </w:r>
      <w:r w:rsidR="00065A2E" w:rsidRPr="00B60243">
        <w:t xml:space="preserve"> various issues,</w:t>
      </w:r>
      <w:r w:rsidRPr="00B60243">
        <w:t xml:space="preserve"> Cat. no. 1329.0</w:t>
      </w:r>
      <w:r w:rsidR="00DC57C4" w:rsidRPr="00B60243">
        <w:t>)</w:t>
      </w:r>
      <w:r w:rsidRPr="00B60243">
        <w:t xml:space="preserve">; </w:t>
      </w:r>
      <w:r w:rsidR="00DC57C4" w:rsidRPr="00B60243">
        <w:t>ABS</w:t>
      </w:r>
      <w:r w:rsidR="00F63EED" w:rsidRPr="00B60243">
        <w:t> </w:t>
      </w:r>
      <w:r w:rsidR="00DC57C4" w:rsidRPr="00B60243">
        <w:t>(</w:t>
      </w:r>
      <w:r w:rsidRPr="00B60243">
        <w:rPr>
          <w:i/>
        </w:rPr>
        <w:t>Manufacturing Industry</w:t>
      </w:r>
      <w:r w:rsidR="009C1E2C" w:rsidRPr="00B60243">
        <w:rPr>
          <w:i/>
        </w:rPr>
        <w:t>,</w:t>
      </w:r>
      <w:r w:rsidRPr="00B60243">
        <w:rPr>
          <w:i/>
        </w:rPr>
        <w:t xml:space="preserve"> Australia</w:t>
      </w:r>
      <w:r w:rsidRPr="00B60243">
        <w:t xml:space="preserve">, </w:t>
      </w:r>
      <w:r w:rsidR="0096271B" w:rsidRPr="00B60243">
        <w:t xml:space="preserve">various issues, </w:t>
      </w:r>
      <w:r w:rsidRPr="00B60243">
        <w:t>Cat. no. 8221.0</w:t>
      </w:r>
      <w:r w:rsidR="00DC57C4" w:rsidRPr="00B60243">
        <w:t>)</w:t>
      </w:r>
      <w:r w:rsidRPr="00B60243">
        <w:t>;</w:t>
      </w:r>
      <w:r w:rsidR="00DC57C4" w:rsidRPr="00B60243">
        <w:t xml:space="preserve"> </w:t>
      </w:r>
      <w:r w:rsidR="00453019" w:rsidRPr="00B60243">
        <w:t>ABS (</w:t>
      </w:r>
      <w:r w:rsidR="00453019" w:rsidRPr="00B60243">
        <w:rPr>
          <w:i/>
        </w:rPr>
        <w:t>Experimental Estimates for the Manufacturing Industry</w:t>
      </w:r>
      <w:r w:rsidR="00453019" w:rsidRPr="00B60243">
        <w:t xml:space="preserve">, </w:t>
      </w:r>
      <w:r w:rsidR="008A6FFC" w:rsidRPr="00B60243">
        <w:t xml:space="preserve">various issues, </w:t>
      </w:r>
      <w:r w:rsidR="00453019" w:rsidRPr="00B60243">
        <w:t xml:space="preserve">Cat. no. 8159.0); </w:t>
      </w:r>
      <w:r w:rsidR="00DC57C4" w:rsidRPr="00B60243">
        <w:t>ABS</w:t>
      </w:r>
      <w:r w:rsidR="0096271B" w:rsidRPr="00B60243">
        <w:t xml:space="preserve"> </w:t>
      </w:r>
      <w:r w:rsidR="00DC57C4" w:rsidRPr="00B60243">
        <w:t>(</w:t>
      </w:r>
      <w:r w:rsidRPr="00B60243">
        <w:rPr>
          <w:i/>
        </w:rPr>
        <w:t>Australian Industry</w:t>
      </w:r>
      <w:r w:rsidRPr="00B60243">
        <w:t xml:space="preserve">, </w:t>
      </w:r>
      <w:r w:rsidR="0096271B" w:rsidRPr="00B60243">
        <w:t xml:space="preserve">various issues, </w:t>
      </w:r>
      <w:r w:rsidRPr="00B60243">
        <w:t>Cat.</w:t>
      </w:r>
      <w:r w:rsidR="00B25330">
        <w:t> </w:t>
      </w:r>
      <w:r w:rsidRPr="00B60243">
        <w:t>no.</w:t>
      </w:r>
      <w:r w:rsidR="00F63EED" w:rsidRPr="00B60243">
        <w:t> </w:t>
      </w:r>
      <w:r w:rsidRPr="00B60243">
        <w:t>8155.0); Wine Australia</w:t>
      </w:r>
      <w:r w:rsidR="00EE2E43" w:rsidRPr="00B60243">
        <w:t xml:space="preserve"> (</w:t>
      </w:r>
      <w:r w:rsidR="001F077A" w:rsidRPr="00B60243">
        <w:t>u</w:t>
      </w:r>
      <w:r w:rsidR="0028451F" w:rsidRPr="00B60243">
        <w:t>npublished data)</w:t>
      </w:r>
      <w:r w:rsidRPr="00B60243">
        <w:t>.</w:t>
      </w:r>
    </w:p>
    <w:p w:rsidR="00F63EED" w:rsidRPr="00B60243" w:rsidRDefault="00F63EED" w:rsidP="00F63EED">
      <w:pPr>
        <w:pStyle w:val="BodyText"/>
      </w:pPr>
      <w:r w:rsidRPr="00B60243">
        <w:t xml:space="preserve">Wine production grew by 11.6 per cent a year in cycle 3, contributing to a </w:t>
      </w:r>
      <w:proofErr w:type="spellStart"/>
      <w:r w:rsidRPr="00B60243">
        <w:t>build</w:t>
      </w:r>
      <w:r w:rsidR="00E36E7F">
        <w:noBreakHyphen/>
      </w:r>
      <w:r w:rsidRPr="00B60243">
        <w:t>up</w:t>
      </w:r>
      <w:proofErr w:type="spellEnd"/>
      <w:r w:rsidRPr="00B60243">
        <w:t xml:space="preserve"> of inventories. Strong production levels continued throughout cycle 4, despite some consolidation among large winemakers (</w:t>
      </w:r>
      <w:proofErr w:type="spellStart"/>
      <w:r w:rsidRPr="00B60243">
        <w:t>Kiri</w:t>
      </w:r>
      <w:r w:rsidR="00E36E7F">
        <w:noBreakHyphen/>
      </w:r>
      <w:r w:rsidRPr="00B60243">
        <w:t>Ganai</w:t>
      </w:r>
      <w:proofErr w:type="spellEnd"/>
      <w:r w:rsidRPr="00B60243">
        <w:t xml:space="preserve"> Research 2006). Record product</w:t>
      </w:r>
      <w:r w:rsidR="00652B04">
        <w:t>ion volumes, averaging around 1</w:t>
      </w:r>
      <w:r w:rsidRPr="00B60243">
        <w:t xml:space="preserve">441 </w:t>
      </w:r>
      <w:proofErr w:type="spellStart"/>
      <w:r w:rsidRPr="00B60243">
        <w:t>megalitres</w:t>
      </w:r>
      <w:proofErr w:type="spellEnd"/>
      <w:r w:rsidRPr="00B60243">
        <w:t>, were achieved in the years 2003</w:t>
      </w:r>
      <w:r w:rsidR="00E36E7F">
        <w:noBreakHyphen/>
      </w:r>
      <w:r w:rsidRPr="00B60243">
        <w:t>04 to 2005</w:t>
      </w:r>
      <w:r w:rsidR="00E36E7F">
        <w:noBreakHyphen/>
      </w:r>
      <w:r w:rsidRPr="00B60243">
        <w:t>06 as a result of strong vineyard investments between 1998 and 2000 (</w:t>
      </w:r>
      <w:proofErr w:type="spellStart"/>
      <w:r w:rsidRPr="00B60243">
        <w:t>Sheales</w:t>
      </w:r>
      <w:proofErr w:type="spellEnd"/>
      <w:r w:rsidRPr="00B60243">
        <w:t xml:space="preserve"> et al. 2006). This led to a pea</w:t>
      </w:r>
      <w:r w:rsidR="00652B04">
        <w:t>k in wine inventories of over 2</w:t>
      </w:r>
      <w:r w:rsidRPr="00B60243">
        <w:t>100</w:t>
      </w:r>
      <w:r w:rsidR="00652B04">
        <w:t> </w:t>
      </w:r>
      <w:proofErr w:type="spellStart"/>
      <w:r w:rsidRPr="00B60243">
        <w:t>megalitres</w:t>
      </w:r>
      <w:proofErr w:type="spellEnd"/>
      <w:r w:rsidRPr="00B60243">
        <w:t xml:space="preserve"> by 2005</w:t>
      </w:r>
      <w:r w:rsidR="00E36E7F">
        <w:noBreakHyphen/>
      </w:r>
      <w:r w:rsidRPr="00B60243">
        <w:t>06. The 2006 drought drove production lower by the end of cycle 4, marked by significantly lower production in 2006</w:t>
      </w:r>
      <w:r w:rsidR="00E36E7F">
        <w:noBreakHyphen/>
      </w:r>
      <w:r w:rsidRPr="00B60243">
        <w:t>07 and 2007</w:t>
      </w:r>
      <w:r w:rsidR="00E36E7F">
        <w:noBreakHyphen/>
      </w:r>
      <w:r w:rsidRPr="00B60243">
        <w:t>08 compared with the record levels at the start of the productivity cycle. Nevertheless, inventories of Australian wine remained high, at around 154 per cent of total production for the year 2007</w:t>
      </w:r>
      <w:r w:rsidR="00E36E7F">
        <w:noBreakHyphen/>
      </w:r>
      <w:r w:rsidRPr="00B60243">
        <w:t xml:space="preserve">08 (ABS </w:t>
      </w:r>
      <w:proofErr w:type="spellStart"/>
      <w:r w:rsidRPr="00B60243">
        <w:t>2012</w:t>
      </w:r>
      <w:r w:rsidR="00453751">
        <w:t>e</w:t>
      </w:r>
      <w:proofErr w:type="spellEnd"/>
      <w:r w:rsidRPr="00B60243">
        <w:t>).</w:t>
      </w:r>
    </w:p>
    <w:p w:rsidR="00626CBE" w:rsidRPr="00B60243" w:rsidRDefault="00626CBE" w:rsidP="00626CBE">
      <w:pPr>
        <w:pStyle w:val="BodyText"/>
      </w:pPr>
      <w:r w:rsidRPr="00B60243">
        <w:t xml:space="preserve">Producers responded to changes in market conditions by shifting the composition of wine sales. Excess Australian (and global) wine capacity, greater competition from other ‘New World’ wine producers and a high Australian dollar, resulted in the concentration of sales </w:t>
      </w:r>
      <w:r w:rsidR="007A19B7" w:rsidRPr="00B60243">
        <w:t>around</w:t>
      </w:r>
      <w:r w:rsidRPr="00B60243">
        <w:t xml:space="preserve"> lower price points in many export markets (</w:t>
      </w:r>
      <w:r w:rsidR="004D3CC2" w:rsidRPr="00B60243">
        <w:t>Bailey</w:t>
      </w:r>
      <w:r w:rsidR="00F63EED" w:rsidRPr="00B60243">
        <w:t> </w:t>
      </w:r>
      <w:r w:rsidR="004D3CC2" w:rsidRPr="00B60243">
        <w:t>2011)</w:t>
      </w:r>
      <w:r w:rsidRPr="00B60243">
        <w:t>. The average export price of Australian wine dropped from $4.4</w:t>
      </w:r>
      <w:r w:rsidR="003B7FA9" w:rsidRPr="00B60243">
        <w:t>0</w:t>
      </w:r>
      <w:r w:rsidRPr="00B60243">
        <w:t xml:space="preserve"> per litre in 2003</w:t>
      </w:r>
      <w:r w:rsidR="00E36E7F">
        <w:noBreakHyphen/>
      </w:r>
      <w:r w:rsidRPr="00B60243">
        <w:t>04 to $3.8</w:t>
      </w:r>
      <w:r w:rsidR="003B7FA9" w:rsidRPr="00B60243">
        <w:t>0</w:t>
      </w:r>
      <w:r w:rsidRPr="00B60243">
        <w:t xml:space="preserve"> in 2007</w:t>
      </w:r>
      <w:r w:rsidR="00E36E7F">
        <w:noBreakHyphen/>
      </w:r>
      <w:r w:rsidRPr="00B60243">
        <w:t xml:space="preserve">08 (figure </w:t>
      </w:r>
      <w:r w:rsidR="00B072C2" w:rsidRPr="00B60243">
        <w:t>5.24</w:t>
      </w:r>
      <w:r w:rsidRPr="00B60243">
        <w:t>). This was the result of both discounted sales and</w:t>
      </w:r>
      <w:r w:rsidR="003B7FA9" w:rsidRPr="00B60243">
        <w:t xml:space="preserve"> the</w:t>
      </w:r>
      <w:r w:rsidRPr="00B60243">
        <w:t xml:space="preserve"> trading </w:t>
      </w:r>
      <w:r w:rsidR="003B7FA9" w:rsidRPr="00B60243">
        <w:t xml:space="preserve">of </w:t>
      </w:r>
      <w:r w:rsidRPr="00B60243">
        <w:t>increased volumes of bulk stock (</w:t>
      </w:r>
      <w:proofErr w:type="spellStart"/>
      <w:r w:rsidRPr="00B60243">
        <w:t>Rabobank</w:t>
      </w:r>
      <w:proofErr w:type="spellEnd"/>
      <w:r w:rsidR="007A19B7" w:rsidRPr="00B60243">
        <w:t> </w:t>
      </w:r>
      <w:r w:rsidRPr="00B60243">
        <w:t xml:space="preserve">2012). </w:t>
      </w:r>
    </w:p>
    <w:p w:rsidR="00626CBE" w:rsidRPr="00B60243" w:rsidRDefault="00626CBE" w:rsidP="00626CBE">
      <w:pPr>
        <w:pStyle w:val="BodyText"/>
      </w:pPr>
      <w:r w:rsidRPr="00B60243">
        <w:lastRenderedPageBreak/>
        <w:t xml:space="preserve">Bulk wine export volumes as a share of total exports increased from an average of 14.8 per cent in cycle 3 to 22.4 per cent in cycle 4 (figure </w:t>
      </w:r>
      <w:r w:rsidR="00B072C2" w:rsidRPr="00B60243">
        <w:t>5.24</w:t>
      </w:r>
      <w:r w:rsidRPr="00B60243">
        <w:t xml:space="preserve">) as producers looked to maintain market share and shift surplus stocks in an increasingly competitive global market. The effect of increased bulk wine production </w:t>
      </w:r>
      <w:r w:rsidR="00652B04">
        <w:t>wa</w:t>
      </w:r>
      <w:r w:rsidRPr="00B60243">
        <w:t>s to reduce the amount of value adding per litre of wine in Australia — with bottling and other packaging activity undertaken in the destination</w:t>
      </w:r>
      <w:r w:rsidR="00E36E7F">
        <w:noBreakHyphen/>
      </w:r>
      <w:r w:rsidRPr="00B60243">
        <w:t>market country</w:t>
      </w:r>
      <w:r w:rsidR="00977A01" w:rsidRPr="00B60243">
        <w:t>.</w:t>
      </w:r>
      <w:r w:rsidR="00FA706B" w:rsidRPr="00B60243">
        <w:t xml:space="preserve"> (</w:t>
      </w:r>
      <w:r w:rsidR="00977A01" w:rsidRPr="00B60243">
        <w:t>A</w:t>
      </w:r>
      <w:r w:rsidR="00FA706B" w:rsidRPr="00B60243">
        <w:t xml:space="preserve">s </w:t>
      </w:r>
      <w:r w:rsidR="004B5F9A" w:rsidRPr="00B60243">
        <w:t>f</w:t>
      </w:r>
      <w:r w:rsidR="00FA706B" w:rsidRPr="00B60243">
        <w:t>igure 5.24 shows, bulk wine export</w:t>
      </w:r>
      <w:r w:rsidR="00977A01" w:rsidRPr="00B60243">
        <w:t xml:space="preserve">s </w:t>
      </w:r>
      <w:r w:rsidR="00FA706B" w:rsidRPr="00B60243">
        <w:t>have become even more significant during the current incomplete cycle</w:t>
      </w:r>
      <w:r w:rsidR="0065266B" w:rsidRPr="00B60243">
        <w:t>.</w:t>
      </w:r>
      <w:r w:rsidR="00FA706B" w:rsidRPr="00B60243">
        <w:t>)</w:t>
      </w:r>
      <w:r w:rsidRPr="00B60243">
        <w:t xml:space="preserve"> </w:t>
      </w:r>
    </w:p>
    <w:p w:rsidR="00626CBE" w:rsidRPr="00B60243" w:rsidRDefault="00626CBE" w:rsidP="00626CBE">
      <w:pPr>
        <w:pStyle w:val="BodyText"/>
      </w:pPr>
      <w:r w:rsidRPr="00B60243">
        <w:t>This change in the composition of wine sales, along with the effect of the</w:t>
      </w:r>
      <w:r w:rsidR="002055B1" w:rsidRPr="00B60243">
        <w:t xml:space="preserve"> 2006</w:t>
      </w:r>
      <w:r w:rsidR="00E36E7F">
        <w:noBreakHyphen/>
      </w:r>
      <w:r w:rsidR="002055B1" w:rsidRPr="00B60243">
        <w:t>07</w:t>
      </w:r>
      <w:r w:rsidRPr="00B60243">
        <w:t xml:space="preserve"> drought, led to industry nominal </w:t>
      </w:r>
      <w:r w:rsidR="00A72C11">
        <w:t>VA</w:t>
      </w:r>
      <w:r w:rsidRPr="00B60243">
        <w:t xml:space="preserve"> decl</w:t>
      </w:r>
      <w:r w:rsidR="00E27640">
        <w:t>ining from $1808 million to $1</w:t>
      </w:r>
      <w:r w:rsidRPr="00B60243">
        <w:t xml:space="preserve">347 million (averaging negative 7.1 per cent a year) over cycle 4. </w:t>
      </w:r>
    </w:p>
    <w:p w:rsidR="00626CBE" w:rsidRPr="00B60243" w:rsidRDefault="00626CBE" w:rsidP="00626CBE">
      <w:pPr>
        <w:pStyle w:val="Heading5"/>
      </w:pPr>
      <w:r w:rsidRPr="00B60243">
        <w:t>Have inputs contracted in line with value added?</w:t>
      </w:r>
    </w:p>
    <w:p w:rsidR="00626CBE" w:rsidRPr="00B60243" w:rsidRDefault="00626CBE" w:rsidP="00626CBE">
      <w:pPr>
        <w:pStyle w:val="BodyText"/>
      </w:pPr>
      <w:r w:rsidRPr="00B60243">
        <w:t xml:space="preserve">While </w:t>
      </w:r>
      <w:r w:rsidR="00A72C11">
        <w:t>VA</w:t>
      </w:r>
      <w:r w:rsidRPr="00B60243">
        <w:t xml:space="preserve"> declined, there is no strong evidence that inputs declined at the same pace. For example, employment continued to grow over cycle 4 by 2.1 per cent a year, although this was much slower than the 11.7 per cent a year growth over cycle</w:t>
      </w:r>
      <w:r w:rsidR="003147CD">
        <w:t> </w:t>
      </w:r>
      <w:r w:rsidRPr="00B60243">
        <w:t xml:space="preserve">3 (ABS </w:t>
      </w:r>
      <w:proofErr w:type="spellStart"/>
      <w:r w:rsidR="004A2047" w:rsidRPr="00B60243">
        <w:t>2008</w:t>
      </w:r>
      <w:r w:rsidR="0091487D">
        <w:t>c</w:t>
      </w:r>
      <w:proofErr w:type="spellEnd"/>
      <w:r w:rsidR="00774623" w:rsidRPr="00B60243">
        <w:t>,</w:t>
      </w:r>
      <w:r w:rsidR="00DC57C4" w:rsidRPr="00B60243">
        <w:t xml:space="preserve"> </w:t>
      </w:r>
      <w:proofErr w:type="spellStart"/>
      <w:r w:rsidR="004A2047" w:rsidRPr="00B60243">
        <w:t>2012</w:t>
      </w:r>
      <w:r w:rsidR="00CE650D">
        <w:t>d</w:t>
      </w:r>
      <w:proofErr w:type="spellEnd"/>
      <w:r w:rsidRPr="00B60243">
        <w:t xml:space="preserve">). This growth </w:t>
      </w:r>
      <w:r w:rsidR="002055B1" w:rsidRPr="00B60243">
        <w:t xml:space="preserve">in both cycles </w:t>
      </w:r>
      <w:r w:rsidRPr="00B60243">
        <w:t>is likely to have been driven by strong growth in the number of smaller winemakers, despite some consolidation of larger producers.</w:t>
      </w:r>
      <w:r w:rsidRPr="00B60243">
        <w:rPr>
          <w:rStyle w:val="FootnoteReference"/>
        </w:rPr>
        <w:footnoteReference w:id="27"/>
      </w:r>
      <w:r w:rsidRPr="00B60243">
        <w:t xml:space="preserve"> </w:t>
      </w:r>
    </w:p>
    <w:p w:rsidR="00626CBE" w:rsidRPr="00B60243" w:rsidRDefault="00626CBE" w:rsidP="00626CBE">
      <w:pPr>
        <w:pStyle w:val="BodyText"/>
      </w:pPr>
      <w:r w:rsidRPr="00B60243">
        <w:t xml:space="preserve">There is </w:t>
      </w:r>
      <w:r w:rsidR="00F15E4C">
        <w:t>limited</w:t>
      </w:r>
      <w:r w:rsidRPr="00B60243">
        <w:t xml:space="preserve"> data available </w:t>
      </w:r>
      <w:r w:rsidR="002055B1" w:rsidRPr="00B60243">
        <w:t xml:space="preserve">about </w:t>
      </w:r>
      <w:r w:rsidRPr="00B60243">
        <w:t>the capital side of production. It is likely that capital investment increased in cycle 3 as industry in the mid</w:t>
      </w:r>
      <w:r w:rsidR="00E36E7F">
        <w:noBreakHyphen/>
      </w:r>
      <w:proofErr w:type="spellStart"/>
      <w:r w:rsidRPr="00B60243">
        <w:t>1990s</w:t>
      </w:r>
      <w:proofErr w:type="spellEnd"/>
      <w:r w:rsidRPr="00B60243">
        <w:t xml:space="preserve"> advocated for investment priorities to shift from vineyards to processing and storage capacity to utilise increased grape supplies from </w:t>
      </w:r>
      <w:r w:rsidR="0090612D" w:rsidRPr="00B60243">
        <w:t xml:space="preserve">the growth in </w:t>
      </w:r>
      <w:r w:rsidRPr="00B60243">
        <w:t>vineyard planting</w:t>
      </w:r>
      <w:r w:rsidR="0090612D" w:rsidRPr="00B60243">
        <w:t>s</w:t>
      </w:r>
      <w:r w:rsidRPr="00B60243">
        <w:t xml:space="preserve"> </w:t>
      </w:r>
      <w:r w:rsidR="0090612D" w:rsidRPr="00B60243">
        <w:t xml:space="preserve">in the </w:t>
      </w:r>
      <w:proofErr w:type="spellStart"/>
      <w:r w:rsidR="0090612D" w:rsidRPr="00B60243">
        <w:t>1990s</w:t>
      </w:r>
      <w:proofErr w:type="spellEnd"/>
      <w:r w:rsidRPr="00B60243">
        <w:t xml:space="preserve"> (Australian Wine Foundation</w:t>
      </w:r>
      <w:r w:rsidR="00DC57C4" w:rsidRPr="00B60243">
        <w:t xml:space="preserve"> and Winemakers’ Federation of Australia</w:t>
      </w:r>
      <w:r w:rsidRPr="00B60243">
        <w:t xml:space="preserve"> 1996). For example, winemaking facilities were processing around 72 per cent more wine grapes by the end of cycle 3</w:t>
      </w:r>
      <w:r w:rsidR="002055B1" w:rsidRPr="00B60243">
        <w:t xml:space="preserve"> (2003</w:t>
      </w:r>
      <w:r w:rsidR="00E36E7F">
        <w:noBreakHyphen/>
      </w:r>
      <w:r w:rsidR="002055B1" w:rsidRPr="00B60243">
        <w:t>04)</w:t>
      </w:r>
      <w:r w:rsidRPr="00B60243">
        <w:t xml:space="preserve"> compared with the beginning of the cycle</w:t>
      </w:r>
      <w:r w:rsidR="002055B1" w:rsidRPr="00B60243">
        <w:t xml:space="preserve"> (1998</w:t>
      </w:r>
      <w:r w:rsidR="00E36E7F">
        <w:noBreakHyphen/>
      </w:r>
      <w:r w:rsidR="002055B1" w:rsidRPr="00B60243">
        <w:t>99)</w:t>
      </w:r>
      <w:r w:rsidRPr="00B60243">
        <w:t xml:space="preserve"> </w:t>
      </w:r>
      <w:r w:rsidR="00F21806" w:rsidRPr="00B60243">
        <w:t xml:space="preserve">— </w:t>
      </w:r>
      <w:r w:rsidRPr="00B60243">
        <w:t>from 1.1 million to 1.9 million tonnes</w:t>
      </w:r>
      <w:r w:rsidR="00DC57C4" w:rsidRPr="00B60243">
        <w:t xml:space="preserve"> (ABS </w:t>
      </w:r>
      <w:proofErr w:type="spellStart"/>
      <w:r w:rsidR="004A2047" w:rsidRPr="00B60243">
        <w:t>2012</w:t>
      </w:r>
      <w:r w:rsidR="00453751">
        <w:t>e</w:t>
      </w:r>
      <w:proofErr w:type="spellEnd"/>
      <w:r w:rsidR="00DC57C4" w:rsidRPr="00B60243">
        <w:t>)</w:t>
      </w:r>
      <w:r w:rsidRPr="00B60243">
        <w:t xml:space="preserve">. And record production volumes were achieved in the first three years of cycle 4. </w:t>
      </w:r>
      <w:r w:rsidR="00C758C6" w:rsidRPr="00B60243">
        <w:t>By the end of cycle 4, i</w:t>
      </w:r>
      <w:r w:rsidRPr="00B60243">
        <w:t xml:space="preserve">t is likely that some capital </w:t>
      </w:r>
      <w:r w:rsidR="00C758C6" w:rsidRPr="00B60243">
        <w:t>was</w:t>
      </w:r>
      <w:r w:rsidRPr="00B60243">
        <w:t xml:space="preserve"> underutilised</w:t>
      </w:r>
      <w:r w:rsidR="0090612D" w:rsidRPr="00B60243">
        <w:t xml:space="preserve"> </w:t>
      </w:r>
      <w:r w:rsidR="00D36CF2" w:rsidRPr="00B60243">
        <w:t xml:space="preserve">(assuming </w:t>
      </w:r>
      <w:r w:rsidR="0090612D" w:rsidRPr="00B60243">
        <w:t>most producers retained their production capacity</w:t>
      </w:r>
      <w:r w:rsidR="00D36CF2" w:rsidRPr="00B60243">
        <w:t>)</w:t>
      </w:r>
      <w:r w:rsidR="0090612D" w:rsidRPr="00B60243">
        <w:t xml:space="preserve"> </w:t>
      </w:r>
      <w:r w:rsidR="00D36CF2" w:rsidRPr="00B60243">
        <w:t>because</w:t>
      </w:r>
      <w:r w:rsidRPr="00B60243">
        <w:t xml:space="preserve"> output declined late in </w:t>
      </w:r>
      <w:r w:rsidR="00C758C6" w:rsidRPr="00B60243">
        <w:t xml:space="preserve">the </w:t>
      </w:r>
      <w:r w:rsidRPr="00B60243">
        <w:t xml:space="preserve">cycle and </w:t>
      </w:r>
      <w:r w:rsidR="00301BCC" w:rsidRPr="00B60243">
        <w:t xml:space="preserve">more </w:t>
      </w:r>
      <w:r w:rsidRPr="00B60243">
        <w:t xml:space="preserve">of the </w:t>
      </w:r>
      <w:r w:rsidR="00210AB4" w:rsidRPr="00B60243">
        <w:t>value adding</w:t>
      </w:r>
      <w:r w:rsidRPr="00B60243">
        <w:t xml:space="preserve"> moved overseas.</w:t>
      </w:r>
      <w:r w:rsidR="0090612D" w:rsidRPr="00B60243">
        <w:t xml:space="preserve"> </w:t>
      </w:r>
      <w:r w:rsidR="00301BCC" w:rsidRPr="00B60243">
        <w:t>T</w:t>
      </w:r>
      <w:r w:rsidR="0090612D" w:rsidRPr="00B60243">
        <w:t xml:space="preserve">he </w:t>
      </w:r>
      <w:r w:rsidRPr="00B60243">
        <w:t xml:space="preserve">consolidation among large producers </w:t>
      </w:r>
      <w:r w:rsidR="008A244D" w:rsidRPr="00B60243">
        <w:t>could</w:t>
      </w:r>
      <w:r w:rsidRPr="00B60243">
        <w:t xml:space="preserve"> have </w:t>
      </w:r>
      <w:r w:rsidR="00AD5857" w:rsidRPr="00B60243">
        <w:t>had some offsetting effec</w:t>
      </w:r>
      <w:r w:rsidR="00CD7E60" w:rsidRPr="00B60243">
        <w:t>t (depending on the extent to which this involved a reduction in the total capital stock)</w:t>
      </w:r>
      <w:r w:rsidRPr="00B60243">
        <w:t>.</w:t>
      </w:r>
      <w:r w:rsidR="00FA6474" w:rsidRPr="00B60243">
        <w:t xml:space="preserve"> However, </w:t>
      </w:r>
      <w:r w:rsidR="00D4393F" w:rsidRPr="00B60243">
        <w:t xml:space="preserve">data on change in the capital stock are </w:t>
      </w:r>
      <w:r w:rsidR="00FA6474" w:rsidRPr="00B60243">
        <w:t>not available.</w:t>
      </w:r>
    </w:p>
    <w:p w:rsidR="00626CBE" w:rsidRPr="00B60243" w:rsidRDefault="00626CBE" w:rsidP="00360C50">
      <w:pPr>
        <w:pStyle w:val="Heading6"/>
      </w:pPr>
      <w:r w:rsidRPr="00B60243">
        <w:lastRenderedPageBreak/>
        <w:t>Pace of industry adjustment</w:t>
      </w:r>
    </w:p>
    <w:p w:rsidR="00626CBE" w:rsidRPr="00B60243" w:rsidRDefault="00626CBE" w:rsidP="00B07EA4">
      <w:pPr>
        <w:pStyle w:val="BodyText"/>
        <w:spacing w:before="200"/>
      </w:pPr>
      <w:r w:rsidRPr="00B60243">
        <w:t>The adjustment on the input side to the weaker market conditions might have been slowed by several factors</w:t>
      </w:r>
      <w:r w:rsidR="003C2118" w:rsidRPr="00B60243">
        <w:t>.</w:t>
      </w:r>
      <w:r w:rsidRPr="00B60243">
        <w:t xml:space="preserve"> </w:t>
      </w:r>
    </w:p>
    <w:p w:rsidR="00626CBE" w:rsidRPr="00B60243" w:rsidRDefault="001F15C7" w:rsidP="00626CBE">
      <w:pPr>
        <w:pStyle w:val="ListBullet"/>
      </w:pPr>
      <w:r w:rsidRPr="00B60243">
        <w:t>Significant change in market conditions. The ex</w:t>
      </w:r>
      <w:r w:rsidR="00295998" w:rsidRPr="00B60243">
        <w:t xml:space="preserve">cess world </w:t>
      </w:r>
      <w:r w:rsidR="00214BC3" w:rsidRPr="00B60243">
        <w:t xml:space="preserve">supply </w:t>
      </w:r>
      <w:r w:rsidR="00295998" w:rsidRPr="00B60243">
        <w:t xml:space="preserve">of wine relative to demand </w:t>
      </w:r>
      <w:r w:rsidRPr="00B60243">
        <w:t>(</w:t>
      </w:r>
      <w:r w:rsidR="00BD003E" w:rsidRPr="00B60243">
        <w:t>referred to as ‘the wine glut’</w:t>
      </w:r>
      <w:r w:rsidR="00214BC3" w:rsidRPr="00B60243">
        <w:t xml:space="preserve"> by some commentators</w:t>
      </w:r>
      <w:r w:rsidRPr="00B60243">
        <w:t xml:space="preserve">), with which </w:t>
      </w:r>
      <w:r w:rsidR="001D1F74" w:rsidRPr="00B60243">
        <w:t xml:space="preserve">domestic </w:t>
      </w:r>
      <w:r w:rsidR="00626CBE" w:rsidRPr="00B60243">
        <w:t xml:space="preserve">winemakers </w:t>
      </w:r>
      <w:r w:rsidRPr="00B60243">
        <w:t xml:space="preserve">were faced </w:t>
      </w:r>
      <w:r w:rsidR="00626CBE" w:rsidRPr="00B60243">
        <w:t xml:space="preserve">in the middle of cycle 4, </w:t>
      </w:r>
      <w:r w:rsidR="00214BC3" w:rsidRPr="00B60243">
        <w:t>w</w:t>
      </w:r>
      <w:r w:rsidRPr="00B60243">
        <w:t>as</w:t>
      </w:r>
      <w:r w:rsidR="00214BC3" w:rsidRPr="00B60243">
        <w:t xml:space="preserve"> </w:t>
      </w:r>
      <w:r w:rsidR="00626CBE" w:rsidRPr="00B60243">
        <w:t xml:space="preserve">preceded by </w:t>
      </w:r>
      <w:r w:rsidR="00A36A61" w:rsidRPr="00B60243">
        <w:t xml:space="preserve">a period of rapid expansion with </w:t>
      </w:r>
      <w:r w:rsidR="00626CBE" w:rsidRPr="00B60243">
        <w:t xml:space="preserve">record production levels and </w:t>
      </w:r>
      <w:r w:rsidR="00295998" w:rsidRPr="00B60243">
        <w:t xml:space="preserve">strong </w:t>
      </w:r>
      <w:r w:rsidR="00626CBE" w:rsidRPr="00B60243">
        <w:t xml:space="preserve">growth in export volumes. Adjustment to </w:t>
      </w:r>
      <w:r w:rsidRPr="00B60243">
        <w:t xml:space="preserve">such large changes in </w:t>
      </w:r>
      <w:r w:rsidR="00626CBE" w:rsidRPr="00B60243">
        <w:t>market conditions</w:t>
      </w:r>
      <w:r w:rsidR="00A36A61" w:rsidRPr="00B60243">
        <w:t xml:space="preserve"> takes time — </w:t>
      </w:r>
      <w:r w:rsidR="00626CBE" w:rsidRPr="00B60243">
        <w:t xml:space="preserve">especially </w:t>
      </w:r>
      <w:r w:rsidR="00A36A61" w:rsidRPr="00B60243">
        <w:t xml:space="preserve">the adjustment of </w:t>
      </w:r>
      <w:r w:rsidR="00626CBE" w:rsidRPr="00B60243">
        <w:t>capital.</w:t>
      </w:r>
    </w:p>
    <w:p w:rsidR="003E614A" w:rsidRPr="00B60243" w:rsidRDefault="00626CBE" w:rsidP="001D1F74">
      <w:pPr>
        <w:pStyle w:val="ListBullet"/>
      </w:pPr>
      <w:r w:rsidRPr="00B60243">
        <w:t xml:space="preserve">Taxation arrangements. </w:t>
      </w:r>
      <w:r w:rsidR="001D1F74" w:rsidRPr="00B60243">
        <w:t xml:space="preserve">According to Henry et al. </w:t>
      </w:r>
      <w:r w:rsidR="003E614A" w:rsidRPr="00B60243">
        <w:t>(</w:t>
      </w:r>
      <w:r w:rsidR="001D1F74" w:rsidRPr="00B60243">
        <w:t>2009</w:t>
      </w:r>
      <w:r w:rsidR="003E614A" w:rsidRPr="00B60243">
        <w:t>, p.</w:t>
      </w:r>
      <w:r w:rsidR="00E36E7F">
        <w:t> </w:t>
      </w:r>
      <w:r w:rsidR="003E614A" w:rsidRPr="00B60243">
        <w:t>438)</w:t>
      </w:r>
    </w:p>
    <w:p w:rsidR="00626CBE" w:rsidRPr="00B60243" w:rsidRDefault="003E614A" w:rsidP="003E614A">
      <w:pPr>
        <w:pStyle w:val="Quote"/>
      </w:pPr>
      <w:r w:rsidRPr="00B60243">
        <w:t>The wine producer rebate [Wine Equalisation Tax rebate] fosters small</w:t>
      </w:r>
      <w:r w:rsidR="00E36E7F">
        <w:noBreakHyphen/>
      </w:r>
      <w:r w:rsidRPr="00B60243">
        <w:t>scale production and supports some small, otherwise uneconomic wineries. The industry currently reports a widespread grape oversupply and that around half of all wine producers are currently unprofitable. This suggests that resources such as land, water and capital are not being used efficiently. Moreover, the rebate may be acting to prevent an appropriate market response to these circumstances by discouraging mergers within the industry.</w:t>
      </w:r>
      <w:r w:rsidR="001D1F74" w:rsidRPr="00B60243">
        <w:t xml:space="preserve"> </w:t>
      </w:r>
    </w:p>
    <w:p w:rsidR="00626CBE" w:rsidRPr="00B60243" w:rsidRDefault="00626CBE" w:rsidP="00626CBE">
      <w:pPr>
        <w:pStyle w:val="ListBullet"/>
      </w:pPr>
      <w:r w:rsidRPr="00B60243">
        <w:t>Lifestyle ventures. High income or high net worth urban owners can operate their wine businesses at a loss as they have other sources of income and capital. For example, some hobby or ‘sea change’ growers can rely on other sources of income (</w:t>
      </w:r>
      <w:r w:rsidR="00435EDD" w:rsidRPr="00B60243">
        <w:t>for example,</w:t>
      </w:r>
      <w:r w:rsidRPr="00B60243">
        <w:t xml:space="preserve"> cafe, </w:t>
      </w:r>
      <w:r w:rsidR="002432AD" w:rsidRPr="00B60243">
        <w:t>bed and breakfast</w:t>
      </w:r>
      <w:r w:rsidRPr="00B60243">
        <w:t xml:space="preserve"> accommodation or tourist attractions) (</w:t>
      </w:r>
      <w:proofErr w:type="spellStart"/>
      <w:r w:rsidRPr="00B60243">
        <w:t>Kiri</w:t>
      </w:r>
      <w:r w:rsidR="00E36E7F">
        <w:noBreakHyphen/>
      </w:r>
      <w:r w:rsidRPr="00B60243">
        <w:t>Ganai</w:t>
      </w:r>
      <w:proofErr w:type="spellEnd"/>
      <w:r w:rsidRPr="00B60243">
        <w:t xml:space="preserve"> Research 2006). </w:t>
      </w:r>
    </w:p>
    <w:p w:rsidR="00626CBE" w:rsidRPr="00B60243" w:rsidRDefault="00626CBE" w:rsidP="00626CBE">
      <w:pPr>
        <w:pStyle w:val="ListBullet"/>
      </w:pPr>
      <w:r w:rsidRPr="00B60243">
        <w:t>Expectations of export growth in new markets. For example, the value of A</w:t>
      </w:r>
      <w:r w:rsidR="001F6568" w:rsidRPr="00B60243">
        <w:t>ustralian exports to China grew</w:t>
      </w:r>
      <w:r w:rsidRPr="00B60243">
        <w:t xml:space="preserve"> </w:t>
      </w:r>
      <w:r w:rsidR="001F6568" w:rsidRPr="00B60243">
        <w:t xml:space="preserve">(albeit </w:t>
      </w:r>
      <w:r w:rsidRPr="00B60243">
        <w:t>from a very small base</w:t>
      </w:r>
      <w:r w:rsidR="001F6568" w:rsidRPr="00B60243">
        <w:t>)</w:t>
      </w:r>
      <w:r w:rsidRPr="00B60243">
        <w:t xml:space="preserve"> by 28.2 per cent </w:t>
      </w:r>
      <w:r w:rsidR="00A455AB" w:rsidRPr="00B60243">
        <w:t>a</w:t>
      </w:r>
      <w:r w:rsidRPr="00B60243">
        <w:t xml:space="preserve"> year in cycle 3 and 79.9 per cent </w:t>
      </w:r>
      <w:r w:rsidR="00A455AB" w:rsidRPr="00B60243">
        <w:t>a</w:t>
      </w:r>
      <w:r w:rsidRPr="00B60243">
        <w:t xml:space="preserve"> year in cycle 4. In 2008</w:t>
      </w:r>
      <w:r w:rsidR="00E36E7F">
        <w:noBreakHyphen/>
      </w:r>
      <w:r w:rsidRPr="00B60243">
        <w:t>09 China became Australia’s fourth biggest wine export market (in value terms)</w:t>
      </w:r>
      <w:r w:rsidR="00DC57C4" w:rsidRPr="00B60243">
        <w:t xml:space="preserve"> (ABS </w:t>
      </w:r>
      <w:proofErr w:type="spellStart"/>
      <w:r w:rsidR="0085025B" w:rsidRPr="00B60243">
        <w:t>2012</w:t>
      </w:r>
      <w:r w:rsidR="00453751">
        <w:t>e</w:t>
      </w:r>
      <w:proofErr w:type="spellEnd"/>
      <w:r w:rsidR="00DC57C4" w:rsidRPr="00B60243">
        <w:t>)</w:t>
      </w:r>
      <w:r w:rsidRPr="00B60243">
        <w:t>.</w:t>
      </w:r>
    </w:p>
    <w:p w:rsidR="00626CBE" w:rsidRPr="00B60243" w:rsidRDefault="00626CBE" w:rsidP="00626CBE">
      <w:pPr>
        <w:pStyle w:val="Heading5"/>
      </w:pPr>
      <w:r w:rsidRPr="00B60243">
        <w:t>Implications for MFP</w:t>
      </w:r>
    </w:p>
    <w:p w:rsidR="00626CBE" w:rsidRPr="00B60243" w:rsidRDefault="00626CBE" w:rsidP="00626CBE">
      <w:pPr>
        <w:pStyle w:val="BodyText"/>
      </w:pPr>
      <w:r w:rsidRPr="00B60243">
        <w:t xml:space="preserve">While there is insufficient information to estimate MFP in </w:t>
      </w:r>
      <w:r w:rsidR="00057822" w:rsidRPr="00B60243">
        <w:t>Wine manufacturing</w:t>
      </w:r>
      <w:r w:rsidRPr="00B60243">
        <w:t xml:space="preserve">, MFP may have declined over cycle 4. There is no clear evidence of a reduction in inputs of sufficient size to offset the decline in </w:t>
      </w:r>
      <w:r w:rsidR="00C02121">
        <w:t xml:space="preserve">real </w:t>
      </w:r>
      <w:r w:rsidRPr="00B60243">
        <w:t>VA and thus maintain productivity levels.</w:t>
      </w:r>
    </w:p>
    <w:p w:rsidR="00626CBE" w:rsidRPr="00B60243" w:rsidRDefault="00626CBE" w:rsidP="00B07EA4">
      <w:pPr>
        <w:pStyle w:val="BodyText"/>
      </w:pPr>
      <w:r w:rsidRPr="00B60243">
        <w:t>Since then, there are signs that the wine industry has made further adjustments</w:t>
      </w:r>
      <w:r w:rsidR="002055B1" w:rsidRPr="00B60243">
        <w:t xml:space="preserve"> in response</w:t>
      </w:r>
      <w:r w:rsidRPr="00B60243">
        <w:t xml:space="preserve"> to (global) market conditions. A major statement by key Australian winemaking and grape growing bodies noted the need for the industry to address structural oversupply of wine (W</w:t>
      </w:r>
      <w:r w:rsidR="00CA280D" w:rsidRPr="00B60243">
        <w:t xml:space="preserve">inemakers’ </w:t>
      </w:r>
      <w:r w:rsidRPr="00B60243">
        <w:t>F</w:t>
      </w:r>
      <w:r w:rsidR="00CA280D" w:rsidRPr="00B60243">
        <w:t xml:space="preserve">ederation of </w:t>
      </w:r>
      <w:r w:rsidRPr="00B60243">
        <w:t>A</w:t>
      </w:r>
      <w:r w:rsidR="00CA280D" w:rsidRPr="00B60243">
        <w:t>ustralia</w:t>
      </w:r>
      <w:r w:rsidRPr="00B60243">
        <w:t xml:space="preserve"> et al. 2009). Output and </w:t>
      </w:r>
      <w:r w:rsidR="00A72C11">
        <w:t>VA</w:t>
      </w:r>
      <w:r w:rsidRPr="00B60243">
        <w:t xml:space="preserve"> ha</w:t>
      </w:r>
      <w:r w:rsidR="00385C25" w:rsidRPr="00B60243">
        <w:t>ve</w:t>
      </w:r>
      <w:r w:rsidRPr="00B60243">
        <w:t xml:space="preserve"> declined further, and there has been a further shift to bulk exports (figure </w:t>
      </w:r>
      <w:r w:rsidR="00B072C2" w:rsidRPr="00B60243">
        <w:t>5.24</w:t>
      </w:r>
      <w:r w:rsidR="00B07EA4">
        <w:t>).</w:t>
      </w:r>
    </w:p>
    <w:p w:rsidR="00626CBE" w:rsidRPr="00B60243" w:rsidRDefault="00626CBE" w:rsidP="00626CBE">
      <w:pPr>
        <w:pStyle w:val="BodyText"/>
      </w:pPr>
      <w:r w:rsidRPr="00B60243">
        <w:lastRenderedPageBreak/>
        <w:t>On the input side, there has been some decline in employment at an average rate of 0.7 per cent a year between 2007</w:t>
      </w:r>
      <w:r w:rsidRPr="00B60243">
        <w:noBreakHyphen/>
        <w:t>08 and 2010</w:t>
      </w:r>
      <w:r w:rsidR="00E36E7F">
        <w:noBreakHyphen/>
      </w:r>
      <w:r w:rsidRPr="00B60243">
        <w:t>11 (the current incomplete cycle).</w:t>
      </w:r>
      <w:r w:rsidRPr="00B60243">
        <w:rPr>
          <w:rStyle w:val="FootnoteReference"/>
        </w:rPr>
        <w:footnoteReference w:id="28"/>
      </w:r>
      <w:r w:rsidRPr="00B60243">
        <w:t xml:space="preserve"> Further consolidation among larger producers is also occurring, including a deal by the two largest wine producers to consolidate their bottling activities in Australia and overseas (Treasury Wine Estates</w:t>
      </w:r>
      <w:r w:rsidR="00AE10EB" w:rsidRPr="00B60243">
        <w:t xml:space="preserve"> 2012;</w:t>
      </w:r>
      <w:r w:rsidRPr="00B60243">
        <w:t xml:space="preserve"> Accolade Wines 2012). However, given the lack of </w:t>
      </w:r>
      <w:r w:rsidR="00F15E4C">
        <w:t xml:space="preserve">capital </w:t>
      </w:r>
      <w:r w:rsidRPr="00B60243">
        <w:t>data for the industry as a whole, it is not known whether the industry has reduced its total inputs in line with VA or if MFP has declined</w:t>
      </w:r>
      <w:r w:rsidR="00385C25" w:rsidRPr="00B60243">
        <w:t xml:space="preserve"> further since cycle 4</w:t>
      </w:r>
      <w:r w:rsidRPr="00B60243">
        <w:t xml:space="preserve">. </w:t>
      </w:r>
    </w:p>
    <w:p w:rsidR="00A90777" w:rsidRPr="00B60243" w:rsidRDefault="00A90777" w:rsidP="00A90777">
      <w:pPr>
        <w:pStyle w:val="Heading4"/>
      </w:pPr>
      <w:r w:rsidRPr="00B60243">
        <w:t>Bakery product manufacturing</w:t>
      </w:r>
    </w:p>
    <w:p w:rsidR="00A90777" w:rsidRPr="00B60243" w:rsidRDefault="00A90777" w:rsidP="00582A05">
      <w:pPr>
        <w:pStyle w:val="BodyText"/>
      </w:pPr>
      <w:r w:rsidRPr="00B60243">
        <w:rPr>
          <w:rStyle w:val="BodyTextChar"/>
        </w:rPr>
        <w:t>Bakery product manufacturing (</w:t>
      </w:r>
      <w:r w:rsidR="007E3D01" w:rsidRPr="00B60243">
        <w:rPr>
          <w:rStyle w:val="BodyTextChar"/>
        </w:rPr>
        <w:t>‘</w:t>
      </w:r>
      <w:r w:rsidRPr="00B60243">
        <w:rPr>
          <w:rStyle w:val="BodyTextChar"/>
        </w:rPr>
        <w:t>Bakery</w:t>
      </w:r>
      <w:r w:rsidR="007E3D01" w:rsidRPr="00B60243">
        <w:rPr>
          <w:rStyle w:val="BodyTextChar"/>
        </w:rPr>
        <w:t>’</w:t>
      </w:r>
      <w:r w:rsidRPr="00B60243">
        <w:rPr>
          <w:rStyle w:val="BodyTextChar"/>
        </w:rPr>
        <w:t xml:space="preserve">) </w:t>
      </w:r>
      <w:r w:rsidR="00C02121">
        <w:rPr>
          <w:rStyle w:val="BodyTextChar"/>
        </w:rPr>
        <w:t>is made up of</w:t>
      </w:r>
      <w:r w:rsidR="00C02121" w:rsidRPr="00B60243">
        <w:rPr>
          <w:rStyle w:val="BodyTextChar"/>
        </w:rPr>
        <w:t xml:space="preserve"> </w:t>
      </w:r>
      <w:r w:rsidRPr="00B60243">
        <w:rPr>
          <w:rStyle w:val="BodyTextChar"/>
        </w:rPr>
        <w:t>factory and non</w:t>
      </w:r>
      <w:r w:rsidR="00E36E7F">
        <w:rPr>
          <w:rStyle w:val="BodyTextChar"/>
        </w:rPr>
        <w:noBreakHyphen/>
      </w:r>
      <w:r w:rsidRPr="00B60243">
        <w:rPr>
          <w:rStyle w:val="BodyTextChar"/>
        </w:rPr>
        <w:t>factory based production. Non</w:t>
      </w:r>
      <w:r w:rsidR="00E36E7F">
        <w:rPr>
          <w:rStyle w:val="BodyTextChar"/>
        </w:rPr>
        <w:noBreakHyphen/>
      </w:r>
      <w:r w:rsidRPr="00B60243">
        <w:rPr>
          <w:rStyle w:val="BodyTextChar"/>
        </w:rPr>
        <w:t xml:space="preserve">factory bakery </w:t>
      </w:r>
      <w:r w:rsidR="00385C25" w:rsidRPr="00B60243">
        <w:rPr>
          <w:rStyle w:val="BodyTextChar"/>
        </w:rPr>
        <w:t>accounted for</w:t>
      </w:r>
      <w:r w:rsidRPr="00B60243">
        <w:rPr>
          <w:rStyle w:val="BodyTextChar"/>
        </w:rPr>
        <w:t xml:space="preserve"> </w:t>
      </w:r>
      <w:r w:rsidRPr="00B60243">
        <w:t>46 per cent of Bakery nominal VA in 2008</w:t>
      </w:r>
      <w:r w:rsidR="00E36E7F">
        <w:noBreakHyphen/>
      </w:r>
      <w:r w:rsidRPr="00B60243">
        <w:t xml:space="preserve">09 (figure </w:t>
      </w:r>
      <w:r w:rsidR="00B072C2" w:rsidRPr="00B60243">
        <w:t>5.25</w:t>
      </w:r>
      <w:r w:rsidRPr="00B60243">
        <w:t>, left panel). Non</w:t>
      </w:r>
      <w:r w:rsidR="00E36E7F">
        <w:noBreakHyphen/>
      </w:r>
      <w:r w:rsidRPr="00B60243">
        <w:t>factory bakery is relatively labour intensive, with 61 per cent of Bakery employment in 2008</w:t>
      </w:r>
      <w:r w:rsidR="00E36E7F">
        <w:noBreakHyphen/>
      </w:r>
      <w:r w:rsidRPr="00B60243">
        <w:t xml:space="preserve">09 compared with 39 per cent for factory bakery (figure </w:t>
      </w:r>
      <w:r w:rsidR="00B072C2" w:rsidRPr="00B60243">
        <w:t>5.25</w:t>
      </w:r>
      <w:r w:rsidRPr="00B60243">
        <w:t xml:space="preserve">, right panel). </w:t>
      </w:r>
    </w:p>
    <w:p w:rsidR="00A90777" w:rsidRPr="00B60243" w:rsidRDefault="00A90777" w:rsidP="00A90777">
      <w:pPr>
        <w:pStyle w:val="FigureTitle"/>
      </w:pPr>
      <w:r w:rsidRPr="00B60243">
        <w:rPr>
          <w:b w:val="0"/>
        </w:rPr>
        <w:t xml:space="preserve">Figure </w:t>
      </w:r>
      <w:bookmarkStart w:id="42" w:name="OLE_LINK22"/>
      <w:r w:rsidR="00B072C2" w:rsidRPr="00B60243">
        <w:rPr>
          <w:b w:val="0"/>
        </w:rPr>
        <w:t>5.</w:t>
      </w:r>
      <w:r w:rsidR="002E061A">
        <w:rPr>
          <w:b w:val="0"/>
          <w:noProof/>
        </w:rPr>
        <w:t>25</w:t>
      </w:r>
      <w:bookmarkEnd w:id="42"/>
      <w:r w:rsidRPr="00B60243">
        <w:tab/>
        <w:t>Composition of Bakery product manufacturing</w:t>
      </w:r>
      <w:r w:rsidRPr="00B60243">
        <w:rPr>
          <w:rStyle w:val="NoteLabel"/>
          <w:b/>
        </w:rPr>
        <w:t>a</w:t>
      </w:r>
      <w:r w:rsidRPr="00B60243">
        <w:t>, 2008</w:t>
      </w:r>
      <w:r w:rsidR="00E36E7F">
        <w:noBreakHyphen/>
      </w:r>
      <w:r w:rsidRPr="00B60243">
        <w:t>09</w:t>
      </w:r>
    </w:p>
    <w:p w:rsidR="00A90777" w:rsidRPr="00B60243" w:rsidRDefault="00A90777" w:rsidP="00A90777">
      <w:pPr>
        <w:pStyle w:val="Subtitle"/>
      </w:pPr>
      <w:r w:rsidRPr="00B60243">
        <w:t>Percentage shares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A90777" w:rsidRPr="00582A05" w:rsidTr="00FC274A">
        <w:tc>
          <w:tcPr>
            <w:tcW w:w="4388" w:type="dxa"/>
          </w:tcPr>
          <w:p w:rsidR="00A90777" w:rsidRPr="00582A05" w:rsidRDefault="00A90777" w:rsidP="00F759CC">
            <w:pPr>
              <w:pStyle w:val="Figure"/>
              <w:spacing w:after="0"/>
              <w:rPr>
                <w:i/>
                <w:sz w:val="22"/>
                <w:szCs w:val="22"/>
              </w:rPr>
            </w:pPr>
            <w:r w:rsidRPr="00582A05">
              <w:rPr>
                <w:i/>
                <w:sz w:val="22"/>
                <w:szCs w:val="22"/>
              </w:rPr>
              <w:t>Value added</w:t>
            </w:r>
          </w:p>
        </w:tc>
        <w:tc>
          <w:tcPr>
            <w:tcW w:w="4389" w:type="dxa"/>
          </w:tcPr>
          <w:p w:rsidR="00A90777" w:rsidRPr="00582A05" w:rsidRDefault="00A90777" w:rsidP="00F759CC">
            <w:pPr>
              <w:pStyle w:val="Figure"/>
              <w:spacing w:after="0"/>
              <w:rPr>
                <w:i/>
                <w:sz w:val="22"/>
                <w:szCs w:val="22"/>
              </w:rPr>
            </w:pPr>
            <w:r w:rsidRPr="00582A05">
              <w:rPr>
                <w:i/>
                <w:sz w:val="22"/>
                <w:szCs w:val="22"/>
              </w:rPr>
              <w:t>Employment</w:t>
            </w:r>
            <w:r w:rsidR="00385C25" w:rsidRPr="00582A05">
              <w:rPr>
                <w:i/>
                <w:sz w:val="22"/>
                <w:szCs w:val="22"/>
              </w:rPr>
              <w:t xml:space="preserve"> (persons)</w:t>
            </w:r>
          </w:p>
        </w:tc>
      </w:tr>
      <w:tr w:rsidR="00A90777" w:rsidRPr="00B60243" w:rsidTr="00FC274A">
        <w:tc>
          <w:tcPr>
            <w:tcW w:w="4388" w:type="dxa"/>
          </w:tcPr>
          <w:p w:rsidR="00A90777" w:rsidRPr="00B60243" w:rsidRDefault="00E406E7" w:rsidP="0084492B">
            <w:pPr>
              <w:pStyle w:val="Figure"/>
            </w:pPr>
            <w:r>
              <w:pict>
                <v:shape id="_x0000_i1060" type="#_x0000_t75" alt="This figure comprises of two charts. The first chart shows value added shares within Bakery product manufacturing. Non-factory bakery is shown to be the largest contributor with a 46 per cent share, with the other three factory bakery products contributing to the other 54 per cent. The second chart shows employment shares in bakery product manufacturing. Non-factory bakery is relatively labour intensive, with 61 per cent of Bakery employment." style="width:198.4pt;height:198.4pt">
                  <v:imagedata r:id="rId45" o:title=""/>
                </v:shape>
              </w:pict>
            </w:r>
          </w:p>
        </w:tc>
        <w:tc>
          <w:tcPr>
            <w:tcW w:w="4389" w:type="dxa"/>
          </w:tcPr>
          <w:p w:rsidR="00A90777" w:rsidRPr="00B60243" w:rsidRDefault="00E406E7" w:rsidP="0084492B">
            <w:pPr>
              <w:pStyle w:val="Figure"/>
            </w:pPr>
            <w:r>
              <w:pict>
                <v:shape id="_x0000_i1061" type="#_x0000_t75" alt="This figure comprises of two charts. The first chart shows value added shares within Bakery product manufacturing. Non-factory bakery is shown to be the largest contributor with a 46 per cent share, with the other three factory bakery products contributing to the other 54 per cent. The second chart shows employment shares in bakery product manufacturing. Non-factory bakery is relatively labour intensive, with 61 per cent of Bakery employment." style="width:198.4pt;height:198.4pt">
                  <v:imagedata r:id="rId46" o:title=""/>
                </v:shape>
              </w:pict>
            </w:r>
          </w:p>
        </w:tc>
      </w:tr>
    </w:tbl>
    <w:p w:rsidR="00A90777" w:rsidRPr="00B60243" w:rsidRDefault="00A90777" w:rsidP="001F6568">
      <w:pPr>
        <w:pStyle w:val="Note"/>
        <w:spacing w:line="200" w:lineRule="exact"/>
      </w:pPr>
      <w:r w:rsidRPr="00B60243">
        <w:rPr>
          <w:rStyle w:val="NoteLabel"/>
        </w:rPr>
        <w:t>a</w:t>
      </w:r>
      <w:r w:rsidRPr="00B60243">
        <w:rPr>
          <w:rStyle w:val="NoteLabel"/>
          <w:b w:val="0"/>
        </w:rPr>
        <w:t xml:space="preserve"> </w:t>
      </w:r>
      <w:r w:rsidRPr="00B60243">
        <w:t>In</w:t>
      </w:r>
      <w:r w:rsidR="00E36E7F">
        <w:noBreakHyphen/>
      </w:r>
      <w:r w:rsidRPr="00B60243">
        <w:t xml:space="preserve">house supermarket bakeries do not appear to be included in ABS statistics for Bakery product manufacturing (appendix </w:t>
      </w:r>
      <w:r w:rsidR="008124B4" w:rsidRPr="00B60243">
        <w:t>G</w:t>
      </w:r>
      <w:r w:rsidRPr="00B60243">
        <w:t>). They are mentioned in this chapter in the context of changes in overall supply of bakery products.</w:t>
      </w:r>
      <w:r w:rsidR="0096271B" w:rsidRPr="00B60243">
        <w:t xml:space="preserve"> </w:t>
      </w:r>
      <w:r w:rsidRPr="00B60243">
        <w:rPr>
          <w:rStyle w:val="NoteLabel"/>
        </w:rPr>
        <w:t xml:space="preserve">b </w:t>
      </w:r>
      <w:r w:rsidR="00404CF5" w:rsidRPr="00B60243">
        <w:t>T</w:t>
      </w:r>
      <w:r w:rsidRPr="00B60243">
        <w:t>he ABS does not disaggregate Bakery product (non</w:t>
      </w:r>
      <w:r w:rsidR="00E36E7F">
        <w:noBreakHyphen/>
      </w:r>
      <w:r w:rsidRPr="00B60243">
        <w:t xml:space="preserve">factory) by product type. </w:t>
      </w:r>
    </w:p>
    <w:p w:rsidR="00A90777" w:rsidRPr="00B60243" w:rsidRDefault="00A90777" w:rsidP="001F6568">
      <w:pPr>
        <w:pStyle w:val="Source"/>
        <w:spacing w:after="0"/>
      </w:pPr>
      <w:r w:rsidRPr="00B60243">
        <w:rPr>
          <w:i/>
        </w:rPr>
        <w:t>Data source</w:t>
      </w:r>
      <w:r w:rsidRPr="00B60243">
        <w:t>: ABS (</w:t>
      </w:r>
      <w:r w:rsidRPr="00B60243">
        <w:rPr>
          <w:i/>
        </w:rPr>
        <w:t>Experimental Estimates for the Manufacturing Industry, 2008</w:t>
      </w:r>
      <w:r w:rsidR="00E36E7F">
        <w:rPr>
          <w:i/>
        </w:rPr>
        <w:noBreakHyphen/>
      </w:r>
      <w:r w:rsidRPr="00B60243">
        <w:rPr>
          <w:i/>
        </w:rPr>
        <w:t>09</w:t>
      </w:r>
      <w:r w:rsidRPr="00B60243">
        <w:t>, Cat. no.</w:t>
      </w:r>
      <w:r w:rsidRPr="00B60243">
        <w:rPr>
          <w:rFonts w:cs="Arial"/>
          <w:bCs/>
          <w:color w:val="000000"/>
          <w:sz w:val="28"/>
          <w:szCs w:val="28"/>
          <w:shd w:val="clear" w:color="auto" w:fill="FFFFFF"/>
        </w:rPr>
        <w:t xml:space="preserve"> </w:t>
      </w:r>
      <w:r w:rsidRPr="00B60243">
        <w:t>8159.0).</w:t>
      </w:r>
    </w:p>
    <w:p w:rsidR="00A90777" w:rsidRPr="00B60243" w:rsidRDefault="00A90777" w:rsidP="00A90777">
      <w:pPr>
        <w:pStyle w:val="oteNormal"/>
        <w:rPr>
          <w:rStyle w:val="BodyTextChar"/>
        </w:rPr>
      </w:pPr>
      <w:r w:rsidRPr="00B60243">
        <w:rPr>
          <w:rStyle w:val="BodyTextChar"/>
        </w:rPr>
        <w:lastRenderedPageBreak/>
        <w:t xml:space="preserve">Bakery may have contributed to the decline in aggregate </w:t>
      </w:r>
      <w:proofErr w:type="spellStart"/>
      <w:r w:rsidRPr="00B60243">
        <w:rPr>
          <w:rStyle w:val="BodyTextChar"/>
        </w:rPr>
        <w:t>FBT</w:t>
      </w:r>
      <w:proofErr w:type="spellEnd"/>
      <w:r w:rsidRPr="00B60243">
        <w:rPr>
          <w:rStyle w:val="BodyTextChar"/>
        </w:rPr>
        <w:t xml:space="preserve"> MFP between the last two complete productivity cycles</w:t>
      </w:r>
      <w:r w:rsidR="00385C25" w:rsidRPr="00B60243">
        <w:rPr>
          <w:rStyle w:val="BodyTextChar"/>
        </w:rPr>
        <w:t>, as s</w:t>
      </w:r>
      <w:r w:rsidRPr="00B60243">
        <w:rPr>
          <w:rStyle w:val="BodyTextChar"/>
        </w:rPr>
        <w:t xml:space="preserve">trong growth in hours worked does not appear to have been accompanied by a comparable increase in measured </w:t>
      </w:r>
      <w:r w:rsidR="00A72C11">
        <w:rPr>
          <w:rStyle w:val="BodyTextChar"/>
        </w:rPr>
        <w:t>VA</w:t>
      </w:r>
      <w:r w:rsidRPr="00B60243">
        <w:rPr>
          <w:rStyle w:val="BodyTextChar"/>
        </w:rPr>
        <w:t xml:space="preserve">. </w:t>
      </w:r>
    </w:p>
    <w:p w:rsidR="00A90777" w:rsidRPr="00B60243" w:rsidRDefault="00A90777" w:rsidP="00A90777">
      <w:pPr>
        <w:pStyle w:val="FigureTitle"/>
      </w:pPr>
      <w:r w:rsidRPr="00B60243">
        <w:rPr>
          <w:b w:val="0"/>
        </w:rPr>
        <w:t xml:space="preserve">Figure </w:t>
      </w:r>
      <w:bookmarkStart w:id="43" w:name="OLE_LINK27"/>
      <w:r w:rsidR="00B072C2" w:rsidRPr="00B60243">
        <w:rPr>
          <w:b w:val="0"/>
        </w:rPr>
        <w:t>5.</w:t>
      </w:r>
      <w:r w:rsidR="002E061A">
        <w:rPr>
          <w:b w:val="0"/>
          <w:noProof/>
        </w:rPr>
        <w:t>26</w:t>
      </w:r>
      <w:bookmarkEnd w:id="43"/>
      <w:r w:rsidRPr="00B60243">
        <w:tab/>
        <w:t>Value added, investment</w:t>
      </w:r>
      <w:r w:rsidRPr="00B60243">
        <w:rPr>
          <w:rStyle w:val="NoteLabel"/>
          <w:b/>
        </w:rPr>
        <w:t>a</w:t>
      </w:r>
      <w:r w:rsidRPr="00B60243">
        <w:t xml:space="preserve"> and labour input</w:t>
      </w:r>
      <w:r w:rsidR="007B0BF1" w:rsidRPr="00B60243">
        <w:t xml:space="preserve"> in</w:t>
      </w:r>
      <w:r w:rsidRPr="00B60243">
        <w:t xml:space="preserve"> Bakery product manufacturing</w:t>
      </w:r>
      <w:r w:rsidRPr="00B60243">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8B5F55" w:rsidRPr="00DE032F" w:rsidTr="00FC274A">
        <w:tc>
          <w:tcPr>
            <w:tcW w:w="4388" w:type="dxa"/>
          </w:tcPr>
          <w:p w:rsidR="008B5F55" w:rsidRPr="00DE032F" w:rsidRDefault="008B5F55" w:rsidP="00FA31AB">
            <w:pPr>
              <w:pStyle w:val="Figure"/>
              <w:spacing w:after="0"/>
              <w:rPr>
                <w:sz w:val="22"/>
                <w:szCs w:val="22"/>
              </w:rPr>
            </w:pPr>
            <w:r w:rsidRPr="00DE032F">
              <w:rPr>
                <w:i/>
                <w:sz w:val="22"/>
                <w:szCs w:val="22"/>
              </w:rPr>
              <w:t>Nominal value added and investment</w:t>
            </w:r>
          </w:p>
        </w:tc>
        <w:tc>
          <w:tcPr>
            <w:tcW w:w="4389" w:type="dxa"/>
          </w:tcPr>
          <w:p w:rsidR="008B5F55" w:rsidRPr="00DE032F" w:rsidRDefault="008B5F55" w:rsidP="00FA31AB">
            <w:pPr>
              <w:pStyle w:val="Figure"/>
              <w:spacing w:after="0"/>
              <w:rPr>
                <w:sz w:val="22"/>
                <w:szCs w:val="22"/>
              </w:rPr>
            </w:pPr>
            <w:r w:rsidRPr="00DE032F">
              <w:rPr>
                <w:i/>
                <w:sz w:val="22"/>
                <w:szCs w:val="22"/>
              </w:rPr>
              <w:t>Labour input</w:t>
            </w:r>
          </w:p>
        </w:tc>
      </w:tr>
      <w:tr w:rsidR="001A15D2" w:rsidRPr="00B60243" w:rsidTr="00FC274A">
        <w:tc>
          <w:tcPr>
            <w:tcW w:w="4388" w:type="dxa"/>
          </w:tcPr>
          <w:p w:rsidR="001A15D2" w:rsidRDefault="00E406E7" w:rsidP="0084492B">
            <w:pPr>
              <w:pStyle w:val="Figure"/>
            </w:pPr>
            <w:r>
              <w:pict>
                <v:shape id="_x0000_i1062" type="#_x0000_t75" alt="This figure comprises two charts covering the period 1998-99 to 2010-11. The first chart shows that nominal VA grew over cycle 3. It is not possible to estimate the extent of VA growth over cycle 4 because of changes in industry classification, although it appears likely to have been stronger in cycle 4 than cycle 3. Investment data is limited but shows fairly stable investment, again affected by the change in industry classification. The second chart shows that employment and hours worked fell over cycle 3, but grew strongly over cycle 4." style="width:211.8pt;height:211.8pt">
                  <v:imagedata r:id="rId47" o:title=""/>
                </v:shape>
              </w:pict>
            </w:r>
          </w:p>
        </w:tc>
        <w:tc>
          <w:tcPr>
            <w:tcW w:w="4389" w:type="dxa"/>
          </w:tcPr>
          <w:p w:rsidR="001A15D2" w:rsidRPr="00B60243" w:rsidRDefault="00E406E7" w:rsidP="0084492B">
            <w:pPr>
              <w:pStyle w:val="Figure"/>
            </w:pPr>
            <w:r>
              <w:pict>
                <v:shape id="_x0000_i1063" type="#_x0000_t75" alt="This figure comprises two charts covering the period 1998-99 to 2010-11. The first chart shows that nominal VA grew over cycle 3. It is not possible to estimate the extent of VA growth over cycle 4 because of changes in industry classification, although it appears likely to have been stronger in cycle 4 than cycle 3. Investment data is limited but shows fairly stable investment, again affected by the change in industry classification. The second chart shows that employment and hours worked fell over cycle 3, but grew strongly over cycle 4." style="width:211.8pt;height:211.8pt">
                  <v:imagedata r:id="rId48" o:title=""/>
                </v:shape>
              </w:pict>
            </w:r>
          </w:p>
        </w:tc>
      </w:tr>
    </w:tbl>
    <w:p w:rsidR="00A90777" w:rsidRPr="00B60243" w:rsidRDefault="00A90777" w:rsidP="00A90777">
      <w:pPr>
        <w:pStyle w:val="Note"/>
      </w:pPr>
      <w:r w:rsidRPr="00B60243">
        <w:rPr>
          <w:rStyle w:val="NoteLabel"/>
        </w:rPr>
        <w:t>a</w:t>
      </w:r>
      <w:r w:rsidRPr="00B60243">
        <w:t xml:space="preserve"> Investment is total acquisitions</w:t>
      </w:r>
      <w:r w:rsidR="007E3300" w:rsidRPr="00B60243">
        <w:t xml:space="preserve"> (expenditure on the acquisition of capital including plant, machinery and equipment, buildings, and other assets) and is not net of disposals of assets</w:t>
      </w:r>
      <w:r w:rsidRPr="00B60243">
        <w:t xml:space="preserve">. </w:t>
      </w:r>
      <w:r w:rsidRPr="00B60243">
        <w:rPr>
          <w:rStyle w:val="NoteLabel"/>
        </w:rPr>
        <w:t>b</w:t>
      </w:r>
      <w:r w:rsidRPr="00B60243">
        <w:t xml:space="preserve"> </w:t>
      </w:r>
      <w:r w:rsidR="005E170E">
        <w:t>B</w:t>
      </w:r>
      <w:r w:rsidRPr="00B60243">
        <w:t xml:space="preserve">reak in series </w:t>
      </w:r>
      <w:r w:rsidR="005E170E">
        <w:t xml:space="preserve">due to change in </w:t>
      </w:r>
      <w:proofErr w:type="spellStart"/>
      <w:r w:rsidR="005E170E">
        <w:t>ANZSIC</w:t>
      </w:r>
      <w:proofErr w:type="spellEnd"/>
      <w:r w:rsidR="005E170E">
        <w:t xml:space="preserve">, </w:t>
      </w:r>
      <w:r w:rsidRPr="00B60243">
        <w:t>with the addition of non</w:t>
      </w:r>
      <w:r w:rsidR="00E36E7F">
        <w:noBreakHyphen/>
      </w:r>
      <w:r w:rsidRPr="00B60243">
        <w:t>factory bakery from 2006</w:t>
      </w:r>
      <w:r w:rsidR="00E36E7F">
        <w:noBreakHyphen/>
      </w:r>
      <w:r w:rsidRPr="00B60243">
        <w:t>07. Data in left panel ha</w:t>
      </w:r>
      <w:r w:rsidR="00385C25" w:rsidRPr="00B60243">
        <w:t>ve</w:t>
      </w:r>
      <w:r w:rsidRPr="00B60243">
        <w:t xml:space="preserve"> not been adjusted for this break in series (or other survey methodology breaks </w:t>
      </w:r>
      <w:r w:rsidR="00A66B61">
        <w:t>from</w:t>
      </w:r>
      <w:r w:rsidR="00A66B61" w:rsidRPr="00B60243">
        <w:t xml:space="preserve"> </w:t>
      </w:r>
      <w:r w:rsidRPr="00B60243">
        <w:t>2000</w:t>
      </w:r>
      <w:r w:rsidR="00E36E7F">
        <w:noBreakHyphen/>
      </w:r>
      <w:r w:rsidRPr="00B60243">
        <w:t>01 and 2007</w:t>
      </w:r>
      <w:r w:rsidR="00E36E7F">
        <w:noBreakHyphen/>
      </w:r>
      <w:r w:rsidRPr="00B60243">
        <w:t>08). Data in right panel ha</w:t>
      </w:r>
      <w:r w:rsidR="00385C25" w:rsidRPr="00B60243">
        <w:t>ve</w:t>
      </w:r>
      <w:r w:rsidRPr="00B60243">
        <w:t xml:space="preserve"> been </w:t>
      </w:r>
      <w:proofErr w:type="spellStart"/>
      <w:r w:rsidRPr="00B60243">
        <w:t>backcast</w:t>
      </w:r>
      <w:proofErr w:type="spellEnd"/>
      <w:r w:rsidRPr="00B60243">
        <w:t xml:space="preserve"> by ABS for the </w:t>
      </w:r>
      <w:proofErr w:type="spellStart"/>
      <w:r w:rsidRPr="00B60243">
        <w:t>ANZSIC</w:t>
      </w:r>
      <w:proofErr w:type="spellEnd"/>
      <w:r w:rsidRPr="00B60243">
        <w:t xml:space="preserve"> change. See appendix </w:t>
      </w:r>
      <w:r w:rsidR="008124B4" w:rsidRPr="00B60243">
        <w:t>G</w:t>
      </w:r>
      <w:r w:rsidRPr="00B60243">
        <w:t xml:space="preserve"> for limitations on </w:t>
      </w:r>
      <w:r w:rsidR="005E170E">
        <w:t xml:space="preserve">the </w:t>
      </w:r>
      <w:r w:rsidRPr="00B60243">
        <w:t>co</w:t>
      </w:r>
      <w:r w:rsidR="00833651" w:rsidRPr="00B60243">
        <w:t>mparability of these estimates.</w:t>
      </w:r>
    </w:p>
    <w:p w:rsidR="00A90777" w:rsidRPr="00B60243" w:rsidRDefault="00A90777" w:rsidP="00A90777">
      <w:pPr>
        <w:pStyle w:val="Source"/>
        <w:spacing w:after="0"/>
      </w:pPr>
      <w:r w:rsidRPr="00B60243">
        <w:rPr>
          <w:i/>
        </w:rPr>
        <w:t>Data source</w:t>
      </w:r>
      <w:r w:rsidR="008B5F55" w:rsidRPr="00B60243">
        <w:rPr>
          <w:i/>
        </w:rPr>
        <w:t>s</w:t>
      </w:r>
      <w:r w:rsidRPr="00B60243">
        <w:t xml:space="preserve">: </w:t>
      </w:r>
      <w:r w:rsidR="005D71FA" w:rsidRPr="00B60243">
        <w:t xml:space="preserve">Authors’ estimates based on ABS (unpublished Labour Force Survey data); </w:t>
      </w:r>
      <w:r w:rsidRPr="00B60243">
        <w:t>ABS</w:t>
      </w:r>
      <w:r w:rsidR="00F63EED" w:rsidRPr="00B60243">
        <w:t> </w:t>
      </w:r>
      <w:r w:rsidRPr="00B60243">
        <w:t>(</w:t>
      </w:r>
      <w:r w:rsidR="008B5F55" w:rsidRPr="00B60243">
        <w:rPr>
          <w:i/>
        </w:rPr>
        <w:t>Manufacturing Industry, Australia</w:t>
      </w:r>
      <w:r w:rsidR="008B5F55" w:rsidRPr="00B60243">
        <w:t xml:space="preserve">, </w:t>
      </w:r>
      <w:r w:rsidR="00C908FB" w:rsidRPr="00B60243">
        <w:t xml:space="preserve">various issues, </w:t>
      </w:r>
      <w:r w:rsidRPr="00B60243">
        <w:t>Cat. no.</w:t>
      </w:r>
      <w:r w:rsidR="00134DE0" w:rsidRPr="00B60243">
        <w:t xml:space="preserve"> </w:t>
      </w:r>
      <w:r w:rsidRPr="00B60243">
        <w:t>8221</w:t>
      </w:r>
      <w:r w:rsidR="008B5F55" w:rsidRPr="00B60243">
        <w:t>.0)</w:t>
      </w:r>
      <w:r w:rsidR="00D36049" w:rsidRPr="00B60243">
        <w:t>; ABS (</w:t>
      </w:r>
      <w:r w:rsidR="00D36049" w:rsidRPr="00B60243">
        <w:rPr>
          <w:i/>
        </w:rPr>
        <w:t>Experimental Estimates for the Manufacturing Industry</w:t>
      </w:r>
      <w:r w:rsidR="00D36049" w:rsidRPr="00B60243">
        <w:t>, various issues, Cat. no. 8159.0);</w:t>
      </w:r>
      <w:r w:rsidR="00E05332" w:rsidRPr="00B60243">
        <w:t xml:space="preserve"> and</w:t>
      </w:r>
      <w:r w:rsidR="008B5F55" w:rsidRPr="00B60243">
        <w:t xml:space="preserve"> ABS (</w:t>
      </w:r>
      <w:r w:rsidR="008B5F55" w:rsidRPr="00B60243">
        <w:rPr>
          <w:i/>
        </w:rPr>
        <w:t xml:space="preserve">Australian Industry, </w:t>
      </w:r>
      <w:r w:rsidR="00C908FB" w:rsidRPr="00B60243">
        <w:t xml:space="preserve">various issues, </w:t>
      </w:r>
      <w:r w:rsidR="008B5F55" w:rsidRPr="00B60243">
        <w:t>Cat.</w:t>
      </w:r>
      <w:r w:rsidR="00E43B81">
        <w:t> </w:t>
      </w:r>
      <w:r w:rsidR="008B5F55" w:rsidRPr="00B60243">
        <w:t xml:space="preserve">no. </w:t>
      </w:r>
      <w:r w:rsidRPr="00B60243">
        <w:t>8155</w:t>
      </w:r>
      <w:r w:rsidR="008B5F55" w:rsidRPr="00B60243">
        <w:t>.0</w:t>
      </w:r>
      <w:r w:rsidRPr="00B60243">
        <w:t>)</w:t>
      </w:r>
      <w:r w:rsidR="00E05332" w:rsidRPr="00B60243">
        <w:t>.</w:t>
      </w:r>
    </w:p>
    <w:p w:rsidR="00B20B9B" w:rsidRPr="005C21C1" w:rsidRDefault="00B20B9B" w:rsidP="005C21C1">
      <w:pPr>
        <w:pStyle w:val="BodyText"/>
        <w:rPr>
          <w:rStyle w:val="BodyTextChar"/>
        </w:rPr>
      </w:pPr>
      <w:r w:rsidRPr="00B60243">
        <w:rPr>
          <w:rStyle w:val="BodyTextChar"/>
        </w:rPr>
        <w:t xml:space="preserve">Figure </w:t>
      </w:r>
      <w:r w:rsidR="00B072C2" w:rsidRPr="00B60243">
        <w:t>5.26</w:t>
      </w:r>
      <w:r w:rsidRPr="00B60243">
        <w:rPr>
          <w:rStyle w:val="BodyTextChar"/>
        </w:rPr>
        <w:t xml:space="preserve"> shows Bakery product manufacturing output and inputs — nominal VA and investment (left panel) and labour inputs (right panel).</w:t>
      </w:r>
    </w:p>
    <w:p w:rsidR="00B20B9B" w:rsidRPr="00B60243" w:rsidRDefault="00B20B9B" w:rsidP="00B20B9B">
      <w:pPr>
        <w:pStyle w:val="ListBullet"/>
        <w:rPr>
          <w:rStyle w:val="BodyTextChar"/>
        </w:rPr>
      </w:pPr>
      <w:r w:rsidRPr="00B60243">
        <w:rPr>
          <w:rStyle w:val="BodyTextChar"/>
        </w:rPr>
        <w:t xml:space="preserve">Nominal VA grew </w:t>
      </w:r>
      <w:r w:rsidR="00385C25" w:rsidRPr="00B60243">
        <w:rPr>
          <w:rStyle w:val="BodyTextChar"/>
        </w:rPr>
        <w:t xml:space="preserve">slightly </w:t>
      </w:r>
      <w:r w:rsidR="0065266B" w:rsidRPr="00B60243">
        <w:rPr>
          <w:rStyle w:val="BodyTextChar"/>
        </w:rPr>
        <w:t xml:space="preserve">over </w:t>
      </w:r>
      <w:r w:rsidRPr="00B60243">
        <w:rPr>
          <w:rStyle w:val="BodyTextChar"/>
        </w:rPr>
        <w:t xml:space="preserve">cycle 3. It is not possible to estimate the extent of VA growth over cycle 4 because of change in industry classification, although it </w:t>
      </w:r>
      <w:r w:rsidR="000143C8" w:rsidRPr="00B60243">
        <w:rPr>
          <w:rStyle w:val="BodyTextChar"/>
        </w:rPr>
        <w:t>is</w:t>
      </w:r>
      <w:r w:rsidRPr="00B60243">
        <w:rPr>
          <w:rStyle w:val="BodyTextChar"/>
        </w:rPr>
        <w:t xml:space="preserve"> likely to have been stronger in cycle 4 than cycle 3.</w:t>
      </w:r>
      <w:r w:rsidRPr="00B60243">
        <w:rPr>
          <w:rStyle w:val="FootnoteReference"/>
        </w:rPr>
        <w:footnoteReference w:id="29"/>
      </w:r>
    </w:p>
    <w:p w:rsidR="00B52E6B" w:rsidRDefault="00B52E6B">
      <w:pPr>
        <w:rPr>
          <w:rStyle w:val="BodyTextChar"/>
          <w:szCs w:val="20"/>
        </w:rPr>
      </w:pPr>
      <w:r>
        <w:rPr>
          <w:rStyle w:val="BodyTextChar"/>
        </w:rPr>
        <w:br w:type="page"/>
      </w:r>
    </w:p>
    <w:p w:rsidR="00B20B9B" w:rsidRPr="00B60243" w:rsidRDefault="00B20B9B" w:rsidP="00B20B9B">
      <w:pPr>
        <w:pStyle w:val="ListBullet"/>
        <w:rPr>
          <w:rStyle w:val="BodyTextChar"/>
        </w:rPr>
      </w:pPr>
      <w:r w:rsidRPr="00B60243">
        <w:rPr>
          <w:rStyle w:val="BodyTextChar"/>
        </w:rPr>
        <w:lastRenderedPageBreak/>
        <w:t xml:space="preserve">Employment </w:t>
      </w:r>
      <w:r w:rsidR="005836D0" w:rsidRPr="00B60243">
        <w:rPr>
          <w:rStyle w:val="BodyTextChar"/>
        </w:rPr>
        <w:t xml:space="preserve">and hours worked </w:t>
      </w:r>
      <w:r w:rsidRPr="00B60243">
        <w:rPr>
          <w:rStyle w:val="BodyTextChar"/>
        </w:rPr>
        <w:t xml:space="preserve">fell over cycle 3, but grew strongly over cycle 4. </w:t>
      </w:r>
    </w:p>
    <w:p w:rsidR="005836D0" w:rsidRPr="00B60243" w:rsidRDefault="005836D0" w:rsidP="00B20B9B">
      <w:pPr>
        <w:pStyle w:val="ListBullet"/>
        <w:rPr>
          <w:rStyle w:val="BodyTextChar"/>
        </w:rPr>
      </w:pPr>
      <w:r w:rsidRPr="00B60243">
        <w:rPr>
          <w:rStyle w:val="BodyTextChar"/>
        </w:rPr>
        <w:t xml:space="preserve">Investment data </w:t>
      </w:r>
      <w:r w:rsidR="00385C25" w:rsidRPr="00B60243">
        <w:rPr>
          <w:rStyle w:val="BodyTextChar"/>
        </w:rPr>
        <w:t>are</w:t>
      </w:r>
      <w:r w:rsidRPr="00B60243">
        <w:rPr>
          <w:rStyle w:val="BodyTextChar"/>
        </w:rPr>
        <w:t xml:space="preserve"> limited but show fairly stable investment, again affected by the change in industry classification.</w:t>
      </w:r>
    </w:p>
    <w:p w:rsidR="00B20B9B" w:rsidRPr="00B60243" w:rsidRDefault="005836D0" w:rsidP="00B20B9B">
      <w:pPr>
        <w:pStyle w:val="BodyText"/>
        <w:rPr>
          <w:rStyle w:val="BodyTextChar"/>
        </w:rPr>
      </w:pPr>
      <w:r w:rsidRPr="00B60243">
        <w:rPr>
          <w:rStyle w:val="BodyTextChar"/>
        </w:rPr>
        <w:t>Labour input</w:t>
      </w:r>
      <w:r w:rsidR="00B20B9B" w:rsidRPr="00B60243">
        <w:rPr>
          <w:rStyle w:val="BodyTextChar"/>
        </w:rPr>
        <w:t xml:space="preserve"> growth may have been stronger than VA growth</w:t>
      </w:r>
      <w:r w:rsidR="0051129D">
        <w:rPr>
          <w:rStyle w:val="BodyTextChar"/>
        </w:rPr>
        <w:t xml:space="preserve"> over cycle 4,</w:t>
      </w:r>
      <w:r w:rsidR="00B20B9B" w:rsidRPr="00B60243">
        <w:rPr>
          <w:rStyle w:val="BodyTextChar"/>
        </w:rPr>
        <w:t xml:space="preserve"> if there was relatively strong output growth in the more labour</w:t>
      </w:r>
      <w:r w:rsidR="00E36E7F">
        <w:rPr>
          <w:rStyle w:val="BodyTextChar"/>
        </w:rPr>
        <w:noBreakHyphen/>
      </w:r>
      <w:r w:rsidR="00B20B9B" w:rsidRPr="00B60243">
        <w:rPr>
          <w:rStyle w:val="BodyTextChar"/>
        </w:rPr>
        <w:t>intensive non</w:t>
      </w:r>
      <w:r w:rsidR="00E36E7F">
        <w:rPr>
          <w:rStyle w:val="BodyTextChar"/>
        </w:rPr>
        <w:noBreakHyphen/>
      </w:r>
      <w:r w:rsidR="00B20B9B" w:rsidRPr="00B60243">
        <w:rPr>
          <w:rStyle w:val="BodyTextChar"/>
        </w:rPr>
        <w:t xml:space="preserve">factory bakery. And available investment data do not show a fall in investment sufficient to offset the strong rise in hours worked. This suggests that Bakery may have had a decline in MFP and contributed to the decline in </w:t>
      </w:r>
      <w:proofErr w:type="spellStart"/>
      <w:r w:rsidR="00B20B9B" w:rsidRPr="00B60243">
        <w:rPr>
          <w:rStyle w:val="BodyTextChar"/>
        </w:rPr>
        <w:t>FBT’s</w:t>
      </w:r>
      <w:proofErr w:type="spellEnd"/>
      <w:r w:rsidR="00B20B9B" w:rsidRPr="00B60243">
        <w:rPr>
          <w:rStyle w:val="BodyTextChar"/>
        </w:rPr>
        <w:t xml:space="preserve"> measured MFP between cycles 3 and</w:t>
      </w:r>
      <w:r w:rsidR="00F63EED" w:rsidRPr="00B60243">
        <w:rPr>
          <w:rStyle w:val="BodyTextChar"/>
        </w:rPr>
        <w:t> </w:t>
      </w:r>
      <w:r w:rsidR="00B20B9B" w:rsidRPr="00B60243">
        <w:rPr>
          <w:rStyle w:val="BodyTextChar"/>
        </w:rPr>
        <w:t>4. The following provides a summary of the influences on Bakery and their likely implications for productivity</w:t>
      </w:r>
      <w:r w:rsidR="00A455AB" w:rsidRPr="00B60243">
        <w:rPr>
          <w:rStyle w:val="BodyTextChar"/>
        </w:rPr>
        <w:t xml:space="preserve"> — further details are provided in appendix</w:t>
      </w:r>
      <w:r w:rsidR="0051129D">
        <w:rPr>
          <w:rStyle w:val="BodyTextChar"/>
        </w:rPr>
        <w:t> </w:t>
      </w:r>
      <w:r w:rsidR="008124B4" w:rsidRPr="00B60243">
        <w:rPr>
          <w:rStyle w:val="BodyTextChar"/>
        </w:rPr>
        <w:t>G</w:t>
      </w:r>
      <w:r w:rsidR="00B20B9B" w:rsidRPr="00B60243">
        <w:rPr>
          <w:rStyle w:val="BodyTextChar"/>
        </w:rPr>
        <w:t xml:space="preserve">. </w:t>
      </w:r>
    </w:p>
    <w:p w:rsidR="00A90777" w:rsidRPr="00B60243" w:rsidRDefault="00A90777" w:rsidP="002401CD">
      <w:pPr>
        <w:pStyle w:val="Heading5"/>
        <w:rPr>
          <w:rStyle w:val="BodyTextChar"/>
        </w:rPr>
      </w:pPr>
      <w:r w:rsidRPr="00B60243">
        <w:t xml:space="preserve">Changing consumer tastes shifting the composition of </w:t>
      </w:r>
      <w:r w:rsidRPr="00B60243">
        <w:rPr>
          <w:rStyle w:val="BodyTextChar"/>
        </w:rPr>
        <w:t>Bakery output</w:t>
      </w:r>
    </w:p>
    <w:p w:rsidR="00A90777" w:rsidRPr="00B60243" w:rsidRDefault="00A90777" w:rsidP="00A90777">
      <w:pPr>
        <w:pStyle w:val="BodyText"/>
      </w:pPr>
      <w:r w:rsidRPr="00B60243">
        <w:t xml:space="preserve">Over the longer term, there has been considerable change in the pattern of demand for Bakery products (box </w:t>
      </w:r>
      <w:r w:rsidR="00B072C2" w:rsidRPr="00B60243">
        <w:t>5.9</w:t>
      </w:r>
      <w:r w:rsidRPr="00B60243">
        <w:t xml:space="preserve">). This shift is the result of change in consumer preferences related to a range of factors — including demand </w:t>
      </w:r>
      <w:r w:rsidR="00105E25" w:rsidRPr="00B60243">
        <w:t>for a wider diversity of products</w:t>
      </w:r>
      <w:r w:rsidR="00385C25" w:rsidRPr="00B60243">
        <w:t>,</w:t>
      </w:r>
      <w:r w:rsidR="00105E25" w:rsidRPr="00B60243">
        <w:t xml:space="preserve"> including artisan products, premium products and international</w:t>
      </w:r>
      <w:r w:rsidR="00E36E7F">
        <w:noBreakHyphen/>
      </w:r>
      <w:r w:rsidR="00105E25" w:rsidRPr="00B60243">
        <w:t>style specialty products</w:t>
      </w:r>
      <w:r w:rsidR="00CD7E60" w:rsidRPr="00B60243">
        <w:t>,</w:t>
      </w:r>
      <w:r w:rsidR="00105E25" w:rsidRPr="00B60243">
        <w:t xml:space="preserve"> but also private label products and </w:t>
      </w:r>
      <w:r w:rsidRPr="00B60243">
        <w:t>for products with particular health</w:t>
      </w:r>
      <w:r w:rsidR="00E36E7F">
        <w:noBreakHyphen/>
      </w:r>
      <w:r w:rsidRPr="00B60243">
        <w:t xml:space="preserve">related characteristics (such as high fibre). </w:t>
      </w:r>
    </w:p>
    <w:p w:rsidR="00DB7692" w:rsidRPr="00B60243" w:rsidRDefault="00DB7692" w:rsidP="00A90777">
      <w:pPr>
        <w:pStyle w:val="BodyText"/>
      </w:pPr>
      <w:r w:rsidRPr="00B60243">
        <w:t xml:space="preserve">While it is difficult to establish the extent of such changes over cycle 4 compared with cycle 3, anecdotal evidence suggests some increase in the pace of change in demand for some bakery products. For example, Food Magazine (2008) noted that increasing sophistication of consumers drove greater product development and diversity in bread manufacturing over the 5 years to 2008 than in previous decades. </w:t>
      </w:r>
    </w:p>
    <w:p w:rsidR="00A90777" w:rsidRPr="00B60243" w:rsidRDefault="00A90777" w:rsidP="00A9077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90777" w:rsidRPr="009D3338" w:rsidTr="00FC274A">
        <w:tc>
          <w:tcPr>
            <w:tcW w:w="8771" w:type="dxa"/>
            <w:tcBorders>
              <w:top w:val="single" w:sz="6" w:space="0" w:color="auto"/>
              <w:bottom w:val="nil"/>
            </w:tcBorders>
          </w:tcPr>
          <w:p w:rsidR="00A90777" w:rsidRPr="00D57EDF" w:rsidRDefault="00A90777" w:rsidP="004244E3">
            <w:pPr>
              <w:pStyle w:val="BoxTitle"/>
              <w:rPr>
                <w:sz w:val="24"/>
              </w:rPr>
            </w:pPr>
            <w:r w:rsidRPr="00D57EDF">
              <w:rPr>
                <w:b w:val="0"/>
                <w:sz w:val="24"/>
              </w:rPr>
              <w:t xml:space="preserve">Box </w:t>
            </w:r>
            <w:bookmarkStart w:id="44" w:name="OLE_LINK28"/>
            <w:r w:rsidR="00B072C2" w:rsidRPr="00D57EDF">
              <w:rPr>
                <w:b w:val="0"/>
                <w:sz w:val="24"/>
              </w:rPr>
              <w:t>5.</w:t>
            </w:r>
            <w:r w:rsidR="002E061A">
              <w:rPr>
                <w:b w:val="0"/>
                <w:noProof/>
                <w:sz w:val="24"/>
              </w:rPr>
              <w:t>9</w:t>
            </w:r>
            <w:bookmarkEnd w:id="44"/>
            <w:r w:rsidRPr="00D57EDF">
              <w:rPr>
                <w:sz w:val="24"/>
              </w:rPr>
              <w:tab/>
              <w:t xml:space="preserve">Trends in </w:t>
            </w:r>
            <w:r w:rsidR="004244E3">
              <w:rPr>
                <w:sz w:val="24"/>
              </w:rPr>
              <w:t>b</w:t>
            </w:r>
            <w:r w:rsidRPr="00D57EDF">
              <w:rPr>
                <w:sz w:val="24"/>
              </w:rPr>
              <w:t>akery product purchasing patterns</w:t>
            </w:r>
          </w:p>
        </w:tc>
      </w:tr>
      <w:tr w:rsidR="00A90777" w:rsidRPr="00B60243" w:rsidTr="00FC274A">
        <w:trPr>
          <w:cantSplit/>
        </w:trPr>
        <w:tc>
          <w:tcPr>
            <w:tcW w:w="8771" w:type="dxa"/>
            <w:tcBorders>
              <w:top w:val="nil"/>
              <w:left w:val="single" w:sz="6" w:space="0" w:color="auto"/>
              <w:bottom w:val="nil"/>
              <w:right w:val="single" w:sz="6" w:space="0" w:color="auto"/>
            </w:tcBorders>
          </w:tcPr>
          <w:p w:rsidR="00A90777" w:rsidRPr="00B60243" w:rsidRDefault="00A90777" w:rsidP="00FC274A">
            <w:pPr>
              <w:pStyle w:val="Box"/>
            </w:pPr>
            <w:r w:rsidRPr="00B60243">
              <w:t xml:space="preserve">There has been considerable change in purchasing patterns for </w:t>
            </w:r>
            <w:r w:rsidR="004244E3">
              <w:t>b</w:t>
            </w:r>
            <w:r w:rsidRPr="00B60243">
              <w:t xml:space="preserve">akery products, affecting total demand and demand for particular products. </w:t>
            </w:r>
          </w:p>
          <w:p w:rsidR="00A90777" w:rsidRPr="00B60243" w:rsidRDefault="00A90777" w:rsidP="00FC274A">
            <w:pPr>
              <w:pStyle w:val="Box"/>
              <w:rPr>
                <w:i/>
              </w:rPr>
            </w:pPr>
            <w:r w:rsidRPr="00B60243">
              <w:rPr>
                <w:i/>
              </w:rPr>
              <w:t xml:space="preserve">Health </w:t>
            </w:r>
          </w:p>
          <w:p w:rsidR="00A90777" w:rsidRPr="00B60243" w:rsidRDefault="00A90777" w:rsidP="00FC274A">
            <w:pPr>
              <w:pStyle w:val="Box"/>
              <w:spacing w:before="60"/>
            </w:pPr>
            <w:r w:rsidRPr="00B60243">
              <w:t>Increased focus on foods that offer health benefits (such as high fibre or healthy additives) or meet other dietary requirements (such as gluten free, low salt, low fat or yeast free) has increased the demand for specific bakery products.</w:t>
            </w:r>
          </w:p>
          <w:p w:rsidR="00A90777" w:rsidRPr="00B60243" w:rsidRDefault="00A90777" w:rsidP="00A90777">
            <w:pPr>
              <w:pStyle w:val="BoxListBullet"/>
              <w:spacing w:before="60"/>
            </w:pPr>
            <w:r w:rsidRPr="00B60243">
              <w:t>Premium wholemeal and grains bread grew 10</w:t>
            </w:r>
            <w:r w:rsidR="00E36E7F">
              <w:noBreakHyphen/>
            </w:r>
            <w:r w:rsidRPr="00B60243">
              <w:t>15 per cent over the 5 years to 2010 and there has been a decline in market share of white bread (</w:t>
            </w:r>
            <w:proofErr w:type="spellStart"/>
            <w:r w:rsidRPr="00B60243">
              <w:t>Wahlquist</w:t>
            </w:r>
            <w:proofErr w:type="spellEnd"/>
            <w:r w:rsidRPr="00B60243">
              <w:t xml:space="preserve"> 2010).</w:t>
            </w:r>
          </w:p>
          <w:p w:rsidR="00A90777" w:rsidRPr="00B60243" w:rsidRDefault="00A90777" w:rsidP="00A90777">
            <w:pPr>
              <w:pStyle w:val="BoxListBullet"/>
              <w:spacing w:before="60"/>
            </w:pPr>
            <w:r w:rsidRPr="00B60243">
              <w:t>Health trends have increased demand for low</w:t>
            </w:r>
            <w:r w:rsidR="00E36E7F">
              <w:noBreakHyphen/>
            </w:r>
            <w:r w:rsidRPr="00B60243">
              <w:t>fat cakes and muffins (DAFF 2003).</w:t>
            </w:r>
          </w:p>
          <w:p w:rsidR="00A90777" w:rsidRPr="00B60243" w:rsidRDefault="00A90777" w:rsidP="00FC274A">
            <w:pPr>
              <w:pStyle w:val="Box"/>
            </w:pPr>
            <w:r w:rsidRPr="00B60243">
              <w:t>But the popularity of low carbohydrate diets may have decreased overall demand for bread</w:t>
            </w:r>
            <w:r w:rsidR="00737268" w:rsidRPr="00B60243">
              <w:t xml:space="preserve">. There was </w:t>
            </w:r>
            <w:r w:rsidRPr="00B60243">
              <w:t>a slight decrease in the proportion of the population consuming bread between 2001 and 2008</w:t>
            </w:r>
            <w:r w:rsidR="00737268" w:rsidRPr="00B60243">
              <w:t xml:space="preserve"> (</w:t>
            </w:r>
            <w:proofErr w:type="spellStart"/>
            <w:r w:rsidR="00737268" w:rsidRPr="00B60243">
              <w:t>AIHW</w:t>
            </w:r>
            <w:proofErr w:type="spellEnd"/>
            <w:r w:rsidR="00737268" w:rsidRPr="00B60243">
              <w:t xml:space="preserve"> 2011)</w:t>
            </w:r>
            <w:r w:rsidRPr="00B60243">
              <w:t>.</w:t>
            </w:r>
          </w:p>
          <w:p w:rsidR="00A90777" w:rsidRPr="00B60243" w:rsidRDefault="00A90777" w:rsidP="00FC274A">
            <w:pPr>
              <w:pStyle w:val="Box"/>
              <w:rPr>
                <w:i/>
              </w:rPr>
            </w:pPr>
            <w:r w:rsidRPr="00B60243">
              <w:rPr>
                <w:i/>
              </w:rPr>
              <w:t xml:space="preserve">Lifestyle/convenience </w:t>
            </w:r>
          </w:p>
          <w:p w:rsidR="00A90777" w:rsidRPr="00B60243" w:rsidRDefault="00A90777" w:rsidP="00FC274A">
            <w:pPr>
              <w:pStyle w:val="Box"/>
              <w:spacing w:before="60"/>
            </w:pPr>
            <w:r w:rsidRPr="00B60243">
              <w:t xml:space="preserve">Changing lifestyles have led to some replacement of sandwich lunches with hot meals eaten out, although with some reversal of this trend </w:t>
            </w:r>
            <w:r w:rsidR="00385C25" w:rsidRPr="00B60243">
              <w:t>since the</w:t>
            </w:r>
            <w:r w:rsidRPr="00B60243">
              <w:t xml:space="preserve"> </w:t>
            </w:r>
            <w:r w:rsidR="00705563" w:rsidRPr="00B60243">
              <w:t>global financial crisis</w:t>
            </w:r>
            <w:r w:rsidRPr="00B60243">
              <w:t xml:space="preserve"> (N</w:t>
            </w:r>
            <w:r w:rsidR="000A44E7">
              <w:t xml:space="preserve">ational </w:t>
            </w:r>
            <w:r w:rsidRPr="00B60243">
              <w:t>B</w:t>
            </w:r>
            <w:r w:rsidR="000A44E7">
              <w:t xml:space="preserve">aking </w:t>
            </w:r>
            <w:r w:rsidRPr="00B60243">
              <w:t>I</w:t>
            </w:r>
            <w:r w:rsidR="000A44E7">
              <w:t xml:space="preserve">ndustry </w:t>
            </w:r>
            <w:r w:rsidRPr="00B60243">
              <w:t>A</w:t>
            </w:r>
            <w:r w:rsidR="000A44E7">
              <w:t>ssociation</w:t>
            </w:r>
            <w:r w:rsidRPr="00B60243">
              <w:t xml:space="preserve"> 2011). </w:t>
            </w:r>
          </w:p>
          <w:p w:rsidR="00A90777" w:rsidRPr="00B60243" w:rsidRDefault="00737268" w:rsidP="00FC274A">
            <w:pPr>
              <w:pStyle w:val="Box"/>
            </w:pPr>
            <w:r w:rsidRPr="00B60243">
              <w:t>I</w:t>
            </w:r>
            <w:r w:rsidR="00A90777" w:rsidRPr="00B60243">
              <w:t>ncrease</w:t>
            </w:r>
            <w:r w:rsidRPr="00B60243">
              <w:t>d</w:t>
            </w:r>
            <w:r w:rsidR="00A90777" w:rsidRPr="00B60243">
              <w:t xml:space="preserve"> snacking</w:t>
            </w:r>
            <w:r w:rsidRPr="00B60243">
              <w:t>,</w:t>
            </w:r>
            <w:r w:rsidR="00A90777" w:rsidRPr="00B60243">
              <w:t xml:space="preserve"> and packaging innovation to provide convenience and portability</w:t>
            </w:r>
            <w:r w:rsidRPr="00B60243">
              <w:t>,</w:t>
            </w:r>
            <w:r w:rsidR="00A90777" w:rsidRPr="00B60243">
              <w:t xml:space="preserve"> have allow</w:t>
            </w:r>
            <w:r w:rsidRPr="00B60243">
              <w:t>ed</w:t>
            </w:r>
            <w:r w:rsidR="00A90777" w:rsidRPr="00B60243">
              <w:t xml:space="preserve"> the development of VA products with higher margins (Dobie 2012). </w:t>
            </w:r>
          </w:p>
          <w:p w:rsidR="00A90777" w:rsidRPr="00B60243" w:rsidRDefault="00A90777" w:rsidP="00385C25">
            <w:pPr>
              <w:pStyle w:val="Box"/>
            </w:pPr>
            <w:r w:rsidRPr="00B60243">
              <w:t xml:space="preserve">There has been growth in lunchbox fillers, such as muffins and bakery treats, and some crossover between biscuits and </w:t>
            </w:r>
            <w:r w:rsidR="00737268" w:rsidRPr="00B60243">
              <w:t xml:space="preserve">the confectionery/snack sector </w:t>
            </w:r>
            <w:r w:rsidRPr="00B60243">
              <w:t>(DAFF 2003).</w:t>
            </w:r>
          </w:p>
          <w:p w:rsidR="00737268" w:rsidRPr="00B60243" w:rsidRDefault="00737268" w:rsidP="00737268">
            <w:pPr>
              <w:pStyle w:val="Box"/>
              <w:rPr>
                <w:i/>
              </w:rPr>
            </w:pPr>
            <w:r w:rsidRPr="00B60243">
              <w:rPr>
                <w:i/>
              </w:rPr>
              <w:t>Quality, value, specialties and diversity</w:t>
            </w:r>
          </w:p>
          <w:p w:rsidR="00737268" w:rsidRPr="00B60243" w:rsidRDefault="000A44E7" w:rsidP="00737268">
            <w:pPr>
              <w:pStyle w:val="Box"/>
              <w:spacing w:before="60"/>
            </w:pPr>
            <w:r>
              <w:t>A</w:t>
            </w:r>
            <w:r w:rsidR="00737268" w:rsidRPr="00B60243">
              <w:t xml:space="preserve"> shift to premium products in bread and cakes/pastries led to stronger growth in value (than volume) between 1997</w:t>
            </w:r>
            <w:r w:rsidR="00E36E7F">
              <w:noBreakHyphen/>
            </w:r>
            <w:r w:rsidR="00737268" w:rsidRPr="00B60243">
              <w:t>98 and 2000</w:t>
            </w:r>
            <w:r w:rsidR="00E36E7F">
              <w:noBreakHyphen/>
            </w:r>
            <w:r w:rsidR="00737268" w:rsidRPr="00B60243">
              <w:t>01. Specialty and gourmet pies, and premium or indulgence biscuits also grew.</w:t>
            </w:r>
            <w:r>
              <w:t xml:space="preserve"> (DAFF 2003)</w:t>
            </w:r>
          </w:p>
          <w:p w:rsidR="00737268" w:rsidRPr="00B60243" w:rsidRDefault="00737268" w:rsidP="00737268">
            <w:pPr>
              <w:pStyle w:val="Box"/>
            </w:pPr>
            <w:r w:rsidRPr="00B60243">
              <w:t xml:space="preserve">Consumers have been prepared to purchase more expensive specialty breads and high quality freshly baked bread, including premium artisan bakery products. </w:t>
            </w:r>
          </w:p>
          <w:p w:rsidR="00737268" w:rsidRPr="00B60243" w:rsidRDefault="00737268" w:rsidP="00737268">
            <w:pPr>
              <w:pStyle w:val="BoxListBullet"/>
              <w:spacing w:before="60"/>
            </w:pPr>
            <w:r w:rsidRPr="00B60243">
              <w:t>Demand for a more varied range of bread has been reinforced by the changing ethnic structure of the Australian population, which has had its greatest impact on non</w:t>
            </w:r>
            <w:r w:rsidR="00E36E7F">
              <w:noBreakHyphen/>
            </w:r>
            <w:r w:rsidRPr="00B60243">
              <w:t xml:space="preserve">factory bread production (Food Magazine 2008). </w:t>
            </w:r>
          </w:p>
          <w:p w:rsidR="00737268" w:rsidRPr="00B60243" w:rsidRDefault="00737268" w:rsidP="00737268">
            <w:pPr>
              <w:pStyle w:val="BoxListBullet"/>
              <w:spacing w:before="60"/>
            </w:pPr>
            <w:r w:rsidRPr="00B60243">
              <w:t>Product diversity is exemplified by the 319 different product lines of one non</w:t>
            </w:r>
            <w:r w:rsidR="00E36E7F">
              <w:noBreakHyphen/>
            </w:r>
            <w:r w:rsidRPr="00B60243">
              <w:t>factory baking franchise in 2010 (</w:t>
            </w:r>
            <w:proofErr w:type="spellStart"/>
            <w:r w:rsidRPr="00B60243">
              <w:t>Wahlquist</w:t>
            </w:r>
            <w:proofErr w:type="spellEnd"/>
            <w:r w:rsidRPr="00B60243">
              <w:t xml:space="preserve"> 2010). </w:t>
            </w:r>
          </w:p>
          <w:p w:rsidR="00737268" w:rsidRPr="00B60243" w:rsidRDefault="00737268" w:rsidP="00737268">
            <w:pPr>
              <w:pStyle w:val="Box"/>
            </w:pPr>
            <w:r w:rsidRPr="00B60243">
              <w:t>But there has also been an increase in the market share in privat</w:t>
            </w:r>
            <w:r w:rsidR="0065266B" w:rsidRPr="00B60243">
              <w:t>e label products</w:t>
            </w:r>
            <w:r w:rsidR="00057822" w:rsidRPr="00B60243">
              <w:t>.</w:t>
            </w:r>
          </w:p>
          <w:p w:rsidR="00737268" w:rsidRPr="00B60243" w:rsidRDefault="000A44E7" w:rsidP="00737268">
            <w:pPr>
              <w:pStyle w:val="BoxListBullet"/>
              <w:spacing w:before="60"/>
            </w:pPr>
            <w:r>
              <w:t>There has been</w:t>
            </w:r>
            <w:r w:rsidR="00737268" w:rsidRPr="00B60243">
              <w:t xml:space="preserve"> an increase in share of generic or house brand biscuits</w:t>
            </w:r>
            <w:r>
              <w:t xml:space="preserve"> (</w:t>
            </w:r>
            <w:r w:rsidR="00623A97">
              <w:t>DAFF </w:t>
            </w:r>
            <w:r w:rsidRPr="00B60243">
              <w:t>2003)</w:t>
            </w:r>
            <w:r w:rsidR="00737268" w:rsidRPr="00B60243">
              <w:t>.</w:t>
            </w:r>
          </w:p>
          <w:p w:rsidR="00737268" w:rsidRPr="00B60243" w:rsidRDefault="000B48BD" w:rsidP="000A44E7">
            <w:pPr>
              <w:pStyle w:val="BoxListBullet"/>
            </w:pPr>
            <w:r>
              <w:t xml:space="preserve">The </w:t>
            </w:r>
            <w:r w:rsidR="00737268" w:rsidRPr="00B60243">
              <w:t>N</w:t>
            </w:r>
            <w:r>
              <w:t xml:space="preserve">ational Baking Industry Association </w:t>
            </w:r>
            <w:r w:rsidR="000A44E7">
              <w:t xml:space="preserve">(2011) </w:t>
            </w:r>
            <w:r w:rsidR="00737268" w:rsidRPr="00B60243">
              <w:t>reported that private label products were 8</w:t>
            </w:r>
            <w:r w:rsidR="00E43B81">
              <w:t> </w:t>
            </w:r>
            <w:r w:rsidR="00737268" w:rsidRPr="00B60243">
              <w:t xml:space="preserve">per cent of the total value of baked goods in 2009, and higher shares within the packaged/industrial baked goods </w:t>
            </w:r>
            <w:proofErr w:type="spellStart"/>
            <w:r w:rsidR="00737268" w:rsidRPr="00B60243">
              <w:t>sub</w:t>
            </w:r>
            <w:r w:rsidR="00E36E7F">
              <w:noBreakHyphen/>
            </w:r>
            <w:r w:rsidR="00737268" w:rsidRPr="00B60243">
              <w:t>category</w:t>
            </w:r>
            <w:proofErr w:type="spellEnd"/>
            <w:r w:rsidR="00737268" w:rsidRPr="00B60243">
              <w:t xml:space="preserve"> (bread products 22 per cent; pastries 52 per cent; </w:t>
            </w:r>
            <w:r w:rsidR="00623A97">
              <w:t xml:space="preserve">and </w:t>
            </w:r>
            <w:r w:rsidR="00737268" w:rsidRPr="00B60243">
              <w:t>cakes 35 per cent).</w:t>
            </w:r>
          </w:p>
        </w:tc>
      </w:tr>
      <w:tr w:rsidR="00A90777" w:rsidRPr="00B60243" w:rsidTr="00FC274A">
        <w:trPr>
          <w:cantSplit/>
        </w:trPr>
        <w:tc>
          <w:tcPr>
            <w:tcW w:w="8771" w:type="dxa"/>
            <w:tcBorders>
              <w:top w:val="nil"/>
              <w:left w:val="single" w:sz="4" w:space="0" w:color="auto"/>
              <w:bottom w:val="nil"/>
              <w:right w:val="single" w:sz="4" w:space="0" w:color="auto"/>
            </w:tcBorders>
          </w:tcPr>
          <w:p w:rsidR="00A90777" w:rsidRPr="00B60243" w:rsidRDefault="00A90777" w:rsidP="00FC274A">
            <w:pPr>
              <w:pStyle w:val="Box"/>
              <w:spacing w:before="0" w:line="80" w:lineRule="exact"/>
              <w:rPr>
                <w:sz w:val="16"/>
                <w:szCs w:val="16"/>
              </w:rPr>
            </w:pPr>
          </w:p>
        </w:tc>
      </w:tr>
      <w:tr w:rsidR="00A90777" w:rsidRPr="00B60243" w:rsidTr="00FC274A">
        <w:trPr>
          <w:cantSplit/>
        </w:trPr>
        <w:tc>
          <w:tcPr>
            <w:tcW w:w="8771" w:type="dxa"/>
            <w:tcBorders>
              <w:top w:val="nil"/>
              <w:left w:val="single" w:sz="6" w:space="0" w:color="auto"/>
              <w:bottom w:val="single" w:sz="4" w:space="0" w:color="auto"/>
              <w:right w:val="single" w:sz="6" w:space="0" w:color="auto"/>
            </w:tcBorders>
          </w:tcPr>
          <w:p w:rsidR="00A90777" w:rsidRPr="00B60243" w:rsidRDefault="00A90777" w:rsidP="00FC274A">
            <w:pPr>
              <w:pStyle w:val="BoxSpaceBelow"/>
              <w:spacing w:before="0" w:after="0"/>
            </w:pPr>
          </w:p>
        </w:tc>
      </w:tr>
    </w:tbl>
    <w:p w:rsidR="00A90777" w:rsidRPr="00B60243" w:rsidRDefault="00A90777" w:rsidP="002401CD">
      <w:pPr>
        <w:pStyle w:val="Heading5"/>
      </w:pPr>
      <w:r w:rsidRPr="00B60243">
        <w:lastRenderedPageBreak/>
        <w:t>Different products produced in a different way?</w:t>
      </w:r>
    </w:p>
    <w:p w:rsidR="00A90777" w:rsidRPr="00B60243" w:rsidRDefault="00A90777" w:rsidP="00A90777">
      <w:pPr>
        <w:pStyle w:val="BodyText"/>
      </w:pPr>
      <w:r w:rsidRPr="00B60243">
        <w:t>Changes in consumer preferences may affect various types of Bakery manufacturers differently. For example, for bread manufacturing</w:t>
      </w:r>
      <w:r w:rsidR="0064037F" w:rsidRPr="00B60243">
        <w:t>,</w:t>
      </w:r>
      <w:r w:rsidRPr="00B60243">
        <w:t xml:space="preserve"> change in consumer preferences may have led to stronger growth in non</w:t>
      </w:r>
      <w:r w:rsidR="00E36E7F">
        <w:noBreakHyphen/>
      </w:r>
      <w:r w:rsidRPr="00B60243">
        <w:t xml:space="preserve">factory production </w:t>
      </w:r>
      <w:r w:rsidR="00C02121">
        <w:t>and</w:t>
      </w:r>
      <w:r w:rsidRPr="00B60243">
        <w:t xml:space="preserve"> affected factory production.</w:t>
      </w:r>
    </w:p>
    <w:p w:rsidR="00A90777" w:rsidRPr="00B60243" w:rsidRDefault="00BE02BC" w:rsidP="00A90777">
      <w:pPr>
        <w:pStyle w:val="ListBullet"/>
      </w:pPr>
      <w:r>
        <w:t xml:space="preserve">The </w:t>
      </w:r>
      <w:r w:rsidR="00A90777" w:rsidRPr="00B60243">
        <w:t>D</w:t>
      </w:r>
      <w:r>
        <w:t xml:space="preserve">epartment of </w:t>
      </w:r>
      <w:r w:rsidR="00A90777" w:rsidRPr="00B60243">
        <w:t>A</w:t>
      </w:r>
      <w:r>
        <w:t xml:space="preserve">griculture, </w:t>
      </w:r>
      <w:r w:rsidR="00A90777" w:rsidRPr="00B60243">
        <w:t>F</w:t>
      </w:r>
      <w:r>
        <w:t xml:space="preserve">isheries and </w:t>
      </w:r>
      <w:r w:rsidR="00A90777" w:rsidRPr="00B60243">
        <w:t>F</w:t>
      </w:r>
      <w:r>
        <w:t>orestry</w:t>
      </w:r>
      <w:r w:rsidR="00A90777" w:rsidRPr="00B60243">
        <w:t xml:space="preserve"> (2003, p.</w:t>
      </w:r>
      <w:r w:rsidR="00E36E7F">
        <w:t> </w:t>
      </w:r>
      <w:r w:rsidR="00A90777" w:rsidRPr="00B60243">
        <w:t xml:space="preserve">52) suggested </w:t>
      </w:r>
      <w:r w:rsidR="00385C25" w:rsidRPr="00B60243">
        <w:t xml:space="preserve">that </w:t>
      </w:r>
      <w:r w:rsidR="00A90777" w:rsidRPr="00B60243">
        <w:t xml:space="preserve">smaller bakers and hot bread shops </w:t>
      </w:r>
      <w:r w:rsidR="0064037F" w:rsidRPr="00B60243">
        <w:t xml:space="preserve">are </w:t>
      </w:r>
      <w:r w:rsidR="00A90777" w:rsidRPr="00B60243">
        <w:t>better positioned to produce a greater variety of bread products; while large bread manufacturers are restricted to producing in larger quantities but can drive development of innovative products through their R&amp;D capabilities.</w:t>
      </w:r>
    </w:p>
    <w:p w:rsidR="00A90777" w:rsidRPr="00B60243" w:rsidRDefault="00A90777" w:rsidP="00A90777">
      <w:pPr>
        <w:pStyle w:val="ListBullet"/>
      </w:pPr>
      <w:r w:rsidRPr="00B60243">
        <w:t>Food Magazine (2008) noted that demand for a more varied range of products had its greatest impact on non</w:t>
      </w:r>
      <w:r w:rsidR="00E36E7F">
        <w:noBreakHyphen/>
      </w:r>
      <w:r w:rsidRPr="00B60243">
        <w:t xml:space="preserve">factory production, and that small bread makers </w:t>
      </w:r>
      <w:r w:rsidR="00283068" w:rsidRPr="00B60243">
        <w:t>c</w:t>
      </w:r>
      <w:r w:rsidRPr="00B60243">
        <w:t>ompete</w:t>
      </w:r>
      <w:r w:rsidR="00283068" w:rsidRPr="00B60243">
        <w:t>d</w:t>
      </w:r>
      <w:r w:rsidRPr="00B60243">
        <w:t xml:space="preserve"> with larger producers </w:t>
      </w:r>
      <w:r w:rsidR="00283068" w:rsidRPr="00B60243">
        <w:t>by</w:t>
      </w:r>
      <w:r w:rsidRPr="00B60243">
        <w:t xml:space="preserve"> </w:t>
      </w:r>
      <w:r w:rsidR="00385C25" w:rsidRPr="00B60243">
        <w:t xml:space="preserve">offering </w:t>
      </w:r>
      <w:r w:rsidR="00C02121">
        <w:t>more</w:t>
      </w:r>
      <w:r w:rsidR="00C02121" w:rsidRPr="00B60243">
        <w:t xml:space="preserve"> </w:t>
      </w:r>
      <w:r w:rsidRPr="00B60243">
        <w:t xml:space="preserve">specialised products. </w:t>
      </w:r>
    </w:p>
    <w:p w:rsidR="00A90777" w:rsidRPr="00B60243" w:rsidRDefault="00A90777" w:rsidP="00A90777">
      <w:pPr>
        <w:pStyle w:val="ListBullet"/>
      </w:pPr>
      <w:r w:rsidRPr="00B60243">
        <w:t>But large factory bakeries have also introduced a wider range of bread lines including health ranges and international breads (Food Magazine 2008). More recently, Goodman Fielder developed an artisan bread strategy and invested in a new artisan</w:t>
      </w:r>
      <w:r w:rsidR="00E36E7F">
        <w:noBreakHyphen/>
      </w:r>
      <w:r w:rsidRPr="00B60243">
        <w:t xml:space="preserve">style bread plant, reducing other product lines and closing three other bakeries (Mitchell 2013). </w:t>
      </w:r>
    </w:p>
    <w:p w:rsidR="00A90777" w:rsidRPr="00B60243" w:rsidRDefault="00A90777" w:rsidP="00A90777">
      <w:pPr>
        <w:pStyle w:val="BodyText"/>
      </w:pPr>
      <w:r w:rsidRPr="00B60243">
        <w:t xml:space="preserve">Change in the composition of output </w:t>
      </w:r>
      <w:r w:rsidR="00151602" w:rsidRPr="00B60243">
        <w:t>can</w:t>
      </w:r>
      <w:r w:rsidRPr="00B60243">
        <w:t xml:space="preserve"> have implications for productivity. For example, ‘h</w:t>
      </w:r>
      <w:r w:rsidR="00303E1E" w:rsidRPr="00B60243">
        <w:t>and</w:t>
      </w:r>
      <w:r w:rsidR="00E36E7F">
        <w:noBreakHyphen/>
      </w:r>
      <w:r w:rsidR="00303E1E" w:rsidRPr="00B60243">
        <w:t>crafted’ bread from a small</w:t>
      </w:r>
      <w:r w:rsidR="00E36E7F">
        <w:noBreakHyphen/>
      </w:r>
      <w:r w:rsidRPr="00B60243">
        <w:t>scale artisan bakery will have a different production process to the standard white loaf made in a large</w:t>
      </w:r>
      <w:r w:rsidR="00E36E7F">
        <w:noBreakHyphen/>
      </w:r>
      <w:r w:rsidRPr="00B60243">
        <w:t xml:space="preserve">scale automated factory, and productivity levels are likely to </w:t>
      </w:r>
      <w:r w:rsidR="00385C25" w:rsidRPr="00B60243">
        <w:t xml:space="preserve">be commensurately </w:t>
      </w:r>
      <w:r w:rsidRPr="00B60243">
        <w:t>differ</w:t>
      </w:r>
      <w:r w:rsidR="00385C25" w:rsidRPr="00B60243">
        <w:t>ent</w:t>
      </w:r>
      <w:r w:rsidRPr="00B60243">
        <w:t>. Non</w:t>
      </w:r>
      <w:r w:rsidR="00E36E7F">
        <w:noBreakHyphen/>
      </w:r>
      <w:r w:rsidRPr="00B60243">
        <w:t>factory production that does not have economies of scale and is more labour intensive is likely to have lower levels of measured productivity, particularly given the challenges of measuring output quality differences. But smaller production runs of a wider variety of products in a factory may also reduce economies of scale</w:t>
      </w:r>
      <w:r w:rsidR="00A63A87" w:rsidRPr="00B60243">
        <w:t>. There may also be changes in the type of capital required, which could lead to retirement of capital or changes in utilisation rates</w:t>
      </w:r>
      <w:r w:rsidRPr="00B60243">
        <w:t>. Limited ABS data make it difficult to quantify these changes. Available information about growth in non</w:t>
      </w:r>
      <w:r w:rsidR="00E36E7F">
        <w:noBreakHyphen/>
      </w:r>
      <w:r w:rsidRPr="00B60243">
        <w:t>factory bakeries and differences in the input intensity between factory and non</w:t>
      </w:r>
      <w:r w:rsidR="00E36E7F">
        <w:noBreakHyphen/>
      </w:r>
      <w:r w:rsidRPr="00B60243">
        <w:t xml:space="preserve">factory production are presented below. </w:t>
      </w:r>
    </w:p>
    <w:p w:rsidR="00A90777" w:rsidRPr="00B60243" w:rsidRDefault="00A90777" w:rsidP="00A90777">
      <w:pPr>
        <w:pStyle w:val="Heading6"/>
      </w:pPr>
      <w:r w:rsidRPr="00B60243">
        <w:t xml:space="preserve">Growth in </w:t>
      </w:r>
      <w:r w:rsidR="00283068" w:rsidRPr="00B60243">
        <w:t xml:space="preserve">the number of </w:t>
      </w:r>
      <w:r w:rsidRPr="00B60243">
        <w:t>non</w:t>
      </w:r>
      <w:r w:rsidR="00E36E7F">
        <w:noBreakHyphen/>
      </w:r>
      <w:r w:rsidRPr="00B60243">
        <w:t>factory bakeries</w:t>
      </w:r>
    </w:p>
    <w:p w:rsidR="00A90777" w:rsidRPr="00B60243" w:rsidRDefault="00A90777" w:rsidP="00A90777">
      <w:pPr>
        <w:pStyle w:val="BodyText"/>
        <w:widowControl w:val="0"/>
      </w:pPr>
      <w:r w:rsidRPr="00B60243">
        <w:t xml:space="preserve">There </w:t>
      </w:r>
      <w:r w:rsidR="009D312E" w:rsidRPr="00B60243">
        <w:t>has</w:t>
      </w:r>
      <w:r w:rsidRPr="00B60243">
        <w:t xml:space="preserve"> been stronger growth in non</w:t>
      </w:r>
      <w:r w:rsidR="00E36E7F">
        <w:noBreakHyphen/>
      </w:r>
      <w:r w:rsidRPr="00B60243">
        <w:t xml:space="preserve">factory bakery than factory bakery over the longer term, particularly in bread (box </w:t>
      </w:r>
      <w:r w:rsidR="00A27E8C" w:rsidRPr="00B60243">
        <w:t>5.10</w:t>
      </w:r>
      <w:r w:rsidRPr="00B60243">
        <w:t>). And Food Magazine</w:t>
      </w:r>
      <w:r w:rsidR="00DB7692" w:rsidRPr="00B60243">
        <w:t> </w:t>
      </w:r>
      <w:r w:rsidRPr="00B60243">
        <w:t xml:space="preserve">(2008) noted that small bakeries became more competitive with major players in the bread industry </w:t>
      </w:r>
      <w:r w:rsidR="00CD7E60" w:rsidRPr="00B60243">
        <w:t>in the</w:t>
      </w:r>
      <w:r w:rsidRPr="00B60243">
        <w:t xml:space="preserve"> few years up to 2008. </w:t>
      </w:r>
    </w:p>
    <w:p w:rsidR="00A90777" w:rsidRPr="00B60243" w:rsidRDefault="00A90777" w:rsidP="00A9077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90777" w:rsidRPr="009D3338" w:rsidTr="00FC274A">
        <w:tc>
          <w:tcPr>
            <w:tcW w:w="8771" w:type="dxa"/>
            <w:tcBorders>
              <w:top w:val="single" w:sz="6" w:space="0" w:color="auto"/>
              <w:bottom w:val="nil"/>
            </w:tcBorders>
          </w:tcPr>
          <w:p w:rsidR="00A90777" w:rsidRPr="00C007B2" w:rsidRDefault="00A90777" w:rsidP="00321FF9">
            <w:pPr>
              <w:pStyle w:val="BoxTitle"/>
              <w:rPr>
                <w:sz w:val="24"/>
              </w:rPr>
            </w:pPr>
            <w:r w:rsidRPr="00C007B2">
              <w:rPr>
                <w:b w:val="0"/>
                <w:sz w:val="24"/>
              </w:rPr>
              <w:t xml:space="preserve">Box </w:t>
            </w:r>
            <w:bookmarkStart w:id="45" w:name="OLE_LINK14"/>
            <w:r w:rsidR="00B072C2" w:rsidRPr="00C007B2">
              <w:rPr>
                <w:b w:val="0"/>
                <w:sz w:val="24"/>
              </w:rPr>
              <w:t>5.</w:t>
            </w:r>
            <w:r w:rsidR="002E061A">
              <w:rPr>
                <w:b w:val="0"/>
                <w:noProof/>
                <w:sz w:val="24"/>
              </w:rPr>
              <w:t>10</w:t>
            </w:r>
            <w:bookmarkEnd w:id="45"/>
            <w:r w:rsidRPr="00C007B2">
              <w:rPr>
                <w:sz w:val="24"/>
              </w:rPr>
              <w:tab/>
              <w:t xml:space="preserve">Growth of </w:t>
            </w:r>
            <w:r w:rsidR="00321FF9" w:rsidRPr="00C007B2">
              <w:rPr>
                <w:sz w:val="24"/>
              </w:rPr>
              <w:t>n</w:t>
            </w:r>
            <w:r w:rsidRPr="00C007B2">
              <w:rPr>
                <w:sz w:val="24"/>
              </w:rPr>
              <w:t>on</w:t>
            </w:r>
            <w:r w:rsidR="00E36E7F">
              <w:rPr>
                <w:sz w:val="24"/>
              </w:rPr>
              <w:noBreakHyphen/>
            </w:r>
            <w:r w:rsidRPr="00C007B2">
              <w:rPr>
                <w:sz w:val="24"/>
              </w:rPr>
              <w:t>factory bakeries</w:t>
            </w:r>
          </w:p>
        </w:tc>
      </w:tr>
      <w:tr w:rsidR="00A90777" w:rsidRPr="00B60243" w:rsidTr="00FC274A">
        <w:trPr>
          <w:cantSplit/>
        </w:trPr>
        <w:tc>
          <w:tcPr>
            <w:tcW w:w="8771" w:type="dxa"/>
            <w:tcBorders>
              <w:top w:val="nil"/>
              <w:left w:val="single" w:sz="6" w:space="0" w:color="auto"/>
              <w:bottom w:val="nil"/>
              <w:right w:val="single" w:sz="6" w:space="0" w:color="auto"/>
            </w:tcBorders>
          </w:tcPr>
          <w:p w:rsidR="00A90777" w:rsidRPr="00B60243" w:rsidRDefault="00A90777" w:rsidP="00FC274A">
            <w:pPr>
              <w:pStyle w:val="Box"/>
              <w:spacing w:before="60"/>
            </w:pPr>
            <w:r w:rsidRPr="00B60243">
              <w:t>There are limited statistics on the growth of non</w:t>
            </w:r>
            <w:r w:rsidR="00E36E7F">
              <w:noBreakHyphen/>
            </w:r>
            <w:r w:rsidRPr="00B60243">
              <w:t>factory bakeries specifically over cycle</w:t>
            </w:r>
            <w:r w:rsidR="00A834AB" w:rsidRPr="00B60243">
              <w:t> </w:t>
            </w:r>
            <w:r w:rsidRPr="00B60243">
              <w:t>4 (2003</w:t>
            </w:r>
            <w:r w:rsidR="00E36E7F">
              <w:noBreakHyphen/>
            </w:r>
            <w:r w:rsidRPr="00B60243">
              <w:t>04 to 2007</w:t>
            </w:r>
            <w:r w:rsidR="00E36E7F">
              <w:noBreakHyphen/>
            </w:r>
            <w:r w:rsidRPr="00B60243">
              <w:t xml:space="preserve">08). But over the longer term (since the </w:t>
            </w:r>
            <w:proofErr w:type="spellStart"/>
            <w:r w:rsidRPr="00B60243">
              <w:t>1990s</w:t>
            </w:r>
            <w:proofErr w:type="spellEnd"/>
            <w:r w:rsidRPr="00B60243">
              <w:t>) there is clear growth in non</w:t>
            </w:r>
            <w:r w:rsidR="00E36E7F">
              <w:noBreakHyphen/>
            </w:r>
            <w:r w:rsidRPr="00B60243">
              <w:t>factory bakery operations and some evidence of faster growth in some non</w:t>
            </w:r>
            <w:r w:rsidR="00E36E7F">
              <w:noBreakHyphen/>
            </w:r>
            <w:r w:rsidRPr="00B60243">
              <w:t>factory bread output than in factory bread output.</w:t>
            </w:r>
          </w:p>
          <w:p w:rsidR="00A90777" w:rsidRPr="00B60243" w:rsidRDefault="00A90777" w:rsidP="00FC274A">
            <w:pPr>
              <w:pStyle w:val="Box"/>
            </w:pPr>
            <w:r w:rsidRPr="00B60243">
              <w:t xml:space="preserve">There has been strong growth in </w:t>
            </w:r>
            <w:r w:rsidR="0064037F" w:rsidRPr="00B60243">
              <w:t xml:space="preserve">the </w:t>
            </w:r>
            <w:r w:rsidRPr="00B60243">
              <w:t>number of non</w:t>
            </w:r>
            <w:r w:rsidR="00E36E7F">
              <w:noBreakHyphen/>
            </w:r>
            <w:r w:rsidRPr="00B60243">
              <w:t xml:space="preserve">factory franchise bakeries since the early </w:t>
            </w:r>
            <w:proofErr w:type="spellStart"/>
            <w:r w:rsidRPr="00B60243">
              <w:t>1990s</w:t>
            </w:r>
            <w:proofErr w:type="spellEnd"/>
            <w:r w:rsidRPr="00B60243">
              <w:t>, but most of the growth in store numbers was before cycle 4.</w:t>
            </w:r>
          </w:p>
          <w:p w:rsidR="00A90777" w:rsidRPr="00B60243" w:rsidRDefault="00A90777" w:rsidP="00A90777">
            <w:pPr>
              <w:pStyle w:val="BoxListBullet"/>
              <w:spacing w:before="60"/>
            </w:pPr>
            <w:r w:rsidRPr="00B60243">
              <w:t xml:space="preserve">The number of Bakers Delight bakeries grew from 200 to 600 between 1993 and 2003 (in Australia and New Zealand), reaching 700 in 2013 (with most of the additional </w:t>
            </w:r>
            <w:r w:rsidR="00B765E1" w:rsidRPr="00B60243">
              <w:t xml:space="preserve">100 </w:t>
            </w:r>
            <w:r w:rsidRPr="00B60243">
              <w:t xml:space="preserve">stores </w:t>
            </w:r>
            <w:r w:rsidR="00283068" w:rsidRPr="00B60243">
              <w:t>opened</w:t>
            </w:r>
            <w:r w:rsidR="00B765E1" w:rsidRPr="00B60243">
              <w:t xml:space="preserve"> </w:t>
            </w:r>
            <w:r w:rsidRPr="00B60243">
              <w:t xml:space="preserve">in Canada) (Bakers Delight </w:t>
            </w:r>
            <w:proofErr w:type="spellStart"/>
            <w:r w:rsidRPr="00B60243">
              <w:t>2013b</w:t>
            </w:r>
            <w:proofErr w:type="spellEnd"/>
            <w:r w:rsidRPr="00B60243">
              <w:t xml:space="preserve">). Since the early </w:t>
            </w:r>
            <w:proofErr w:type="spellStart"/>
            <w:r w:rsidRPr="00B60243">
              <w:t>1990s</w:t>
            </w:r>
            <w:proofErr w:type="spellEnd"/>
            <w:r w:rsidR="00283068" w:rsidRPr="00B60243">
              <w:t>,</w:t>
            </w:r>
            <w:r w:rsidRPr="00B60243">
              <w:t xml:space="preserve"> the number of Brumby’s Bakeries (in Australia and New Zealand) has grown from 51 to over 300 (Brumby’s Bakeries 2013). </w:t>
            </w:r>
            <w:r w:rsidR="00BE02BC">
              <w:t xml:space="preserve">There were </w:t>
            </w:r>
            <w:r w:rsidRPr="00B60243">
              <w:t>254</w:t>
            </w:r>
            <w:r w:rsidR="00BE02BC">
              <w:t xml:space="preserve"> </w:t>
            </w:r>
            <w:r w:rsidRPr="00B60243">
              <w:t>Brumby’s stores in Australia in 2003, suggesting that, like Bakers Delight, most of the growth in store numbers took place before 2003</w:t>
            </w:r>
            <w:r w:rsidR="00BE02BC" w:rsidRPr="00B60243">
              <w:t xml:space="preserve"> </w:t>
            </w:r>
            <w:r w:rsidR="00BE02BC">
              <w:t xml:space="preserve">(DAFF </w:t>
            </w:r>
            <w:r w:rsidR="00BE02BC" w:rsidRPr="00B60243">
              <w:t>2003, p.</w:t>
            </w:r>
            <w:r w:rsidR="00E36E7F">
              <w:t> </w:t>
            </w:r>
            <w:r w:rsidR="00BE02BC" w:rsidRPr="00B60243">
              <w:t>19)</w:t>
            </w:r>
            <w:r w:rsidRPr="00B60243">
              <w:t>.</w:t>
            </w:r>
          </w:p>
          <w:p w:rsidR="00A90777" w:rsidRPr="00B60243" w:rsidRDefault="00A90777" w:rsidP="00FC274A">
            <w:pPr>
              <w:pStyle w:val="Box"/>
            </w:pPr>
            <w:r w:rsidRPr="00B60243">
              <w:t>Output of non</w:t>
            </w:r>
            <w:r w:rsidR="00E36E7F">
              <w:noBreakHyphen/>
            </w:r>
            <w:r w:rsidRPr="00B60243">
              <w:t>factory bread manufacturers grew faster than factory production between 1995 and 2000, and may have grown further in cycle 4.</w:t>
            </w:r>
          </w:p>
          <w:p w:rsidR="00A90777" w:rsidRPr="00B60243" w:rsidRDefault="008F01CC" w:rsidP="00A90777">
            <w:pPr>
              <w:pStyle w:val="BoxListBullet"/>
              <w:spacing w:before="60"/>
            </w:pPr>
            <w:r>
              <w:t>T</w:t>
            </w:r>
            <w:r w:rsidR="00A90777" w:rsidRPr="00B60243">
              <w:t xml:space="preserve">otal growth in the volume of bread production over the 5 years to 2000 </w:t>
            </w:r>
            <w:r>
              <w:t>was</w:t>
            </w:r>
            <w:r w:rsidR="00A90777" w:rsidRPr="00B60243">
              <w:t xml:space="preserve"> 45 per cent in traditional hot bread shops and 10 per cent in franchise hot bread shops, compared with </w:t>
            </w:r>
            <w:r w:rsidR="00E36E7F">
              <w:noBreakHyphen/>
            </w:r>
            <w:r w:rsidR="00A90777" w:rsidRPr="00B60243">
              <w:t xml:space="preserve">0.7 per cent in factory bread and </w:t>
            </w:r>
            <w:r w:rsidR="00E36E7F">
              <w:noBreakHyphen/>
            </w:r>
            <w:r w:rsidR="00A90777" w:rsidRPr="00B60243">
              <w:t>3 per cent in supermarket in</w:t>
            </w:r>
            <w:r w:rsidR="00E36E7F">
              <w:noBreakHyphen/>
            </w:r>
            <w:r w:rsidR="00A90777" w:rsidRPr="00B60243">
              <w:t xml:space="preserve">house bakeries. But factory bread still </w:t>
            </w:r>
            <w:r w:rsidR="00B765E1" w:rsidRPr="00B60243">
              <w:t xml:space="preserve">had </w:t>
            </w:r>
            <w:r w:rsidR="00A90777" w:rsidRPr="00B60243">
              <w:t>the largest share of output in 2000 (61</w:t>
            </w:r>
            <w:r w:rsidR="004E36D0">
              <w:t> </w:t>
            </w:r>
            <w:r w:rsidR="00A90777" w:rsidRPr="00B60243">
              <w:t>per cent)</w:t>
            </w:r>
            <w:r w:rsidR="00B765E1" w:rsidRPr="00B60243">
              <w:t>,</w:t>
            </w:r>
            <w:r w:rsidR="00A90777" w:rsidRPr="00B60243">
              <w:t xml:space="preserve"> compared with supermarket bakeries (20 per cent), franchise hot bread shops (14 per cent) and traditional hot bread shops (5 per cent). </w:t>
            </w:r>
            <w:r>
              <w:t>(DAFF 2003, p.</w:t>
            </w:r>
            <w:r w:rsidR="00E36E7F">
              <w:t> </w:t>
            </w:r>
            <w:r>
              <w:t>12)</w:t>
            </w:r>
          </w:p>
          <w:p w:rsidR="00A90777" w:rsidRPr="00B60243" w:rsidRDefault="00A90777" w:rsidP="00A90777">
            <w:pPr>
              <w:pStyle w:val="BoxListBullet"/>
              <w:spacing w:before="60"/>
            </w:pPr>
            <w:r w:rsidRPr="00B60243">
              <w:t>Since then</w:t>
            </w:r>
            <w:r w:rsidR="00B765E1" w:rsidRPr="00B60243">
              <w:t>,</w:t>
            </w:r>
            <w:r w:rsidRPr="00B60243">
              <w:t xml:space="preserve"> the market share of franchise bakeries appears to have grown further, with the bread market share of Bakers Delight alone at 13.7 per cent in 2010 (</w:t>
            </w:r>
            <w:proofErr w:type="spellStart"/>
            <w:r w:rsidRPr="00B60243">
              <w:t>Wahlquist</w:t>
            </w:r>
            <w:proofErr w:type="spellEnd"/>
            <w:r w:rsidRPr="00B60243">
              <w:t xml:space="preserve"> 2010) and 12.5 per cent in 2013 (Bakers Delight </w:t>
            </w:r>
            <w:proofErr w:type="spellStart"/>
            <w:r w:rsidRPr="00B60243">
              <w:t>2013a</w:t>
            </w:r>
            <w:proofErr w:type="spellEnd"/>
            <w:r w:rsidRPr="00B60243">
              <w:t xml:space="preserve">). </w:t>
            </w:r>
          </w:p>
          <w:p w:rsidR="00A90777" w:rsidRPr="00B60243" w:rsidRDefault="00A90777" w:rsidP="00FC274A">
            <w:pPr>
              <w:pStyle w:val="Box"/>
            </w:pPr>
            <w:r w:rsidRPr="00B60243">
              <w:t>But there may also have been some shift in market share between different types of non</w:t>
            </w:r>
            <w:r w:rsidR="00E36E7F">
              <w:noBreakHyphen/>
            </w:r>
            <w:r w:rsidRPr="00B60243">
              <w:t>factory bakeries and, more recently, a return to growth for factory bakeries.</w:t>
            </w:r>
          </w:p>
          <w:p w:rsidR="00A90777" w:rsidRPr="00B60243" w:rsidRDefault="00A90777" w:rsidP="00A90777">
            <w:pPr>
              <w:pStyle w:val="BoxListBullet"/>
              <w:spacing w:before="60"/>
            </w:pPr>
            <w:r w:rsidRPr="00B60243">
              <w:t xml:space="preserve">Perry and </w:t>
            </w:r>
            <w:proofErr w:type="spellStart"/>
            <w:r w:rsidRPr="00B60243">
              <w:t>Alam</w:t>
            </w:r>
            <w:proofErr w:type="spellEnd"/>
            <w:r w:rsidRPr="00B60243">
              <w:t xml:space="preserve"> (2005, p.</w:t>
            </w:r>
            <w:r w:rsidR="00E36E7F">
              <w:t> </w:t>
            </w:r>
            <w:r w:rsidRPr="00B60243">
              <w:t>5) noted a marked decrease in the number of small baking operations with the rise of national franchise and in</w:t>
            </w:r>
            <w:r w:rsidR="00E36E7F">
              <w:noBreakHyphen/>
            </w:r>
            <w:r w:rsidRPr="00B60243">
              <w:t>house supermarket bakeries — with small independent local bakeries all but disappearing</w:t>
            </w:r>
            <w:r w:rsidR="00174C95" w:rsidRPr="00B60243">
              <w:t>. However, they also report</w:t>
            </w:r>
            <w:r w:rsidR="00B765E1" w:rsidRPr="00B60243">
              <w:t>ed</w:t>
            </w:r>
            <w:r w:rsidRPr="00B60243">
              <w:t xml:space="preserve"> growth in boutique bread baking with new markets in specialty, exotic and health associated breads. </w:t>
            </w:r>
          </w:p>
          <w:p w:rsidR="00A90777" w:rsidRPr="00B60243" w:rsidRDefault="000B48BD" w:rsidP="00A90777">
            <w:pPr>
              <w:pStyle w:val="BoxListBullet"/>
              <w:spacing w:before="60"/>
            </w:pPr>
            <w:r>
              <w:t>The National Baking Industry Association</w:t>
            </w:r>
            <w:r w:rsidR="00A90777" w:rsidRPr="00B60243">
              <w:t xml:space="preserve"> </w:t>
            </w:r>
            <w:r w:rsidR="00871DCA">
              <w:t xml:space="preserve">(2011) </w:t>
            </w:r>
            <w:r w:rsidR="00A90777" w:rsidRPr="00B60243">
              <w:t xml:space="preserve">also noted the rise of a small but growing artisan baking sector and suggested a recent turnaround </w:t>
            </w:r>
            <w:r w:rsidR="00DF6BFB" w:rsidRPr="00B60243">
              <w:t xml:space="preserve">in the output of </w:t>
            </w:r>
            <w:r w:rsidR="00A90777" w:rsidRPr="00B60243">
              <w:t>factory bakeries</w:t>
            </w:r>
            <w:r w:rsidR="00871DCA">
              <w:t>.</w:t>
            </w:r>
          </w:p>
          <w:p w:rsidR="00A90777" w:rsidRPr="00B60243" w:rsidRDefault="00A90777" w:rsidP="00871DCA">
            <w:pPr>
              <w:pStyle w:val="BoxQuote"/>
            </w:pPr>
            <w:r w:rsidRPr="00B60243">
              <w:t xml:space="preserve">Previously, competition between the </w:t>
            </w:r>
            <w:proofErr w:type="spellStart"/>
            <w:r w:rsidRPr="00B60243">
              <w:t>on</w:t>
            </w:r>
            <w:r w:rsidR="00E36E7F">
              <w:noBreakHyphen/>
            </w:r>
            <w:r w:rsidRPr="00B60243">
              <w:t>site</w:t>
            </w:r>
            <w:proofErr w:type="spellEnd"/>
            <w:r w:rsidRPr="00B60243">
              <w:t xml:space="preserve"> operations is strong which has forced the prices of their products down, often to the point where the products are cheaper than the packaged equivalent produced by corporate plant bread bakeries. Consequently the onsite operations are gaining market share while the plant bread market share is in steady decline, which has caused the corporate plant bakeries to diversify. However, now with the supermarket’s reduction in the price of bread, it is our perception that this trend has been reversed and forced a significant downturn in trade for retail bakeries. (p.</w:t>
            </w:r>
            <w:r w:rsidR="00E36E7F">
              <w:t> </w:t>
            </w:r>
            <w:r w:rsidRPr="00B60243">
              <w:t>3)</w:t>
            </w:r>
          </w:p>
        </w:tc>
      </w:tr>
      <w:tr w:rsidR="00A90777" w:rsidRPr="00B60243" w:rsidTr="00FC274A">
        <w:trPr>
          <w:cantSplit/>
        </w:trPr>
        <w:tc>
          <w:tcPr>
            <w:tcW w:w="8771" w:type="dxa"/>
            <w:tcBorders>
              <w:top w:val="nil"/>
              <w:left w:val="single" w:sz="6" w:space="0" w:color="auto"/>
              <w:bottom w:val="single" w:sz="6" w:space="0" w:color="auto"/>
              <w:right w:val="single" w:sz="6" w:space="0" w:color="auto"/>
            </w:tcBorders>
          </w:tcPr>
          <w:p w:rsidR="00A90777" w:rsidRPr="00B60243" w:rsidRDefault="00A90777" w:rsidP="00FC274A">
            <w:pPr>
              <w:pStyle w:val="Box"/>
              <w:spacing w:before="0" w:line="60" w:lineRule="exact"/>
              <w:rPr>
                <w:sz w:val="16"/>
                <w:szCs w:val="16"/>
              </w:rPr>
            </w:pPr>
          </w:p>
        </w:tc>
      </w:tr>
      <w:tr w:rsidR="00A90777" w:rsidRPr="00B60243" w:rsidTr="00FC274A">
        <w:tc>
          <w:tcPr>
            <w:tcW w:w="8771" w:type="dxa"/>
            <w:tcBorders>
              <w:top w:val="nil"/>
              <w:left w:val="nil"/>
              <w:bottom w:val="nil"/>
              <w:right w:val="nil"/>
            </w:tcBorders>
          </w:tcPr>
          <w:p w:rsidR="00A90777" w:rsidRPr="00B60243" w:rsidRDefault="00A90777" w:rsidP="00FC274A">
            <w:pPr>
              <w:pStyle w:val="BoxSpaceBelow"/>
              <w:spacing w:before="0" w:after="0"/>
              <w:rPr>
                <w:sz w:val="10"/>
                <w:szCs w:val="10"/>
              </w:rPr>
            </w:pPr>
          </w:p>
        </w:tc>
      </w:tr>
    </w:tbl>
    <w:p w:rsidR="00A90777" w:rsidRPr="004E36D0" w:rsidRDefault="00871DCA" w:rsidP="00BD3091">
      <w:pPr>
        <w:pStyle w:val="Heading6"/>
        <w:spacing w:before="0"/>
        <w:rPr>
          <w:sz w:val="16"/>
          <w:szCs w:val="16"/>
        </w:rPr>
      </w:pPr>
      <w:r w:rsidRPr="00871DCA">
        <w:rPr>
          <w:sz w:val="26"/>
          <w:szCs w:val="26"/>
        </w:rPr>
        <w:br w:type="page"/>
      </w:r>
      <w:r w:rsidR="00A90777" w:rsidRPr="00B60243">
        <w:lastRenderedPageBreak/>
        <w:t>Smaller scale operations?</w:t>
      </w:r>
    </w:p>
    <w:p w:rsidR="00A90777" w:rsidRPr="00B60243" w:rsidRDefault="0064037F" w:rsidP="00A90777">
      <w:pPr>
        <w:pStyle w:val="BodyText"/>
      </w:pPr>
      <w:r w:rsidRPr="00B60243">
        <w:t xml:space="preserve">As expected, </w:t>
      </w:r>
      <w:r w:rsidR="00321FF9" w:rsidRPr="00B60243">
        <w:t>n</w:t>
      </w:r>
      <w:r w:rsidR="00A90777" w:rsidRPr="00B60243">
        <w:t>on</w:t>
      </w:r>
      <w:r w:rsidR="00E36E7F">
        <w:noBreakHyphen/>
      </w:r>
      <w:r w:rsidR="00A90777" w:rsidRPr="00B60243">
        <w:t>factory bakery had a lower proportion of businesses in the largest size category (by employment and turnover) than factory bakery in 2006</w:t>
      </w:r>
      <w:r w:rsidR="00E36E7F">
        <w:noBreakHyphen/>
      </w:r>
      <w:r w:rsidR="00A90777" w:rsidRPr="00B60243">
        <w:t>07 (figure</w:t>
      </w:r>
      <w:r w:rsidR="00550B0B" w:rsidRPr="00B60243">
        <w:t> </w:t>
      </w:r>
      <w:r w:rsidR="00B072C2" w:rsidRPr="00B60243">
        <w:t>5.27</w:t>
      </w:r>
      <w:r w:rsidR="00A90777" w:rsidRPr="00B60243">
        <w:t>). But non</w:t>
      </w:r>
      <w:r w:rsidR="00E36E7F">
        <w:noBreakHyphen/>
      </w:r>
      <w:r w:rsidR="00A90777" w:rsidRPr="00B60243">
        <w:t>factory bakery also had a lower proportion of businesses</w:t>
      </w:r>
      <w:r w:rsidR="00283068" w:rsidRPr="00B60243">
        <w:t xml:space="preserve"> in the smallest size category.</w:t>
      </w:r>
      <w:r w:rsidR="00283068" w:rsidRPr="00B60243">
        <w:rPr>
          <w:rStyle w:val="FootnoteReference"/>
        </w:rPr>
        <w:footnoteReference w:id="30"/>
      </w:r>
    </w:p>
    <w:p w:rsidR="00A90777" w:rsidRPr="00B60243" w:rsidRDefault="00A90777" w:rsidP="00A90777">
      <w:pPr>
        <w:pStyle w:val="BodyText"/>
      </w:pPr>
      <w:r w:rsidRPr="00B60243">
        <w:t xml:space="preserve">Business numbers grew by 9 per cent in Bread </w:t>
      </w:r>
      <w:r w:rsidR="00AC060C">
        <w:t xml:space="preserve">(factory) </w:t>
      </w:r>
      <w:r w:rsidRPr="00B60243">
        <w:t>manufacturing between 2002</w:t>
      </w:r>
      <w:r w:rsidR="00E36E7F">
        <w:noBreakHyphen/>
      </w:r>
      <w:r w:rsidRPr="00B60243">
        <w:t>03 and 2005</w:t>
      </w:r>
      <w:r w:rsidR="00E36E7F">
        <w:noBreakHyphen/>
      </w:r>
      <w:r w:rsidRPr="00B60243">
        <w:t xml:space="preserve">06, driven by a 10 per cent growth in the number of small and medium size businesses (employing </w:t>
      </w:r>
      <w:r w:rsidR="00321FF9" w:rsidRPr="00B60243">
        <w:t>fewer</w:t>
      </w:r>
      <w:r w:rsidRPr="00B60243">
        <w:t xml:space="preserve"> than 200 people)</w:t>
      </w:r>
      <w:r w:rsidR="00737956" w:rsidRPr="00B60243">
        <w:t xml:space="preserve">. (There was </w:t>
      </w:r>
      <w:r w:rsidRPr="00B60243">
        <w:t>a decline in the number of large businesses from nine to six</w:t>
      </w:r>
      <w:r w:rsidR="0065266B" w:rsidRPr="00B60243">
        <w:t>.</w:t>
      </w:r>
      <w:r w:rsidRPr="00B60243">
        <w:t>)</w:t>
      </w:r>
      <w:r w:rsidRPr="00B60243">
        <w:rPr>
          <w:rStyle w:val="FootnoteReference"/>
        </w:rPr>
        <w:footnoteReference w:id="31"/>
      </w:r>
    </w:p>
    <w:p w:rsidR="00A90777" w:rsidRPr="00B60243" w:rsidRDefault="00A90777" w:rsidP="00A90777">
      <w:pPr>
        <w:pStyle w:val="FigureTitle"/>
      </w:pPr>
      <w:r w:rsidRPr="00B60243">
        <w:rPr>
          <w:b w:val="0"/>
        </w:rPr>
        <w:t xml:space="preserve">Figure </w:t>
      </w:r>
      <w:bookmarkStart w:id="46" w:name="OLE_LINK29"/>
      <w:r w:rsidR="00B072C2" w:rsidRPr="00B60243">
        <w:rPr>
          <w:b w:val="0"/>
        </w:rPr>
        <w:t>5.</w:t>
      </w:r>
      <w:r w:rsidR="002E061A">
        <w:rPr>
          <w:b w:val="0"/>
          <w:noProof/>
        </w:rPr>
        <w:t>27</w:t>
      </w:r>
      <w:bookmarkEnd w:id="46"/>
      <w:r w:rsidRPr="00B60243">
        <w:tab/>
      </w:r>
      <w:r w:rsidR="00DB256F" w:rsidRPr="00B60243">
        <w:t>Bakery</w:t>
      </w:r>
      <w:r w:rsidR="007B0BF1" w:rsidRPr="00B60243">
        <w:t xml:space="preserve"> product manufacturing</w:t>
      </w:r>
      <w:r w:rsidR="00DB256F" w:rsidRPr="00B60243">
        <w:rPr>
          <w:rStyle w:val="NoteLabel"/>
          <w:b/>
        </w:rPr>
        <w:t>a</w:t>
      </w:r>
      <w:r w:rsidR="00DB256F" w:rsidRPr="00B60243">
        <w:t xml:space="preserve"> b</w:t>
      </w:r>
      <w:r w:rsidRPr="00B60243">
        <w:t>usiness</w:t>
      </w:r>
      <w:r w:rsidR="007B0BF1" w:rsidRPr="00B60243">
        <w:t xml:space="preserve">es </w:t>
      </w:r>
      <w:r w:rsidRPr="00B60243">
        <w:t>by size, 2006</w:t>
      </w:r>
      <w:r w:rsidR="007B0BF1" w:rsidRPr="00B60243">
        <w:noBreakHyphen/>
      </w:r>
      <w:r w:rsidRPr="00B60243">
        <w:t>07</w:t>
      </w:r>
    </w:p>
    <w:p w:rsidR="00A90777" w:rsidRPr="00B60243" w:rsidRDefault="00A90777" w:rsidP="00A90777">
      <w:pPr>
        <w:pStyle w:val="Subtitle"/>
      </w:pPr>
      <w:r w:rsidRPr="00B60243">
        <w:t>Percentage shares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DE032F" w:rsidRPr="00DE032F" w:rsidTr="009E0468">
        <w:tc>
          <w:tcPr>
            <w:tcW w:w="4388" w:type="dxa"/>
          </w:tcPr>
          <w:p w:rsidR="00DE032F" w:rsidRPr="00DE032F" w:rsidRDefault="00DE032F" w:rsidP="00DE032F">
            <w:pPr>
              <w:pStyle w:val="Figure"/>
              <w:spacing w:before="80" w:after="0"/>
              <w:rPr>
                <w:i/>
                <w:sz w:val="22"/>
                <w:szCs w:val="22"/>
              </w:rPr>
            </w:pPr>
            <w:r w:rsidRPr="00DE032F">
              <w:rPr>
                <w:i/>
                <w:sz w:val="22"/>
                <w:szCs w:val="22"/>
              </w:rPr>
              <w:t>Turnover</w:t>
            </w:r>
          </w:p>
        </w:tc>
        <w:tc>
          <w:tcPr>
            <w:tcW w:w="4389" w:type="dxa"/>
          </w:tcPr>
          <w:p w:rsidR="00DE032F" w:rsidRPr="00DE032F" w:rsidRDefault="00DE032F" w:rsidP="00DE032F">
            <w:pPr>
              <w:pStyle w:val="Figure"/>
              <w:spacing w:before="80" w:after="0"/>
              <w:rPr>
                <w:i/>
                <w:sz w:val="22"/>
                <w:szCs w:val="22"/>
              </w:rPr>
            </w:pPr>
            <w:r w:rsidRPr="00DE032F">
              <w:rPr>
                <w:i/>
                <w:sz w:val="22"/>
                <w:szCs w:val="22"/>
              </w:rPr>
              <w:t>Employment</w:t>
            </w:r>
          </w:p>
        </w:tc>
      </w:tr>
      <w:tr w:rsidR="00DE032F" w:rsidRPr="00B60243" w:rsidTr="009E0468">
        <w:tc>
          <w:tcPr>
            <w:tcW w:w="4388" w:type="dxa"/>
          </w:tcPr>
          <w:p w:rsidR="00DE032F" w:rsidRPr="00B60243" w:rsidRDefault="00E406E7" w:rsidP="0084492B">
            <w:pPr>
              <w:pStyle w:val="Figure"/>
              <w:spacing w:before="0"/>
              <w:rPr>
                <w:i/>
              </w:rPr>
            </w:pPr>
            <w:r>
              <w:rPr>
                <w:i/>
              </w:rPr>
              <w:pict>
                <v:shape id="_x0000_i1064" type="#_x0000_t75" alt="This figure comprise two charts. They both show that non-factory bakery had a lower proportion of businesses in the largest size category by employment and turnover than factory bakery in 2006-07 but non-factory bakery also had a lower proportion of businesses in the smallest size category. " style="width:211.8pt;height:211.8pt">
                  <v:imagedata r:id="rId49" o:title=""/>
                </v:shape>
              </w:pict>
            </w:r>
          </w:p>
        </w:tc>
        <w:tc>
          <w:tcPr>
            <w:tcW w:w="4389" w:type="dxa"/>
          </w:tcPr>
          <w:p w:rsidR="00DE032F" w:rsidRPr="00B60243" w:rsidRDefault="00E406E7" w:rsidP="0084492B">
            <w:pPr>
              <w:pStyle w:val="Figure"/>
              <w:spacing w:before="0"/>
              <w:rPr>
                <w:i/>
              </w:rPr>
            </w:pPr>
            <w:r>
              <w:rPr>
                <w:i/>
              </w:rPr>
              <w:pict>
                <v:shape id="_x0000_i1065" type="#_x0000_t75" alt="This figure comprise two charts. They both show that non-factory bakery had a lower proportion of businesses in the largest size category by employment and turnover than factory bakery in 2006-07 but non-factory bakery also had a lower proportion of businesses in the smallest size category. " style="width:211.8pt;height:211.8pt">
                  <v:imagedata r:id="rId50" o:title=""/>
                </v:shape>
              </w:pict>
            </w:r>
          </w:p>
        </w:tc>
      </w:tr>
    </w:tbl>
    <w:p w:rsidR="00DB256F" w:rsidRPr="00B60243" w:rsidRDefault="00DB256F" w:rsidP="00DB256F">
      <w:pPr>
        <w:pStyle w:val="Note"/>
      </w:pPr>
      <w:r w:rsidRPr="00B60243">
        <w:rPr>
          <w:rStyle w:val="NoteLabel"/>
        </w:rPr>
        <w:t xml:space="preserve">a </w:t>
      </w:r>
      <w:r w:rsidR="00AF3AF2" w:rsidRPr="00B60243">
        <w:t xml:space="preserve">Bakery product manufacturing, Bakery (Total), includes </w:t>
      </w:r>
      <w:r w:rsidRPr="00B60243">
        <w:t>Factory (F) and Non</w:t>
      </w:r>
      <w:r w:rsidR="00E36E7F">
        <w:noBreakHyphen/>
      </w:r>
      <w:r w:rsidRPr="00B60243">
        <w:t>factory (Non</w:t>
      </w:r>
      <w:r w:rsidR="00E36E7F">
        <w:noBreakHyphen/>
      </w:r>
      <w:r w:rsidRPr="00B60243">
        <w:t>F).</w:t>
      </w:r>
    </w:p>
    <w:p w:rsidR="00A90777" w:rsidRPr="00B60243" w:rsidRDefault="00A90777" w:rsidP="00A90777">
      <w:pPr>
        <w:pStyle w:val="Source"/>
      </w:pPr>
      <w:r w:rsidRPr="00B60243">
        <w:rPr>
          <w:i/>
        </w:rPr>
        <w:t>Data source</w:t>
      </w:r>
      <w:r w:rsidRPr="00B60243">
        <w:t xml:space="preserve">: ABS </w:t>
      </w:r>
      <w:r w:rsidR="00A834AB" w:rsidRPr="00B60243">
        <w:t>(</w:t>
      </w:r>
      <w:r w:rsidR="00A834AB" w:rsidRPr="00B60243">
        <w:rPr>
          <w:i/>
        </w:rPr>
        <w:t>Counts of Australian Businesses, including Entries and Exits, Jun</w:t>
      </w:r>
      <w:r w:rsidR="00F63EED" w:rsidRPr="00B60243">
        <w:rPr>
          <w:i/>
        </w:rPr>
        <w:t>e</w:t>
      </w:r>
      <w:r w:rsidR="00A834AB" w:rsidRPr="00B60243">
        <w:rPr>
          <w:i/>
        </w:rPr>
        <w:t xml:space="preserve"> 2007 to Jun</w:t>
      </w:r>
      <w:r w:rsidR="00F63EED" w:rsidRPr="00B60243">
        <w:rPr>
          <w:i/>
        </w:rPr>
        <w:t>e</w:t>
      </w:r>
      <w:r w:rsidR="00A834AB" w:rsidRPr="00B60243">
        <w:rPr>
          <w:i/>
        </w:rPr>
        <w:t xml:space="preserve"> 2009</w:t>
      </w:r>
      <w:r w:rsidR="00A834AB" w:rsidRPr="00B60243">
        <w:t xml:space="preserve">, </w:t>
      </w:r>
      <w:r w:rsidR="00E05332" w:rsidRPr="00B60243">
        <w:t xml:space="preserve">Cat. no. </w:t>
      </w:r>
      <w:r w:rsidRPr="00B60243">
        <w:t>8165.0</w:t>
      </w:r>
      <w:r w:rsidR="00A834AB" w:rsidRPr="00B60243">
        <w:t>)</w:t>
      </w:r>
      <w:r w:rsidRPr="00B60243">
        <w:t>.</w:t>
      </w:r>
    </w:p>
    <w:p w:rsidR="00A90777" w:rsidRPr="00B60243" w:rsidRDefault="00A90777" w:rsidP="00A90777">
      <w:pPr>
        <w:pStyle w:val="BodyText"/>
      </w:pPr>
      <w:r w:rsidRPr="00B60243">
        <w:t>Non</w:t>
      </w:r>
      <w:r w:rsidR="00E36E7F">
        <w:noBreakHyphen/>
      </w:r>
      <w:r w:rsidRPr="00B60243">
        <w:t xml:space="preserve">factory bakery uses smaller scale equipment than factory bakery. </w:t>
      </w:r>
      <w:r w:rsidR="00322E31">
        <w:t>T</w:t>
      </w:r>
      <w:r w:rsidRPr="00B60243">
        <w:t>here are two types of bakery equipment — retail bakery equipment (servicing the independent and franchise sector) and industrial bakery, larger, automated equipment (servicing larger independents and corporate plant bakeries)</w:t>
      </w:r>
      <w:r w:rsidR="00322E31">
        <w:t xml:space="preserve"> (DAFF</w:t>
      </w:r>
      <w:r w:rsidR="00065E86">
        <w:t> </w:t>
      </w:r>
      <w:r w:rsidR="00322E31" w:rsidRPr="00B60243">
        <w:t>2003,</w:t>
      </w:r>
      <w:r w:rsidR="00322E31">
        <w:t> </w:t>
      </w:r>
      <w:r w:rsidR="00322E31" w:rsidRPr="00B60243">
        <w:t>p.</w:t>
      </w:r>
      <w:r w:rsidR="00E36E7F">
        <w:t> </w:t>
      </w:r>
      <w:r w:rsidR="00322E31" w:rsidRPr="00B60243">
        <w:t>34)</w:t>
      </w:r>
      <w:r w:rsidRPr="00B60243">
        <w:t xml:space="preserve">. </w:t>
      </w:r>
    </w:p>
    <w:p w:rsidR="00A90777" w:rsidRPr="00B60243" w:rsidRDefault="00A90777" w:rsidP="00A90777">
      <w:pPr>
        <w:pStyle w:val="BodyText"/>
      </w:pPr>
      <w:r w:rsidRPr="00B60243">
        <w:lastRenderedPageBreak/>
        <w:t>Non</w:t>
      </w:r>
      <w:r w:rsidR="00E36E7F">
        <w:noBreakHyphen/>
      </w:r>
      <w:r w:rsidRPr="00B60243">
        <w:t xml:space="preserve">factory bakery is more labour intensive than all three groups within factory bakery. Table </w:t>
      </w:r>
      <w:r w:rsidR="007B0BF1" w:rsidRPr="00B60243">
        <w:t>5.1</w:t>
      </w:r>
      <w:r w:rsidRPr="00B60243">
        <w:t xml:space="preserve"> shows employment per </w:t>
      </w:r>
      <w:r w:rsidR="00AC7F33">
        <w:t>million dollars</w:t>
      </w:r>
      <w:r w:rsidRPr="00B60243">
        <w:t xml:space="preserve"> of </w:t>
      </w:r>
      <w:r w:rsidR="00EE7380">
        <w:t xml:space="preserve">nominal </w:t>
      </w:r>
      <w:r w:rsidR="00A72C11">
        <w:t>VA</w:t>
      </w:r>
      <w:r w:rsidRPr="00B60243">
        <w:t xml:space="preserve"> in 2006</w:t>
      </w:r>
      <w:r w:rsidR="00E36E7F">
        <w:noBreakHyphen/>
      </w:r>
      <w:r w:rsidRPr="00B60243">
        <w:t>07.</w:t>
      </w:r>
    </w:p>
    <w:p w:rsidR="00A90777" w:rsidRPr="00B60243" w:rsidRDefault="00A90777" w:rsidP="00A90777">
      <w:pPr>
        <w:pStyle w:val="TableTitle"/>
      </w:pPr>
      <w:bookmarkStart w:id="47" w:name="OLE_LINK36"/>
      <w:r w:rsidRPr="00B60243">
        <w:rPr>
          <w:b w:val="0"/>
        </w:rPr>
        <w:t xml:space="preserve">Table </w:t>
      </w:r>
      <w:bookmarkStart w:id="48" w:name="OLE_LINK42"/>
      <w:r w:rsidR="007B0BF1" w:rsidRPr="00B60243">
        <w:rPr>
          <w:b w:val="0"/>
        </w:rPr>
        <w:t>5.</w:t>
      </w:r>
      <w:r w:rsidR="002E061A">
        <w:rPr>
          <w:b w:val="0"/>
          <w:noProof/>
        </w:rPr>
        <w:t>1</w:t>
      </w:r>
      <w:bookmarkEnd w:id="48"/>
      <w:r w:rsidRPr="00B60243">
        <w:tab/>
      </w:r>
      <w:r w:rsidR="003B4941" w:rsidRPr="00B60243">
        <w:t xml:space="preserve">Labour intensity of </w:t>
      </w:r>
      <w:r w:rsidRPr="00B60243">
        <w:t>Bakery product manufacturing, 2006</w:t>
      </w:r>
      <w:r w:rsidR="00E36E7F">
        <w:noBreakHyphen/>
      </w:r>
      <w:r w:rsidRPr="00B60243">
        <w:t>07</w:t>
      </w:r>
    </w:p>
    <w:tbl>
      <w:tblPr>
        <w:tblW w:w="5000" w:type="pct"/>
        <w:tblLayout w:type="fixed"/>
        <w:tblCellMar>
          <w:left w:w="0" w:type="dxa"/>
          <w:right w:w="0" w:type="dxa"/>
        </w:tblCellMar>
        <w:tblLook w:val="0000" w:firstRow="0" w:lastRow="0" w:firstColumn="0" w:lastColumn="0" w:noHBand="0" w:noVBand="0"/>
      </w:tblPr>
      <w:tblGrid>
        <w:gridCol w:w="4820"/>
        <w:gridCol w:w="1417"/>
        <w:gridCol w:w="1276"/>
        <w:gridCol w:w="1276"/>
      </w:tblGrid>
      <w:tr w:rsidR="00A90777" w:rsidRPr="00B60243" w:rsidTr="00D16C84">
        <w:tc>
          <w:tcPr>
            <w:tcW w:w="2742" w:type="pct"/>
            <w:tcBorders>
              <w:top w:val="single" w:sz="6" w:space="0" w:color="auto"/>
              <w:bottom w:val="single" w:sz="6" w:space="0" w:color="auto"/>
            </w:tcBorders>
            <w:shd w:val="clear" w:color="auto" w:fill="auto"/>
            <w:vAlign w:val="bottom"/>
          </w:tcPr>
          <w:p w:rsidR="00A90777" w:rsidRPr="00B60243" w:rsidRDefault="003E2DB4" w:rsidP="00D16C84">
            <w:pPr>
              <w:pStyle w:val="TableColumnHeading"/>
              <w:jc w:val="left"/>
            </w:pPr>
            <w:r w:rsidRPr="00B60243">
              <w:br/>
            </w:r>
            <w:proofErr w:type="spellStart"/>
            <w:r w:rsidRPr="00B60243">
              <w:t>ANZSIC</w:t>
            </w:r>
            <w:r w:rsidR="00627145" w:rsidRPr="00B60243">
              <w:t>06</w:t>
            </w:r>
            <w:proofErr w:type="spellEnd"/>
            <w:r w:rsidRPr="00B60243">
              <w:t xml:space="preserve"> group/class</w:t>
            </w:r>
          </w:p>
        </w:tc>
        <w:tc>
          <w:tcPr>
            <w:tcW w:w="806" w:type="pct"/>
            <w:tcBorders>
              <w:top w:val="single" w:sz="6" w:space="0" w:color="auto"/>
              <w:bottom w:val="single" w:sz="6" w:space="0" w:color="auto"/>
            </w:tcBorders>
            <w:shd w:val="clear" w:color="auto" w:fill="auto"/>
            <w:vAlign w:val="bottom"/>
          </w:tcPr>
          <w:p w:rsidR="00A90777" w:rsidRPr="00B60243" w:rsidRDefault="00A90777" w:rsidP="00D16C84">
            <w:pPr>
              <w:pStyle w:val="TableColumnHeading"/>
            </w:pPr>
            <w:r w:rsidRPr="00B60243">
              <w:t xml:space="preserve">Employed per </w:t>
            </w:r>
            <w:r w:rsidR="0000045D">
              <w:br/>
            </w:r>
            <w:r w:rsidRPr="00B60243">
              <w:t xml:space="preserve">$m of </w:t>
            </w:r>
            <w:r w:rsidR="0000045D">
              <w:t>VA</w:t>
            </w:r>
            <w:r w:rsidR="001160F1" w:rsidRPr="001160F1">
              <w:rPr>
                <w:rStyle w:val="NoteLabel"/>
                <w:i w:val="0"/>
              </w:rPr>
              <w:t>a</w:t>
            </w:r>
          </w:p>
        </w:tc>
        <w:tc>
          <w:tcPr>
            <w:tcW w:w="726" w:type="pct"/>
            <w:tcBorders>
              <w:top w:val="single" w:sz="6" w:space="0" w:color="auto"/>
              <w:bottom w:val="single" w:sz="6" w:space="0" w:color="auto"/>
            </w:tcBorders>
            <w:shd w:val="clear" w:color="auto" w:fill="auto"/>
            <w:vAlign w:val="bottom"/>
          </w:tcPr>
          <w:p w:rsidR="00A90777" w:rsidRPr="00B60243" w:rsidRDefault="00A90777" w:rsidP="00623A97">
            <w:pPr>
              <w:pStyle w:val="TableColumnHeading"/>
            </w:pPr>
            <w:r w:rsidRPr="00B60243">
              <w:t xml:space="preserve">Share of </w:t>
            </w:r>
            <w:r w:rsidRPr="00B60243">
              <w:br/>
            </w:r>
            <w:r w:rsidR="00623A97">
              <w:t>VA</w:t>
            </w:r>
          </w:p>
        </w:tc>
        <w:tc>
          <w:tcPr>
            <w:tcW w:w="726" w:type="pct"/>
            <w:tcBorders>
              <w:top w:val="single" w:sz="6" w:space="0" w:color="auto"/>
              <w:bottom w:val="single" w:sz="6" w:space="0" w:color="auto"/>
            </w:tcBorders>
            <w:vAlign w:val="bottom"/>
          </w:tcPr>
          <w:p w:rsidR="00A90777" w:rsidRPr="00B60243" w:rsidRDefault="00A90777" w:rsidP="00D16C84">
            <w:pPr>
              <w:pStyle w:val="TableColumnHeading"/>
            </w:pPr>
            <w:r w:rsidRPr="00B60243">
              <w:t>Share of employed</w:t>
            </w:r>
          </w:p>
        </w:tc>
      </w:tr>
      <w:tr w:rsidR="00A90777" w:rsidRPr="00B60243" w:rsidTr="0000045D">
        <w:tc>
          <w:tcPr>
            <w:tcW w:w="2742" w:type="pct"/>
            <w:tcBorders>
              <w:top w:val="single" w:sz="6" w:space="0" w:color="auto"/>
            </w:tcBorders>
            <w:vAlign w:val="bottom"/>
          </w:tcPr>
          <w:p w:rsidR="00A90777" w:rsidRPr="00B60243" w:rsidRDefault="00A90777" w:rsidP="00FC274A">
            <w:pPr>
              <w:pStyle w:val="TableUnitsRow"/>
            </w:pPr>
          </w:p>
        </w:tc>
        <w:tc>
          <w:tcPr>
            <w:tcW w:w="806" w:type="pct"/>
            <w:tcBorders>
              <w:top w:val="single" w:sz="6" w:space="0" w:color="auto"/>
            </w:tcBorders>
            <w:vAlign w:val="bottom"/>
          </w:tcPr>
          <w:p w:rsidR="00A90777" w:rsidRPr="00B60243" w:rsidRDefault="00A90777" w:rsidP="00FC274A">
            <w:pPr>
              <w:pStyle w:val="TableUnitsRow"/>
            </w:pPr>
            <w:r w:rsidRPr="00B60243">
              <w:t>persons</w:t>
            </w:r>
          </w:p>
        </w:tc>
        <w:tc>
          <w:tcPr>
            <w:tcW w:w="726" w:type="pct"/>
            <w:tcBorders>
              <w:top w:val="single" w:sz="6" w:space="0" w:color="auto"/>
            </w:tcBorders>
            <w:vAlign w:val="bottom"/>
          </w:tcPr>
          <w:p w:rsidR="00A90777" w:rsidRPr="00B60243" w:rsidRDefault="00A90777" w:rsidP="00FC274A">
            <w:pPr>
              <w:pStyle w:val="TableUnitsRow"/>
            </w:pPr>
            <w:r w:rsidRPr="00B60243">
              <w:t>share</w:t>
            </w:r>
          </w:p>
        </w:tc>
        <w:tc>
          <w:tcPr>
            <w:tcW w:w="726" w:type="pct"/>
            <w:tcBorders>
              <w:top w:val="single" w:sz="6" w:space="0" w:color="auto"/>
            </w:tcBorders>
          </w:tcPr>
          <w:p w:rsidR="00A90777" w:rsidRPr="00B60243" w:rsidRDefault="00A90777" w:rsidP="00FC274A">
            <w:pPr>
              <w:pStyle w:val="TableUnitsRow"/>
            </w:pPr>
            <w:r w:rsidRPr="00B60243">
              <w:t>share</w:t>
            </w:r>
          </w:p>
        </w:tc>
      </w:tr>
      <w:tr w:rsidR="000F32B1" w:rsidRPr="0023435C" w:rsidTr="0000045D">
        <w:tc>
          <w:tcPr>
            <w:tcW w:w="2742" w:type="pct"/>
            <w:shd w:val="clear" w:color="auto" w:fill="D9D9D9" w:themeFill="background1" w:themeFillShade="D9"/>
            <w:vAlign w:val="bottom"/>
          </w:tcPr>
          <w:p w:rsidR="000F32B1" w:rsidRPr="0023435C" w:rsidRDefault="000F32B1" w:rsidP="00FC274A">
            <w:pPr>
              <w:pStyle w:val="TableBodyText"/>
              <w:jc w:val="left"/>
              <w:rPr>
                <w:b/>
              </w:rPr>
            </w:pPr>
            <w:r w:rsidRPr="0023435C">
              <w:rPr>
                <w:b/>
              </w:rPr>
              <w:t>117 Bakery product manufacturing</w:t>
            </w:r>
          </w:p>
        </w:tc>
        <w:tc>
          <w:tcPr>
            <w:tcW w:w="806" w:type="pct"/>
            <w:shd w:val="clear" w:color="auto" w:fill="D9D9D9" w:themeFill="background1" w:themeFillShade="D9"/>
            <w:vAlign w:val="bottom"/>
          </w:tcPr>
          <w:p w:rsidR="000F32B1" w:rsidRPr="0023435C" w:rsidRDefault="000F32B1" w:rsidP="00FC274A">
            <w:pPr>
              <w:pStyle w:val="TableBodyText"/>
              <w:rPr>
                <w:b/>
              </w:rPr>
            </w:pPr>
            <w:r w:rsidRPr="0023435C">
              <w:rPr>
                <w:b/>
              </w:rPr>
              <w:t>24.3</w:t>
            </w:r>
          </w:p>
        </w:tc>
        <w:tc>
          <w:tcPr>
            <w:tcW w:w="726" w:type="pct"/>
            <w:shd w:val="clear" w:color="auto" w:fill="D9D9D9" w:themeFill="background1" w:themeFillShade="D9"/>
            <w:vAlign w:val="bottom"/>
          </w:tcPr>
          <w:p w:rsidR="000F32B1" w:rsidRPr="0023435C" w:rsidRDefault="000F32B1" w:rsidP="00F42589">
            <w:pPr>
              <w:pStyle w:val="TableBodyText"/>
              <w:rPr>
                <w:b/>
              </w:rPr>
            </w:pPr>
            <w:r w:rsidRPr="0023435C">
              <w:rPr>
                <w:b/>
              </w:rPr>
              <w:t>1.00</w:t>
            </w:r>
          </w:p>
        </w:tc>
        <w:tc>
          <w:tcPr>
            <w:tcW w:w="726" w:type="pct"/>
            <w:shd w:val="clear" w:color="auto" w:fill="D9D9D9" w:themeFill="background1" w:themeFillShade="D9"/>
          </w:tcPr>
          <w:p w:rsidR="000F32B1" w:rsidRPr="0023435C" w:rsidRDefault="000F32B1" w:rsidP="00F42589">
            <w:pPr>
              <w:pStyle w:val="TableBodyText"/>
              <w:rPr>
                <w:b/>
              </w:rPr>
            </w:pPr>
            <w:r w:rsidRPr="0023435C">
              <w:rPr>
                <w:b/>
              </w:rPr>
              <w:t>1.00</w:t>
            </w:r>
          </w:p>
        </w:tc>
      </w:tr>
      <w:tr w:rsidR="00A90777" w:rsidRPr="00B60243" w:rsidTr="0000045D">
        <w:tc>
          <w:tcPr>
            <w:tcW w:w="2742" w:type="pct"/>
            <w:vAlign w:val="bottom"/>
          </w:tcPr>
          <w:p w:rsidR="00A90777" w:rsidRPr="00B60243" w:rsidRDefault="00A90777" w:rsidP="0000045D">
            <w:pPr>
              <w:pStyle w:val="TableBodyText"/>
              <w:ind w:left="426"/>
              <w:jc w:val="left"/>
            </w:pPr>
            <w:r w:rsidRPr="00B60243">
              <w:t xml:space="preserve">1171 Bread </w:t>
            </w:r>
            <w:r w:rsidR="00A834AB" w:rsidRPr="00B60243">
              <w:t>manufacturing</w:t>
            </w:r>
            <w:r w:rsidRPr="00B60243">
              <w:t xml:space="preserve"> (factory)</w:t>
            </w:r>
          </w:p>
        </w:tc>
        <w:tc>
          <w:tcPr>
            <w:tcW w:w="806" w:type="pct"/>
            <w:vAlign w:val="bottom"/>
          </w:tcPr>
          <w:p w:rsidR="00A90777" w:rsidRPr="00B60243" w:rsidRDefault="00A90777" w:rsidP="00FC274A">
            <w:pPr>
              <w:pStyle w:val="TableBodyText"/>
            </w:pPr>
            <w:r w:rsidRPr="00B60243">
              <w:t>16.2</w:t>
            </w:r>
          </w:p>
        </w:tc>
        <w:tc>
          <w:tcPr>
            <w:tcW w:w="726" w:type="pct"/>
            <w:vAlign w:val="bottom"/>
          </w:tcPr>
          <w:p w:rsidR="00A90777" w:rsidRPr="00B60243" w:rsidRDefault="00A90777" w:rsidP="00F42589">
            <w:pPr>
              <w:pStyle w:val="TableBodyText"/>
            </w:pPr>
            <w:r w:rsidRPr="00B60243">
              <w:t>0.27</w:t>
            </w:r>
          </w:p>
        </w:tc>
        <w:tc>
          <w:tcPr>
            <w:tcW w:w="726" w:type="pct"/>
          </w:tcPr>
          <w:p w:rsidR="00A90777" w:rsidRPr="00B60243" w:rsidRDefault="00A90777" w:rsidP="00F42589">
            <w:pPr>
              <w:pStyle w:val="TableBodyText"/>
            </w:pPr>
            <w:r w:rsidRPr="00B60243">
              <w:t>0.18</w:t>
            </w:r>
          </w:p>
        </w:tc>
      </w:tr>
      <w:tr w:rsidR="00A90777" w:rsidRPr="00B60243" w:rsidTr="0000045D">
        <w:tc>
          <w:tcPr>
            <w:tcW w:w="2742" w:type="pct"/>
            <w:shd w:val="clear" w:color="auto" w:fill="D9D9D9" w:themeFill="background1" w:themeFillShade="D9"/>
            <w:vAlign w:val="bottom"/>
          </w:tcPr>
          <w:p w:rsidR="00A90777" w:rsidRPr="00B60243" w:rsidRDefault="00A90777" w:rsidP="0000045D">
            <w:pPr>
              <w:pStyle w:val="TableBodyText"/>
              <w:ind w:left="426" w:right="0"/>
              <w:jc w:val="left"/>
            </w:pPr>
            <w:r w:rsidRPr="00B60243">
              <w:t xml:space="preserve">1172 Cake and pastry </w:t>
            </w:r>
            <w:r w:rsidR="00A834AB" w:rsidRPr="00B60243">
              <w:t>manufacturing</w:t>
            </w:r>
            <w:r w:rsidRPr="00B60243">
              <w:t xml:space="preserve"> (factory)</w:t>
            </w:r>
          </w:p>
        </w:tc>
        <w:tc>
          <w:tcPr>
            <w:tcW w:w="806" w:type="pct"/>
            <w:shd w:val="clear" w:color="auto" w:fill="D9D9D9" w:themeFill="background1" w:themeFillShade="D9"/>
            <w:vAlign w:val="bottom"/>
          </w:tcPr>
          <w:p w:rsidR="00A90777" w:rsidRPr="00B60243" w:rsidRDefault="00A90777" w:rsidP="00FC274A">
            <w:pPr>
              <w:pStyle w:val="TableBodyText"/>
            </w:pPr>
            <w:r w:rsidRPr="00B60243">
              <w:t>23.5</w:t>
            </w:r>
          </w:p>
        </w:tc>
        <w:tc>
          <w:tcPr>
            <w:tcW w:w="726" w:type="pct"/>
            <w:shd w:val="clear" w:color="auto" w:fill="D9D9D9" w:themeFill="background1" w:themeFillShade="D9"/>
            <w:vAlign w:val="bottom"/>
          </w:tcPr>
          <w:p w:rsidR="00A90777" w:rsidRPr="00B60243" w:rsidRDefault="00A90777" w:rsidP="00F42589">
            <w:pPr>
              <w:pStyle w:val="TableBodyText"/>
            </w:pPr>
            <w:r w:rsidRPr="00B60243">
              <w:t>0.14</w:t>
            </w:r>
          </w:p>
        </w:tc>
        <w:tc>
          <w:tcPr>
            <w:tcW w:w="726" w:type="pct"/>
            <w:shd w:val="clear" w:color="auto" w:fill="D9D9D9" w:themeFill="background1" w:themeFillShade="D9"/>
          </w:tcPr>
          <w:p w:rsidR="00A90777" w:rsidRPr="00B60243" w:rsidRDefault="00A90777" w:rsidP="00F42589">
            <w:pPr>
              <w:pStyle w:val="TableBodyText"/>
            </w:pPr>
            <w:r w:rsidRPr="00B60243">
              <w:t>0.14</w:t>
            </w:r>
          </w:p>
        </w:tc>
      </w:tr>
      <w:tr w:rsidR="00A90777" w:rsidRPr="00B60243" w:rsidTr="0000045D">
        <w:tc>
          <w:tcPr>
            <w:tcW w:w="2742" w:type="pct"/>
            <w:shd w:val="clear" w:color="auto" w:fill="auto"/>
            <w:vAlign w:val="bottom"/>
          </w:tcPr>
          <w:p w:rsidR="00A90777" w:rsidRPr="00B60243" w:rsidRDefault="00A90777" w:rsidP="0000045D">
            <w:pPr>
              <w:pStyle w:val="TableBodyText"/>
              <w:ind w:left="426"/>
              <w:jc w:val="left"/>
            </w:pPr>
            <w:r w:rsidRPr="00B60243">
              <w:t xml:space="preserve">1173 Biscuit </w:t>
            </w:r>
            <w:r w:rsidR="00A834AB" w:rsidRPr="00B60243">
              <w:t>manufacturing</w:t>
            </w:r>
            <w:r w:rsidRPr="00B60243">
              <w:t xml:space="preserve"> (factory)</w:t>
            </w:r>
          </w:p>
        </w:tc>
        <w:tc>
          <w:tcPr>
            <w:tcW w:w="806" w:type="pct"/>
            <w:shd w:val="clear" w:color="auto" w:fill="auto"/>
            <w:vAlign w:val="bottom"/>
          </w:tcPr>
          <w:p w:rsidR="00A90777" w:rsidRPr="00B60243" w:rsidRDefault="00A90777" w:rsidP="00FC274A">
            <w:pPr>
              <w:pStyle w:val="TableBodyText"/>
            </w:pPr>
            <w:r w:rsidRPr="00B60243">
              <w:t>11.1</w:t>
            </w:r>
          </w:p>
        </w:tc>
        <w:tc>
          <w:tcPr>
            <w:tcW w:w="726" w:type="pct"/>
            <w:shd w:val="clear" w:color="auto" w:fill="auto"/>
            <w:vAlign w:val="bottom"/>
          </w:tcPr>
          <w:p w:rsidR="00A90777" w:rsidRPr="00B60243" w:rsidRDefault="00A90777" w:rsidP="00F42589">
            <w:pPr>
              <w:pStyle w:val="TableBodyText"/>
            </w:pPr>
            <w:r w:rsidRPr="00B60243">
              <w:t>0.16</w:t>
            </w:r>
          </w:p>
        </w:tc>
        <w:tc>
          <w:tcPr>
            <w:tcW w:w="726" w:type="pct"/>
          </w:tcPr>
          <w:p w:rsidR="00A90777" w:rsidRPr="00B60243" w:rsidRDefault="00A90777" w:rsidP="00F42589">
            <w:pPr>
              <w:pStyle w:val="TableBodyText"/>
            </w:pPr>
            <w:r w:rsidRPr="00B60243">
              <w:t>0.07</w:t>
            </w:r>
          </w:p>
        </w:tc>
      </w:tr>
      <w:tr w:rsidR="00A90777" w:rsidRPr="00B60243" w:rsidTr="0000045D">
        <w:tc>
          <w:tcPr>
            <w:tcW w:w="2742" w:type="pct"/>
            <w:tcBorders>
              <w:bottom w:val="single" w:sz="6" w:space="0" w:color="auto"/>
            </w:tcBorders>
            <w:shd w:val="clear" w:color="auto" w:fill="D9D9D9" w:themeFill="background1" w:themeFillShade="D9"/>
            <w:vAlign w:val="bottom"/>
          </w:tcPr>
          <w:p w:rsidR="00A90777" w:rsidRPr="00B60243" w:rsidRDefault="00A90777" w:rsidP="0000045D">
            <w:pPr>
              <w:pStyle w:val="TableBodyText"/>
              <w:ind w:left="426" w:right="-286"/>
              <w:jc w:val="left"/>
            </w:pPr>
            <w:r w:rsidRPr="00B60243">
              <w:t xml:space="preserve">1174 Bakery product </w:t>
            </w:r>
            <w:r w:rsidR="00A834AB" w:rsidRPr="00B60243">
              <w:t>manufacturing</w:t>
            </w:r>
            <w:r w:rsidRPr="00B60243">
              <w:t xml:space="preserve"> (non</w:t>
            </w:r>
            <w:r w:rsidR="00E36E7F">
              <w:noBreakHyphen/>
            </w:r>
            <w:r w:rsidRPr="00B60243">
              <w:t>factory)</w:t>
            </w:r>
          </w:p>
        </w:tc>
        <w:tc>
          <w:tcPr>
            <w:tcW w:w="806" w:type="pct"/>
            <w:tcBorders>
              <w:bottom w:val="single" w:sz="6" w:space="0" w:color="auto"/>
            </w:tcBorders>
            <w:shd w:val="clear" w:color="auto" w:fill="D9D9D9" w:themeFill="background1" w:themeFillShade="D9"/>
            <w:vAlign w:val="bottom"/>
          </w:tcPr>
          <w:p w:rsidR="00A90777" w:rsidRPr="00B60243" w:rsidRDefault="00A90777" w:rsidP="00FC274A">
            <w:pPr>
              <w:pStyle w:val="TableBodyText"/>
            </w:pPr>
            <w:r w:rsidRPr="00B60243">
              <w:t>35.1</w:t>
            </w:r>
          </w:p>
        </w:tc>
        <w:tc>
          <w:tcPr>
            <w:tcW w:w="726" w:type="pct"/>
            <w:tcBorders>
              <w:bottom w:val="single" w:sz="6" w:space="0" w:color="auto"/>
            </w:tcBorders>
            <w:shd w:val="clear" w:color="auto" w:fill="D9D9D9" w:themeFill="background1" w:themeFillShade="D9"/>
            <w:vAlign w:val="bottom"/>
          </w:tcPr>
          <w:p w:rsidR="00A90777" w:rsidRPr="00B60243" w:rsidRDefault="00A90777" w:rsidP="00F42589">
            <w:pPr>
              <w:pStyle w:val="TableBodyText"/>
            </w:pPr>
            <w:r w:rsidRPr="00B60243">
              <w:t>0.42</w:t>
            </w:r>
          </w:p>
        </w:tc>
        <w:tc>
          <w:tcPr>
            <w:tcW w:w="726" w:type="pct"/>
            <w:tcBorders>
              <w:bottom w:val="single" w:sz="6" w:space="0" w:color="auto"/>
            </w:tcBorders>
            <w:shd w:val="clear" w:color="auto" w:fill="D9D9D9" w:themeFill="background1" w:themeFillShade="D9"/>
            <w:vAlign w:val="bottom"/>
          </w:tcPr>
          <w:p w:rsidR="00A90777" w:rsidRPr="00B60243" w:rsidRDefault="00A90777" w:rsidP="00F42589">
            <w:pPr>
              <w:pStyle w:val="TableBodyText"/>
            </w:pPr>
            <w:r w:rsidRPr="00B60243">
              <w:t>0.60</w:t>
            </w:r>
          </w:p>
        </w:tc>
      </w:tr>
    </w:tbl>
    <w:p w:rsidR="001160F1" w:rsidRPr="001160F1" w:rsidRDefault="001160F1" w:rsidP="00A90777">
      <w:pPr>
        <w:pStyle w:val="Source"/>
      </w:pPr>
      <w:r>
        <w:rPr>
          <w:rStyle w:val="NoteLabel"/>
        </w:rPr>
        <w:t xml:space="preserve">a </w:t>
      </w:r>
      <w:r>
        <w:t>Nominal value added.</w:t>
      </w:r>
    </w:p>
    <w:p w:rsidR="00A90777" w:rsidRPr="00B60243" w:rsidRDefault="00A90777" w:rsidP="00A90777">
      <w:pPr>
        <w:pStyle w:val="Source"/>
      </w:pPr>
      <w:r w:rsidRPr="00B60243">
        <w:rPr>
          <w:i/>
        </w:rPr>
        <w:t>Source</w:t>
      </w:r>
      <w:r w:rsidRPr="00B60243">
        <w:t xml:space="preserve">: </w:t>
      </w:r>
      <w:r w:rsidR="00550B0B" w:rsidRPr="00B60243">
        <w:t xml:space="preserve">Authors’ estimates based on </w:t>
      </w:r>
      <w:r w:rsidRPr="00B60243">
        <w:t>ABS (</w:t>
      </w:r>
      <w:r w:rsidR="00A834AB" w:rsidRPr="00B60243">
        <w:rPr>
          <w:i/>
        </w:rPr>
        <w:t xml:space="preserve">Manufacturing Industry, Australia, </w:t>
      </w:r>
      <w:r w:rsidR="00E05332" w:rsidRPr="00B60243">
        <w:rPr>
          <w:i/>
        </w:rPr>
        <w:t>2006</w:t>
      </w:r>
      <w:r w:rsidR="00E36E7F">
        <w:rPr>
          <w:i/>
        </w:rPr>
        <w:noBreakHyphen/>
      </w:r>
      <w:r w:rsidR="00E05332" w:rsidRPr="00B60243">
        <w:rPr>
          <w:i/>
        </w:rPr>
        <w:t>07</w:t>
      </w:r>
      <w:r w:rsidR="00E05332" w:rsidRPr="00B60243">
        <w:t xml:space="preserve">, </w:t>
      </w:r>
      <w:r w:rsidR="00A834AB" w:rsidRPr="00B60243">
        <w:t xml:space="preserve">Cat. no. </w:t>
      </w:r>
      <w:r w:rsidRPr="00B60243">
        <w:t>8221.0).</w:t>
      </w:r>
    </w:p>
    <w:bookmarkEnd w:id="47"/>
    <w:p w:rsidR="00A90777" w:rsidRPr="00B60243" w:rsidRDefault="00A90777" w:rsidP="00A90777">
      <w:pPr>
        <w:pStyle w:val="BodyText"/>
      </w:pPr>
      <w:r w:rsidRPr="00B60243">
        <w:t>The higher labour intensity of non</w:t>
      </w:r>
      <w:r w:rsidR="00E36E7F">
        <w:noBreakHyphen/>
      </w:r>
      <w:r w:rsidRPr="00B60243">
        <w:t xml:space="preserve">factory bakery is related to scale </w:t>
      </w:r>
      <w:r w:rsidR="00A85013" w:rsidRPr="00B60243">
        <w:t>but also to</w:t>
      </w:r>
      <w:r w:rsidRPr="00B60243">
        <w:t xml:space="preserve"> other differences in production processes. For example, ‘hand</w:t>
      </w:r>
      <w:r w:rsidR="00E36E7F">
        <w:noBreakHyphen/>
      </w:r>
      <w:r w:rsidRPr="00B60243">
        <w:t>crafted’ artisan bread has a relatively labour</w:t>
      </w:r>
      <w:r w:rsidR="00E36E7F">
        <w:noBreakHyphen/>
      </w:r>
      <w:r w:rsidRPr="00B60243">
        <w:t>intensive production process. Other types of non</w:t>
      </w:r>
      <w:r w:rsidR="00E36E7F">
        <w:noBreakHyphen/>
      </w:r>
      <w:r w:rsidRPr="00B60243">
        <w:t xml:space="preserve">factory bakery using instant </w:t>
      </w:r>
      <w:proofErr w:type="spellStart"/>
      <w:r w:rsidRPr="00B60243">
        <w:t>doughs</w:t>
      </w:r>
      <w:proofErr w:type="spellEnd"/>
      <w:r w:rsidRPr="00B60243">
        <w:t xml:space="preserve"> and pre</w:t>
      </w:r>
      <w:r w:rsidR="00E36E7F">
        <w:noBreakHyphen/>
      </w:r>
      <w:r w:rsidRPr="00B60243">
        <w:t xml:space="preserve">mixes from flour millers are likely to be less labour intensive than artisan bread, but </w:t>
      </w:r>
      <w:r w:rsidR="00321FF9" w:rsidRPr="00B60243">
        <w:t xml:space="preserve">still </w:t>
      </w:r>
      <w:r w:rsidRPr="00B60243">
        <w:t xml:space="preserve">more so than factory bakery. </w:t>
      </w:r>
      <w:r w:rsidR="00321FF9" w:rsidRPr="00B60243">
        <w:t>Unlike factory bakeries, a</w:t>
      </w:r>
      <w:r w:rsidRPr="00B60243">
        <w:t>ll non</w:t>
      </w:r>
      <w:r w:rsidR="00E36E7F">
        <w:noBreakHyphen/>
      </w:r>
      <w:r w:rsidRPr="00B60243">
        <w:t xml:space="preserve">factory bakeries will also </w:t>
      </w:r>
      <w:r w:rsidR="00321FF9" w:rsidRPr="00B60243">
        <w:t>require</w:t>
      </w:r>
      <w:r w:rsidRPr="00B60243">
        <w:t xml:space="preserve"> labour for the retailing component of </w:t>
      </w:r>
      <w:r w:rsidR="00321FF9" w:rsidRPr="00B60243">
        <w:t xml:space="preserve">their </w:t>
      </w:r>
      <w:r w:rsidRPr="00B60243">
        <w:t>operations.</w:t>
      </w:r>
      <w:r w:rsidRPr="00B60243">
        <w:rPr>
          <w:rStyle w:val="FootnoteReference"/>
        </w:rPr>
        <w:footnoteReference w:id="32"/>
      </w:r>
      <w:r w:rsidRPr="00B60243">
        <w:t xml:space="preserve"> </w:t>
      </w:r>
    </w:p>
    <w:p w:rsidR="00A90777" w:rsidRPr="00B60243" w:rsidRDefault="00A90777" w:rsidP="00A90777">
      <w:pPr>
        <w:pStyle w:val="BodyText"/>
      </w:pPr>
      <w:r w:rsidRPr="00B60243">
        <w:t xml:space="preserve">Lower labour intensity of factory bakery is due to both larger scale and automation. </w:t>
      </w:r>
    </w:p>
    <w:p w:rsidR="00A90777" w:rsidRPr="00B60243" w:rsidRDefault="00A90777" w:rsidP="00A90777">
      <w:pPr>
        <w:pStyle w:val="Quote"/>
      </w:pPr>
      <w:r w:rsidRPr="00B60243">
        <w:t>In the typical large</w:t>
      </w:r>
      <w:r w:rsidR="00E36E7F">
        <w:noBreakHyphen/>
      </w:r>
      <w:r w:rsidRPr="00B60243">
        <w:t>scale bakery or factory, there is now little manual labour directly involved in production. … The introduction of new technology and the adoption of greater automation are inevitably reducing the role of labour in the production process. This is especially true in factory baking where, in the last decade, high speed production lines have dramatically increased throughput, allowing manufacturers to significantly raise production without requiring corresponding increases in employment. (Food Magazine 2008, pp.</w:t>
      </w:r>
      <w:r w:rsidR="00E36E7F">
        <w:t> </w:t>
      </w:r>
      <w:r w:rsidRPr="00B60243">
        <w:t>18</w:t>
      </w:r>
      <w:r w:rsidR="00F63EED" w:rsidRPr="00B60243">
        <w:t>–</w:t>
      </w:r>
      <w:r w:rsidRPr="00B60243">
        <w:t xml:space="preserve">9) </w:t>
      </w:r>
    </w:p>
    <w:p w:rsidR="00A90777" w:rsidRPr="00B60243" w:rsidRDefault="00A90777" w:rsidP="00360C50">
      <w:pPr>
        <w:pStyle w:val="BodyText"/>
        <w:keepNext/>
      </w:pPr>
      <w:r w:rsidRPr="00B60243">
        <w:t>Employment appears to have been growing faster in non</w:t>
      </w:r>
      <w:r w:rsidR="00E36E7F">
        <w:noBreakHyphen/>
      </w:r>
      <w:r w:rsidRPr="00B60243">
        <w:t xml:space="preserve">factory bakery than factory bakery. </w:t>
      </w:r>
      <w:r w:rsidR="00857BA7">
        <w:t>F</w:t>
      </w:r>
      <w:r w:rsidRPr="00B60243">
        <w:t>rom 1997</w:t>
      </w:r>
      <w:r w:rsidR="00E36E7F">
        <w:noBreakHyphen/>
      </w:r>
      <w:r w:rsidRPr="00B60243">
        <w:t>98 to 2001</w:t>
      </w:r>
      <w:r w:rsidR="00E36E7F">
        <w:noBreakHyphen/>
      </w:r>
      <w:r w:rsidRPr="00B60243">
        <w:t>02 factory bakery employment remained fairly flat before declining in 2001</w:t>
      </w:r>
      <w:r w:rsidR="00E36E7F">
        <w:noBreakHyphen/>
      </w:r>
      <w:r w:rsidRPr="00B60243">
        <w:t>02 (with rationalisation of bread manufacturing), while employment in retail bakeries increased at around 1 per cent a year</w:t>
      </w:r>
      <w:r w:rsidR="00857BA7">
        <w:t xml:space="preserve"> (DAFF </w:t>
      </w:r>
      <w:r w:rsidR="00857BA7" w:rsidRPr="00B60243">
        <w:t>2003, p.</w:t>
      </w:r>
      <w:r w:rsidR="00857BA7">
        <w:t> </w:t>
      </w:r>
      <w:r w:rsidR="00857BA7" w:rsidRPr="00B60243">
        <w:t>8)</w:t>
      </w:r>
      <w:r w:rsidRPr="00B60243">
        <w:t xml:space="preserve">. Comparable statistics are not available for cycle 4. However, the strong growth in hours worked for Bakery in total (as measured in ABS </w:t>
      </w:r>
      <w:r w:rsidRPr="00B60243">
        <w:rPr>
          <w:i/>
        </w:rPr>
        <w:t xml:space="preserve">Labour Force </w:t>
      </w:r>
      <w:r w:rsidRPr="00B60243">
        <w:rPr>
          <w:i/>
        </w:rPr>
        <w:lastRenderedPageBreak/>
        <w:t>Survey</w:t>
      </w:r>
      <w:r w:rsidR="0064037F" w:rsidRPr="00B60243">
        <w:t xml:space="preserve">, shown in figure </w:t>
      </w:r>
      <w:r w:rsidR="00B072C2" w:rsidRPr="00B60243">
        <w:t>5.26</w:t>
      </w:r>
      <w:r w:rsidRPr="00B60243">
        <w:t xml:space="preserve">) </w:t>
      </w:r>
      <w:r w:rsidR="009D312E" w:rsidRPr="00B60243">
        <w:t xml:space="preserve">is </w:t>
      </w:r>
      <w:r w:rsidRPr="00B60243">
        <w:t>more likely to be due to non</w:t>
      </w:r>
      <w:r w:rsidR="00E36E7F">
        <w:noBreakHyphen/>
      </w:r>
      <w:r w:rsidRPr="00B60243">
        <w:t>factory bakery than factory bakery (given the relatively low labour intensity of the latter).</w:t>
      </w:r>
      <w:r w:rsidRPr="00B60243">
        <w:rPr>
          <w:rStyle w:val="FootnoteReference"/>
        </w:rPr>
        <w:footnoteReference w:id="33"/>
      </w:r>
      <w:r w:rsidRPr="00B60243">
        <w:t xml:space="preserve"> </w:t>
      </w:r>
    </w:p>
    <w:p w:rsidR="00A90777" w:rsidRPr="00B60243" w:rsidRDefault="00A90777" w:rsidP="00A90777">
      <w:pPr>
        <w:pStyle w:val="Heading7"/>
      </w:pPr>
      <w:r w:rsidRPr="00B60243">
        <w:t>Lower productivity but higher profitability in non</w:t>
      </w:r>
      <w:r w:rsidR="00E36E7F">
        <w:noBreakHyphen/>
      </w:r>
      <w:r w:rsidRPr="00B60243">
        <w:t xml:space="preserve">factory bakery? </w:t>
      </w:r>
    </w:p>
    <w:p w:rsidR="00A90777" w:rsidRPr="00B60243" w:rsidRDefault="00D60936" w:rsidP="00A90777">
      <w:pPr>
        <w:pStyle w:val="BodyText"/>
      </w:pPr>
      <w:r w:rsidRPr="00B60243">
        <w:t xml:space="preserve">The change in the composition of Bakery may represent a shift into </w:t>
      </w:r>
      <w:r w:rsidR="00A90777" w:rsidRPr="00B60243">
        <w:t>products with lower measured productivity levels but higher levels of profitability. There is some evidence that non</w:t>
      </w:r>
      <w:r w:rsidR="00E36E7F">
        <w:noBreakHyphen/>
      </w:r>
      <w:r w:rsidR="00A90777" w:rsidRPr="00B60243">
        <w:t>factory bakery is relatively profitable. In 2006</w:t>
      </w:r>
      <w:r w:rsidR="00E36E7F">
        <w:noBreakHyphen/>
      </w:r>
      <w:r w:rsidR="00A90777" w:rsidRPr="00B60243">
        <w:t>07 the profit margin was higher in non</w:t>
      </w:r>
      <w:r w:rsidR="00E36E7F">
        <w:noBreakHyphen/>
      </w:r>
      <w:r w:rsidR="00A90777" w:rsidRPr="00B60243">
        <w:t>factory bakery (9.7 per cent) than</w:t>
      </w:r>
      <w:r w:rsidR="00321FF9" w:rsidRPr="00B60243">
        <w:t xml:space="preserve"> in</w:t>
      </w:r>
      <w:r w:rsidR="00A90777" w:rsidRPr="00B60243">
        <w:t xml:space="preserve"> each of the factory bakery groups — Biscuit (9.6 per cent); Bread (7.5 per cent); and Cake</w:t>
      </w:r>
      <w:r w:rsidR="008A13CE" w:rsidRPr="00B60243">
        <w:t xml:space="preserve"> and </w:t>
      </w:r>
      <w:r w:rsidR="00A90777" w:rsidRPr="00B60243">
        <w:t>pastry (</w:t>
      </w:r>
      <w:r w:rsidR="001F6B67" w:rsidRPr="00B60243">
        <w:noBreakHyphen/>
      </w:r>
      <w:r w:rsidR="00A90777" w:rsidRPr="00B60243">
        <w:t>1.2 per cent).</w:t>
      </w:r>
      <w:r w:rsidR="00A90777" w:rsidRPr="00B60243">
        <w:rPr>
          <w:rStyle w:val="FootnoteReference"/>
        </w:rPr>
        <w:footnoteReference w:id="34"/>
      </w:r>
    </w:p>
    <w:p w:rsidR="001F6B67" w:rsidRPr="00B60243" w:rsidRDefault="001F6B67" w:rsidP="00A90777">
      <w:pPr>
        <w:pStyle w:val="BodyText"/>
      </w:pPr>
      <w:r w:rsidRPr="00B60243">
        <w:t xml:space="preserve">However, a complicating factor (as discussed for </w:t>
      </w:r>
      <w:proofErr w:type="spellStart"/>
      <w:r w:rsidRPr="00B60243">
        <w:t>FBT</w:t>
      </w:r>
      <w:proofErr w:type="spellEnd"/>
      <w:r w:rsidRPr="00B60243">
        <w:t xml:space="preserve"> in general in box 5.5) is that it </w:t>
      </w:r>
      <w:r w:rsidR="00452CF0" w:rsidRPr="00B60243">
        <w:t xml:space="preserve">is </w:t>
      </w:r>
      <w:r w:rsidRPr="00B60243">
        <w:t xml:space="preserve">difficult </w:t>
      </w:r>
      <w:r w:rsidR="00452CF0" w:rsidRPr="00B60243">
        <w:t xml:space="preserve">to accurately capture changes in </w:t>
      </w:r>
      <w:r w:rsidR="00D94F11" w:rsidRPr="00B60243">
        <w:t xml:space="preserve">product </w:t>
      </w:r>
      <w:r w:rsidRPr="00B60243">
        <w:t>quality</w:t>
      </w:r>
      <w:r w:rsidR="00452CF0" w:rsidRPr="00B60243">
        <w:t>. This</w:t>
      </w:r>
      <w:r w:rsidRPr="00B60243">
        <w:t xml:space="preserve"> may mean </w:t>
      </w:r>
      <w:r w:rsidR="00E66C8E" w:rsidRPr="00B60243">
        <w:t xml:space="preserve">that </w:t>
      </w:r>
      <w:r w:rsidR="00452CF0" w:rsidRPr="00B60243">
        <w:t xml:space="preserve">any shift in </w:t>
      </w:r>
      <w:r w:rsidR="00E66C8E" w:rsidRPr="00B60243">
        <w:t xml:space="preserve">the composition of </w:t>
      </w:r>
      <w:r w:rsidR="00D94F11" w:rsidRPr="00B60243">
        <w:t>B</w:t>
      </w:r>
      <w:r w:rsidR="00452CF0" w:rsidRPr="00B60243">
        <w:t xml:space="preserve">akery output towards higher quality products may not be adequately captured in the measure of </w:t>
      </w:r>
      <w:r w:rsidR="00E66C8E" w:rsidRPr="00B60243">
        <w:t xml:space="preserve">real VA </w:t>
      </w:r>
      <w:r w:rsidR="00452CF0" w:rsidRPr="00B60243">
        <w:t>growth that is available for</w:t>
      </w:r>
      <w:r w:rsidR="00E66C8E" w:rsidRPr="00B60243">
        <w:t xml:space="preserve"> </w:t>
      </w:r>
      <w:proofErr w:type="spellStart"/>
      <w:r w:rsidR="00E66C8E" w:rsidRPr="00B60243">
        <w:t>FBT</w:t>
      </w:r>
      <w:proofErr w:type="spellEnd"/>
      <w:r w:rsidR="00452CF0" w:rsidRPr="00B60243">
        <w:t xml:space="preserve"> as a whole. This may have led to an </w:t>
      </w:r>
      <w:r w:rsidR="00E66C8E" w:rsidRPr="00B60243">
        <w:t xml:space="preserve">overstatement of the decline in </w:t>
      </w:r>
      <w:proofErr w:type="spellStart"/>
      <w:r w:rsidR="00452CF0" w:rsidRPr="00B60243">
        <w:t>FBT</w:t>
      </w:r>
      <w:proofErr w:type="spellEnd"/>
      <w:r w:rsidR="00452CF0" w:rsidRPr="00B60243">
        <w:t xml:space="preserve"> </w:t>
      </w:r>
      <w:r w:rsidR="00E66C8E" w:rsidRPr="00B60243">
        <w:t>MFP</w:t>
      </w:r>
      <w:r w:rsidRPr="00B60243">
        <w:t xml:space="preserve">. </w:t>
      </w:r>
    </w:p>
    <w:p w:rsidR="00A90777" w:rsidRPr="00B60243" w:rsidRDefault="00A90777" w:rsidP="00A90777">
      <w:pPr>
        <w:pStyle w:val="Heading5"/>
      </w:pPr>
      <w:r w:rsidRPr="00B60243">
        <w:t>Implications for MFP</w:t>
      </w:r>
    </w:p>
    <w:p w:rsidR="00A90777" w:rsidRPr="00B60243" w:rsidRDefault="00A90777" w:rsidP="00A90777">
      <w:pPr>
        <w:pStyle w:val="BodyText"/>
      </w:pPr>
      <w:r w:rsidRPr="00B60243">
        <w:t>While there is insufficient information to estimate MFP in Bakery, it may have declined over cycle 4. Shifts in the composition of bakery output and the growth of non</w:t>
      </w:r>
      <w:r w:rsidR="00E36E7F">
        <w:noBreakHyphen/>
      </w:r>
      <w:r w:rsidRPr="00B60243">
        <w:t xml:space="preserve">factory bakery production are consistent with lower levels of measured MFP arising from fewer economies of scale and increased labour intensity </w:t>
      </w:r>
      <w:r w:rsidR="00321FF9" w:rsidRPr="00B60243">
        <w:t>in</w:t>
      </w:r>
      <w:r w:rsidRPr="00B60243">
        <w:t xml:space="preserve"> production. This is notwithstanding other changes in Bakery that may have had some offsetting positive effect</w:t>
      </w:r>
      <w:r w:rsidR="00321FF9" w:rsidRPr="00B60243">
        <w:t>s</w:t>
      </w:r>
      <w:r w:rsidRPr="00B60243">
        <w:t xml:space="preserve"> on MFP (such as increased automation in large factory bakeries and efficiencies in some non</w:t>
      </w:r>
      <w:r w:rsidR="00E36E7F">
        <w:noBreakHyphen/>
      </w:r>
      <w:r w:rsidRPr="00B60243">
        <w:t>factory baking from the use of pre</w:t>
      </w:r>
      <w:r w:rsidR="00E36E7F">
        <w:noBreakHyphen/>
      </w:r>
      <w:r w:rsidR="0064037F" w:rsidRPr="00B60243">
        <w:t>mixes</w:t>
      </w:r>
      <w:r w:rsidRPr="00B60243">
        <w:t xml:space="preserve">). It is also possible that Bakery manufacturing contributed to the </w:t>
      </w:r>
      <w:r w:rsidRPr="00B60243">
        <w:rPr>
          <w:i/>
        </w:rPr>
        <w:t xml:space="preserve">measured </w:t>
      </w:r>
      <w:r w:rsidRPr="00B60243">
        <w:t xml:space="preserve">decline in MFP in </w:t>
      </w:r>
      <w:proofErr w:type="spellStart"/>
      <w:r w:rsidRPr="00B60243">
        <w:t>FBT</w:t>
      </w:r>
      <w:proofErr w:type="spellEnd"/>
      <w:r w:rsidRPr="00B60243">
        <w:t xml:space="preserve"> between cycles 3 and 4 because of measurement challenges related to output quality improvements and changes in industry classification. However, again, insufficient data are available to test th</w:t>
      </w:r>
      <w:r w:rsidR="00321FF9" w:rsidRPr="00B60243">
        <w:t>ese hypotheses</w:t>
      </w:r>
      <w:r w:rsidRPr="00B60243">
        <w:t>.</w:t>
      </w:r>
    </w:p>
    <w:p w:rsidR="00A90777" w:rsidRPr="00B60243" w:rsidRDefault="00A90777" w:rsidP="00A90777">
      <w:pPr>
        <w:pStyle w:val="BodyText"/>
      </w:pPr>
      <w:r w:rsidRPr="00B60243">
        <w:t xml:space="preserve">Since cycle 4, </w:t>
      </w:r>
      <w:r w:rsidR="00460029" w:rsidRPr="00B60243">
        <w:t xml:space="preserve">VA and hours worked in </w:t>
      </w:r>
      <w:r w:rsidRPr="00B60243">
        <w:t xml:space="preserve">Bakery </w:t>
      </w:r>
      <w:r w:rsidR="00460029" w:rsidRPr="00B60243">
        <w:t>have</w:t>
      </w:r>
      <w:r w:rsidRPr="00B60243">
        <w:t xml:space="preserve"> been relatively stable (with no continuation of the strong </w:t>
      </w:r>
      <w:r w:rsidR="00460029" w:rsidRPr="00B60243">
        <w:t xml:space="preserve">hours worked </w:t>
      </w:r>
      <w:r w:rsidRPr="00B60243">
        <w:t xml:space="preserve">growth </w:t>
      </w:r>
      <w:r w:rsidR="00321FF9" w:rsidRPr="00B60243">
        <w:t>recorded in</w:t>
      </w:r>
      <w:r w:rsidRPr="00B60243">
        <w:t xml:space="preserve"> cycle 4). However, given the lack of data on capital, the </w:t>
      </w:r>
      <w:r w:rsidR="002147A3">
        <w:t>change</w:t>
      </w:r>
      <w:r w:rsidR="002147A3" w:rsidRPr="00B60243">
        <w:t xml:space="preserve"> </w:t>
      </w:r>
      <w:r w:rsidRPr="00B60243">
        <w:t xml:space="preserve">in Bakery MFP is not known. </w:t>
      </w:r>
    </w:p>
    <w:p w:rsidR="00EF2DCA" w:rsidRPr="00B60243" w:rsidRDefault="00B072C2" w:rsidP="00EF2DCA">
      <w:pPr>
        <w:pStyle w:val="Heading2"/>
      </w:pPr>
      <w:bookmarkStart w:id="49" w:name="OLE_LINK43"/>
      <w:r w:rsidRPr="00B60243">
        <w:lastRenderedPageBreak/>
        <w:t>5.</w:t>
      </w:r>
      <w:r w:rsidR="002E061A">
        <w:rPr>
          <w:noProof/>
        </w:rPr>
        <w:t>5</w:t>
      </w:r>
      <w:bookmarkEnd w:id="49"/>
      <w:r w:rsidR="00414672" w:rsidRPr="00B60243">
        <w:tab/>
        <w:t>Drawing together the implications for productivity</w:t>
      </w:r>
    </w:p>
    <w:p w:rsidR="003F244C" w:rsidRPr="00B60243" w:rsidRDefault="00860625" w:rsidP="00D95CFB">
      <w:pPr>
        <w:pStyle w:val="BodyText"/>
      </w:pPr>
      <w:r w:rsidRPr="00B60243">
        <w:t xml:space="preserve">MFP </w:t>
      </w:r>
      <w:r w:rsidR="00321FF9" w:rsidRPr="00B60243">
        <w:t>in</w:t>
      </w:r>
      <w:r w:rsidRPr="00B60243">
        <w:t xml:space="preserve"> FBT declined significantly</w:t>
      </w:r>
      <w:r w:rsidR="003F244C" w:rsidRPr="00B60243">
        <w:t xml:space="preserve"> between the last two complete productivity cycles and was the second largest contributor to Manufacturing MFP decline (</w:t>
      </w:r>
      <w:r w:rsidR="00896C11">
        <w:t>Petroleum, coal, chemical and rubber products</w:t>
      </w:r>
      <w:r w:rsidR="003F244C" w:rsidRPr="00B60243">
        <w:t xml:space="preserve"> being the largest).</w:t>
      </w:r>
    </w:p>
    <w:p w:rsidR="00D95CFB" w:rsidRPr="00B60243" w:rsidRDefault="00D95CFB" w:rsidP="00D95CFB">
      <w:pPr>
        <w:pStyle w:val="BodyText"/>
      </w:pPr>
      <w:r w:rsidRPr="00B60243">
        <w:t xml:space="preserve">The key </w:t>
      </w:r>
      <w:r w:rsidR="00F1051F" w:rsidRPr="00B60243">
        <w:t>proximate causes of</w:t>
      </w:r>
      <w:r w:rsidRPr="00B60243">
        <w:t xml:space="preserve"> the large decline in </w:t>
      </w:r>
      <w:r w:rsidR="00F1051F" w:rsidRPr="00B60243">
        <w:t xml:space="preserve">the rate of MFP growth in FBT over cycle 4 compared with cycle 3 </w:t>
      </w:r>
      <w:r w:rsidRPr="00B60243">
        <w:t xml:space="preserve">were </w:t>
      </w:r>
      <w:r w:rsidR="003F244C" w:rsidRPr="00B60243">
        <w:t xml:space="preserve">a slowdown in VA growth at the same time as strong growth </w:t>
      </w:r>
      <w:r w:rsidRPr="00B60243">
        <w:t xml:space="preserve">in </w:t>
      </w:r>
      <w:r w:rsidR="00D37B91" w:rsidRPr="00B60243">
        <w:t>hours worked</w:t>
      </w:r>
      <w:r w:rsidRPr="00B60243">
        <w:t>.</w:t>
      </w:r>
      <w:r w:rsidR="00284896" w:rsidRPr="00B60243">
        <w:t xml:space="preserve"> There was </w:t>
      </w:r>
      <w:r w:rsidR="00860625" w:rsidRPr="00B60243">
        <w:t>consistent</w:t>
      </w:r>
      <w:r w:rsidR="00284896" w:rsidRPr="00B60243">
        <w:t xml:space="preserve"> c</w:t>
      </w:r>
      <w:r w:rsidRPr="00B60243">
        <w:t>apital services growth in each cycle</w:t>
      </w:r>
      <w:r w:rsidR="00780B75" w:rsidRPr="00B60243">
        <w:t xml:space="preserve"> </w:t>
      </w:r>
      <w:r w:rsidR="00AD428F" w:rsidRPr="00B60243">
        <w:t>(</w:t>
      </w:r>
      <w:r w:rsidR="00780B75" w:rsidRPr="00B60243">
        <w:t xml:space="preserve">although </w:t>
      </w:r>
      <w:r w:rsidR="00F1051F" w:rsidRPr="00B60243">
        <w:t xml:space="preserve">the </w:t>
      </w:r>
      <w:r w:rsidR="00AD428F" w:rsidRPr="00B60243">
        <w:t xml:space="preserve">average </w:t>
      </w:r>
      <w:r w:rsidR="00780B75" w:rsidRPr="00B60243">
        <w:t xml:space="preserve">rate of </w:t>
      </w:r>
      <w:r w:rsidR="00F1051F" w:rsidRPr="00B60243">
        <w:t xml:space="preserve">capacity </w:t>
      </w:r>
      <w:r w:rsidR="00780B75" w:rsidRPr="00B60243">
        <w:t>utilisation may have declined</w:t>
      </w:r>
      <w:r w:rsidR="00493C14">
        <w:t xml:space="preserve"> in cycle 4</w:t>
      </w:r>
      <w:r w:rsidR="00AD428F" w:rsidRPr="00B60243">
        <w:t>)</w:t>
      </w:r>
      <w:r w:rsidRPr="00B60243">
        <w:t>.</w:t>
      </w:r>
    </w:p>
    <w:p w:rsidR="00D95CFB" w:rsidRPr="00B60243" w:rsidRDefault="00D95CFB" w:rsidP="00CC5267">
      <w:pPr>
        <w:pStyle w:val="BodyText"/>
      </w:pPr>
      <w:r w:rsidRPr="00B60243">
        <w:t xml:space="preserve">The slowdown in </w:t>
      </w:r>
      <w:r w:rsidR="00CE05AE" w:rsidRPr="00B60243">
        <w:t xml:space="preserve">real </w:t>
      </w:r>
      <w:r w:rsidRPr="00B60243">
        <w:t xml:space="preserve">VA growth was </w:t>
      </w:r>
      <w:r w:rsidR="00284896" w:rsidRPr="00B60243">
        <w:t>most noticeable</w:t>
      </w:r>
      <w:r w:rsidRPr="00B60243">
        <w:t xml:space="preserve"> in </w:t>
      </w:r>
      <w:r w:rsidR="007B0358" w:rsidRPr="00B60243">
        <w:t xml:space="preserve">BT </w:t>
      </w:r>
      <w:r w:rsidRPr="00B60243">
        <w:t xml:space="preserve">manufacturing — which grew over cycle 3 but declined in absolute terms over cycle 4. The increased rate of hours worked growth </w:t>
      </w:r>
      <w:r w:rsidR="00284896" w:rsidRPr="00B60243">
        <w:t>occurred mainly in</w:t>
      </w:r>
      <w:r w:rsidRPr="00B60243">
        <w:t xml:space="preserve"> Food manufacturing — which had a fall in hours worked in cycle 3 and a very large increase in cycle 4. </w:t>
      </w:r>
    </w:p>
    <w:p w:rsidR="00900FBA" w:rsidRPr="00B60243" w:rsidRDefault="00D95CFB" w:rsidP="00900FBA">
      <w:pPr>
        <w:pStyle w:val="BodyText"/>
      </w:pPr>
      <w:r w:rsidRPr="00B60243">
        <w:t xml:space="preserve">Both BT and Food contributed to the decline in FBT </w:t>
      </w:r>
      <w:r w:rsidR="00321FF9" w:rsidRPr="00B60243">
        <w:t xml:space="preserve">MFP </w:t>
      </w:r>
      <w:r w:rsidRPr="00B60243">
        <w:t xml:space="preserve">in aggregate by having input growth in excess of </w:t>
      </w:r>
      <w:r w:rsidR="00CE05AE" w:rsidRPr="00B60243">
        <w:t xml:space="preserve">real </w:t>
      </w:r>
      <w:r w:rsidRPr="00B60243">
        <w:t>VA growth</w:t>
      </w:r>
      <w:r w:rsidR="00F85B23" w:rsidRPr="00B60243">
        <w:t>, b</w:t>
      </w:r>
      <w:r w:rsidR="00900FBA" w:rsidRPr="00B60243">
        <w:t xml:space="preserve">ut for different reasons. </w:t>
      </w:r>
    </w:p>
    <w:p w:rsidR="00D95CFB" w:rsidRPr="00B60243" w:rsidRDefault="00900FBA" w:rsidP="00900FBA">
      <w:pPr>
        <w:pStyle w:val="ListBullet"/>
      </w:pPr>
      <w:r w:rsidRPr="00B60243">
        <w:t xml:space="preserve">In BT it was </w:t>
      </w:r>
      <w:r w:rsidR="00321FF9" w:rsidRPr="00B60243">
        <w:t>due to</w:t>
      </w:r>
      <w:r w:rsidR="00D95CFB" w:rsidRPr="00B60243">
        <w:t xml:space="preserve"> </w:t>
      </w:r>
      <w:r w:rsidR="00D95CFB" w:rsidRPr="00B60243">
        <w:rPr>
          <w:i/>
        </w:rPr>
        <w:t>decline</w:t>
      </w:r>
      <w:r w:rsidR="00D95CFB" w:rsidRPr="00B60243">
        <w:t xml:space="preserve"> in </w:t>
      </w:r>
      <w:r w:rsidR="00CE05AE" w:rsidRPr="00B60243">
        <w:t xml:space="preserve">real </w:t>
      </w:r>
      <w:r w:rsidR="00D95CFB" w:rsidRPr="00B60243">
        <w:t xml:space="preserve">VA </w:t>
      </w:r>
      <w:r w:rsidRPr="00B60243">
        <w:t xml:space="preserve">that </w:t>
      </w:r>
      <w:r w:rsidR="00B84414" w:rsidRPr="00B60243">
        <w:t xml:space="preserve">does </w:t>
      </w:r>
      <w:r w:rsidR="00D95CFB" w:rsidRPr="00B60243">
        <w:t xml:space="preserve">not </w:t>
      </w:r>
      <w:r w:rsidR="00B84414" w:rsidRPr="00B60243">
        <w:t xml:space="preserve">appear to have been </w:t>
      </w:r>
      <w:r w:rsidR="00D95CFB" w:rsidRPr="00B60243">
        <w:t xml:space="preserve">accompanied by a similar decline in inputs. </w:t>
      </w:r>
      <w:r w:rsidRPr="00B60243">
        <w:t>Wine was a major contributor to this</w:t>
      </w:r>
      <w:r w:rsidR="00493C14">
        <w:t>.</w:t>
      </w:r>
    </w:p>
    <w:p w:rsidR="00D95CFB" w:rsidRPr="00B60243" w:rsidRDefault="00900FBA" w:rsidP="00D95CFB">
      <w:pPr>
        <w:pStyle w:val="ListBullet"/>
      </w:pPr>
      <w:r w:rsidRPr="00B60243">
        <w:t xml:space="preserve">In Food it was </w:t>
      </w:r>
      <w:r w:rsidR="00321FF9" w:rsidRPr="00B60243">
        <w:t xml:space="preserve">due to </w:t>
      </w:r>
      <w:r w:rsidRPr="00B60243">
        <w:t xml:space="preserve">an </w:t>
      </w:r>
      <w:r w:rsidR="00205D36" w:rsidRPr="00B60243">
        <w:rPr>
          <w:i/>
        </w:rPr>
        <w:t>increase</w:t>
      </w:r>
      <w:r w:rsidR="00205D36" w:rsidRPr="00B60243">
        <w:t xml:space="preserve"> in </w:t>
      </w:r>
      <w:r w:rsidR="00CE05AE" w:rsidRPr="00B60243">
        <w:t xml:space="preserve">real </w:t>
      </w:r>
      <w:r w:rsidR="00205D36" w:rsidRPr="00B60243">
        <w:t>VA</w:t>
      </w:r>
      <w:r w:rsidR="00D95CFB" w:rsidRPr="00B60243">
        <w:t xml:space="preserve"> </w:t>
      </w:r>
      <w:r w:rsidR="00B84414" w:rsidRPr="00B60243">
        <w:t>that</w:t>
      </w:r>
      <w:r w:rsidR="00205D36" w:rsidRPr="00B60243">
        <w:t xml:space="preserve"> was accompanied by an even greater increase in inputs. </w:t>
      </w:r>
      <w:r w:rsidRPr="00B60243">
        <w:t>Bakery was a major contributor to this.</w:t>
      </w:r>
    </w:p>
    <w:p w:rsidR="0004582C" w:rsidRPr="00B60243" w:rsidRDefault="00321FF9" w:rsidP="00C86668">
      <w:pPr>
        <w:pStyle w:val="BodyText"/>
      </w:pPr>
      <w:r w:rsidRPr="00B60243">
        <w:t>A r</w:t>
      </w:r>
      <w:r w:rsidR="0004582C" w:rsidRPr="00B60243">
        <w:t>ange of influences</w:t>
      </w:r>
      <w:r w:rsidR="00FD2B36" w:rsidRPr="00B60243">
        <w:t xml:space="preserve"> </w:t>
      </w:r>
      <w:r w:rsidRPr="00B60243">
        <w:t>on FBT have been identified that may explain the changes in the proximate causes of MFP.</w:t>
      </w:r>
    </w:p>
    <w:p w:rsidR="0004582C" w:rsidRPr="00B60243" w:rsidRDefault="00321FF9" w:rsidP="0004582C">
      <w:pPr>
        <w:pStyle w:val="ListBullet"/>
      </w:pPr>
      <w:r w:rsidRPr="00B60243">
        <w:t>T</w:t>
      </w:r>
      <w:r w:rsidR="00FD2B36" w:rsidRPr="00B60243">
        <w:t xml:space="preserve">he </w:t>
      </w:r>
      <w:r w:rsidR="00C86668" w:rsidRPr="00B60243">
        <w:t xml:space="preserve">composition of the output produced </w:t>
      </w:r>
      <w:r w:rsidR="00E459C7" w:rsidRPr="00B60243">
        <w:t xml:space="preserve">by </w:t>
      </w:r>
      <w:r w:rsidR="00C86668" w:rsidRPr="00B60243">
        <w:t>Australian FBT manufactur</w:t>
      </w:r>
      <w:r w:rsidR="00E459C7" w:rsidRPr="00B60243">
        <w:t>ers</w:t>
      </w:r>
      <w:r w:rsidR="00C86668" w:rsidRPr="00B60243">
        <w:t xml:space="preserve"> </w:t>
      </w:r>
      <w:r w:rsidR="00F85B23" w:rsidRPr="00B60243">
        <w:t xml:space="preserve">appears to have </w:t>
      </w:r>
      <w:r w:rsidR="00C86668" w:rsidRPr="00B60243">
        <w:t xml:space="preserve">changed as a result of change in consumer </w:t>
      </w:r>
      <w:r w:rsidR="00B958F4" w:rsidRPr="00B60243">
        <w:t xml:space="preserve">product </w:t>
      </w:r>
      <w:r w:rsidR="00C86668" w:rsidRPr="00B60243">
        <w:t>preferences</w:t>
      </w:r>
      <w:r w:rsidR="0004582C" w:rsidRPr="00B60243">
        <w:t xml:space="preserve"> related to health</w:t>
      </w:r>
      <w:r w:rsidR="00284896" w:rsidRPr="00B60243">
        <w:t xml:space="preserve"> </w:t>
      </w:r>
      <w:r w:rsidR="00541EBC" w:rsidRPr="00B60243">
        <w:t>considerations</w:t>
      </w:r>
      <w:r w:rsidR="0004582C" w:rsidRPr="00B60243">
        <w:t>, quality, value, diversity and convenience</w:t>
      </w:r>
      <w:r w:rsidRPr="00B60243">
        <w:t>.</w:t>
      </w:r>
    </w:p>
    <w:p w:rsidR="0004582C" w:rsidRPr="00B60243" w:rsidRDefault="00321FF9" w:rsidP="0004582C">
      <w:pPr>
        <w:pStyle w:val="ListBullet"/>
      </w:pPr>
      <w:r w:rsidRPr="00B60243">
        <w:t>T</w:t>
      </w:r>
      <w:r w:rsidR="00FD2B36" w:rsidRPr="00B60243">
        <w:t xml:space="preserve">here </w:t>
      </w:r>
      <w:r w:rsidR="0004582C" w:rsidRPr="00B60243">
        <w:t>was d</w:t>
      </w:r>
      <w:r w:rsidR="00F85B23" w:rsidRPr="00B60243">
        <w:t xml:space="preserve">ecreased </w:t>
      </w:r>
      <w:r w:rsidR="00B958F4" w:rsidRPr="00B60243">
        <w:t xml:space="preserve">export demand </w:t>
      </w:r>
      <w:r w:rsidR="00C86668" w:rsidRPr="00B60243">
        <w:t xml:space="preserve">and </w:t>
      </w:r>
      <w:r w:rsidR="00F85B23" w:rsidRPr="00B60243">
        <w:t xml:space="preserve">increased </w:t>
      </w:r>
      <w:r w:rsidR="00C86668" w:rsidRPr="00B60243">
        <w:t>import competition</w:t>
      </w:r>
      <w:r w:rsidR="00B958F4" w:rsidRPr="00B60243">
        <w:t xml:space="preserve"> resulting from the appreciation of the Australian dollar and other influences on the competitiveness of Australian produc</w:t>
      </w:r>
      <w:r w:rsidR="00057822" w:rsidRPr="00B60243">
        <w:t>ts</w:t>
      </w:r>
      <w:r w:rsidRPr="00B60243">
        <w:t>.</w:t>
      </w:r>
    </w:p>
    <w:p w:rsidR="00B958F4" w:rsidRPr="00B60243" w:rsidRDefault="00B83620" w:rsidP="0004582C">
      <w:pPr>
        <w:pStyle w:val="ListBullet"/>
      </w:pPr>
      <w:r w:rsidRPr="00B60243">
        <w:t>There was r</w:t>
      </w:r>
      <w:r w:rsidR="00057822" w:rsidRPr="00B60243">
        <w:t xml:space="preserve">educed availability of </w:t>
      </w:r>
      <w:r w:rsidRPr="00B60243">
        <w:t xml:space="preserve">some agricultural </w:t>
      </w:r>
      <w:r w:rsidR="00057822" w:rsidRPr="00B60243">
        <w:t>inputs due to drought (for example, grapes in the case of Wine)</w:t>
      </w:r>
      <w:r w:rsidR="00541EBC" w:rsidRPr="00B60243">
        <w:t>.</w:t>
      </w:r>
    </w:p>
    <w:p w:rsidR="00B20C99" w:rsidRPr="00B60243" w:rsidRDefault="00B20C99">
      <w:pPr>
        <w:rPr>
          <w:szCs w:val="20"/>
        </w:rPr>
      </w:pPr>
      <w:r w:rsidRPr="00B60243">
        <w:br w:type="page"/>
      </w:r>
    </w:p>
    <w:p w:rsidR="00205D36" w:rsidRPr="00B60243" w:rsidRDefault="00F85B23" w:rsidP="005160C2">
      <w:pPr>
        <w:pStyle w:val="BodyText"/>
      </w:pPr>
      <w:r w:rsidRPr="00B60243">
        <w:lastRenderedPageBreak/>
        <w:t>T</w:t>
      </w:r>
      <w:r w:rsidR="00F31325" w:rsidRPr="00B60243">
        <w:t xml:space="preserve">hese </w:t>
      </w:r>
      <w:r w:rsidR="00B84414" w:rsidRPr="00B60243">
        <w:t xml:space="preserve">influences </w:t>
      </w:r>
      <w:r w:rsidR="000143C8" w:rsidRPr="00B60243">
        <w:t>are</w:t>
      </w:r>
      <w:r w:rsidR="00F31325" w:rsidRPr="00B60243">
        <w:t xml:space="preserve"> consistent with</w:t>
      </w:r>
      <w:r w:rsidR="00C311DC" w:rsidRPr="00B60243">
        <w:t>:</w:t>
      </w:r>
    </w:p>
    <w:p w:rsidR="006B0769" w:rsidRPr="00B60243" w:rsidRDefault="00F85B23" w:rsidP="006B0769">
      <w:pPr>
        <w:pStyle w:val="ListBullet"/>
      </w:pPr>
      <w:r w:rsidRPr="00B60243">
        <w:t>a</w:t>
      </w:r>
      <w:r w:rsidR="00C311DC" w:rsidRPr="00B60243">
        <w:t xml:space="preserve">n increase in the production of </w:t>
      </w:r>
      <w:r w:rsidR="00284896" w:rsidRPr="00B60243">
        <w:t xml:space="preserve">more </w:t>
      </w:r>
      <w:r w:rsidR="00205D36" w:rsidRPr="00B60243">
        <w:t>input</w:t>
      </w:r>
      <w:r w:rsidR="00E36E7F">
        <w:noBreakHyphen/>
      </w:r>
      <w:r w:rsidR="00205D36" w:rsidRPr="00B60243">
        <w:t>intensive products</w:t>
      </w:r>
      <w:r w:rsidR="00602FB7" w:rsidRPr="00B60243">
        <w:t xml:space="preserve"> </w:t>
      </w:r>
      <w:r w:rsidR="00541EBC" w:rsidRPr="00B60243">
        <w:t>and</w:t>
      </w:r>
      <w:r w:rsidR="00D224C6" w:rsidRPr="00B60243">
        <w:t>/or</w:t>
      </w:r>
      <w:r w:rsidR="00541EBC" w:rsidRPr="00B60243">
        <w:t xml:space="preserve"> a decrease in the average scale of production </w:t>
      </w:r>
      <w:r w:rsidR="00602FB7" w:rsidRPr="00B60243">
        <w:t>(</w:t>
      </w:r>
      <w:r w:rsidR="0059159F" w:rsidRPr="00B60243">
        <w:t>for example,</w:t>
      </w:r>
      <w:r w:rsidR="00602FB7" w:rsidRPr="00B60243">
        <w:t xml:space="preserve"> </w:t>
      </w:r>
      <w:r w:rsidR="00321FF9" w:rsidRPr="00B60243">
        <w:t xml:space="preserve">towards </w:t>
      </w:r>
      <w:r w:rsidR="00602FB7" w:rsidRPr="00B60243">
        <w:t>pre</w:t>
      </w:r>
      <w:r w:rsidR="00E36E7F">
        <w:noBreakHyphen/>
      </w:r>
      <w:r w:rsidR="00602FB7" w:rsidRPr="00B60243">
        <w:t>prepared meals</w:t>
      </w:r>
      <w:r w:rsidR="0059159F" w:rsidRPr="00B60243">
        <w:t xml:space="preserve"> and ‘boutique’</w:t>
      </w:r>
      <w:r w:rsidR="00F54667" w:rsidRPr="00B60243">
        <w:t xml:space="preserve"> or niche</w:t>
      </w:r>
      <w:r w:rsidR="0059159F" w:rsidRPr="00B60243">
        <w:t xml:space="preserve"> products</w:t>
      </w:r>
      <w:r w:rsidR="00602FB7" w:rsidRPr="00B60243">
        <w:t>)</w:t>
      </w:r>
      <w:r w:rsidR="00541EBC" w:rsidRPr="00B60243">
        <w:t>.</w:t>
      </w:r>
      <w:r w:rsidR="005A3884" w:rsidRPr="00B60243">
        <w:t xml:space="preserve"> </w:t>
      </w:r>
    </w:p>
    <w:p w:rsidR="00205D36" w:rsidRPr="00B60243" w:rsidRDefault="00F85B23" w:rsidP="00205D36">
      <w:pPr>
        <w:pStyle w:val="ListBullet"/>
      </w:pPr>
      <w:r w:rsidRPr="00B60243">
        <w:t>a</w:t>
      </w:r>
      <w:r w:rsidR="00205D36" w:rsidRPr="00B60243">
        <w:t>n increase in underutilised capacity.</w:t>
      </w:r>
    </w:p>
    <w:p w:rsidR="00A66040" w:rsidRPr="00B60243" w:rsidRDefault="00F62E6F" w:rsidP="00205D36">
      <w:pPr>
        <w:pStyle w:val="BodyText"/>
      </w:pPr>
      <w:r w:rsidRPr="00B60243">
        <w:t>Such changes</w:t>
      </w:r>
      <w:r w:rsidR="0004582C" w:rsidRPr="00B60243">
        <w:t xml:space="preserve"> </w:t>
      </w:r>
      <w:r w:rsidR="00D75A30" w:rsidRPr="00B60243">
        <w:t>are</w:t>
      </w:r>
      <w:r w:rsidR="0004582C" w:rsidRPr="00B60243">
        <w:t xml:space="preserve"> consistent with </w:t>
      </w:r>
      <w:r w:rsidRPr="00B60243">
        <w:t xml:space="preserve">a </w:t>
      </w:r>
      <w:r w:rsidR="0004582C" w:rsidRPr="00B60243">
        <w:t xml:space="preserve">reduction in the average level of MFP. </w:t>
      </w:r>
      <w:r w:rsidR="00DA668E" w:rsidRPr="00B60243">
        <w:t xml:space="preserve">However, </w:t>
      </w:r>
      <w:r w:rsidR="0004582C" w:rsidRPr="00B60243">
        <w:t>it is not clear whether the</w:t>
      </w:r>
      <w:r w:rsidR="00D75A30" w:rsidRPr="00B60243">
        <w:t xml:space="preserve"> influences identified</w:t>
      </w:r>
      <w:r w:rsidR="00D9582F" w:rsidRPr="00B60243">
        <w:t xml:space="preserve"> and the extent of change</w:t>
      </w:r>
      <w:r w:rsidR="00D75A30" w:rsidRPr="00B60243">
        <w:t xml:space="preserve">, particularly </w:t>
      </w:r>
      <w:r w:rsidR="00F26A35" w:rsidRPr="00B60243">
        <w:t xml:space="preserve">in </w:t>
      </w:r>
      <w:r w:rsidR="0004582C" w:rsidRPr="00B60243">
        <w:t>consumer preference</w:t>
      </w:r>
      <w:r w:rsidR="00F26A35" w:rsidRPr="00B60243">
        <w:t>s</w:t>
      </w:r>
      <w:r w:rsidR="00D75A30" w:rsidRPr="00B60243">
        <w:t xml:space="preserve">, were of sufficient magnitude to explain </w:t>
      </w:r>
      <w:r w:rsidR="00F26A35" w:rsidRPr="00B60243">
        <w:t xml:space="preserve">all of </w:t>
      </w:r>
      <w:r w:rsidR="00D75A30" w:rsidRPr="00B60243">
        <w:t xml:space="preserve">the observed fall in measured MFP. There </w:t>
      </w:r>
      <w:r w:rsidR="001C1F01" w:rsidRPr="00B60243">
        <w:t>are</w:t>
      </w:r>
      <w:r w:rsidR="00D75A30" w:rsidRPr="00B60243">
        <w:t xml:space="preserve"> </w:t>
      </w:r>
      <w:r w:rsidR="00DA668E" w:rsidRPr="00B60243">
        <w:t>limited da</w:t>
      </w:r>
      <w:r w:rsidR="0004582C" w:rsidRPr="00B60243">
        <w:t xml:space="preserve">ta available to </w:t>
      </w:r>
      <w:r w:rsidR="00D75A30" w:rsidRPr="00B60243">
        <w:t>test this. For example, m</w:t>
      </w:r>
      <w:r w:rsidR="00DA668E" w:rsidRPr="00B60243">
        <w:t xml:space="preserve">any of the changes </w:t>
      </w:r>
      <w:r w:rsidR="00D75A30" w:rsidRPr="00B60243">
        <w:t xml:space="preserve">in consumer preferences </w:t>
      </w:r>
      <w:r w:rsidR="00DA668E" w:rsidRPr="00B60243">
        <w:t xml:space="preserve">are likely to have taken place at a level of disaggregation for which data are </w:t>
      </w:r>
      <w:r w:rsidR="004F6A57" w:rsidRPr="00B60243">
        <w:t xml:space="preserve">not </w:t>
      </w:r>
      <w:r w:rsidR="00DA668E" w:rsidRPr="00B60243">
        <w:t>available</w:t>
      </w:r>
      <w:r w:rsidR="00CD6661" w:rsidRPr="00B60243">
        <w:t>. And</w:t>
      </w:r>
      <w:r w:rsidR="00DA668E" w:rsidRPr="00B60243">
        <w:t xml:space="preserve"> in some cases </w:t>
      </w:r>
      <w:r w:rsidR="00A66040" w:rsidRPr="00B60243">
        <w:t>there are no data available for the relevant measure</w:t>
      </w:r>
      <w:r w:rsidR="004F6A57" w:rsidRPr="00B60243">
        <w:t>s, such as capacity utilisation</w:t>
      </w:r>
      <w:r w:rsidR="00A66040" w:rsidRPr="00B60243">
        <w:t xml:space="preserve">. </w:t>
      </w:r>
    </w:p>
    <w:p w:rsidR="00205D36" w:rsidRPr="00B60243" w:rsidRDefault="004F6A57" w:rsidP="00205D36">
      <w:pPr>
        <w:pStyle w:val="BodyText"/>
      </w:pPr>
      <w:r w:rsidRPr="00B60243">
        <w:t>I</w:t>
      </w:r>
      <w:r w:rsidR="00A66040" w:rsidRPr="00B60243">
        <w:t xml:space="preserve">t is also possible that the decline in </w:t>
      </w:r>
      <w:r w:rsidR="00D46264" w:rsidRPr="00B60243">
        <w:rPr>
          <w:i/>
        </w:rPr>
        <w:t xml:space="preserve">measured </w:t>
      </w:r>
      <w:r w:rsidR="00A66040" w:rsidRPr="00B60243">
        <w:t xml:space="preserve">MFP in FBT </w:t>
      </w:r>
      <w:r w:rsidR="001C1F01" w:rsidRPr="00B60243">
        <w:t>was</w:t>
      </w:r>
      <w:r w:rsidR="00A66040" w:rsidRPr="00B60243">
        <w:t xml:space="preserve"> overstated </w:t>
      </w:r>
      <w:r w:rsidR="00281F37" w:rsidRPr="00B60243">
        <w:t>because of other</w:t>
      </w:r>
      <w:r w:rsidR="00A66040" w:rsidRPr="00B60243">
        <w:t xml:space="preserve"> </w:t>
      </w:r>
      <w:r w:rsidR="00205D36" w:rsidRPr="00B60243">
        <w:t>measurement challenges</w:t>
      </w:r>
      <w:r w:rsidR="0030337B" w:rsidRPr="00B60243">
        <w:t>.</w:t>
      </w:r>
    </w:p>
    <w:p w:rsidR="00205D36" w:rsidRPr="00B60243" w:rsidRDefault="00D95054" w:rsidP="00205D36">
      <w:pPr>
        <w:pStyle w:val="ListBullet"/>
      </w:pPr>
      <w:r w:rsidRPr="00B60243">
        <w:t>O</w:t>
      </w:r>
      <w:r w:rsidR="00205D36" w:rsidRPr="00B60243">
        <w:t xml:space="preserve">utput quality improvements </w:t>
      </w:r>
      <w:r w:rsidRPr="00B60243">
        <w:t xml:space="preserve">are difficult to </w:t>
      </w:r>
      <w:r w:rsidR="00E442E6" w:rsidRPr="00B60243">
        <w:t>measure</w:t>
      </w:r>
      <w:r w:rsidRPr="00B60243">
        <w:t xml:space="preserve">, </w:t>
      </w:r>
      <w:r w:rsidR="00E442E6" w:rsidRPr="00B60243">
        <w:t xml:space="preserve">so </w:t>
      </w:r>
      <w:r w:rsidR="00363B8D" w:rsidRPr="00B60243">
        <w:t xml:space="preserve">real </w:t>
      </w:r>
      <w:r w:rsidR="00E442E6" w:rsidRPr="00B60243">
        <w:t xml:space="preserve">VA growth </w:t>
      </w:r>
      <w:r w:rsidRPr="00B60243">
        <w:t xml:space="preserve">may </w:t>
      </w:r>
      <w:r w:rsidR="001C1F01" w:rsidRPr="00B60243">
        <w:t xml:space="preserve">have </w:t>
      </w:r>
      <w:r w:rsidRPr="00B60243">
        <w:t>be</w:t>
      </w:r>
      <w:r w:rsidR="001C1F01" w:rsidRPr="00B60243">
        <w:t>en</w:t>
      </w:r>
      <w:r w:rsidR="00E442E6" w:rsidRPr="00B60243">
        <w:t xml:space="preserve"> understated</w:t>
      </w:r>
      <w:r w:rsidR="0004582C" w:rsidRPr="00B60243">
        <w:t>.</w:t>
      </w:r>
    </w:p>
    <w:p w:rsidR="00205D36" w:rsidRPr="00B60243" w:rsidRDefault="00D95054" w:rsidP="00205D36">
      <w:pPr>
        <w:pStyle w:val="ListBullet"/>
      </w:pPr>
      <w:r w:rsidRPr="00B60243">
        <w:t>C</w:t>
      </w:r>
      <w:r w:rsidR="003D3EB2" w:rsidRPr="00B60243">
        <w:t xml:space="preserve">hanges in </w:t>
      </w:r>
      <w:r w:rsidR="00AC301B" w:rsidRPr="00B60243">
        <w:t xml:space="preserve">industry </w:t>
      </w:r>
      <w:r w:rsidR="003D3EB2" w:rsidRPr="00B60243">
        <w:t xml:space="preserve">classification and survey limitations may mean </w:t>
      </w:r>
      <w:r w:rsidR="006A07E6" w:rsidRPr="00B60243">
        <w:t xml:space="preserve">that </w:t>
      </w:r>
      <w:r w:rsidR="003D3EB2" w:rsidRPr="00B60243">
        <w:t xml:space="preserve">labour input growth </w:t>
      </w:r>
      <w:r w:rsidR="001C1F01" w:rsidRPr="00B60243">
        <w:t>was</w:t>
      </w:r>
      <w:r w:rsidR="003D3EB2" w:rsidRPr="00B60243">
        <w:t xml:space="preserve"> overstated</w:t>
      </w:r>
      <w:r w:rsidRPr="00B60243">
        <w:t>.</w:t>
      </w:r>
    </w:p>
    <w:p w:rsidR="00C9450A" w:rsidRPr="00B60243" w:rsidRDefault="00BE2DB8" w:rsidP="006368B6">
      <w:pPr>
        <w:pStyle w:val="BodyText"/>
      </w:pPr>
      <w:r w:rsidRPr="00B60243">
        <w:t xml:space="preserve">Notwithstanding </w:t>
      </w:r>
      <w:r w:rsidR="00493C14">
        <w:t>these</w:t>
      </w:r>
      <w:r w:rsidRPr="00B60243">
        <w:t xml:space="preserve"> measurement issues, i</w:t>
      </w:r>
      <w:r w:rsidR="00C9450A" w:rsidRPr="00B60243">
        <w:t xml:space="preserve">t appears that the steep decline in </w:t>
      </w:r>
      <w:r w:rsidR="00EA4B5F" w:rsidRPr="00B60243">
        <w:t xml:space="preserve">MFP in </w:t>
      </w:r>
      <w:r w:rsidR="00C9450A" w:rsidRPr="00B60243">
        <w:t xml:space="preserve">FBT manufacturing over cycle 4 was exceptional. In the period since, hours worked </w:t>
      </w:r>
      <w:r w:rsidR="005F3F84">
        <w:t>has</w:t>
      </w:r>
      <w:r w:rsidR="00C9450A" w:rsidRPr="00B60243">
        <w:t xml:space="preserve"> not grow</w:t>
      </w:r>
      <w:r w:rsidR="005F3F84">
        <w:t>n</w:t>
      </w:r>
      <w:r w:rsidR="00C9450A" w:rsidRPr="00B60243">
        <w:t xml:space="preserve"> further and the rate of VA growth </w:t>
      </w:r>
      <w:r w:rsidR="005F3F84">
        <w:t xml:space="preserve">has </w:t>
      </w:r>
      <w:r w:rsidR="00C9450A" w:rsidRPr="00B60243">
        <w:t xml:space="preserve">increased. Capital services growth </w:t>
      </w:r>
      <w:r w:rsidR="005F3F84">
        <w:t xml:space="preserve">has </w:t>
      </w:r>
      <w:r w:rsidR="00C9450A" w:rsidRPr="00B60243">
        <w:t xml:space="preserve">slowed. </w:t>
      </w:r>
      <w:r w:rsidR="00AD428F" w:rsidRPr="00B60243">
        <w:t>W</w:t>
      </w:r>
      <w:r w:rsidR="00C9450A" w:rsidRPr="00B60243">
        <w:t xml:space="preserve">hile MFP growth </w:t>
      </w:r>
      <w:r w:rsidR="00D97F2C" w:rsidRPr="00B60243">
        <w:t>wa</w:t>
      </w:r>
      <w:r w:rsidR="00C9450A" w:rsidRPr="00B60243">
        <w:t>s still negative on average</w:t>
      </w:r>
      <w:r w:rsidR="00D97F2C" w:rsidRPr="00B60243">
        <w:t xml:space="preserve"> between 2007</w:t>
      </w:r>
      <w:r w:rsidR="00E36E7F">
        <w:noBreakHyphen/>
      </w:r>
      <w:r w:rsidR="00D97F2C" w:rsidRPr="00B60243">
        <w:t>08 and 2010</w:t>
      </w:r>
      <w:r w:rsidR="00E36E7F">
        <w:noBreakHyphen/>
      </w:r>
      <w:r w:rsidR="00D97F2C" w:rsidRPr="00B60243">
        <w:t>11</w:t>
      </w:r>
      <w:r w:rsidR="00C9450A" w:rsidRPr="00B60243">
        <w:t xml:space="preserve">, it </w:t>
      </w:r>
      <w:r w:rsidR="00D97F2C" w:rsidRPr="00B60243">
        <w:t>was</w:t>
      </w:r>
      <w:r w:rsidR="00C9450A" w:rsidRPr="00B60243">
        <w:t xml:space="preserve"> at a </w:t>
      </w:r>
      <w:r w:rsidR="00D224C6" w:rsidRPr="00B60243">
        <w:t xml:space="preserve">rate </w:t>
      </w:r>
      <w:r w:rsidR="00533957">
        <w:t xml:space="preserve">more typical of the long </w:t>
      </w:r>
      <w:r w:rsidR="005D10E7">
        <w:t>term</w:t>
      </w:r>
      <w:r w:rsidR="00533957">
        <w:t>.</w:t>
      </w:r>
    </w:p>
    <w:sectPr w:rsidR="00C9450A" w:rsidRPr="00B60243" w:rsidSect="00FA6BED">
      <w:headerReference w:type="even" r:id="rId51"/>
      <w:headerReference w:type="default" r:id="rId52"/>
      <w:footerReference w:type="even" r:id="rId53"/>
      <w:footerReference w:type="default" r:id="rId54"/>
      <w:pgSz w:w="11907" w:h="16840" w:code="9"/>
      <w:pgMar w:top="1985" w:right="1304" w:bottom="1418" w:left="1814" w:header="1701" w:footer="567" w:gutter="0"/>
      <w:pgNumType w:start="9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92B" w:rsidRDefault="0084492B">
      <w:r>
        <w:separator/>
      </w:r>
    </w:p>
  </w:endnote>
  <w:endnote w:type="continuationSeparator" w:id="0">
    <w:p w:rsidR="0084492B" w:rsidRDefault="0084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T-Ligh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4492B">
      <w:trPr>
        <w:trHeight w:hRule="exact" w:val="740"/>
      </w:trPr>
      <w:tc>
        <w:tcPr>
          <w:tcW w:w="510" w:type="dxa"/>
          <w:tcBorders>
            <w:top w:val="single" w:sz="6" w:space="0" w:color="auto"/>
          </w:tcBorders>
        </w:tcPr>
        <w:p w:rsidR="0084492B" w:rsidRDefault="0084492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C6945">
            <w:rPr>
              <w:rStyle w:val="PageNumber"/>
              <w:noProof/>
            </w:rPr>
            <w:t>132</w:t>
          </w:r>
          <w:r>
            <w:rPr>
              <w:rStyle w:val="PageNumber"/>
            </w:rPr>
            <w:fldChar w:fldCharType="end"/>
          </w:r>
        </w:p>
      </w:tc>
      <w:tc>
        <w:tcPr>
          <w:tcW w:w="1644" w:type="dxa"/>
          <w:tcBorders>
            <w:top w:val="single" w:sz="6" w:space="0" w:color="auto"/>
          </w:tcBorders>
        </w:tcPr>
        <w:p w:rsidR="0084492B" w:rsidRDefault="002619A1" w:rsidP="0019293B">
          <w:pPr>
            <w:pStyle w:val="Footer"/>
          </w:pPr>
          <w:fldSimple w:instr=" SUBJECT  \* MERGEFORMAT ">
            <w:r w:rsidR="00964EC7">
              <w:t>Productivity in manufacturing</w:t>
            </w:r>
          </w:fldSimple>
        </w:p>
      </w:tc>
      <w:tc>
        <w:tcPr>
          <w:tcW w:w="6634" w:type="dxa"/>
        </w:tcPr>
        <w:p w:rsidR="0084492B" w:rsidRDefault="0084492B" w:rsidP="0019293B">
          <w:pPr>
            <w:pStyle w:val="Footer"/>
          </w:pPr>
        </w:p>
      </w:tc>
    </w:tr>
  </w:tbl>
  <w:p w:rsidR="0084492B" w:rsidRDefault="0084492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4492B">
      <w:trPr>
        <w:trHeight w:hRule="exact" w:val="740"/>
      </w:trPr>
      <w:tc>
        <w:tcPr>
          <w:tcW w:w="6634" w:type="dxa"/>
        </w:tcPr>
        <w:p w:rsidR="0084492B" w:rsidRDefault="0084492B">
          <w:pPr>
            <w:pStyle w:val="Footer"/>
            <w:ind w:right="360" w:firstLine="360"/>
          </w:pPr>
        </w:p>
      </w:tc>
      <w:tc>
        <w:tcPr>
          <w:tcW w:w="1644" w:type="dxa"/>
          <w:tcBorders>
            <w:top w:val="single" w:sz="6" w:space="0" w:color="auto"/>
          </w:tcBorders>
        </w:tcPr>
        <w:p w:rsidR="0084492B" w:rsidRDefault="0084492B">
          <w:pPr>
            <w:pStyle w:val="Footer"/>
          </w:pPr>
          <w:r>
            <w:fldChar w:fldCharType="begin"/>
          </w:r>
          <w:r>
            <w:instrText xml:space="preserve"> TITLE  \* MERGEFORMAT </w:instrText>
          </w:r>
          <w:r>
            <w:fldChar w:fldCharType="separate"/>
          </w:r>
          <w:r w:rsidR="00964EC7">
            <w:t xml:space="preserve">Productivity in </w:t>
          </w:r>
          <w:proofErr w:type="spellStart"/>
          <w:r w:rsidR="00964EC7">
            <w:t>FBT</w:t>
          </w:r>
          <w:proofErr w:type="spellEnd"/>
          <w:r>
            <w:fldChar w:fldCharType="end"/>
          </w:r>
        </w:p>
      </w:tc>
      <w:tc>
        <w:tcPr>
          <w:tcW w:w="510" w:type="dxa"/>
          <w:tcBorders>
            <w:top w:val="single" w:sz="6" w:space="0" w:color="auto"/>
          </w:tcBorders>
        </w:tcPr>
        <w:p w:rsidR="0084492B" w:rsidRDefault="0084492B">
          <w:pPr>
            <w:pStyle w:val="Footer"/>
            <w:jc w:val="right"/>
          </w:pPr>
          <w:r>
            <w:rPr>
              <w:rStyle w:val="PageNumber"/>
            </w:rPr>
            <w:fldChar w:fldCharType="begin"/>
          </w:r>
          <w:r>
            <w:rPr>
              <w:rStyle w:val="PageNumber"/>
            </w:rPr>
            <w:instrText xml:space="preserve">PAGE  </w:instrText>
          </w:r>
          <w:r>
            <w:rPr>
              <w:rStyle w:val="PageNumber"/>
            </w:rPr>
            <w:fldChar w:fldCharType="separate"/>
          </w:r>
          <w:r w:rsidR="00DC6945">
            <w:rPr>
              <w:rStyle w:val="PageNumber"/>
              <w:noProof/>
            </w:rPr>
            <w:t>97</w:t>
          </w:r>
          <w:r>
            <w:rPr>
              <w:rStyle w:val="PageNumber"/>
            </w:rPr>
            <w:fldChar w:fldCharType="end"/>
          </w:r>
        </w:p>
      </w:tc>
    </w:tr>
  </w:tbl>
  <w:p w:rsidR="0084492B" w:rsidRDefault="0084492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92B" w:rsidRDefault="0084492B">
      <w:r>
        <w:separator/>
      </w:r>
    </w:p>
  </w:footnote>
  <w:footnote w:type="continuationSeparator" w:id="0">
    <w:p w:rsidR="0084492B" w:rsidRDefault="0084492B">
      <w:r>
        <w:continuationSeparator/>
      </w:r>
    </w:p>
  </w:footnote>
  <w:footnote w:id="1">
    <w:p w:rsidR="0084492B" w:rsidRPr="00872511" w:rsidRDefault="0084492B" w:rsidP="00654F86">
      <w:pPr>
        <w:pStyle w:val="FootnoteText"/>
      </w:pPr>
      <w:r w:rsidRPr="00872511">
        <w:rPr>
          <w:rStyle w:val="FootnoteReference"/>
        </w:rPr>
        <w:footnoteRef/>
      </w:r>
      <w:r w:rsidRPr="00872511">
        <w:t xml:space="preserve"> </w:t>
      </w:r>
      <w:r>
        <w:tab/>
      </w:r>
      <w:r w:rsidRPr="00725A4C">
        <w:t>Tobacco products manufacturing is not discussed in this chapter — separate data for th</w:t>
      </w:r>
      <w:r>
        <w:t>is</w:t>
      </w:r>
      <w:r w:rsidRPr="00725A4C">
        <w:t xml:space="preserve"> group </w:t>
      </w:r>
      <w:r>
        <w:t>are</w:t>
      </w:r>
      <w:r w:rsidRPr="00725A4C">
        <w:t xml:space="preserve"> limited, but it is included in totals. </w:t>
      </w:r>
    </w:p>
  </w:footnote>
  <w:footnote w:id="2">
    <w:p w:rsidR="0084492B" w:rsidRDefault="0084492B">
      <w:pPr>
        <w:pStyle w:val="FootnoteText"/>
      </w:pPr>
      <w:r>
        <w:rPr>
          <w:rStyle w:val="FootnoteReference"/>
        </w:rPr>
        <w:footnoteRef/>
      </w:r>
      <w:r>
        <w:t xml:space="preserve"> </w:t>
      </w:r>
      <w:r>
        <w:tab/>
        <w:t xml:space="preserve">The pattern of MFP growth over </w:t>
      </w:r>
      <w:proofErr w:type="spellStart"/>
      <w:r>
        <w:t>FBT</w:t>
      </w:r>
      <w:proofErr w:type="spellEnd"/>
      <w:r>
        <w:t>-specific cycles, in terms of increase or decrease from cycle to cycle from the mid-</w:t>
      </w:r>
      <w:proofErr w:type="spellStart"/>
      <w:r>
        <w:t>1990s</w:t>
      </w:r>
      <w:proofErr w:type="spellEnd"/>
      <w:r>
        <w:t xml:space="preserve">, is similar in direction to that over the cycles for Manufacturing in total (appendix C). As a result, </w:t>
      </w:r>
      <w:proofErr w:type="spellStart"/>
      <w:r>
        <w:t>FBT</w:t>
      </w:r>
      <w:proofErr w:type="spellEnd"/>
      <w:r>
        <w:t>-specific cycles are not shown here.</w:t>
      </w:r>
    </w:p>
  </w:footnote>
  <w:footnote w:id="3">
    <w:p w:rsidR="0084492B" w:rsidRDefault="0084492B">
      <w:pPr>
        <w:pStyle w:val="FootnoteText"/>
      </w:pPr>
      <w:r>
        <w:rPr>
          <w:rStyle w:val="FootnoteReference"/>
        </w:rPr>
        <w:footnoteRef/>
      </w:r>
      <w:r>
        <w:t xml:space="preserve"> </w:t>
      </w:r>
      <w:r>
        <w:tab/>
        <w:t>VA</w:t>
      </w:r>
      <w:r w:rsidRPr="00B96BE1">
        <w:t xml:space="preserve"> is gross output less intermediate inputs used in </w:t>
      </w:r>
      <w:r>
        <w:t>producing</w:t>
      </w:r>
      <w:r w:rsidRPr="00B96BE1">
        <w:t xml:space="preserve"> that output. Intermediate inputs are the inputs used by the business other than capital and labour — for example, energy, raw materials and services. </w:t>
      </w:r>
      <w:r>
        <w:t>Real VA (t</w:t>
      </w:r>
      <w:r w:rsidRPr="00B96BE1">
        <w:t xml:space="preserve">he </w:t>
      </w:r>
      <w:r>
        <w:t>volume</w:t>
      </w:r>
      <w:r w:rsidRPr="00B96BE1">
        <w:t xml:space="preserve"> of </w:t>
      </w:r>
      <w:r>
        <w:t>VA)</w:t>
      </w:r>
      <w:r w:rsidRPr="00B96BE1">
        <w:t xml:space="preserve"> refers to </w:t>
      </w:r>
      <w:r>
        <w:t>VA</w:t>
      </w:r>
      <w:r w:rsidRPr="00B96BE1">
        <w:t xml:space="preserve"> with the effect of price changes removed.</w:t>
      </w:r>
    </w:p>
  </w:footnote>
  <w:footnote w:id="4">
    <w:p w:rsidR="0084492B" w:rsidRDefault="0084492B" w:rsidP="008631B6">
      <w:pPr>
        <w:pStyle w:val="FootnoteText"/>
      </w:pPr>
      <w:r>
        <w:rPr>
          <w:rStyle w:val="FootnoteReference"/>
        </w:rPr>
        <w:footnoteRef/>
      </w:r>
      <w:r>
        <w:t xml:space="preserve"> </w:t>
      </w:r>
      <w:r>
        <w:tab/>
        <w:t xml:space="preserve">These estimates of real VA in Food and BT are based on nominal VA from the ABS </w:t>
      </w:r>
      <w:r w:rsidRPr="004C2F15">
        <w:rPr>
          <w:i/>
        </w:rPr>
        <w:t>Economic Activity Survey</w:t>
      </w:r>
      <w:r>
        <w:rPr>
          <w:i/>
        </w:rPr>
        <w:t>,</w:t>
      </w:r>
      <w:r>
        <w:t xml:space="preserve"> which is affected by issues of comparability over time. The limited availability of appropriate deflators also affects the quality of the derived </w:t>
      </w:r>
      <w:r w:rsidRPr="00AD3C4F">
        <w:rPr>
          <w:i/>
        </w:rPr>
        <w:t>real</w:t>
      </w:r>
      <w:r>
        <w:t xml:space="preserve"> VA estimates. See appendix G for details.</w:t>
      </w:r>
    </w:p>
  </w:footnote>
  <w:footnote w:id="5">
    <w:p w:rsidR="0084492B" w:rsidRPr="00902C20" w:rsidRDefault="0084492B" w:rsidP="00077645">
      <w:pPr>
        <w:pStyle w:val="FootnoteText"/>
      </w:pPr>
      <w:r>
        <w:rPr>
          <w:rStyle w:val="FootnoteReference"/>
        </w:rPr>
        <w:footnoteRef/>
      </w:r>
      <w:r>
        <w:t xml:space="preserve"> </w:t>
      </w:r>
      <w:r>
        <w:tab/>
      </w:r>
      <w:r w:rsidRPr="00902C20">
        <w:t>Nominal VA is affected by both price and volume changes, so may not be a reliable indicator of volume changes. Breaks in series will also affect comparability of nominal VA over time (appendix G).</w:t>
      </w:r>
    </w:p>
  </w:footnote>
  <w:footnote w:id="6">
    <w:p w:rsidR="0084492B" w:rsidRDefault="0084492B" w:rsidP="002E4060">
      <w:pPr>
        <w:pStyle w:val="FootnoteText"/>
      </w:pPr>
      <w:r>
        <w:rPr>
          <w:rStyle w:val="FootnoteReference"/>
        </w:rPr>
        <w:footnoteRef/>
      </w:r>
      <w:r>
        <w:t xml:space="preserve"> </w:t>
      </w:r>
      <w:r>
        <w:tab/>
        <w:t>The composition of nominal VA is affected by change in relative prices and volume. Also, non-factory bakery is included only from 2006-07 causing a jump in the shares for Bakery. Although comparable data for non-factory bakery are not available prior to this, other sources suggest relatively strong growth in non-factory bakery compared with factory bakery (box </w:t>
      </w:r>
      <w:r>
        <w:fldChar w:fldCharType="begin"/>
      </w:r>
      <w:r>
        <w:instrText xml:space="preserve"> LINK Word.Document.12 "\\\\Nch1\\data\\groups\\GRB\\Projects and papers\\Current\\Manufacturing\\Drafts\\Chapter 5 Productivity in FBT.docx" "OLE_LINK14" \a \t </w:instrText>
      </w:r>
      <w:r>
        <w:fldChar w:fldCharType="separate"/>
      </w:r>
      <w:r>
        <w:t>5.10</w:t>
      </w:r>
      <w:r>
        <w:fldChar w:fldCharType="end"/>
      </w:r>
      <w:r>
        <w:t>). Therefore the share for Bakery in total is likely to have increased over cycle 4.</w:t>
      </w:r>
    </w:p>
  </w:footnote>
  <w:footnote w:id="7">
    <w:p w:rsidR="0084492B" w:rsidRDefault="0084492B">
      <w:pPr>
        <w:pStyle w:val="FootnoteText"/>
      </w:pPr>
      <w:r>
        <w:rPr>
          <w:rStyle w:val="FootnoteReference"/>
        </w:rPr>
        <w:footnoteRef/>
      </w:r>
      <w:r>
        <w:t xml:space="preserve"> </w:t>
      </w:r>
      <w:r>
        <w:tab/>
        <w:t xml:space="preserve">While Grain and cereal had an increase in its growth rate between cycles (figure </w:t>
      </w:r>
      <w:r>
        <w:fldChar w:fldCharType="begin"/>
      </w:r>
      <w:r>
        <w:instrText xml:space="preserve"> LINK Word.Document.12 "\\\\Nch1\\data\\groups\\GRB\\Projects and papers\\Current\\Manufacturing\\Drafts\\Chapter 5 Productivity in FBT.docx" "OLE_LINK50" \a \t </w:instrText>
      </w:r>
      <w:r>
        <w:fldChar w:fldCharType="separate"/>
      </w:r>
      <w:r>
        <w:t>5.7</w:t>
      </w:r>
      <w:r>
        <w:fldChar w:fldCharType="end"/>
      </w:r>
      <w:r>
        <w:t>), its share declined because of its relatively low growth rate over cycle 4.</w:t>
      </w:r>
    </w:p>
  </w:footnote>
  <w:footnote w:id="8">
    <w:p w:rsidR="0084492B" w:rsidRDefault="0084492B">
      <w:pPr>
        <w:pStyle w:val="FootnoteText"/>
      </w:pPr>
      <w:r>
        <w:rPr>
          <w:rStyle w:val="FootnoteReference"/>
        </w:rPr>
        <w:footnoteRef/>
      </w:r>
      <w:r>
        <w:t xml:space="preserve"> </w:t>
      </w:r>
      <w:r>
        <w:tab/>
        <w:t xml:space="preserve">This is in contrast to Manufacturing in total (figure 2.16), where there is a decline in profitability </w:t>
      </w:r>
      <w:r w:rsidRPr="003D1F3D">
        <w:t>and</w:t>
      </w:r>
      <w:r>
        <w:t xml:space="preserve"> productivity over cycle 4.</w:t>
      </w:r>
    </w:p>
  </w:footnote>
  <w:footnote w:id="9">
    <w:p w:rsidR="0084492B" w:rsidRDefault="0084492B" w:rsidP="00DF7E98">
      <w:pPr>
        <w:pStyle w:val="FootnoteText"/>
      </w:pPr>
      <w:r>
        <w:rPr>
          <w:rStyle w:val="FootnoteReference"/>
        </w:rPr>
        <w:footnoteRef/>
      </w:r>
      <w:r>
        <w:t xml:space="preserve"> </w:t>
      </w:r>
      <w:r>
        <w:tab/>
        <w:t>A measure based on domestic VA embodied in gross exports.</w:t>
      </w:r>
    </w:p>
  </w:footnote>
  <w:footnote w:id="10">
    <w:p w:rsidR="0084492B" w:rsidRDefault="0084492B" w:rsidP="00B27BC5">
      <w:pPr>
        <w:pStyle w:val="FootnoteText"/>
      </w:pPr>
      <w:r>
        <w:rPr>
          <w:rStyle w:val="FootnoteReference"/>
        </w:rPr>
        <w:footnoteRef/>
      </w:r>
      <w:r>
        <w:t xml:space="preserve"> </w:t>
      </w:r>
      <w:r>
        <w:tab/>
        <w:t xml:space="preserve">Real export/import data are not available for all </w:t>
      </w:r>
      <w:proofErr w:type="spellStart"/>
      <w:r>
        <w:t>ANZSIC</w:t>
      </w:r>
      <w:proofErr w:type="spellEnd"/>
      <w:r>
        <w:t xml:space="preserve"> groups. Nominal exports and imports are only indicative of changes in volume as they are also affected by changes in prices.</w:t>
      </w:r>
    </w:p>
  </w:footnote>
  <w:footnote w:id="11">
    <w:p w:rsidR="0084492B" w:rsidRDefault="0084492B">
      <w:pPr>
        <w:pStyle w:val="FootnoteText"/>
      </w:pPr>
      <w:r>
        <w:rPr>
          <w:rStyle w:val="FootnoteReference"/>
        </w:rPr>
        <w:footnoteRef/>
      </w:r>
      <w:r>
        <w:t xml:space="preserve"> </w:t>
      </w:r>
      <w:r>
        <w:tab/>
        <w:t xml:space="preserve">Appendix G shows the input-output linkage between Agriculture and </w:t>
      </w:r>
      <w:proofErr w:type="spellStart"/>
      <w:r>
        <w:t>FBT</w:t>
      </w:r>
      <w:proofErr w:type="spellEnd"/>
      <w:r>
        <w:t xml:space="preserve"> as a whole.</w:t>
      </w:r>
    </w:p>
  </w:footnote>
  <w:footnote w:id="12">
    <w:p w:rsidR="0084492B" w:rsidRDefault="0084492B">
      <w:pPr>
        <w:pStyle w:val="FootnoteText"/>
      </w:pPr>
      <w:r>
        <w:rPr>
          <w:rStyle w:val="FootnoteReference"/>
        </w:rPr>
        <w:footnoteRef/>
      </w:r>
      <w:r>
        <w:t xml:space="preserve"> </w:t>
      </w:r>
      <w:r>
        <w:tab/>
        <w:t xml:space="preserve">The </w:t>
      </w:r>
      <w:r w:rsidRPr="00205F47">
        <w:t xml:space="preserve">volume of value added is the volume of </w:t>
      </w:r>
      <w:r>
        <w:t xml:space="preserve">gross </w:t>
      </w:r>
      <w:r w:rsidRPr="00205F47">
        <w:t>output less the volume of intermediate inputs such as energy, raw materials and services</w:t>
      </w:r>
      <w:r>
        <w:t>.</w:t>
      </w:r>
    </w:p>
  </w:footnote>
  <w:footnote w:id="13">
    <w:p w:rsidR="0084492B" w:rsidRDefault="0084492B" w:rsidP="00E756E9">
      <w:pPr>
        <w:pStyle w:val="FootnoteText"/>
      </w:pPr>
      <w:r>
        <w:rPr>
          <w:rStyle w:val="FootnoteReference"/>
        </w:rPr>
        <w:footnoteRef/>
      </w:r>
      <w:r>
        <w:t xml:space="preserve"> </w:t>
      </w:r>
      <w:r>
        <w:tab/>
        <w:t xml:space="preserve">The hours worked measure used in the MFP estimates in this paper are based on ABS </w:t>
      </w:r>
      <w:r w:rsidRPr="000E6FA0">
        <w:rPr>
          <w:i/>
        </w:rPr>
        <w:t>Labour Force Survey</w:t>
      </w:r>
      <w:r>
        <w:t xml:space="preserve"> data on an </w:t>
      </w:r>
      <w:proofErr w:type="spellStart"/>
      <w:r>
        <w:t>ANZSIC06</w:t>
      </w:r>
      <w:proofErr w:type="spellEnd"/>
      <w:r>
        <w:t xml:space="preserve"> basis. Comparability between employment estimates from the </w:t>
      </w:r>
      <w:r w:rsidRPr="00DB5A40">
        <w:rPr>
          <w:i/>
        </w:rPr>
        <w:t>L</w:t>
      </w:r>
      <w:r>
        <w:rPr>
          <w:i/>
        </w:rPr>
        <w:t xml:space="preserve">abour </w:t>
      </w:r>
      <w:r w:rsidRPr="00DB5A40">
        <w:rPr>
          <w:i/>
        </w:rPr>
        <w:t>F</w:t>
      </w:r>
      <w:r>
        <w:rPr>
          <w:i/>
        </w:rPr>
        <w:t xml:space="preserve">orce </w:t>
      </w:r>
      <w:r w:rsidRPr="00DB5A40">
        <w:rPr>
          <w:i/>
        </w:rPr>
        <w:t>S</w:t>
      </w:r>
      <w:r>
        <w:rPr>
          <w:i/>
        </w:rPr>
        <w:t>urvey</w:t>
      </w:r>
      <w:r>
        <w:t xml:space="preserve"> and the ABS </w:t>
      </w:r>
      <w:r w:rsidRPr="00A042A4">
        <w:rPr>
          <w:i/>
        </w:rPr>
        <w:t>Economic Activity Survey</w:t>
      </w:r>
      <w:r>
        <w:t xml:space="preserve"> is discussed in appendix G. The trend is broadly similar in both surveys, with faster growth in cycle 4 than cycle 3. However, the </w:t>
      </w:r>
      <w:r>
        <w:rPr>
          <w:i/>
        </w:rPr>
        <w:t>Economic Activity Survey</w:t>
      </w:r>
      <w:r>
        <w:t xml:space="preserve"> data suggest a smaller increase between cycles.</w:t>
      </w:r>
    </w:p>
  </w:footnote>
  <w:footnote w:id="14">
    <w:p w:rsidR="0084492B" w:rsidRDefault="0084492B" w:rsidP="00084605">
      <w:pPr>
        <w:pStyle w:val="FootnoteText"/>
      </w:pPr>
      <w:r>
        <w:rPr>
          <w:rStyle w:val="FootnoteReference"/>
        </w:rPr>
        <w:footnoteRef/>
      </w:r>
      <w:r>
        <w:t xml:space="preserve"> </w:t>
      </w:r>
      <w:r>
        <w:tab/>
        <w:t xml:space="preserve">While there may be some volatility in employment in </w:t>
      </w:r>
      <w:proofErr w:type="spellStart"/>
      <w:r>
        <w:t>FBT</w:t>
      </w:r>
      <w:proofErr w:type="spellEnd"/>
      <w:r>
        <w:t xml:space="preserve"> manufacturing around drought years (DAFF </w:t>
      </w:r>
      <w:proofErr w:type="spellStart"/>
      <w:r>
        <w:t>2005b</w:t>
      </w:r>
      <w:proofErr w:type="spellEnd"/>
      <w:r>
        <w:t xml:space="preserve">, 2007), ABS </w:t>
      </w:r>
      <w:r w:rsidRPr="000E6FA0">
        <w:rPr>
          <w:i/>
        </w:rPr>
        <w:t>Labour Force Survey</w:t>
      </w:r>
      <w:r>
        <w:t xml:space="preserve"> data at lower levels of disaggregation can also be subject to ‘noise’ from year to year.</w:t>
      </w:r>
    </w:p>
  </w:footnote>
  <w:footnote w:id="15">
    <w:p w:rsidR="0084492B" w:rsidRDefault="0084492B" w:rsidP="002C0566">
      <w:pPr>
        <w:pStyle w:val="FootnoteText"/>
      </w:pPr>
      <w:r>
        <w:rPr>
          <w:rStyle w:val="FootnoteReference"/>
        </w:rPr>
        <w:footnoteRef/>
      </w:r>
      <w:r>
        <w:t xml:space="preserve"> </w:t>
      </w:r>
      <w:r>
        <w:tab/>
        <w:t xml:space="preserve">Hours worked does not provide a reliable indicator of labour hoarding — since firms may reduce the number of hours worked by each employee during a downturn. Productivity estimates based on hours worked measures of labour input will be less affected by labour hoarding than estimates based on numbers employed. There are no readily available data to test whether labour hoarding was a significant factor over this period. A decline in average hours worked may provide an indicator of the hoarding of employees at reduced hours per employee. There was a small decrease in average hours worked in </w:t>
      </w:r>
      <w:proofErr w:type="spellStart"/>
      <w:r>
        <w:t>FBT</w:t>
      </w:r>
      <w:proofErr w:type="spellEnd"/>
      <w:r>
        <w:t xml:space="preserve"> over cycle 4, but year-to-year volatility in the data make it difficult to draw firm conclusions. Since cycle 4, average hours worked has stabilised.</w:t>
      </w:r>
    </w:p>
  </w:footnote>
  <w:footnote w:id="16">
    <w:p w:rsidR="0084492B" w:rsidRDefault="0084492B" w:rsidP="002A3BF1">
      <w:pPr>
        <w:pStyle w:val="FootnoteText"/>
      </w:pPr>
      <w:r>
        <w:rPr>
          <w:rStyle w:val="FootnoteReference"/>
        </w:rPr>
        <w:footnoteRef/>
      </w:r>
      <w:r>
        <w:t xml:space="preserve"> </w:t>
      </w:r>
      <w:r>
        <w:tab/>
        <w:t xml:space="preserve">The large contribution of Bakery is not due to a break in series for </w:t>
      </w:r>
      <w:proofErr w:type="spellStart"/>
      <w:r>
        <w:t>ANZSIC06</w:t>
      </w:r>
      <w:proofErr w:type="spellEnd"/>
      <w:r>
        <w:t xml:space="preserve"> as the ABS has </w:t>
      </w:r>
      <w:proofErr w:type="spellStart"/>
      <w:r>
        <w:t>backcast</w:t>
      </w:r>
      <w:proofErr w:type="spellEnd"/>
      <w:r>
        <w:t xml:space="preserve"> the </w:t>
      </w:r>
      <w:r>
        <w:rPr>
          <w:i/>
        </w:rPr>
        <w:t>Labour Force Survey</w:t>
      </w:r>
      <w:r>
        <w:t xml:space="preserve"> data to make it more consistent over time (appendix G). </w:t>
      </w:r>
    </w:p>
  </w:footnote>
  <w:footnote w:id="17">
    <w:p w:rsidR="0084492B" w:rsidRPr="00E31785" w:rsidRDefault="0084492B" w:rsidP="002A3BF1">
      <w:pPr>
        <w:pStyle w:val="FootnoteText"/>
      </w:pPr>
      <w:r>
        <w:rPr>
          <w:rStyle w:val="FootnoteReference"/>
        </w:rPr>
        <w:footnoteRef/>
      </w:r>
      <w:r>
        <w:t xml:space="preserve"> </w:t>
      </w:r>
      <w:r>
        <w:tab/>
        <w:t xml:space="preserve">Based on more detailed data on employment from the ABS </w:t>
      </w:r>
      <w:r w:rsidRPr="00A042A4">
        <w:rPr>
          <w:i/>
        </w:rPr>
        <w:t>Economic Activity Survey</w:t>
      </w:r>
      <w:r>
        <w:rPr>
          <w:i/>
        </w:rPr>
        <w:t xml:space="preserve"> </w:t>
      </w:r>
      <w:r>
        <w:t>(appendix G).</w:t>
      </w:r>
      <w:r w:rsidRPr="00E31785">
        <w:t xml:space="preserve"> </w:t>
      </w:r>
    </w:p>
  </w:footnote>
  <w:footnote w:id="18">
    <w:p w:rsidR="0084492B" w:rsidRDefault="0084492B" w:rsidP="002A3BF1">
      <w:pPr>
        <w:pStyle w:val="FootnoteText"/>
      </w:pPr>
      <w:r>
        <w:rPr>
          <w:rStyle w:val="FootnoteReference"/>
        </w:rPr>
        <w:footnoteRef/>
      </w:r>
      <w:r>
        <w:t xml:space="preserve"> </w:t>
      </w:r>
      <w:r>
        <w:tab/>
        <w:t>Food not further defined (</w:t>
      </w:r>
      <w:proofErr w:type="spellStart"/>
      <w:r>
        <w:t>nfd</w:t>
      </w:r>
      <w:proofErr w:type="spellEnd"/>
      <w:r>
        <w:t xml:space="preserve">) also had an offsetting decline. Food </w:t>
      </w:r>
      <w:proofErr w:type="spellStart"/>
      <w:r>
        <w:t>nfd</w:t>
      </w:r>
      <w:proofErr w:type="spellEnd"/>
      <w:r>
        <w:t xml:space="preserve"> is a category for which the ABS have been unable to allocate hours worked to a specific </w:t>
      </w:r>
      <w:proofErr w:type="spellStart"/>
      <w:r>
        <w:t>ANZSIC</w:t>
      </w:r>
      <w:proofErr w:type="spellEnd"/>
      <w:r>
        <w:t xml:space="preserve"> food group (appendix G). While there was considerable growth in this category in both cycle 3 and 4, it was not the source of the increase between cycles 3 and 4. </w:t>
      </w:r>
    </w:p>
  </w:footnote>
  <w:footnote w:id="19">
    <w:p w:rsidR="0084492B" w:rsidRDefault="0084492B" w:rsidP="00D36A2E">
      <w:pPr>
        <w:pStyle w:val="FootnoteText"/>
      </w:pPr>
      <w:r>
        <w:rPr>
          <w:rStyle w:val="FootnoteReference"/>
        </w:rPr>
        <w:footnoteRef/>
      </w:r>
      <w:r>
        <w:t xml:space="preserve"> </w:t>
      </w:r>
      <w:r>
        <w:tab/>
        <w:t xml:space="preserve">These labour intensity measures should be considered as broad indicators of differences across </w:t>
      </w:r>
      <w:proofErr w:type="spellStart"/>
      <w:r>
        <w:t>ANZSIC</w:t>
      </w:r>
      <w:proofErr w:type="spellEnd"/>
      <w:r>
        <w:t xml:space="preserve"> groups. The real VA estimates used have been derived using producer price indexes for output (see appendix G for a discussion of limitations of this approach). It should also be noted that these estimates are based on VA and employment from the ABS </w:t>
      </w:r>
      <w:r w:rsidRPr="00A042A4">
        <w:rPr>
          <w:i/>
        </w:rPr>
        <w:t>Economic Activity Survey</w:t>
      </w:r>
      <w:r>
        <w:t xml:space="preserve">, which is subject to limited comparability over time. The </w:t>
      </w:r>
      <w:r w:rsidRPr="00A042A4">
        <w:rPr>
          <w:i/>
        </w:rPr>
        <w:t>Economic Activity Survey</w:t>
      </w:r>
      <w:r>
        <w:t xml:space="preserve"> employment estimates also differ from the </w:t>
      </w:r>
      <w:r>
        <w:rPr>
          <w:i/>
        </w:rPr>
        <w:t>Labour Force Survey</w:t>
      </w:r>
      <w:r>
        <w:t xml:space="preserve"> data reported earlier in the chapter and used to estimate MFP for </w:t>
      </w:r>
      <w:proofErr w:type="spellStart"/>
      <w:r>
        <w:t>FBT</w:t>
      </w:r>
      <w:proofErr w:type="spellEnd"/>
      <w:r>
        <w:t xml:space="preserve">. </w:t>
      </w:r>
    </w:p>
  </w:footnote>
  <w:footnote w:id="20">
    <w:p w:rsidR="0084492B" w:rsidRDefault="0084492B" w:rsidP="00205ACC">
      <w:pPr>
        <w:pStyle w:val="FootnoteText"/>
      </w:pPr>
      <w:r>
        <w:rPr>
          <w:rStyle w:val="FootnoteReference"/>
        </w:rPr>
        <w:footnoteRef/>
      </w:r>
      <w:r>
        <w:t xml:space="preserve"> </w:t>
      </w:r>
      <w:r>
        <w:tab/>
      </w:r>
      <w:r w:rsidRPr="00E830B5">
        <w:t xml:space="preserve">Shift-share analysis </w:t>
      </w:r>
      <w:r>
        <w:t xml:space="preserve">(appendix G) </w:t>
      </w:r>
      <w:r w:rsidRPr="00E830B5">
        <w:t xml:space="preserve">suggests that the bulk of the change in </w:t>
      </w:r>
      <w:r>
        <w:t xml:space="preserve">average </w:t>
      </w:r>
      <w:r w:rsidRPr="00E830B5">
        <w:t xml:space="preserve">labour intensity </w:t>
      </w:r>
      <w:r>
        <w:t>wa</w:t>
      </w:r>
      <w:r w:rsidRPr="00E830B5">
        <w:t xml:space="preserve">s due to changes in the labour intensity of the </w:t>
      </w:r>
      <w:proofErr w:type="spellStart"/>
      <w:r w:rsidRPr="00E830B5">
        <w:t>FBT</w:t>
      </w:r>
      <w:proofErr w:type="spellEnd"/>
      <w:r w:rsidRPr="00E830B5">
        <w:t xml:space="preserve"> groups rather than </w:t>
      </w:r>
      <w:r>
        <w:t xml:space="preserve">in the relative size of the </w:t>
      </w:r>
      <w:proofErr w:type="spellStart"/>
      <w:r>
        <w:t>FBT</w:t>
      </w:r>
      <w:proofErr w:type="spellEnd"/>
      <w:r>
        <w:t xml:space="preserve"> groups (</w:t>
      </w:r>
      <w:r w:rsidRPr="00E830B5">
        <w:t xml:space="preserve">changes in the </w:t>
      </w:r>
      <w:r>
        <w:t xml:space="preserve">VA </w:t>
      </w:r>
      <w:r w:rsidRPr="00E830B5">
        <w:t>shares of each group</w:t>
      </w:r>
      <w:r>
        <w:t>)</w:t>
      </w:r>
      <w:r w:rsidRPr="00E830B5">
        <w:t xml:space="preserve">. </w:t>
      </w:r>
      <w:r>
        <w:t xml:space="preserve">For those </w:t>
      </w:r>
      <w:proofErr w:type="spellStart"/>
      <w:r>
        <w:t>ANZSIC</w:t>
      </w:r>
      <w:proofErr w:type="spellEnd"/>
      <w:r>
        <w:t xml:space="preserve"> groups with absolute declines in real value added, it is possible that labour ‘hoarding’ may have contributed to the increase in labour intensity. However, this cannot be determined from available data. Those groups with declines in real value added (such as Seafood processing and Fruit and vegetable processing) made relatively small contributions to the overall increase in labour intensity (table G. 1). </w:t>
      </w:r>
    </w:p>
  </w:footnote>
  <w:footnote w:id="21">
    <w:p w:rsidR="0084492B" w:rsidRDefault="0084492B" w:rsidP="00205ACC">
      <w:pPr>
        <w:pStyle w:val="FootnoteText"/>
      </w:pPr>
      <w:r>
        <w:rPr>
          <w:rStyle w:val="FootnoteReference"/>
        </w:rPr>
        <w:footnoteRef/>
      </w:r>
      <w:r>
        <w:t xml:space="preserve"> </w:t>
      </w:r>
      <w:r>
        <w:tab/>
        <w:t xml:space="preserve">In the ABS </w:t>
      </w:r>
      <w:r w:rsidRPr="00A042A4">
        <w:rPr>
          <w:i/>
        </w:rPr>
        <w:t>Economic Activity Survey</w:t>
      </w:r>
      <w:r>
        <w:t xml:space="preserve"> data, non-factory baking was just added in 2006-07 and not </w:t>
      </w:r>
      <w:proofErr w:type="spellStart"/>
      <w:r>
        <w:t>backcast</w:t>
      </w:r>
      <w:proofErr w:type="spellEnd"/>
      <w:r>
        <w:t xml:space="preserve">. However, as there has been relatively strong growth in the number of non-factory bakery firms, it is expected that VA per employee for baking in total would still decline over time if the </w:t>
      </w:r>
      <w:r w:rsidRPr="00A042A4">
        <w:rPr>
          <w:i/>
        </w:rPr>
        <w:t>Economic Activity Survey</w:t>
      </w:r>
      <w:r>
        <w:t xml:space="preserve"> series was </w:t>
      </w:r>
      <w:proofErr w:type="spellStart"/>
      <w:r>
        <w:t>backcast</w:t>
      </w:r>
      <w:proofErr w:type="spellEnd"/>
      <w:r>
        <w:t xml:space="preserve"> (appendix G). (The data used to estimate MFP for </w:t>
      </w:r>
      <w:proofErr w:type="spellStart"/>
      <w:r>
        <w:t>FBT</w:t>
      </w:r>
      <w:proofErr w:type="spellEnd"/>
      <w:r>
        <w:t xml:space="preserve"> have been </w:t>
      </w:r>
      <w:proofErr w:type="spellStart"/>
      <w:r>
        <w:t>backcast</w:t>
      </w:r>
      <w:proofErr w:type="spellEnd"/>
      <w:r>
        <w:t xml:space="preserve"> for the inclusion of non-factory baking and other changes in </w:t>
      </w:r>
      <w:proofErr w:type="spellStart"/>
      <w:r>
        <w:t>ANZSIC</w:t>
      </w:r>
      <w:proofErr w:type="spellEnd"/>
      <w:r>
        <w:t>.)</w:t>
      </w:r>
    </w:p>
  </w:footnote>
  <w:footnote w:id="22">
    <w:p w:rsidR="0084492B" w:rsidRDefault="0084492B" w:rsidP="002C60A8">
      <w:pPr>
        <w:pStyle w:val="FootnoteText"/>
      </w:pPr>
      <w:r>
        <w:rPr>
          <w:rStyle w:val="FootnoteReference"/>
        </w:rPr>
        <w:footnoteRef/>
      </w:r>
      <w:r>
        <w:t xml:space="preserve"> </w:t>
      </w:r>
      <w:r>
        <w:tab/>
      </w:r>
      <w:r w:rsidRPr="00E432DE">
        <w:t>The number and shares of businesses</w:t>
      </w:r>
      <w:r w:rsidRPr="00AA7A74">
        <w:rPr>
          <w:b/>
        </w:rPr>
        <w:t xml:space="preserve"> </w:t>
      </w:r>
      <w:r w:rsidRPr="00AA7A74">
        <w:t>by turnover size show little change over this period</w:t>
      </w:r>
      <w:r w:rsidRPr="00FE2FBA">
        <w:t>,</w:t>
      </w:r>
      <w:r w:rsidRPr="00AA7A74">
        <w:rPr>
          <w:b/>
        </w:rPr>
        <w:t xml:space="preserve"> </w:t>
      </w:r>
      <w:r w:rsidRPr="00AA7A74">
        <w:t>based on data from</w:t>
      </w:r>
      <w:r w:rsidRPr="00AA7A74">
        <w:rPr>
          <w:b/>
        </w:rPr>
        <w:t xml:space="preserve"> </w:t>
      </w:r>
      <w:r>
        <w:t xml:space="preserve">ABS (2007). </w:t>
      </w:r>
    </w:p>
  </w:footnote>
  <w:footnote w:id="23">
    <w:p w:rsidR="0084492B" w:rsidRDefault="0084492B" w:rsidP="00404CF5">
      <w:pPr>
        <w:pStyle w:val="FootnoteText"/>
      </w:pPr>
      <w:r>
        <w:rPr>
          <w:rStyle w:val="FootnoteReference"/>
        </w:rPr>
        <w:footnoteRef/>
      </w:r>
      <w:r>
        <w:t xml:space="preserve"> </w:t>
      </w:r>
      <w:r>
        <w:tab/>
        <w:t xml:space="preserve">In figure </w:t>
      </w:r>
      <w:r>
        <w:fldChar w:fldCharType="begin"/>
      </w:r>
      <w:r>
        <w:instrText xml:space="preserve"> LINK Word.Document.12 "\\\\Nch1\\data\\groups\\GRB\\Projects and papers\\Current\\Manufacturing\\Drafts\\Chapter 5 Productivity in FBT.docx" "OLE_LINK26" \a \t </w:instrText>
      </w:r>
      <w:r>
        <w:fldChar w:fldCharType="separate"/>
      </w:r>
      <w:r>
        <w:t>5.20</w:t>
      </w:r>
      <w:r>
        <w:fldChar w:fldCharType="end"/>
      </w:r>
      <w:r>
        <w:t>, Sugar and confectionery is included in Other food manufacturing and Bakery does not include non-factory baking.</w:t>
      </w:r>
    </w:p>
  </w:footnote>
  <w:footnote w:id="24">
    <w:p w:rsidR="0084492B" w:rsidRDefault="0084492B" w:rsidP="003043F3">
      <w:pPr>
        <w:pStyle w:val="FootnoteText"/>
      </w:pPr>
      <w:r>
        <w:rPr>
          <w:rStyle w:val="FootnoteReference"/>
        </w:rPr>
        <w:footnoteRef/>
      </w:r>
      <w:r>
        <w:t xml:space="preserve"> </w:t>
      </w:r>
      <w:r>
        <w:tab/>
        <w:t xml:space="preserve">Disaggregated data not available for other assets. Very limited data are available for </w:t>
      </w:r>
      <w:proofErr w:type="spellStart"/>
      <w:r>
        <w:t>ANZSIC</w:t>
      </w:r>
      <w:proofErr w:type="spellEnd"/>
      <w:r>
        <w:t xml:space="preserve"> groups within Food and BT (appendix G).</w:t>
      </w:r>
    </w:p>
  </w:footnote>
  <w:footnote w:id="25">
    <w:p w:rsidR="0084492B" w:rsidRDefault="0084492B" w:rsidP="00033A79">
      <w:pPr>
        <w:pStyle w:val="FootnoteText"/>
      </w:pPr>
      <w:r>
        <w:rPr>
          <w:rStyle w:val="FootnoteReference"/>
        </w:rPr>
        <w:footnoteRef/>
      </w:r>
      <w:r>
        <w:t xml:space="preserve"> </w:t>
      </w:r>
      <w:r>
        <w:tab/>
        <w:t xml:space="preserve">Estimates of capital stocks are based on measures of investment and a range of assumptions including asset life (appendix A). For practical reasons the capital stock is not tracked at the level of individual assets or individual factories. </w:t>
      </w:r>
    </w:p>
  </w:footnote>
  <w:footnote w:id="26">
    <w:p w:rsidR="0084492B" w:rsidRDefault="0084492B">
      <w:pPr>
        <w:pStyle w:val="FootnoteText"/>
      </w:pPr>
      <w:r>
        <w:rPr>
          <w:rStyle w:val="FootnoteReference"/>
        </w:rPr>
        <w:footnoteRef/>
      </w:r>
      <w:r>
        <w:t xml:space="preserve"> </w:t>
      </w:r>
      <w:r w:rsidRPr="0090612D">
        <w:t xml:space="preserve">The volume of Australian exports </w:t>
      </w:r>
      <w:r>
        <w:t>reached</w:t>
      </w:r>
      <w:r w:rsidRPr="0090612D">
        <w:t xml:space="preserve"> 584 million</w:t>
      </w:r>
      <w:r>
        <w:t xml:space="preserve"> litres in 2003-04 (</w:t>
      </w:r>
      <w:r w:rsidRPr="0090612D">
        <w:t>growing from 201</w:t>
      </w:r>
      <w:r>
        <w:t> </w:t>
      </w:r>
      <w:r w:rsidRPr="0090612D">
        <w:t>million litres in 1998-99</w:t>
      </w:r>
      <w:r>
        <w:t>). By</w:t>
      </w:r>
      <w:r w:rsidRPr="0090612D">
        <w:t xml:space="preserve"> 2001-02, exports overtook domestic sales as the largest contributor to total Australian wine disposals.</w:t>
      </w:r>
    </w:p>
  </w:footnote>
  <w:footnote w:id="27">
    <w:p w:rsidR="0084492B" w:rsidRDefault="0084492B" w:rsidP="00626CBE">
      <w:pPr>
        <w:pStyle w:val="FootnoteText"/>
      </w:pPr>
      <w:r>
        <w:rPr>
          <w:rStyle w:val="FootnoteReference"/>
        </w:rPr>
        <w:footnoteRef/>
      </w:r>
      <w:r>
        <w:t xml:space="preserve"> </w:t>
      </w:r>
      <w:r>
        <w:tab/>
        <w:t xml:space="preserve">According to </w:t>
      </w:r>
      <w:proofErr w:type="spellStart"/>
      <w:r>
        <w:t>Winetitles</w:t>
      </w:r>
      <w:proofErr w:type="spellEnd"/>
      <w:r>
        <w:t xml:space="preserve"> (</w:t>
      </w:r>
      <w:r w:rsidRPr="00A64F7B">
        <w:t>2013</w:t>
      </w:r>
      <w:r>
        <w:t>), between 2004-05 and 2007-08 the number of wine producers crushing less than 500 tonnes grew by 21 per cent, while those crushing over 10 000 tonnes declined by 15 per cent. ABS (</w:t>
      </w:r>
      <w:proofErr w:type="spellStart"/>
      <w:r w:rsidRPr="00B07EA4">
        <w:t>2012</w:t>
      </w:r>
      <w:r>
        <w:t>e</w:t>
      </w:r>
      <w:proofErr w:type="spellEnd"/>
      <w:r w:rsidRPr="00A82F3F">
        <w:t>)</w:t>
      </w:r>
      <w:r>
        <w:t xml:space="preserve"> show a general consolidation in producer numbers (based on wineries crushing 50 tonnes or more of grapes).</w:t>
      </w:r>
    </w:p>
  </w:footnote>
  <w:footnote w:id="28">
    <w:p w:rsidR="0084492B" w:rsidRDefault="0084492B" w:rsidP="00626CBE">
      <w:pPr>
        <w:pStyle w:val="FootnoteText"/>
      </w:pPr>
      <w:r>
        <w:rPr>
          <w:rStyle w:val="FootnoteReference"/>
        </w:rPr>
        <w:footnoteRef/>
      </w:r>
      <w:r>
        <w:t xml:space="preserve"> </w:t>
      </w:r>
      <w:r>
        <w:tab/>
        <w:t>Derived from ABS (</w:t>
      </w:r>
      <w:r w:rsidRPr="008066C2">
        <w:rPr>
          <w:i/>
        </w:rPr>
        <w:t>Australian Industry</w:t>
      </w:r>
      <w:r>
        <w:t xml:space="preserve">, </w:t>
      </w:r>
      <w:r w:rsidRPr="00AD0DCC">
        <w:t>Cat. no. 8155.0)</w:t>
      </w:r>
      <w:r>
        <w:t>. Employment for 2007</w:t>
      </w:r>
      <w:r>
        <w:noBreakHyphen/>
        <w:t>08 was imputed as the average of the adjoining years, given that no estimate was published by the ABS.</w:t>
      </w:r>
    </w:p>
  </w:footnote>
  <w:footnote w:id="29">
    <w:p w:rsidR="0084492B" w:rsidRDefault="0084492B" w:rsidP="00B20B9B">
      <w:pPr>
        <w:pStyle w:val="FootnoteText"/>
      </w:pPr>
      <w:r>
        <w:rPr>
          <w:rStyle w:val="FootnoteReference"/>
        </w:rPr>
        <w:footnoteRef/>
      </w:r>
      <w:r>
        <w:t xml:space="preserve"> </w:t>
      </w:r>
      <w:r>
        <w:tab/>
        <w:t xml:space="preserve">VA growth between 2006-07 and 2007-08 alone is greater than the growth over cycle 3. This growth is due mainly to the classes of baking that are comparable with those included in the cycle 3 estimates. Earlier data for non-factory bakery are not available (appendix G). </w:t>
      </w:r>
    </w:p>
  </w:footnote>
  <w:footnote w:id="30">
    <w:p w:rsidR="0084492B" w:rsidRDefault="0084492B" w:rsidP="00283068">
      <w:pPr>
        <w:pStyle w:val="FootnoteText"/>
      </w:pPr>
      <w:r>
        <w:rPr>
          <w:rStyle w:val="FootnoteReference"/>
        </w:rPr>
        <w:footnoteRef/>
      </w:r>
      <w:r>
        <w:t xml:space="preserve"> </w:t>
      </w:r>
      <w:r>
        <w:tab/>
        <w:t xml:space="preserve">Given the wide ranges for the size categories, there could be considerable differences in actual average size. </w:t>
      </w:r>
    </w:p>
  </w:footnote>
  <w:footnote w:id="31">
    <w:p w:rsidR="0084492B" w:rsidRDefault="0084492B" w:rsidP="00A90777">
      <w:pPr>
        <w:pStyle w:val="FootnoteText"/>
      </w:pPr>
      <w:r>
        <w:rPr>
          <w:rStyle w:val="FootnoteReference"/>
        </w:rPr>
        <w:footnoteRef/>
      </w:r>
      <w:r>
        <w:t xml:space="preserve"> </w:t>
      </w:r>
      <w:r>
        <w:tab/>
        <w:t xml:space="preserve">Authors’ estimates based on ABS </w:t>
      </w:r>
      <w:r w:rsidRPr="00A85013">
        <w:t>(2007).</w:t>
      </w:r>
    </w:p>
  </w:footnote>
  <w:footnote w:id="32">
    <w:p w:rsidR="0084492B" w:rsidRDefault="0084492B" w:rsidP="00A90777">
      <w:pPr>
        <w:pStyle w:val="FootnoteText"/>
      </w:pPr>
      <w:r>
        <w:rPr>
          <w:rStyle w:val="FootnoteReference"/>
        </w:rPr>
        <w:footnoteRef/>
      </w:r>
      <w:r>
        <w:t xml:space="preserve"> </w:t>
      </w:r>
      <w:r>
        <w:tab/>
        <w:t xml:space="preserve">Non-factory bakery may also have a higher proportion of part-time employment. This may have contributed to the higher growth of employment than hours worked for Bakery over cycle 4 (figure </w:t>
      </w:r>
      <w:r>
        <w:fldChar w:fldCharType="begin"/>
      </w:r>
      <w:r>
        <w:instrText xml:space="preserve"> LINK Word.Document.12 "\\\\Nch1\\data\\groups\\GRB\\Projects and papers\\Current\\Manufacturing\\Drafts\\Chapter 5 Productivity in FBT.docx" "OLE_LINK27" \a \t </w:instrText>
      </w:r>
      <w:r>
        <w:fldChar w:fldCharType="separate"/>
      </w:r>
      <w:r>
        <w:t>5.26</w:t>
      </w:r>
      <w:r>
        <w:fldChar w:fldCharType="end"/>
      </w:r>
      <w:r>
        <w:t>).</w:t>
      </w:r>
    </w:p>
  </w:footnote>
  <w:footnote w:id="33">
    <w:p w:rsidR="0084492B" w:rsidRPr="00DB7692" w:rsidRDefault="0084492B" w:rsidP="00A90777">
      <w:pPr>
        <w:pStyle w:val="FootnoteText"/>
      </w:pPr>
      <w:r>
        <w:rPr>
          <w:rStyle w:val="FootnoteReference"/>
        </w:rPr>
        <w:footnoteRef/>
      </w:r>
      <w:r>
        <w:t xml:space="preserve"> </w:t>
      </w:r>
      <w:r>
        <w:tab/>
        <w:t xml:space="preserve">Growth in total hours worked in Bakery over cycle 4 (compared with cycle 3) may also have been affected by the change in industry classification — it was necessary for the ABS to </w:t>
      </w:r>
      <w:proofErr w:type="spellStart"/>
      <w:r>
        <w:t>backcast</w:t>
      </w:r>
      <w:proofErr w:type="spellEnd"/>
      <w:r>
        <w:t xml:space="preserve"> the </w:t>
      </w:r>
      <w:r w:rsidRPr="000E6FA0">
        <w:rPr>
          <w:i/>
        </w:rPr>
        <w:t>Labour Force Survey</w:t>
      </w:r>
      <w:r>
        <w:t xml:space="preserve"> data into </w:t>
      </w:r>
      <w:proofErr w:type="spellStart"/>
      <w:r>
        <w:t>ANZSIC06</w:t>
      </w:r>
      <w:proofErr w:type="spellEnd"/>
      <w:r>
        <w:t xml:space="preserve"> using assumptions (appendix G). </w:t>
      </w:r>
    </w:p>
  </w:footnote>
  <w:footnote w:id="34">
    <w:p w:rsidR="0084492B" w:rsidRPr="00A03781" w:rsidRDefault="0084492B" w:rsidP="00A90777">
      <w:pPr>
        <w:pStyle w:val="FootnoteText"/>
      </w:pPr>
      <w:r>
        <w:rPr>
          <w:rStyle w:val="FootnoteReference"/>
        </w:rPr>
        <w:footnoteRef/>
      </w:r>
      <w:r>
        <w:t xml:space="preserve"> </w:t>
      </w:r>
      <w:r>
        <w:tab/>
        <w:t>Ratio of o</w:t>
      </w:r>
      <w:r w:rsidRPr="00A03781">
        <w:t xml:space="preserve">perating profit before tax to </w:t>
      </w:r>
      <w:r>
        <w:t xml:space="preserve">income from </w:t>
      </w:r>
      <w:r w:rsidRPr="00A03781">
        <w:t xml:space="preserve">sale of goods, services, </w:t>
      </w:r>
      <w:r>
        <w:t xml:space="preserve">and </w:t>
      </w:r>
      <w:r w:rsidRPr="00A03781">
        <w:t xml:space="preserve">rent, leasing and hiring </w:t>
      </w:r>
      <w:r>
        <w:t>from ABS (</w:t>
      </w:r>
      <w:proofErr w:type="spellStart"/>
      <w:r>
        <w:t>2008c</w:t>
      </w:r>
      <w:proofErr w:type="spellEnd"/>
      <w:r>
        <w:t>).</w:t>
      </w:r>
      <w:r w:rsidRPr="00A03781">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4492B">
      <w:tc>
        <w:tcPr>
          <w:tcW w:w="2155" w:type="dxa"/>
          <w:tcBorders>
            <w:top w:val="single" w:sz="24" w:space="0" w:color="auto"/>
          </w:tcBorders>
        </w:tcPr>
        <w:p w:rsidR="0084492B" w:rsidRDefault="0084492B" w:rsidP="0019293B">
          <w:pPr>
            <w:pStyle w:val="HeaderEven"/>
          </w:pPr>
        </w:p>
      </w:tc>
      <w:tc>
        <w:tcPr>
          <w:tcW w:w="6634" w:type="dxa"/>
          <w:tcBorders>
            <w:top w:val="single" w:sz="6" w:space="0" w:color="auto"/>
          </w:tcBorders>
        </w:tcPr>
        <w:p w:rsidR="0084492B" w:rsidRDefault="0084492B" w:rsidP="0019293B">
          <w:pPr>
            <w:pStyle w:val="HeaderEven"/>
          </w:pPr>
        </w:p>
      </w:tc>
    </w:tr>
  </w:tbl>
  <w:p w:rsidR="0084492B" w:rsidRDefault="0084492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4492B">
      <w:tc>
        <w:tcPr>
          <w:tcW w:w="6634" w:type="dxa"/>
          <w:tcBorders>
            <w:top w:val="single" w:sz="6" w:space="0" w:color="auto"/>
          </w:tcBorders>
        </w:tcPr>
        <w:p w:rsidR="0084492B" w:rsidRDefault="0084492B" w:rsidP="00E669E2">
          <w:pPr>
            <w:pStyle w:val="HeaderOdd"/>
          </w:pPr>
        </w:p>
      </w:tc>
      <w:tc>
        <w:tcPr>
          <w:tcW w:w="2155" w:type="dxa"/>
          <w:tcBorders>
            <w:top w:val="single" w:sz="24" w:space="0" w:color="auto"/>
          </w:tcBorders>
        </w:tcPr>
        <w:p w:rsidR="0084492B" w:rsidRDefault="0084492B" w:rsidP="00E669E2">
          <w:pPr>
            <w:pStyle w:val="HeaderOdd"/>
          </w:pPr>
        </w:p>
      </w:tc>
    </w:tr>
  </w:tbl>
  <w:p w:rsidR="0084492B" w:rsidRDefault="0084492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F20F58"/>
    <w:lvl w:ilvl="0">
      <w:start w:val="1"/>
      <w:numFmt w:val="decimal"/>
      <w:lvlText w:val="%1."/>
      <w:lvlJc w:val="left"/>
      <w:pPr>
        <w:tabs>
          <w:tab w:val="num" w:pos="1492"/>
        </w:tabs>
        <w:ind w:left="1492" w:hanging="360"/>
      </w:pPr>
    </w:lvl>
  </w:abstractNum>
  <w:abstractNum w:abstractNumId="1">
    <w:nsid w:val="FFFFFF7D"/>
    <w:multiLevelType w:val="singleLevel"/>
    <w:tmpl w:val="7CE6E6F0"/>
    <w:lvl w:ilvl="0">
      <w:start w:val="1"/>
      <w:numFmt w:val="decimal"/>
      <w:lvlText w:val="%1."/>
      <w:lvlJc w:val="left"/>
      <w:pPr>
        <w:tabs>
          <w:tab w:val="num" w:pos="1209"/>
        </w:tabs>
        <w:ind w:left="1209" w:hanging="360"/>
      </w:pPr>
    </w:lvl>
  </w:abstractNum>
  <w:abstractNum w:abstractNumId="2">
    <w:nsid w:val="FFFFFF80"/>
    <w:multiLevelType w:val="singleLevel"/>
    <w:tmpl w:val="AD52B280"/>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E36C35FE"/>
    <w:lvl w:ilvl="0">
      <w:start w:val="1"/>
      <w:numFmt w:val="bullet"/>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0B5AF1CA"/>
    <w:lvl w:ilvl="0">
      <w:start w:val="1"/>
      <w:numFmt w:val="decimal"/>
      <w:lvlText w:val="%1."/>
      <w:lvlJc w:val="left"/>
      <w:pPr>
        <w:tabs>
          <w:tab w:val="num" w:pos="360"/>
        </w:tabs>
        <w:ind w:left="360" w:hanging="360"/>
      </w:pPr>
    </w:lvl>
  </w:abstractNum>
  <w:abstractNum w:abstractNumId="6">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F990A45"/>
    <w:multiLevelType w:val="hybridMultilevel"/>
    <w:tmpl w:val="D332B270"/>
    <w:lvl w:ilvl="0" w:tplc="ADD8B972">
      <w:start w:val="5"/>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7591C08"/>
    <w:multiLevelType w:val="hybridMultilevel"/>
    <w:tmpl w:val="1B028B82"/>
    <w:lvl w:ilvl="0" w:tplc="A2621EBA">
      <w:start w:val="1"/>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4F0A7CBA"/>
    <w:multiLevelType w:val="hybridMultilevel"/>
    <w:tmpl w:val="5F384736"/>
    <w:lvl w:ilvl="0" w:tplc="CF7455A8">
      <w:start w:val="5"/>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67F031A"/>
    <w:multiLevelType w:val="hybridMultilevel"/>
    <w:tmpl w:val="3D568A5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AD32568"/>
    <w:multiLevelType w:val="hybridMultilevel"/>
    <w:tmpl w:val="1658A44A"/>
    <w:lvl w:ilvl="0" w:tplc="F632A73C">
      <w:start w:val="1"/>
      <w:numFmt w:val="decimal"/>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10"/>
  </w:num>
  <w:num w:numId="3">
    <w:abstractNumId w:val="25"/>
  </w:num>
  <w:num w:numId="4">
    <w:abstractNumId w:val="8"/>
  </w:num>
  <w:num w:numId="5">
    <w:abstractNumId w:val="19"/>
  </w:num>
  <w:num w:numId="6">
    <w:abstractNumId w:val="9"/>
  </w:num>
  <w:num w:numId="7">
    <w:abstractNumId w:val="24"/>
  </w:num>
  <w:num w:numId="8">
    <w:abstractNumId w:val="21"/>
  </w:num>
  <w:num w:numId="9">
    <w:abstractNumId w:val="26"/>
  </w:num>
  <w:num w:numId="10">
    <w:abstractNumId w:val="14"/>
  </w:num>
  <w:num w:numId="11">
    <w:abstractNumId w:val="20"/>
  </w:num>
  <w:num w:numId="12">
    <w:abstractNumId w:val="12"/>
  </w:num>
  <w:num w:numId="13">
    <w:abstractNumId w:val="11"/>
  </w:num>
  <w:num w:numId="14">
    <w:abstractNumId w:val="15"/>
  </w:num>
  <w:num w:numId="15">
    <w:abstractNumId w:val="18"/>
  </w:num>
  <w:num w:numId="16">
    <w:abstractNumId w:val="7"/>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7">
    <w:abstractNumId w:val="5"/>
  </w:num>
  <w:num w:numId="18">
    <w:abstractNumId w:val="23"/>
  </w:num>
  <w:num w:numId="19">
    <w:abstractNumId w:val="9"/>
  </w:num>
  <w:num w:numId="20">
    <w:abstractNumId w:val="19"/>
  </w:num>
  <w:num w:numId="21">
    <w:abstractNumId w:val="6"/>
  </w:num>
  <w:num w:numId="22">
    <w:abstractNumId w:val="4"/>
  </w:num>
  <w:num w:numId="23">
    <w:abstractNumId w:val="8"/>
  </w:num>
  <w:num w:numId="24">
    <w:abstractNumId w:val="13"/>
  </w:num>
  <w:num w:numId="25">
    <w:abstractNumId w:val="3"/>
  </w:num>
  <w:num w:numId="26">
    <w:abstractNumId w:val="2"/>
  </w:num>
  <w:num w:numId="27">
    <w:abstractNumId w:val="1"/>
  </w:num>
  <w:num w:numId="28">
    <w:abstractNumId w:val="0"/>
  </w:num>
  <w:num w:numId="29">
    <w:abstractNumId w:val="22"/>
  </w:num>
  <w:num w:numId="30">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42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roductivity in FBT"/>
    <w:docVar w:name="ShortReportTitle" w:val="Productivity in manufacturing"/>
  </w:docVars>
  <w:rsids>
    <w:rsidRoot w:val="00050368"/>
    <w:rsid w:val="0000000D"/>
    <w:rsid w:val="000000D0"/>
    <w:rsid w:val="00000267"/>
    <w:rsid w:val="0000045D"/>
    <w:rsid w:val="00000C89"/>
    <w:rsid w:val="000012DD"/>
    <w:rsid w:val="0000136F"/>
    <w:rsid w:val="00001C2C"/>
    <w:rsid w:val="00001D7B"/>
    <w:rsid w:val="00001FBB"/>
    <w:rsid w:val="00002274"/>
    <w:rsid w:val="000027BD"/>
    <w:rsid w:val="000028B3"/>
    <w:rsid w:val="000029C8"/>
    <w:rsid w:val="00002BB8"/>
    <w:rsid w:val="000030FC"/>
    <w:rsid w:val="000033ED"/>
    <w:rsid w:val="00003BC7"/>
    <w:rsid w:val="00003FE0"/>
    <w:rsid w:val="00004096"/>
    <w:rsid w:val="0000497E"/>
    <w:rsid w:val="00004BB0"/>
    <w:rsid w:val="00005969"/>
    <w:rsid w:val="00005FDF"/>
    <w:rsid w:val="0000630A"/>
    <w:rsid w:val="00007159"/>
    <w:rsid w:val="0000738B"/>
    <w:rsid w:val="000074ED"/>
    <w:rsid w:val="000078D9"/>
    <w:rsid w:val="00007B20"/>
    <w:rsid w:val="00007B25"/>
    <w:rsid w:val="00007FDE"/>
    <w:rsid w:val="000100E9"/>
    <w:rsid w:val="0001041C"/>
    <w:rsid w:val="00010CC3"/>
    <w:rsid w:val="00010E3A"/>
    <w:rsid w:val="00010F58"/>
    <w:rsid w:val="000117B9"/>
    <w:rsid w:val="00011B8D"/>
    <w:rsid w:val="00011D5A"/>
    <w:rsid w:val="000127E6"/>
    <w:rsid w:val="00013106"/>
    <w:rsid w:val="00013116"/>
    <w:rsid w:val="00014035"/>
    <w:rsid w:val="000143C8"/>
    <w:rsid w:val="00014513"/>
    <w:rsid w:val="00014516"/>
    <w:rsid w:val="00014A6C"/>
    <w:rsid w:val="000152E2"/>
    <w:rsid w:val="000157D2"/>
    <w:rsid w:val="000158C6"/>
    <w:rsid w:val="00015974"/>
    <w:rsid w:val="00015AD4"/>
    <w:rsid w:val="000161B1"/>
    <w:rsid w:val="00016F8F"/>
    <w:rsid w:val="00017490"/>
    <w:rsid w:val="00020468"/>
    <w:rsid w:val="00020791"/>
    <w:rsid w:val="000207A9"/>
    <w:rsid w:val="00020820"/>
    <w:rsid w:val="00021D17"/>
    <w:rsid w:val="00022102"/>
    <w:rsid w:val="00022581"/>
    <w:rsid w:val="00022925"/>
    <w:rsid w:val="00022A74"/>
    <w:rsid w:val="00022EB2"/>
    <w:rsid w:val="00023439"/>
    <w:rsid w:val="00023E8A"/>
    <w:rsid w:val="00024365"/>
    <w:rsid w:val="000245AA"/>
    <w:rsid w:val="00024939"/>
    <w:rsid w:val="00025578"/>
    <w:rsid w:val="00025635"/>
    <w:rsid w:val="000257B6"/>
    <w:rsid w:val="00025D91"/>
    <w:rsid w:val="000261A7"/>
    <w:rsid w:val="000275E4"/>
    <w:rsid w:val="000277D6"/>
    <w:rsid w:val="00030B7E"/>
    <w:rsid w:val="00030C6E"/>
    <w:rsid w:val="000313D4"/>
    <w:rsid w:val="00031970"/>
    <w:rsid w:val="00031F27"/>
    <w:rsid w:val="000330CA"/>
    <w:rsid w:val="000339CE"/>
    <w:rsid w:val="00033A79"/>
    <w:rsid w:val="00033D19"/>
    <w:rsid w:val="00033DDA"/>
    <w:rsid w:val="00033F08"/>
    <w:rsid w:val="0003475A"/>
    <w:rsid w:val="00034F0C"/>
    <w:rsid w:val="000351B5"/>
    <w:rsid w:val="000357D0"/>
    <w:rsid w:val="00035804"/>
    <w:rsid w:val="000359C3"/>
    <w:rsid w:val="00035D38"/>
    <w:rsid w:val="000361BB"/>
    <w:rsid w:val="0003664B"/>
    <w:rsid w:val="00036778"/>
    <w:rsid w:val="00036AA6"/>
    <w:rsid w:val="00036D13"/>
    <w:rsid w:val="00037748"/>
    <w:rsid w:val="00037EB3"/>
    <w:rsid w:val="00037F05"/>
    <w:rsid w:val="00040183"/>
    <w:rsid w:val="0004038B"/>
    <w:rsid w:val="00040453"/>
    <w:rsid w:val="00040593"/>
    <w:rsid w:val="00040AE6"/>
    <w:rsid w:val="00040B26"/>
    <w:rsid w:val="00040E61"/>
    <w:rsid w:val="0004111F"/>
    <w:rsid w:val="0004130E"/>
    <w:rsid w:val="00041409"/>
    <w:rsid w:val="0004171F"/>
    <w:rsid w:val="00041C7B"/>
    <w:rsid w:val="00042733"/>
    <w:rsid w:val="00042C4B"/>
    <w:rsid w:val="000430BF"/>
    <w:rsid w:val="000433A0"/>
    <w:rsid w:val="000435E9"/>
    <w:rsid w:val="00043764"/>
    <w:rsid w:val="00043856"/>
    <w:rsid w:val="00043EC1"/>
    <w:rsid w:val="00044792"/>
    <w:rsid w:val="0004582C"/>
    <w:rsid w:val="000458EE"/>
    <w:rsid w:val="000461FE"/>
    <w:rsid w:val="000467F3"/>
    <w:rsid w:val="00046B02"/>
    <w:rsid w:val="00046BF2"/>
    <w:rsid w:val="00047029"/>
    <w:rsid w:val="000472BF"/>
    <w:rsid w:val="00047574"/>
    <w:rsid w:val="000477E7"/>
    <w:rsid w:val="00047872"/>
    <w:rsid w:val="00050368"/>
    <w:rsid w:val="0005054B"/>
    <w:rsid w:val="00050584"/>
    <w:rsid w:val="000508C5"/>
    <w:rsid w:val="00051CAD"/>
    <w:rsid w:val="00051E48"/>
    <w:rsid w:val="00052429"/>
    <w:rsid w:val="00052AEF"/>
    <w:rsid w:val="00053555"/>
    <w:rsid w:val="000535B7"/>
    <w:rsid w:val="000537A8"/>
    <w:rsid w:val="00053944"/>
    <w:rsid w:val="0005396E"/>
    <w:rsid w:val="00053CDD"/>
    <w:rsid w:val="00053EC2"/>
    <w:rsid w:val="00054067"/>
    <w:rsid w:val="0005447C"/>
    <w:rsid w:val="000544B9"/>
    <w:rsid w:val="00054CC9"/>
    <w:rsid w:val="000551BB"/>
    <w:rsid w:val="00055857"/>
    <w:rsid w:val="000562AD"/>
    <w:rsid w:val="000565B3"/>
    <w:rsid w:val="00056637"/>
    <w:rsid w:val="0005710B"/>
    <w:rsid w:val="0005767A"/>
    <w:rsid w:val="00057822"/>
    <w:rsid w:val="00057E24"/>
    <w:rsid w:val="00060012"/>
    <w:rsid w:val="000603A7"/>
    <w:rsid w:val="00060723"/>
    <w:rsid w:val="00060B69"/>
    <w:rsid w:val="00060DD7"/>
    <w:rsid w:val="00061112"/>
    <w:rsid w:val="00061BE5"/>
    <w:rsid w:val="00061FE6"/>
    <w:rsid w:val="00062104"/>
    <w:rsid w:val="000621A2"/>
    <w:rsid w:val="00062413"/>
    <w:rsid w:val="0006257D"/>
    <w:rsid w:val="00063AB0"/>
    <w:rsid w:val="00063B21"/>
    <w:rsid w:val="0006462D"/>
    <w:rsid w:val="00064831"/>
    <w:rsid w:val="00064D49"/>
    <w:rsid w:val="00065055"/>
    <w:rsid w:val="00065A2E"/>
    <w:rsid w:val="00065B94"/>
    <w:rsid w:val="00065E86"/>
    <w:rsid w:val="000661CF"/>
    <w:rsid w:val="00066D99"/>
    <w:rsid w:val="00066FA8"/>
    <w:rsid w:val="000670A5"/>
    <w:rsid w:val="00067570"/>
    <w:rsid w:val="00070AFD"/>
    <w:rsid w:val="0007149A"/>
    <w:rsid w:val="0007150B"/>
    <w:rsid w:val="00071512"/>
    <w:rsid w:val="000719B0"/>
    <w:rsid w:val="00071BB5"/>
    <w:rsid w:val="00071DC3"/>
    <w:rsid w:val="000720D9"/>
    <w:rsid w:val="00072DEB"/>
    <w:rsid w:val="00073148"/>
    <w:rsid w:val="00073174"/>
    <w:rsid w:val="000740F3"/>
    <w:rsid w:val="00074851"/>
    <w:rsid w:val="00074CFA"/>
    <w:rsid w:val="00074F3F"/>
    <w:rsid w:val="00075317"/>
    <w:rsid w:val="000755D8"/>
    <w:rsid w:val="0007588E"/>
    <w:rsid w:val="00075A81"/>
    <w:rsid w:val="000771CF"/>
    <w:rsid w:val="0007760D"/>
    <w:rsid w:val="0007762D"/>
    <w:rsid w:val="00077645"/>
    <w:rsid w:val="00077AB7"/>
    <w:rsid w:val="00077B66"/>
    <w:rsid w:val="00080097"/>
    <w:rsid w:val="00080283"/>
    <w:rsid w:val="00080371"/>
    <w:rsid w:val="00080503"/>
    <w:rsid w:val="000806E4"/>
    <w:rsid w:val="00080883"/>
    <w:rsid w:val="00080D4B"/>
    <w:rsid w:val="00080FEC"/>
    <w:rsid w:val="000814A2"/>
    <w:rsid w:val="000817CC"/>
    <w:rsid w:val="00081DDB"/>
    <w:rsid w:val="000824E4"/>
    <w:rsid w:val="000825FA"/>
    <w:rsid w:val="000827DF"/>
    <w:rsid w:val="00082849"/>
    <w:rsid w:val="00082913"/>
    <w:rsid w:val="00082F92"/>
    <w:rsid w:val="00083102"/>
    <w:rsid w:val="000836AC"/>
    <w:rsid w:val="00083DF9"/>
    <w:rsid w:val="000840F7"/>
    <w:rsid w:val="00084605"/>
    <w:rsid w:val="00084672"/>
    <w:rsid w:val="000849D2"/>
    <w:rsid w:val="00084A77"/>
    <w:rsid w:val="00085189"/>
    <w:rsid w:val="000854F1"/>
    <w:rsid w:val="000856A9"/>
    <w:rsid w:val="00085A1F"/>
    <w:rsid w:val="0008631C"/>
    <w:rsid w:val="00086416"/>
    <w:rsid w:val="00086AFC"/>
    <w:rsid w:val="00086D5F"/>
    <w:rsid w:val="00086D80"/>
    <w:rsid w:val="00087D2D"/>
    <w:rsid w:val="00090266"/>
    <w:rsid w:val="00090299"/>
    <w:rsid w:val="00090759"/>
    <w:rsid w:val="000911B7"/>
    <w:rsid w:val="000914C2"/>
    <w:rsid w:val="00091A60"/>
    <w:rsid w:val="0009209E"/>
    <w:rsid w:val="00092175"/>
    <w:rsid w:val="00092177"/>
    <w:rsid w:val="00092529"/>
    <w:rsid w:val="0009254F"/>
    <w:rsid w:val="000938F5"/>
    <w:rsid w:val="00093DE7"/>
    <w:rsid w:val="00093FED"/>
    <w:rsid w:val="00094FE3"/>
    <w:rsid w:val="0009572F"/>
    <w:rsid w:val="00095B89"/>
    <w:rsid w:val="00095F1C"/>
    <w:rsid w:val="00096115"/>
    <w:rsid w:val="000972B6"/>
    <w:rsid w:val="0009749C"/>
    <w:rsid w:val="000A09BF"/>
    <w:rsid w:val="000A12AA"/>
    <w:rsid w:val="000A148E"/>
    <w:rsid w:val="000A14DF"/>
    <w:rsid w:val="000A1B38"/>
    <w:rsid w:val="000A214D"/>
    <w:rsid w:val="000A2A68"/>
    <w:rsid w:val="000A3796"/>
    <w:rsid w:val="000A3E2A"/>
    <w:rsid w:val="000A44E7"/>
    <w:rsid w:val="000A4890"/>
    <w:rsid w:val="000A4949"/>
    <w:rsid w:val="000A500E"/>
    <w:rsid w:val="000A534B"/>
    <w:rsid w:val="000A56AF"/>
    <w:rsid w:val="000A5BCB"/>
    <w:rsid w:val="000A6640"/>
    <w:rsid w:val="000A699A"/>
    <w:rsid w:val="000A71CE"/>
    <w:rsid w:val="000A7427"/>
    <w:rsid w:val="000A774F"/>
    <w:rsid w:val="000A7AB0"/>
    <w:rsid w:val="000A7D36"/>
    <w:rsid w:val="000B025C"/>
    <w:rsid w:val="000B02C0"/>
    <w:rsid w:val="000B10F8"/>
    <w:rsid w:val="000B1A74"/>
    <w:rsid w:val="000B1F75"/>
    <w:rsid w:val="000B216B"/>
    <w:rsid w:val="000B2362"/>
    <w:rsid w:val="000B26CE"/>
    <w:rsid w:val="000B29AE"/>
    <w:rsid w:val="000B2E8D"/>
    <w:rsid w:val="000B3454"/>
    <w:rsid w:val="000B3543"/>
    <w:rsid w:val="000B379E"/>
    <w:rsid w:val="000B389C"/>
    <w:rsid w:val="000B44BF"/>
    <w:rsid w:val="000B48BD"/>
    <w:rsid w:val="000B493B"/>
    <w:rsid w:val="000B5859"/>
    <w:rsid w:val="000B601B"/>
    <w:rsid w:val="000B60C4"/>
    <w:rsid w:val="000B61EB"/>
    <w:rsid w:val="000B626B"/>
    <w:rsid w:val="000B6ADA"/>
    <w:rsid w:val="000B6FD7"/>
    <w:rsid w:val="000B7074"/>
    <w:rsid w:val="000B74B4"/>
    <w:rsid w:val="000B755F"/>
    <w:rsid w:val="000B77C9"/>
    <w:rsid w:val="000B7E01"/>
    <w:rsid w:val="000B7FD1"/>
    <w:rsid w:val="000C012F"/>
    <w:rsid w:val="000C029A"/>
    <w:rsid w:val="000C0A03"/>
    <w:rsid w:val="000C0BAA"/>
    <w:rsid w:val="000C1410"/>
    <w:rsid w:val="000C207E"/>
    <w:rsid w:val="000C2252"/>
    <w:rsid w:val="000C2632"/>
    <w:rsid w:val="000C2AFF"/>
    <w:rsid w:val="000C3B85"/>
    <w:rsid w:val="000C4030"/>
    <w:rsid w:val="000C4908"/>
    <w:rsid w:val="000C4973"/>
    <w:rsid w:val="000C5522"/>
    <w:rsid w:val="000C694E"/>
    <w:rsid w:val="000C69C3"/>
    <w:rsid w:val="000C6C6C"/>
    <w:rsid w:val="000C70A5"/>
    <w:rsid w:val="000C7769"/>
    <w:rsid w:val="000C77B6"/>
    <w:rsid w:val="000C7B2B"/>
    <w:rsid w:val="000C7B9C"/>
    <w:rsid w:val="000C7DDD"/>
    <w:rsid w:val="000C7DE3"/>
    <w:rsid w:val="000D034C"/>
    <w:rsid w:val="000D0436"/>
    <w:rsid w:val="000D06A9"/>
    <w:rsid w:val="000D1229"/>
    <w:rsid w:val="000D165F"/>
    <w:rsid w:val="000D173E"/>
    <w:rsid w:val="000D1B14"/>
    <w:rsid w:val="000D275C"/>
    <w:rsid w:val="000D290E"/>
    <w:rsid w:val="000D2C92"/>
    <w:rsid w:val="000D2F2E"/>
    <w:rsid w:val="000D3114"/>
    <w:rsid w:val="000D37EC"/>
    <w:rsid w:val="000D3C5B"/>
    <w:rsid w:val="000D3E00"/>
    <w:rsid w:val="000D41D9"/>
    <w:rsid w:val="000D47D2"/>
    <w:rsid w:val="000D4911"/>
    <w:rsid w:val="000D4A4A"/>
    <w:rsid w:val="000D4E7D"/>
    <w:rsid w:val="000D4E8F"/>
    <w:rsid w:val="000D504C"/>
    <w:rsid w:val="000D64A6"/>
    <w:rsid w:val="000D6F02"/>
    <w:rsid w:val="000D7716"/>
    <w:rsid w:val="000D7A96"/>
    <w:rsid w:val="000E00AB"/>
    <w:rsid w:val="000E0762"/>
    <w:rsid w:val="000E09CE"/>
    <w:rsid w:val="000E0DCE"/>
    <w:rsid w:val="000E0EB2"/>
    <w:rsid w:val="000E194B"/>
    <w:rsid w:val="000E19B3"/>
    <w:rsid w:val="000E205E"/>
    <w:rsid w:val="000E34E4"/>
    <w:rsid w:val="000E3D7E"/>
    <w:rsid w:val="000E3E21"/>
    <w:rsid w:val="000E4021"/>
    <w:rsid w:val="000E4162"/>
    <w:rsid w:val="000E41B5"/>
    <w:rsid w:val="000E4279"/>
    <w:rsid w:val="000E43F7"/>
    <w:rsid w:val="000E5219"/>
    <w:rsid w:val="000E55B4"/>
    <w:rsid w:val="000E5FD0"/>
    <w:rsid w:val="000E6590"/>
    <w:rsid w:val="000E6FA0"/>
    <w:rsid w:val="000E703E"/>
    <w:rsid w:val="000E7275"/>
    <w:rsid w:val="000E7A8B"/>
    <w:rsid w:val="000F0098"/>
    <w:rsid w:val="000F01D4"/>
    <w:rsid w:val="000F0EEA"/>
    <w:rsid w:val="000F157C"/>
    <w:rsid w:val="000F1E61"/>
    <w:rsid w:val="000F1EC9"/>
    <w:rsid w:val="000F204A"/>
    <w:rsid w:val="000F2125"/>
    <w:rsid w:val="000F2132"/>
    <w:rsid w:val="000F219D"/>
    <w:rsid w:val="000F2893"/>
    <w:rsid w:val="000F32B1"/>
    <w:rsid w:val="000F3945"/>
    <w:rsid w:val="000F423A"/>
    <w:rsid w:val="000F4641"/>
    <w:rsid w:val="000F4724"/>
    <w:rsid w:val="000F4D39"/>
    <w:rsid w:val="000F56CE"/>
    <w:rsid w:val="000F57D8"/>
    <w:rsid w:val="000F6390"/>
    <w:rsid w:val="000F6411"/>
    <w:rsid w:val="000F7344"/>
    <w:rsid w:val="0010009D"/>
    <w:rsid w:val="00100295"/>
    <w:rsid w:val="0010040F"/>
    <w:rsid w:val="00100BD6"/>
    <w:rsid w:val="0010179B"/>
    <w:rsid w:val="001019A1"/>
    <w:rsid w:val="00101A6A"/>
    <w:rsid w:val="00101FAA"/>
    <w:rsid w:val="001021BF"/>
    <w:rsid w:val="001022AA"/>
    <w:rsid w:val="001022EC"/>
    <w:rsid w:val="0010261A"/>
    <w:rsid w:val="00103076"/>
    <w:rsid w:val="00103657"/>
    <w:rsid w:val="001041B9"/>
    <w:rsid w:val="0010427F"/>
    <w:rsid w:val="0010462A"/>
    <w:rsid w:val="001047D9"/>
    <w:rsid w:val="0010492A"/>
    <w:rsid w:val="001057EF"/>
    <w:rsid w:val="00105E25"/>
    <w:rsid w:val="00106076"/>
    <w:rsid w:val="0010655E"/>
    <w:rsid w:val="00106CD6"/>
    <w:rsid w:val="00107001"/>
    <w:rsid w:val="001076F5"/>
    <w:rsid w:val="00107CB0"/>
    <w:rsid w:val="00110116"/>
    <w:rsid w:val="0011029A"/>
    <w:rsid w:val="0011031C"/>
    <w:rsid w:val="001104D8"/>
    <w:rsid w:val="001112C2"/>
    <w:rsid w:val="001113CF"/>
    <w:rsid w:val="001121FE"/>
    <w:rsid w:val="0011225C"/>
    <w:rsid w:val="0011237B"/>
    <w:rsid w:val="00113371"/>
    <w:rsid w:val="00114381"/>
    <w:rsid w:val="00115221"/>
    <w:rsid w:val="001159D9"/>
    <w:rsid w:val="001160C7"/>
    <w:rsid w:val="001160F1"/>
    <w:rsid w:val="00116200"/>
    <w:rsid w:val="001163FA"/>
    <w:rsid w:val="00116D55"/>
    <w:rsid w:val="00117080"/>
    <w:rsid w:val="00117451"/>
    <w:rsid w:val="0011794C"/>
    <w:rsid w:val="00117A4C"/>
    <w:rsid w:val="00117D4C"/>
    <w:rsid w:val="001206E2"/>
    <w:rsid w:val="00120715"/>
    <w:rsid w:val="00120927"/>
    <w:rsid w:val="00120FD3"/>
    <w:rsid w:val="001217F1"/>
    <w:rsid w:val="001219E9"/>
    <w:rsid w:val="0012250D"/>
    <w:rsid w:val="00122834"/>
    <w:rsid w:val="00122B8D"/>
    <w:rsid w:val="0012334A"/>
    <w:rsid w:val="001234E8"/>
    <w:rsid w:val="00123A57"/>
    <w:rsid w:val="0012422A"/>
    <w:rsid w:val="00124F9F"/>
    <w:rsid w:val="0012508A"/>
    <w:rsid w:val="001252B3"/>
    <w:rsid w:val="001252CF"/>
    <w:rsid w:val="00125638"/>
    <w:rsid w:val="00125811"/>
    <w:rsid w:val="00125F4E"/>
    <w:rsid w:val="0012614A"/>
    <w:rsid w:val="00126416"/>
    <w:rsid w:val="00126820"/>
    <w:rsid w:val="00126E96"/>
    <w:rsid w:val="00126EA4"/>
    <w:rsid w:val="00126EB8"/>
    <w:rsid w:val="00127614"/>
    <w:rsid w:val="0013056D"/>
    <w:rsid w:val="0013191D"/>
    <w:rsid w:val="0013216D"/>
    <w:rsid w:val="0013261E"/>
    <w:rsid w:val="0013284C"/>
    <w:rsid w:val="00132B33"/>
    <w:rsid w:val="00132F9F"/>
    <w:rsid w:val="00133191"/>
    <w:rsid w:val="00133413"/>
    <w:rsid w:val="0013342F"/>
    <w:rsid w:val="00133D3C"/>
    <w:rsid w:val="00133E12"/>
    <w:rsid w:val="00134D50"/>
    <w:rsid w:val="00134DE0"/>
    <w:rsid w:val="00134EEA"/>
    <w:rsid w:val="001354B4"/>
    <w:rsid w:val="00135C37"/>
    <w:rsid w:val="0013612A"/>
    <w:rsid w:val="00136332"/>
    <w:rsid w:val="001363AA"/>
    <w:rsid w:val="001366DC"/>
    <w:rsid w:val="001368A5"/>
    <w:rsid w:val="00137B18"/>
    <w:rsid w:val="00140CA4"/>
    <w:rsid w:val="00140E68"/>
    <w:rsid w:val="001427BF"/>
    <w:rsid w:val="00142B79"/>
    <w:rsid w:val="00143CE7"/>
    <w:rsid w:val="00144616"/>
    <w:rsid w:val="00144994"/>
    <w:rsid w:val="0014502C"/>
    <w:rsid w:val="0014509A"/>
    <w:rsid w:val="00146285"/>
    <w:rsid w:val="00146D94"/>
    <w:rsid w:val="00146FAE"/>
    <w:rsid w:val="001471DA"/>
    <w:rsid w:val="0014778F"/>
    <w:rsid w:val="00147969"/>
    <w:rsid w:val="00147BA0"/>
    <w:rsid w:val="0015026F"/>
    <w:rsid w:val="00150621"/>
    <w:rsid w:val="00151602"/>
    <w:rsid w:val="00151606"/>
    <w:rsid w:val="0015206E"/>
    <w:rsid w:val="001521F2"/>
    <w:rsid w:val="00152B20"/>
    <w:rsid w:val="00153137"/>
    <w:rsid w:val="00153862"/>
    <w:rsid w:val="00153F71"/>
    <w:rsid w:val="001545C5"/>
    <w:rsid w:val="001545D9"/>
    <w:rsid w:val="00154B77"/>
    <w:rsid w:val="00155735"/>
    <w:rsid w:val="00155904"/>
    <w:rsid w:val="00155D78"/>
    <w:rsid w:val="00155D9F"/>
    <w:rsid w:val="00156878"/>
    <w:rsid w:val="001577A1"/>
    <w:rsid w:val="00157C56"/>
    <w:rsid w:val="00160239"/>
    <w:rsid w:val="00160C67"/>
    <w:rsid w:val="00161543"/>
    <w:rsid w:val="00161FEB"/>
    <w:rsid w:val="00162037"/>
    <w:rsid w:val="00162255"/>
    <w:rsid w:val="00162346"/>
    <w:rsid w:val="00162967"/>
    <w:rsid w:val="00162B15"/>
    <w:rsid w:val="00162CEA"/>
    <w:rsid w:val="00163CA2"/>
    <w:rsid w:val="00164387"/>
    <w:rsid w:val="001644B4"/>
    <w:rsid w:val="0016465B"/>
    <w:rsid w:val="00164964"/>
    <w:rsid w:val="00164A31"/>
    <w:rsid w:val="00164CE2"/>
    <w:rsid w:val="00165046"/>
    <w:rsid w:val="00165382"/>
    <w:rsid w:val="00165610"/>
    <w:rsid w:val="0016599D"/>
    <w:rsid w:val="00165AFC"/>
    <w:rsid w:val="0016645C"/>
    <w:rsid w:val="0016648F"/>
    <w:rsid w:val="00166F3E"/>
    <w:rsid w:val="00167110"/>
    <w:rsid w:val="00167471"/>
    <w:rsid w:val="001678BA"/>
    <w:rsid w:val="00170645"/>
    <w:rsid w:val="00170E50"/>
    <w:rsid w:val="00171A07"/>
    <w:rsid w:val="00171C3E"/>
    <w:rsid w:val="00171D53"/>
    <w:rsid w:val="001724F0"/>
    <w:rsid w:val="0017257E"/>
    <w:rsid w:val="00172E05"/>
    <w:rsid w:val="00173050"/>
    <w:rsid w:val="001743A7"/>
    <w:rsid w:val="0017451A"/>
    <w:rsid w:val="00174972"/>
    <w:rsid w:val="001749FA"/>
    <w:rsid w:val="00174C95"/>
    <w:rsid w:val="00174D5B"/>
    <w:rsid w:val="00174F42"/>
    <w:rsid w:val="00175435"/>
    <w:rsid w:val="00175962"/>
    <w:rsid w:val="001765B5"/>
    <w:rsid w:val="0017695B"/>
    <w:rsid w:val="0017699D"/>
    <w:rsid w:val="00176C1F"/>
    <w:rsid w:val="001772DD"/>
    <w:rsid w:val="00177682"/>
    <w:rsid w:val="001777B4"/>
    <w:rsid w:val="00177A69"/>
    <w:rsid w:val="0018074F"/>
    <w:rsid w:val="00180CC0"/>
    <w:rsid w:val="00180EC8"/>
    <w:rsid w:val="0018179A"/>
    <w:rsid w:val="00181B4F"/>
    <w:rsid w:val="0018204B"/>
    <w:rsid w:val="001824DC"/>
    <w:rsid w:val="00182943"/>
    <w:rsid w:val="00182E66"/>
    <w:rsid w:val="00183B93"/>
    <w:rsid w:val="00183E82"/>
    <w:rsid w:val="0018410C"/>
    <w:rsid w:val="001848CF"/>
    <w:rsid w:val="00184B25"/>
    <w:rsid w:val="00185686"/>
    <w:rsid w:val="00185F91"/>
    <w:rsid w:val="0018663C"/>
    <w:rsid w:val="00186754"/>
    <w:rsid w:val="0018687A"/>
    <w:rsid w:val="00186FD7"/>
    <w:rsid w:val="001877DB"/>
    <w:rsid w:val="001877FC"/>
    <w:rsid w:val="00190375"/>
    <w:rsid w:val="00190753"/>
    <w:rsid w:val="00190D58"/>
    <w:rsid w:val="00191334"/>
    <w:rsid w:val="00191352"/>
    <w:rsid w:val="0019184B"/>
    <w:rsid w:val="00191DD7"/>
    <w:rsid w:val="00192893"/>
    <w:rsid w:val="0019293B"/>
    <w:rsid w:val="00192FF5"/>
    <w:rsid w:val="00193BA9"/>
    <w:rsid w:val="0019465A"/>
    <w:rsid w:val="00194926"/>
    <w:rsid w:val="001957B2"/>
    <w:rsid w:val="0019582A"/>
    <w:rsid w:val="001959B6"/>
    <w:rsid w:val="001963F6"/>
    <w:rsid w:val="001966D0"/>
    <w:rsid w:val="00196B5D"/>
    <w:rsid w:val="00197434"/>
    <w:rsid w:val="001A0131"/>
    <w:rsid w:val="001A03A7"/>
    <w:rsid w:val="001A044F"/>
    <w:rsid w:val="001A15D2"/>
    <w:rsid w:val="001A177C"/>
    <w:rsid w:val="001A18EB"/>
    <w:rsid w:val="001A1E22"/>
    <w:rsid w:val="001A1E3F"/>
    <w:rsid w:val="001A1F49"/>
    <w:rsid w:val="001A26F5"/>
    <w:rsid w:val="001A2B7F"/>
    <w:rsid w:val="001A3034"/>
    <w:rsid w:val="001A32E3"/>
    <w:rsid w:val="001A3800"/>
    <w:rsid w:val="001A38CE"/>
    <w:rsid w:val="001A3C16"/>
    <w:rsid w:val="001A411D"/>
    <w:rsid w:val="001A4CAD"/>
    <w:rsid w:val="001A5E0E"/>
    <w:rsid w:val="001A668A"/>
    <w:rsid w:val="001A6873"/>
    <w:rsid w:val="001A7A6E"/>
    <w:rsid w:val="001A7D2D"/>
    <w:rsid w:val="001A7DB8"/>
    <w:rsid w:val="001B0006"/>
    <w:rsid w:val="001B049F"/>
    <w:rsid w:val="001B06B1"/>
    <w:rsid w:val="001B0720"/>
    <w:rsid w:val="001B0EAF"/>
    <w:rsid w:val="001B1544"/>
    <w:rsid w:val="001B15DC"/>
    <w:rsid w:val="001B172B"/>
    <w:rsid w:val="001B193C"/>
    <w:rsid w:val="001B1D2C"/>
    <w:rsid w:val="001B1FA6"/>
    <w:rsid w:val="001B25FD"/>
    <w:rsid w:val="001B2EA7"/>
    <w:rsid w:val="001B39E0"/>
    <w:rsid w:val="001B3A77"/>
    <w:rsid w:val="001B3F6B"/>
    <w:rsid w:val="001B3F77"/>
    <w:rsid w:val="001B48C9"/>
    <w:rsid w:val="001B48F5"/>
    <w:rsid w:val="001B4AF9"/>
    <w:rsid w:val="001B4B21"/>
    <w:rsid w:val="001B4E2B"/>
    <w:rsid w:val="001B5132"/>
    <w:rsid w:val="001B5DB6"/>
    <w:rsid w:val="001B5F96"/>
    <w:rsid w:val="001B6E9D"/>
    <w:rsid w:val="001B7ACE"/>
    <w:rsid w:val="001B7AD0"/>
    <w:rsid w:val="001B7BF4"/>
    <w:rsid w:val="001C02A8"/>
    <w:rsid w:val="001C0865"/>
    <w:rsid w:val="001C0887"/>
    <w:rsid w:val="001C0EB9"/>
    <w:rsid w:val="001C1050"/>
    <w:rsid w:val="001C1204"/>
    <w:rsid w:val="001C1724"/>
    <w:rsid w:val="001C1F01"/>
    <w:rsid w:val="001C1F6C"/>
    <w:rsid w:val="001C1F70"/>
    <w:rsid w:val="001C20B4"/>
    <w:rsid w:val="001C24A2"/>
    <w:rsid w:val="001C254E"/>
    <w:rsid w:val="001C2F00"/>
    <w:rsid w:val="001C36F0"/>
    <w:rsid w:val="001C3ABA"/>
    <w:rsid w:val="001C4298"/>
    <w:rsid w:val="001C4A31"/>
    <w:rsid w:val="001C5E3C"/>
    <w:rsid w:val="001C652E"/>
    <w:rsid w:val="001C69EA"/>
    <w:rsid w:val="001C6C54"/>
    <w:rsid w:val="001C78D0"/>
    <w:rsid w:val="001D025F"/>
    <w:rsid w:val="001D04F3"/>
    <w:rsid w:val="001D0928"/>
    <w:rsid w:val="001D0E45"/>
    <w:rsid w:val="001D12DA"/>
    <w:rsid w:val="001D1F74"/>
    <w:rsid w:val="001D2D55"/>
    <w:rsid w:val="001D362D"/>
    <w:rsid w:val="001D37E6"/>
    <w:rsid w:val="001D3B93"/>
    <w:rsid w:val="001D48EE"/>
    <w:rsid w:val="001D4EBB"/>
    <w:rsid w:val="001D5372"/>
    <w:rsid w:val="001D591E"/>
    <w:rsid w:val="001D59A1"/>
    <w:rsid w:val="001D5BF5"/>
    <w:rsid w:val="001D5DBA"/>
    <w:rsid w:val="001D6158"/>
    <w:rsid w:val="001D6717"/>
    <w:rsid w:val="001D6D5A"/>
    <w:rsid w:val="001D7CC6"/>
    <w:rsid w:val="001D7E3A"/>
    <w:rsid w:val="001E010C"/>
    <w:rsid w:val="001E0200"/>
    <w:rsid w:val="001E037D"/>
    <w:rsid w:val="001E10AB"/>
    <w:rsid w:val="001E228A"/>
    <w:rsid w:val="001E25D7"/>
    <w:rsid w:val="001E2A87"/>
    <w:rsid w:val="001E2AF3"/>
    <w:rsid w:val="001E3082"/>
    <w:rsid w:val="001E3807"/>
    <w:rsid w:val="001E3B61"/>
    <w:rsid w:val="001E3C83"/>
    <w:rsid w:val="001E43BD"/>
    <w:rsid w:val="001E45E6"/>
    <w:rsid w:val="001E4DB6"/>
    <w:rsid w:val="001E56B9"/>
    <w:rsid w:val="001E5753"/>
    <w:rsid w:val="001E5CD3"/>
    <w:rsid w:val="001E6B5E"/>
    <w:rsid w:val="001E7403"/>
    <w:rsid w:val="001E7706"/>
    <w:rsid w:val="001E78F5"/>
    <w:rsid w:val="001E7BE8"/>
    <w:rsid w:val="001E7C41"/>
    <w:rsid w:val="001E7DF7"/>
    <w:rsid w:val="001F00FD"/>
    <w:rsid w:val="001F0248"/>
    <w:rsid w:val="001F0252"/>
    <w:rsid w:val="001F077A"/>
    <w:rsid w:val="001F15C7"/>
    <w:rsid w:val="001F20A7"/>
    <w:rsid w:val="001F24F8"/>
    <w:rsid w:val="001F2960"/>
    <w:rsid w:val="001F29DF"/>
    <w:rsid w:val="001F2AB0"/>
    <w:rsid w:val="001F2C1A"/>
    <w:rsid w:val="001F3329"/>
    <w:rsid w:val="001F3D11"/>
    <w:rsid w:val="001F3EB3"/>
    <w:rsid w:val="001F414F"/>
    <w:rsid w:val="001F4418"/>
    <w:rsid w:val="001F5274"/>
    <w:rsid w:val="001F6257"/>
    <w:rsid w:val="001F6568"/>
    <w:rsid w:val="001F6B67"/>
    <w:rsid w:val="00200354"/>
    <w:rsid w:val="00200564"/>
    <w:rsid w:val="00200961"/>
    <w:rsid w:val="00200B72"/>
    <w:rsid w:val="00200D1C"/>
    <w:rsid w:val="00201142"/>
    <w:rsid w:val="002011D6"/>
    <w:rsid w:val="00201D26"/>
    <w:rsid w:val="00202C2C"/>
    <w:rsid w:val="00203397"/>
    <w:rsid w:val="0020376C"/>
    <w:rsid w:val="002041DC"/>
    <w:rsid w:val="00204BF0"/>
    <w:rsid w:val="00204F00"/>
    <w:rsid w:val="002055B1"/>
    <w:rsid w:val="00205918"/>
    <w:rsid w:val="002059FA"/>
    <w:rsid w:val="00205ACC"/>
    <w:rsid w:val="00205B69"/>
    <w:rsid w:val="00205D36"/>
    <w:rsid w:val="00205F47"/>
    <w:rsid w:val="00207C6C"/>
    <w:rsid w:val="00207CF0"/>
    <w:rsid w:val="00207DD0"/>
    <w:rsid w:val="0021029A"/>
    <w:rsid w:val="00210889"/>
    <w:rsid w:val="00210966"/>
    <w:rsid w:val="00210A02"/>
    <w:rsid w:val="00210A7B"/>
    <w:rsid w:val="00210AB4"/>
    <w:rsid w:val="0021111F"/>
    <w:rsid w:val="002119F9"/>
    <w:rsid w:val="002124D0"/>
    <w:rsid w:val="00212A33"/>
    <w:rsid w:val="00212F80"/>
    <w:rsid w:val="00213077"/>
    <w:rsid w:val="00213170"/>
    <w:rsid w:val="002131BB"/>
    <w:rsid w:val="002133A1"/>
    <w:rsid w:val="002144B6"/>
    <w:rsid w:val="002147A3"/>
    <w:rsid w:val="00214BC3"/>
    <w:rsid w:val="00214F98"/>
    <w:rsid w:val="00215574"/>
    <w:rsid w:val="00215D99"/>
    <w:rsid w:val="00215E91"/>
    <w:rsid w:val="0021607E"/>
    <w:rsid w:val="0021647C"/>
    <w:rsid w:val="00216D3D"/>
    <w:rsid w:val="00216DD8"/>
    <w:rsid w:val="00216E8E"/>
    <w:rsid w:val="00216FFD"/>
    <w:rsid w:val="00217305"/>
    <w:rsid w:val="0021773F"/>
    <w:rsid w:val="00220440"/>
    <w:rsid w:val="00220845"/>
    <w:rsid w:val="00220EB0"/>
    <w:rsid w:val="002210B7"/>
    <w:rsid w:val="00221329"/>
    <w:rsid w:val="00221418"/>
    <w:rsid w:val="00221679"/>
    <w:rsid w:val="00221B80"/>
    <w:rsid w:val="00221D5E"/>
    <w:rsid w:val="00221D92"/>
    <w:rsid w:val="00222A89"/>
    <w:rsid w:val="00222D5E"/>
    <w:rsid w:val="00222DB3"/>
    <w:rsid w:val="0022394E"/>
    <w:rsid w:val="002239EE"/>
    <w:rsid w:val="00223ACF"/>
    <w:rsid w:val="00223D97"/>
    <w:rsid w:val="002241B0"/>
    <w:rsid w:val="00224445"/>
    <w:rsid w:val="00224D93"/>
    <w:rsid w:val="002257D8"/>
    <w:rsid w:val="002258D2"/>
    <w:rsid w:val="002263AE"/>
    <w:rsid w:val="002266B5"/>
    <w:rsid w:val="00226919"/>
    <w:rsid w:val="00226DE0"/>
    <w:rsid w:val="0022708F"/>
    <w:rsid w:val="00227E7D"/>
    <w:rsid w:val="00227FAF"/>
    <w:rsid w:val="00230209"/>
    <w:rsid w:val="0023020B"/>
    <w:rsid w:val="00230284"/>
    <w:rsid w:val="0023034F"/>
    <w:rsid w:val="002307BE"/>
    <w:rsid w:val="00230DCF"/>
    <w:rsid w:val="0023121A"/>
    <w:rsid w:val="0023122A"/>
    <w:rsid w:val="00234292"/>
    <w:rsid w:val="0023435C"/>
    <w:rsid w:val="002349F6"/>
    <w:rsid w:val="00234C4B"/>
    <w:rsid w:val="002357DC"/>
    <w:rsid w:val="0023591B"/>
    <w:rsid w:val="00235AC9"/>
    <w:rsid w:val="0023682B"/>
    <w:rsid w:val="00236919"/>
    <w:rsid w:val="002370A8"/>
    <w:rsid w:val="00237542"/>
    <w:rsid w:val="002375A9"/>
    <w:rsid w:val="002401CD"/>
    <w:rsid w:val="00240271"/>
    <w:rsid w:val="0024051F"/>
    <w:rsid w:val="00240599"/>
    <w:rsid w:val="0024195C"/>
    <w:rsid w:val="00241D53"/>
    <w:rsid w:val="0024200D"/>
    <w:rsid w:val="00242279"/>
    <w:rsid w:val="0024278E"/>
    <w:rsid w:val="0024285C"/>
    <w:rsid w:val="00242A5F"/>
    <w:rsid w:val="0024311B"/>
    <w:rsid w:val="002432AD"/>
    <w:rsid w:val="0024443A"/>
    <w:rsid w:val="0024443E"/>
    <w:rsid w:val="0024536E"/>
    <w:rsid w:val="00245445"/>
    <w:rsid w:val="00245A9E"/>
    <w:rsid w:val="00245B13"/>
    <w:rsid w:val="00245C82"/>
    <w:rsid w:val="002465E7"/>
    <w:rsid w:val="00246A2F"/>
    <w:rsid w:val="00246B61"/>
    <w:rsid w:val="00246BC8"/>
    <w:rsid w:val="00246E48"/>
    <w:rsid w:val="002473D7"/>
    <w:rsid w:val="00247B6C"/>
    <w:rsid w:val="00250243"/>
    <w:rsid w:val="002509CF"/>
    <w:rsid w:val="00250A2C"/>
    <w:rsid w:val="00250A34"/>
    <w:rsid w:val="00251B3D"/>
    <w:rsid w:val="00251C1E"/>
    <w:rsid w:val="00251C4D"/>
    <w:rsid w:val="002523F3"/>
    <w:rsid w:val="002528BA"/>
    <w:rsid w:val="00252D53"/>
    <w:rsid w:val="002532CA"/>
    <w:rsid w:val="00253321"/>
    <w:rsid w:val="0025342C"/>
    <w:rsid w:val="00253A1E"/>
    <w:rsid w:val="00253B4E"/>
    <w:rsid w:val="00253C92"/>
    <w:rsid w:val="002541C9"/>
    <w:rsid w:val="0025483C"/>
    <w:rsid w:val="00255259"/>
    <w:rsid w:val="0025526B"/>
    <w:rsid w:val="0025551E"/>
    <w:rsid w:val="00255BD1"/>
    <w:rsid w:val="00256119"/>
    <w:rsid w:val="00256133"/>
    <w:rsid w:val="00260F06"/>
    <w:rsid w:val="00261494"/>
    <w:rsid w:val="002615D2"/>
    <w:rsid w:val="0026161B"/>
    <w:rsid w:val="002619A1"/>
    <w:rsid w:val="00262005"/>
    <w:rsid w:val="002621DA"/>
    <w:rsid w:val="0026242A"/>
    <w:rsid w:val="0026250B"/>
    <w:rsid w:val="002629DA"/>
    <w:rsid w:val="00262BCA"/>
    <w:rsid w:val="00263120"/>
    <w:rsid w:val="00263883"/>
    <w:rsid w:val="002641CB"/>
    <w:rsid w:val="00264BF4"/>
    <w:rsid w:val="002655F0"/>
    <w:rsid w:val="00265B7B"/>
    <w:rsid w:val="00266151"/>
    <w:rsid w:val="0026665E"/>
    <w:rsid w:val="0026698F"/>
    <w:rsid w:val="00266B32"/>
    <w:rsid w:val="00266ED5"/>
    <w:rsid w:val="00267653"/>
    <w:rsid w:val="00267743"/>
    <w:rsid w:val="00267897"/>
    <w:rsid w:val="00270159"/>
    <w:rsid w:val="00270210"/>
    <w:rsid w:val="002702A4"/>
    <w:rsid w:val="00270954"/>
    <w:rsid w:val="00270DDA"/>
    <w:rsid w:val="002712A2"/>
    <w:rsid w:val="002712E5"/>
    <w:rsid w:val="002716F2"/>
    <w:rsid w:val="00271996"/>
    <w:rsid w:val="00271AF5"/>
    <w:rsid w:val="00271C97"/>
    <w:rsid w:val="00271DC1"/>
    <w:rsid w:val="00272D15"/>
    <w:rsid w:val="00273045"/>
    <w:rsid w:val="00273324"/>
    <w:rsid w:val="002742C0"/>
    <w:rsid w:val="002743D1"/>
    <w:rsid w:val="002752F7"/>
    <w:rsid w:val="002755FC"/>
    <w:rsid w:val="00275F94"/>
    <w:rsid w:val="002764D2"/>
    <w:rsid w:val="00277341"/>
    <w:rsid w:val="00277B64"/>
    <w:rsid w:val="00277F91"/>
    <w:rsid w:val="00280217"/>
    <w:rsid w:val="002812D0"/>
    <w:rsid w:val="002815AB"/>
    <w:rsid w:val="00281D61"/>
    <w:rsid w:val="00281F37"/>
    <w:rsid w:val="00283068"/>
    <w:rsid w:val="002831CA"/>
    <w:rsid w:val="00283901"/>
    <w:rsid w:val="00283977"/>
    <w:rsid w:val="00283FDF"/>
    <w:rsid w:val="0028451F"/>
    <w:rsid w:val="0028466C"/>
    <w:rsid w:val="002847F0"/>
    <w:rsid w:val="00284896"/>
    <w:rsid w:val="0028549B"/>
    <w:rsid w:val="0028573C"/>
    <w:rsid w:val="002857EB"/>
    <w:rsid w:val="002858D6"/>
    <w:rsid w:val="00285F6E"/>
    <w:rsid w:val="00286115"/>
    <w:rsid w:val="00286CFB"/>
    <w:rsid w:val="002874CF"/>
    <w:rsid w:val="00287B60"/>
    <w:rsid w:val="00287DEC"/>
    <w:rsid w:val="00287EA4"/>
    <w:rsid w:val="00290708"/>
    <w:rsid w:val="00290B28"/>
    <w:rsid w:val="00291B40"/>
    <w:rsid w:val="0029207E"/>
    <w:rsid w:val="002920C0"/>
    <w:rsid w:val="00292683"/>
    <w:rsid w:val="00292B80"/>
    <w:rsid w:val="00293369"/>
    <w:rsid w:val="002936E3"/>
    <w:rsid w:val="00294278"/>
    <w:rsid w:val="00295071"/>
    <w:rsid w:val="0029512A"/>
    <w:rsid w:val="00295907"/>
    <w:rsid w:val="00295998"/>
    <w:rsid w:val="00295A3D"/>
    <w:rsid w:val="00296580"/>
    <w:rsid w:val="00296843"/>
    <w:rsid w:val="002972C1"/>
    <w:rsid w:val="002972FC"/>
    <w:rsid w:val="0029733A"/>
    <w:rsid w:val="00297D48"/>
    <w:rsid w:val="00297F37"/>
    <w:rsid w:val="00297FD2"/>
    <w:rsid w:val="002A0312"/>
    <w:rsid w:val="002A0989"/>
    <w:rsid w:val="002A0A43"/>
    <w:rsid w:val="002A1684"/>
    <w:rsid w:val="002A1770"/>
    <w:rsid w:val="002A1FFB"/>
    <w:rsid w:val="002A267D"/>
    <w:rsid w:val="002A2B4E"/>
    <w:rsid w:val="002A32D6"/>
    <w:rsid w:val="002A372B"/>
    <w:rsid w:val="002A3A7B"/>
    <w:rsid w:val="002A3BF1"/>
    <w:rsid w:val="002A4998"/>
    <w:rsid w:val="002A4D89"/>
    <w:rsid w:val="002A5A24"/>
    <w:rsid w:val="002A5CA0"/>
    <w:rsid w:val="002A674A"/>
    <w:rsid w:val="002A6861"/>
    <w:rsid w:val="002A7401"/>
    <w:rsid w:val="002A7616"/>
    <w:rsid w:val="002A7A55"/>
    <w:rsid w:val="002B02F3"/>
    <w:rsid w:val="002B0584"/>
    <w:rsid w:val="002B09FB"/>
    <w:rsid w:val="002B1242"/>
    <w:rsid w:val="002B1627"/>
    <w:rsid w:val="002B2BE7"/>
    <w:rsid w:val="002B2F41"/>
    <w:rsid w:val="002B2F5B"/>
    <w:rsid w:val="002B3095"/>
    <w:rsid w:val="002B4008"/>
    <w:rsid w:val="002B42A6"/>
    <w:rsid w:val="002B4635"/>
    <w:rsid w:val="002B595B"/>
    <w:rsid w:val="002B6130"/>
    <w:rsid w:val="002B6288"/>
    <w:rsid w:val="002B704F"/>
    <w:rsid w:val="002B7698"/>
    <w:rsid w:val="002C0566"/>
    <w:rsid w:val="002C065E"/>
    <w:rsid w:val="002C0849"/>
    <w:rsid w:val="002C15A2"/>
    <w:rsid w:val="002C25BD"/>
    <w:rsid w:val="002C2A1C"/>
    <w:rsid w:val="002C2A42"/>
    <w:rsid w:val="002C345E"/>
    <w:rsid w:val="002C37F1"/>
    <w:rsid w:val="002C3B39"/>
    <w:rsid w:val="002C4529"/>
    <w:rsid w:val="002C47DD"/>
    <w:rsid w:val="002C55BD"/>
    <w:rsid w:val="002C58D1"/>
    <w:rsid w:val="002C60A8"/>
    <w:rsid w:val="002C62F8"/>
    <w:rsid w:val="002C63B9"/>
    <w:rsid w:val="002C6452"/>
    <w:rsid w:val="002C659D"/>
    <w:rsid w:val="002C6778"/>
    <w:rsid w:val="002C6C57"/>
    <w:rsid w:val="002C6D56"/>
    <w:rsid w:val="002C712C"/>
    <w:rsid w:val="002C7144"/>
    <w:rsid w:val="002C73F2"/>
    <w:rsid w:val="002C76D6"/>
    <w:rsid w:val="002C7743"/>
    <w:rsid w:val="002C7887"/>
    <w:rsid w:val="002C7ABC"/>
    <w:rsid w:val="002D0004"/>
    <w:rsid w:val="002D01B5"/>
    <w:rsid w:val="002D0211"/>
    <w:rsid w:val="002D0308"/>
    <w:rsid w:val="002D03D1"/>
    <w:rsid w:val="002D0561"/>
    <w:rsid w:val="002D099A"/>
    <w:rsid w:val="002D09B2"/>
    <w:rsid w:val="002D09EB"/>
    <w:rsid w:val="002D0E8E"/>
    <w:rsid w:val="002D1762"/>
    <w:rsid w:val="002D215A"/>
    <w:rsid w:val="002D23A6"/>
    <w:rsid w:val="002D3046"/>
    <w:rsid w:val="002D3A08"/>
    <w:rsid w:val="002D3BE9"/>
    <w:rsid w:val="002D42AA"/>
    <w:rsid w:val="002D4BAE"/>
    <w:rsid w:val="002D5917"/>
    <w:rsid w:val="002D5948"/>
    <w:rsid w:val="002D5D95"/>
    <w:rsid w:val="002D5DB1"/>
    <w:rsid w:val="002D5E79"/>
    <w:rsid w:val="002D630A"/>
    <w:rsid w:val="002D6981"/>
    <w:rsid w:val="002D6B87"/>
    <w:rsid w:val="002D703D"/>
    <w:rsid w:val="002D719A"/>
    <w:rsid w:val="002D7DC8"/>
    <w:rsid w:val="002E0046"/>
    <w:rsid w:val="002E04DD"/>
    <w:rsid w:val="002E061A"/>
    <w:rsid w:val="002E08A6"/>
    <w:rsid w:val="002E0948"/>
    <w:rsid w:val="002E1016"/>
    <w:rsid w:val="002E1137"/>
    <w:rsid w:val="002E1950"/>
    <w:rsid w:val="002E2247"/>
    <w:rsid w:val="002E2D8A"/>
    <w:rsid w:val="002E31B0"/>
    <w:rsid w:val="002E3EBB"/>
    <w:rsid w:val="002E4060"/>
    <w:rsid w:val="002E444E"/>
    <w:rsid w:val="002E49F6"/>
    <w:rsid w:val="002E627C"/>
    <w:rsid w:val="002E6355"/>
    <w:rsid w:val="002E642A"/>
    <w:rsid w:val="002E6476"/>
    <w:rsid w:val="002E6729"/>
    <w:rsid w:val="002E76B6"/>
    <w:rsid w:val="002E772F"/>
    <w:rsid w:val="002E7D84"/>
    <w:rsid w:val="002E7E2C"/>
    <w:rsid w:val="002F00FC"/>
    <w:rsid w:val="002F0FAE"/>
    <w:rsid w:val="002F1471"/>
    <w:rsid w:val="002F14E3"/>
    <w:rsid w:val="002F1800"/>
    <w:rsid w:val="002F1915"/>
    <w:rsid w:val="002F1DB7"/>
    <w:rsid w:val="002F201E"/>
    <w:rsid w:val="002F2116"/>
    <w:rsid w:val="002F245E"/>
    <w:rsid w:val="002F2CEF"/>
    <w:rsid w:val="002F37CD"/>
    <w:rsid w:val="002F3C64"/>
    <w:rsid w:val="002F408C"/>
    <w:rsid w:val="002F4F39"/>
    <w:rsid w:val="002F5686"/>
    <w:rsid w:val="002F5B86"/>
    <w:rsid w:val="002F5DD9"/>
    <w:rsid w:val="002F5E18"/>
    <w:rsid w:val="002F6090"/>
    <w:rsid w:val="002F60CE"/>
    <w:rsid w:val="002F6754"/>
    <w:rsid w:val="002F6E24"/>
    <w:rsid w:val="002F7556"/>
    <w:rsid w:val="00300069"/>
    <w:rsid w:val="00300551"/>
    <w:rsid w:val="00300840"/>
    <w:rsid w:val="00300FFB"/>
    <w:rsid w:val="00301189"/>
    <w:rsid w:val="003016BB"/>
    <w:rsid w:val="00301BCC"/>
    <w:rsid w:val="00302279"/>
    <w:rsid w:val="003026DF"/>
    <w:rsid w:val="003028BD"/>
    <w:rsid w:val="0030337B"/>
    <w:rsid w:val="00303B00"/>
    <w:rsid w:val="00303CDA"/>
    <w:rsid w:val="00303E1E"/>
    <w:rsid w:val="00303E71"/>
    <w:rsid w:val="00303FB3"/>
    <w:rsid w:val="00304073"/>
    <w:rsid w:val="003041F2"/>
    <w:rsid w:val="0030420E"/>
    <w:rsid w:val="003043F3"/>
    <w:rsid w:val="00304A77"/>
    <w:rsid w:val="00305420"/>
    <w:rsid w:val="003056FD"/>
    <w:rsid w:val="003057F6"/>
    <w:rsid w:val="00305AEE"/>
    <w:rsid w:val="003062ED"/>
    <w:rsid w:val="003068DB"/>
    <w:rsid w:val="00306D40"/>
    <w:rsid w:val="00306E67"/>
    <w:rsid w:val="00307979"/>
    <w:rsid w:val="0031038A"/>
    <w:rsid w:val="003104ED"/>
    <w:rsid w:val="00310955"/>
    <w:rsid w:val="00310C70"/>
    <w:rsid w:val="00310D0D"/>
    <w:rsid w:val="003114D2"/>
    <w:rsid w:val="0031150A"/>
    <w:rsid w:val="00311588"/>
    <w:rsid w:val="00311B62"/>
    <w:rsid w:val="00311FB8"/>
    <w:rsid w:val="003124D0"/>
    <w:rsid w:val="00312ABD"/>
    <w:rsid w:val="00312D52"/>
    <w:rsid w:val="00312E3F"/>
    <w:rsid w:val="003132B4"/>
    <w:rsid w:val="0031344A"/>
    <w:rsid w:val="00313852"/>
    <w:rsid w:val="00313AAB"/>
    <w:rsid w:val="00313CCA"/>
    <w:rsid w:val="00314053"/>
    <w:rsid w:val="0031468C"/>
    <w:rsid w:val="003147CD"/>
    <w:rsid w:val="003149FF"/>
    <w:rsid w:val="00314A0C"/>
    <w:rsid w:val="00314B1C"/>
    <w:rsid w:val="00314CF5"/>
    <w:rsid w:val="003152AC"/>
    <w:rsid w:val="003152BF"/>
    <w:rsid w:val="00315DC0"/>
    <w:rsid w:val="00315EC5"/>
    <w:rsid w:val="00316583"/>
    <w:rsid w:val="00316858"/>
    <w:rsid w:val="00316A24"/>
    <w:rsid w:val="0031706E"/>
    <w:rsid w:val="0031777D"/>
    <w:rsid w:val="00321559"/>
    <w:rsid w:val="003218C4"/>
    <w:rsid w:val="00321FF9"/>
    <w:rsid w:val="003222F9"/>
    <w:rsid w:val="00322347"/>
    <w:rsid w:val="003229F4"/>
    <w:rsid w:val="00322E31"/>
    <w:rsid w:val="00323474"/>
    <w:rsid w:val="00323E09"/>
    <w:rsid w:val="003240FF"/>
    <w:rsid w:val="0032429E"/>
    <w:rsid w:val="00324519"/>
    <w:rsid w:val="0032477E"/>
    <w:rsid w:val="00324C0E"/>
    <w:rsid w:val="00324D8F"/>
    <w:rsid w:val="00326B66"/>
    <w:rsid w:val="003274C5"/>
    <w:rsid w:val="00330807"/>
    <w:rsid w:val="00330A91"/>
    <w:rsid w:val="00330C4B"/>
    <w:rsid w:val="00330D64"/>
    <w:rsid w:val="003319DA"/>
    <w:rsid w:val="00331B58"/>
    <w:rsid w:val="0033328F"/>
    <w:rsid w:val="00333932"/>
    <w:rsid w:val="00333BA0"/>
    <w:rsid w:val="00333DA2"/>
    <w:rsid w:val="00333F67"/>
    <w:rsid w:val="003341DC"/>
    <w:rsid w:val="0033459C"/>
    <w:rsid w:val="003346FE"/>
    <w:rsid w:val="003358D1"/>
    <w:rsid w:val="00335D6A"/>
    <w:rsid w:val="00336221"/>
    <w:rsid w:val="003363EF"/>
    <w:rsid w:val="003367A7"/>
    <w:rsid w:val="00336DB6"/>
    <w:rsid w:val="00337A05"/>
    <w:rsid w:val="003402BF"/>
    <w:rsid w:val="00340468"/>
    <w:rsid w:val="00340A58"/>
    <w:rsid w:val="00341D39"/>
    <w:rsid w:val="00341DFC"/>
    <w:rsid w:val="00342C62"/>
    <w:rsid w:val="00343609"/>
    <w:rsid w:val="00344B22"/>
    <w:rsid w:val="00344FD0"/>
    <w:rsid w:val="0034518A"/>
    <w:rsid w:val="00345AA1"/>
    <w:rsid w:val="00345C8A"/>
    <w:rsid w:val="00346180"/>
    <w:rsid w:val="003463AB"/>
    <w:rsid w:val="00346420"/>
    <w:rsid w:val="00346C36"/>
    <w:rsid w:val="00346FB2"/>
    <w:rsid w:val="003476C5"/>
    <w:rsid w:val="0034788A"/>
    <w:rsid w:val="003478DD"/>
    <w:rsid w:val="00347BF9"/>
    <w:rsid w:val="00350B62"/>
    <w:rsid w:val="00350E65"/>
    <w:rsid w:val="00350F07"/>
    <w:rsid w:val="003510D5"/>
    <w:rsid w:val="0035137F"/>
    <w:rsid w:val="003514D9"/>
    <w:rsid w:val="003517D8"/>
    <w:rsid w:val="003518AA"/>
    <w:rsid w:val="00352165"/>
    <w:rsid w:val="00352322"/>
    <w:rsid w:val="0035233F"/>
    <w:rsid w:val="003526F9"/>
    <w:rsid w:val="003529C1"/>
    <w:rsid w:val="00352EBB"/>
    <w:rsid w:val="00353182"/>
    <w:rsid w:val="003533C3"/>
    <w:rsid w:val="00353999"/>
    <w:rsid w:val="003540BF"/>
    <w:rsid w:val="00354228"/>
    <w:rsid w:val="003545C9"/>
    <w:rsid w:val="00354AD4"/>
    <w:rsid w:val="00354D14"/>
    <w:rsid w:val="0035536E"/>
    <w:rsid w:val="003557DD"/>
    <w:rsid w:val="003559A7"/>
    <w:rsid w:val="00355BD8"/>
    <w:rsid w:val="00355EF3"/>
    <w:rsid w:val="003565D9"/>
    <w:rsid w:val="00357020"/>
    <w:rsid w:val="003575EE"/>
    <w:rsid w:val="003602E1"/>
    <w:rsid w:val="00360C50"/>
    <w:rsid w:val="003613F7"/>
    <w:rsid w:val="00361B94"/>
    <w:rsid w:val="00361ED9"/>
    <w:rsid w:val="00362134"/>
    <w:rsid w:val="00362715"/>
    <w:rsid w:val="0036293A"/>
    <w:rsid w:val="00363418"/>
    <w:rsid w:val="00363717"/>
    <w:rsid w:val="00363720"/>
    <w:rsid w:val="00363B8D"/>
    <w:rsid w:val="003641D7"/>
    <w:rsid w:val="0036425D"/>
    <w:rsid w:val="003644F0"/>
    <w:rsid w:val="0036475F"/>
    <w:rsid w:val="003652D4"/>
    <w:rsid w:val="00365399"/>
    <w:rsid w:val="003655F3"/>
    <w:rsid w:val="0036563C"/>
    <w:rsid w:val="00365D22"/>
    <w:rsid w:val="003666A9"/>
    <w:rsid w:val="003673E5"/>
    <w:rsid w:val="0036747D"/>
    <w:rsid w:val="003679D2"/>
    <w:rsid w:val="00367C3D"/>
    <w:rsid w:val="0037026F"/>
    <w:rsid w:val="00370706"/>
    <w:rsid w:val="0037082E"/>
    <w:rsid w:val="00370D17"/>
    <w:rsid w:val="00370E68"/>
    <w:rsid w:val="00371240"/>
    <w:rsid w:val="00371447"/>
    <w:rsid w:val="00371703"/>
    <w:rsid w:val="00371BD9"/>
    <w:rsid w:val="00371E27"/>
    <w:rsid w:val="003720E0"/>
    <w:rsid w:val="003722EA"/>
    <w:rsid w:val="0037259A"/>
    <w:rsid w:val="00372BB1"/>
    <w:rsid w:val="00372EAB"/>
    <w:rsid w:val="00372F1D"/>
    <w:rsid w:val="0037369F"/>
    <w:rsid w:val="003739FC"/>
    <w:rsid w:val="00373D68"/>
    <w:rsid w:val="00374731"/>
    <w:rsid w:val="00374867"/>
    <w:rsid w:val="00375069"/>
    <w:rsid w:val="00375411"/>
    <w:rsid w:val="00375F74"/>
    <w:rsid w:val="00375FB3"/>
    <w:rsid w:val="003761C0"/>
    <w:rsid w:val="00376494"/>
    <w:rsid w:val="0037675C"/>
    <w:rsid w:val="00376811"/>
    <w:rsid w:val="0037739A"/>
    <w:rsid w:val="00377A66"/>
    <w:rsid w:val="00377B08"/>
    <w:rsid w:val="0038077F"/>
    <w:rsid w:val="003807D1"/>
    <w:rsid w:val="00380A9E"/>
    <w:rsid w:val="00380AAD"/>
    <w:rsid w:val="00380BA8"/>
    <w:rsid w:val="003810AB"/>
    <w:rsid w:val="0038220A"/>
    <w:rsid w:val="00382780"/>
    <w:rsid w:val="0038293C"/>
    <w:rsid w:val="0038387E"/>
    <w:rsid w:val="00383EA4"/>
    <w:rsid w:val="00383F69"/>
    <w:rsid w:val="00384953"/>
    <w:rsid w:val="00384DD8"/>
    <w:rsid w:val="00384EA6"/>
    <w:rsid w:val="00384EDF"/>
    <w:rsid w:val="00385329"/>
    <w:rsid w:val="00385C08"/>
    <w:rsid w:val="00385C25"/>
    <w:rsid w:val="003865D3"/>
    <w:rsid w:val="003867B1"/>
    <w:rsid w:val="00386A6D"/>
    <w:rsid w:val="003875CB"/>
    <w:rsid w:val="00387EBC"/>
    <w:rsid w:val="0039015D"/>
    <w:rsid w:val="0039037A"/>
    <w:rsid w:val="00390557"/>
    <w:rsid w:val="003908BF"/>
    <w:rsid w:val="00390D8C"/>
    <w:rsid w:val="0039101D"/>
    <w:rsid w:val="003919F9"/>
    <w:rsid w:val="00391C43"/>
    <w:rsid w:val="00391F77"/>
    <w:rsid w:val="00392108"/>
    <w:rsid w:val="0039272C"/>
    <w:rsid w:val="003929C1"/>
    <w:rsid w:val="003935D6"/>
    <w:rsid w:val="0039370F"/>
    <w:rsid w:val="0039376E"/>
    <w:rsid w:val="00393FC0"/>
    <w:rsid w:val="00394109"/>
    <w:rsid w:val="00395043"/>
    <w:rsid w:val="00395C90"/>
    <w:rsid w:val="00396203"/>
    <w:rsid w:val="003964E6"/>
    <w:rsid w:val="00396955"/>
    <w:rsid w:val="00396C0E"/>
    <w:rsid w:val="00396C3E"/>
    <w:rsid w:val="00396E3C"/>
    <w:rsid w:val="00396F5A"/>
    <w:rsid w:val="00397683"/>
    <w:rsid w:val="00397A18"/>
    <w:rsid w:val="003A010F"/>
    <w:rsid w:val="003A0348"/>
    <w:rsid w:val="003A122C"/>
    <w:rsid w:val="003A131D"/>
    <w:rsid w:val="003A14AD"/>
    <w:rsid w:val="003A16AE"/>
    <w:rsid w:val="003A18D3"/>
    <w:rsid w:val="003A2366"/>
    <w:rsid w:val="003A2823"/>
    <w:rsid w:val="003A3017"/>
    <w:rsid w:val="003A3572"/>
    <w:rsid w:val="003A37F8"/>
    <w:rsid w:val="003A3C41"/>
    <w:rsid w:val="003A4169"/>
    <w:rsid w:val="003A4584"/>
    <w:rsid w:val="003A514E"/>
    <w:rsid w:val="003A54B9"/>
    <w:rsid w:val="003A62D6"/>
    <w:rsid w:val="003A6D2D"/>
    <w:rsid w:val="003A739B"/>
    <w:rsid w:val="003A7C40"/>
    <w:rsid w:val="003B0926"/>
    <w:rsid w:val="003B0B0E"/>
    <w:rsid w:val="003B0DEE"/>
    <w:rsid w:val="003B166D"/>
    <w:rsid w:val="003B17AB"/>
    <w:rsid w:val="003B1997"/>
    <w:rsid w:val="003B1A90"/>
    <w:rsid w:val="003B1AD6"/>
    <w:rsid w:val="003B267F"/>
    <w:rsid w:val="003B3490"/>
    <w:rsid w:val="003B4575"/>
    <w:rsid w:val="003B4941"/>
    <w:rsid w:val="003B5E70"/>
    <w:rsid w:val="003B68E1"/>
    <w:rsid w:val="003B71D0"/>
    <w:rsid w:val="003B7F5E"/>
    <w:rsid w:val="003B7FA9"/>
    <w:rsid w:val="003C040B"/>
    <w:rsid w:val="003C121E"/>
    <w:rsid w:val="003C2118"/>
    <w:rsid w:val="003C3482"/>
    <w:rsid w:val="003C38B5"/>
    <w:rsid w:val="003C4DB7"/>
    <w:rsid w:val="003C56DF"/>
    <w:rsid w:val="003C5D99"/>
    <w:rsid w:val="003D0462"/>
    <w:rsid w:val="003D126D"/>
    <w:rsid w:val="003D1F3D"/>
    <w:rsid w:val="003D2892"/>
    <w:rsid w:val="003D2A06"/>
    <w:rsid w:val="003D2E7B"/>
    <w:rsid w:val="003D3EB2"/>
    <w:rsid w:val="003D4645"/>
    <w:rsid w:val="003D481E"/>
    <w:rsid w:val="003D4825"/>
    <w:rsid w:val="003D6DE7"/>
    <w:rsid w:val="003D73B6"/>
    <w:rsid w:val="003D77FE"/>
    <w:rsid w:val="003E06EB"/>
    <w:rsid w:val="003E12C3"/>
    <w:rsid w:val="003E1CCE"/>
    <w:rsid w:val="003E1D30"/>
    <w:rsid w:val="003E2DB4"/>
    <w:rsid w:val="003E30C6"/>
    <w:rsid w:val="003E4362"/>
    <w:rsid w:val="003E43C9"/>
    <w:rsid w:val="003E45CB"/>
    <w:rsid w:val="003E4771"/>
    <w:rsid w:val="003E4778"/>
    <w:rsid w:val="003E4C78"/>
    <w:rsid w:val="003E57B9"/>
    <w:rsid w:val="003E60B6"/>
    <w:rsid w:val="003E614A"/>
    <w:rsid w:val="003E6DE8"/>
    <w:rsid w:val="003E70C1"/>
    <w:rsid w:val="003E7224"/>
    <w:rsid w:val="003E7D6D"/>
    <w:rsid w:val="003E7DBB"/>
    <w:rsid w:val="003E7FA4"/>
    <w:rsid w:val="003F0022"/>
    <w:rsid w:val="003F0153"/>
    <w:rsid w:val="003F02CA"/>
    <w:rsid w:val="003F0505"/>
    <w:rsid w:val="003F0789"/>
    <w:rsid w:val="003F0C3C"/>
    <w:rsid w:val="003F0EFB"/>
    <w:rsid w:val="003F0F1E"/>
    <w:rsid w:val="003F1233"/>
    <w:rsid w:val="003F15B7"/>
    <w:rsid w:val="003F1B81"/>
    <w:rsid w:val="003F1FD0"/>
    <w:rsid w:val="003F240E"/>
    <w:rsid w:val="003F244C"/>
    <w:rsid w:val="003F258E"/>
    <w:rsid w:val="003F3056"/>
    <w:rsid w:val="003F40C5"/>
    <w:rsid w:val="003F5253"/>
    <w:rsid w:val="003F5B5E"/>
    <w:rsid w:val="003F6365"/>
    <w:rsid w:val="003F77A8"/>
    <w:rsid w:val="003F78C4"/>
    <w:rsid w:val="003F7F8D"/>
    <w:rsid w:val="00400443"/>
    <w:rsid w:val="00400496"/>
    <w:rsid w:val="0040053A"/>
    <w:rsid w:val="004008D4"/>
    <w:rsid w:val="00400BAF"/>
    <w:rsid w:val="00400C09"/>
    <w:rsid w:val="00401882"/>
    <w:rsid w:val="004018C2"/>
    <w:rsid w:val="00401FA0"/>
    <w:rsid w:val="00402461"/>
    <w:rsid w:val="00402487"/>
    <w:rsid w:val="00402AD4"/>
    <w:rsid w:val="00402D03"/>
    <w:rsid w:val="00403270"/>
    <w:rsid w:val="0040381B"/>
    <w:rsid w:val="00403E98"/>
    <w:rsid w:val="00404488"/>
    <w:rsid w:val="00404C8D"/>
    <w:rsid w:val="00404CD3"/>
    <w:rsid w:val="00404CF5"/>
    <w:rsid w:val="0040553D"/>
    <w:rsid w:val="00405AC5"/>
    <w:rsid w:val="00406358"/>
    <w:rsid w:val="00406F7D"/>
    <w:rsid w:val="00406FA0"/>
    <w:rsid w:val="0040744E"/>
    <w:rsid w:val="0040777F"/>
    <w:rsid w:val="00407BED"/>
    <w:rsid w:val="00407DD1"/>
    <w:rsid w:val="0041006B"/>
    <w:rsid w:val="0041008F"/>
    <w:rsid w:val="004100C8"/>
    <w:rsid w:val="00410244"/>
    <w:rsid w:val="00410D3C"/>
    <w:rsid w:val="00410E3F"/>
    <w:rsid w:val="00410FD6"/>
    <w:rsid w:val="004114A3"/>
    <w:rsid w:val="004119BB"/>
    <w:rsid w:val="0041204C"/>
    <w:rsid w:val="004126DC"/>
    <w:rsid w:val="00412803"/>
    <w:rsid w:val="00412957"/>
    <w:rsid w:val="00412ACE"/>
    <w:rsid w:val="004136B4"/>
    <w:rsid w:val="00413FD2"/>
    <w:rsid w:val="00414398"/>
    <w:rsid w:val="00414507"/>
    <w:rsid w:val="00414672"/>
    <w:rsid w:val="004149CA"/>
    <w:rsid w:val="004154BD"/>
    <w:rsid w:val="00416540"/>
    <w:rsid w:val="0041658E"/>
    <w:rsid w:val="004166BE"/>
    <w:rsid w:val="004169EB"/>
    <w:rsid w:val="00416ED1"/>
    <w:rsid w:val="004178A3"/>
    <w:rsid w:val="004203B8"/>
    <w:rsid w:val="00420994"/>
    <w:rsid w:val="00420EE7"/>
    <w:rsid w:val="0042188F"/>
    <w:rsid w:val="004219DD"/>
    <w:rsid w:val="00421F4E"/>
    <w:rsid w:val="00422044"/>
    <w:rsid w:val="004220FE"/>
    <w:rsid w:val="00422A54"/>
    <w:rsid w:val="00422F9A"/>
    <w:rsid w:val="00423223"/>
    <w:rsid w:val="004235F8"/>
    <w:rsid w:val="00423B6F"/>
    <w:rsid w:val="00423C80"/>
    <w:rsid w:val="00423E52"/>
    <w:rsid w:val="004244E3"/>
    <w:rsid w:val="004258A6"/>
    <w:rsid w:val="00425DEF"/>
    <w:rsid w:val="004266FA"/>
    <w:rsid w:val="0042680D"/>
    <w:rsid w:val="0042695F"/>
    <w:rsid w:val="00426F49"/>
    <w:rsid w:val="004279D7"/>
    <w:rsid w:val="0043000A"/>
    <w:rsid w:val="00430244"/>
    <w:rsid w:val="0043068B"/>
    <w:rsid w:val="00430A31"/>
    <w:rsid w:val="0043108B"/>
    <w:rsid w:val="004311D1"/>
    <w:rsid w:val="00431249"/>
    <w:rsid w:val="00431825"/>
    <w:rsid w:val="00431A94"/>
    <w:rsid w:val="0043219F"/>
    <w:rsid w:val="00433FCA"/>
    <w:rsid w:val="0043402C"/>
    <w:rsid w:val="004341CD"/>
    <w:rsid w:val="00434827"/>
    <w:rsid w:val="0043484F"/>
    <w:rsid w:val="00434947"/>
    <w:rsid w:val="00434978"/>
    <w:rsid w:val="00434C19"/>
    <w:rsid w:val="00435035"/>
    <w:rsid w:val="004350BB"/>
    <w:rsid w:val="004358DE"/>
    <w:rsid w:val="00435D52"/>
    <w:rsid w:val="00435EDD"/>
    <w:rsid w:val="00435FAB"/>
    <w:rsid w:val="004361E1"/>
    <w:rsid w:val="0043647C"/>
    <w:rsid w:val="00436699"/>
    <w:rsid w:val="004367FA"/>
    <w:rsid w:val="00436C77"/>
    <w:rsid w:val="00436F1B"/>
    <w:rsid w:val="00437125"/>
    <w:rsid w:val="0043726F"/>
    <w:rsid w:val="00437744"/>
    <w:rsid w:val="004402FA"/>
    <w:rsid w:val="00441198"/>
    <w:rsid w:val="00441247"/>
    <w:rsid w:val="00441994"/>
    <w:rsid w:val="004419C1"/>
    <w:rsid w:val="00441F45"/>
    <w:rsid w:val="00442035"/>
    <w:rsid w:val="00442634"/>
    <w:rsid w:val="00442769"/>
    <w:rsid w:val="00443F94"/>
    <w:rsid w:val="00444B32"/>
    <w:rsid w:val="00444EF3"/>
    <w:rsid w:val="004450AA"/>
    <w:rsid w:val="004451F4"/>
    <w:rsid w:val="00445F01"/>
    <w:rsid w:val="00446678"/>
    <w:rsid w:val="00446897"/>
    <w:rsid w:val="0044695D"/>
    <w:rsid w:val="00446CBE"/>
    <w:rsid w:val="00447E4B"/>
    <w:rsid w:val="0045065F"/>
    <w:rsid w:val="00450810"/>
    <w:rsid w:val="00450BD1"/>
    <w:rsid w:val="0045126B"/>
    <w:rsid w:val="004517F7"/>
    <w:rsid w:val="004521DF"/>
    <w:rsid w:val="004524EB"/>
    <w:rsid w:val="0045259A"/>
    <w:rsid w:val="004527B3"/>
    <w:rsid w:val="00452C1D"/>
    <w:rsid w:val="00452CF0"/>
    <w:rsid w:val="00452D02"/>
    <w:rsid w:val="00452E1A"/>
    <w:rsid w:val="00453019"/>
    <w:rsid w:val="0045319F"/>
    <w:rsid w:val="00453226"/>
    <w:rsid w:val="00453751"/>
    <w:rsid w:val="00453C4E"/>
    <w:rsid w:val="0045495C"/>
    <w:rsid w:val="00454B67"/>
    <w:rsid w:val="00455542"/>
    <w:rsid w:val="0045555C"/>
    <w:rsid w:val="00456805"/>
    <w:rsid w:val="00456CCF"/>
    <w:rsid w:val="004575FF"/>
    <w:rsid w:val="00457FCB"/>
    <w:rsid w:val="00460029"/>
    <w:rsid w:val="004603AC"/>
    <w:rsid w:val="00460551"/>
    <w:rsid w:val="00461935"/>
    <w:rsid w:val="00461D06"/>
    <w:rsid w:val="00461E4B"/>
    <w:rsid w:val="004621D0"/>
    <w:rsid w:val="004627DA"/>
    <w:rsid w:val="00462BBB"/>
    <w:rsid w:val="00462FB2"/>
    <w:rsid w:val="004633A5"/>
    <w:rsid w:val="004636AE"/>
    <w:rsid w:val="004640E2"/>
    <w:rsid w:val="004647AD"/>
    <w:rsid w:val="00464CAD"/>
    <w:rsid w:val="00464E17"/>
    <w:rsid w:val="00464F97"/>
    <w:rsid w:val="0046544B"/>
    <w:rsid w:val="00465F6F"/>
    <w:rsid w:val="00466116"/>
    <w:rsid w:val="0046647C"/>
    <w:rsid w:val="0046712B"/>
    <w:rsid w:val="00467512"/>
    <w:rsid w:val="00470B4E"/>
    <w:rsid w:val="0047166D"/>
    <w:rsid w:val="00471820"/>
    <w:rsid w:val="004720EE"/>
    <w:rsid w:val="00472C43"/>
    <w:rsid w:val="004738D7"/>
    <w:rsid w:val="0047441B"/>
    <w:rsid w:val="00474BF8"/>
    <w:rsid w:val="00474FC7"/>
    <w:rsid w:val="0047520E"/>
    <w:rsid w:val="00476081"/>
    <w:rsid w:val="00476085"/>
    <w:rsid w:val="004769A3"/>
    <w:rsid w:val="00476E26"/>
    <w:rsid w:val="00477144"/>
    <w:rsid w:val="004774C3"/>
    <w:rsid w:val="0047785E"/>
    <w:rsid w:val="00477B4B"/>
    <w:rsid w:val="00477B8E"/>
    <w:rsid w:val="004803F0"/>
    <w:rsid w:val="00480478"/>
    <w:rsid w:val="00480C7D"/>
    <w:rsid w:val="00481217"/>
    <w:rsid w:val="0048124C"/>
    <w:rsid w:val="00482243"/>
    <w:rsid w:val="00482971"/>
    <w:rsid w:val="00482A9C"/>
    <w:rsid w:val="00482E9B"/>
    <w:rsid w:val="00482EF5"/>
    <w:rsid w:val="004833B6"/>
    <w:rsid w:val="00483B6E"/>
    <w:rsid w:val="00483BEF"/>
    <w:rsid w:val="00483FB8"/>
    <w:rsid w:val="00484364"/>
    <w:rsid w:val="00484422"/>
    <w:rsid w:val="00484BC3"/>
    <w:rsid w:val="00484F31"/>
    <w:rsid w:val="00485077"/>
    <w:rsid w:val="00486133"/>
    <w:rsid w:val="004862D9"/>
    <w:rsid w:val="00486887"/>
    <w:rsid w:val="00486FA1"/>
    <w:rsid w:val="00487ACA"/>
    <w:rsid w:val="00487C45"/>
    <w:rsid w:val="0049045F"/>
    <w:rsid w:val="0049073B"/>
    <w:rsid w:val="0049127A"/>
    <w:rsid w:val="00491AE1"/>
    <w:rsid w:val="00491E96"/>
    <w:rsid w:val="00492761"/>
    <w:rsid w:val="0049279E"/>
    <w:rsid w:val="004933C6"/>
    <w:rsid w:val="004937E7"/>
    <w:rsid w:val="00493B3D"/>
    <w:rsid w:val="00493C14"/>
    <w:rsid w:val="00493CB7"/>
    <w:rsid w:val="00493D6D"/>
    <w:rsid w:val="004940D6"/>
    <w:rsid w:val="004943CB"/>
    <w:rsid w:val="0049459F"/>
    <w:rsid w:val="00494D9C"/>
    <w:rsid w:val="00495934"/>
    <w:rsid w:val="00495A73"/>
    <w:rsid w:val="00495F6F"/>
    <w:rsid w:val="00496063"/>
    <w:rsid w:val="0049619F"/>
    <w:rsid w:val="004965FB"/>
    <w:rsid w:val="0049666B"/>
    <w:rsid w:val="00497940"/>
    <w:rsid w:val="00497A8C"/>
    <w:rsid w:val="00497E09"/>
    <w:rsid w:val="004A09C9"/>
    <w:rsid w:val="004A0C4D"/>
    <w:rsid w:val="004A0E85"/>
    <w:rsid w:val="004A1137"/>
    <w:rsid w:val="004A1A3C"/>
    <w:rsid w:val="004A1C51"/>
    <w:rsid w:val="004A1C60"/>
    <w:rsid w:val="004A1D5E"/>
    <w:rsid w:val="004A1FA4"/>
    <w:rsid w:val="004A2047"/>
    <w:rsid w:val="004A2292"/>
    <w:rsid w:val="004A2920"/>
    <w:rsid w:val="004A33CD"/>
    <w:rsid w:val="004A38DD"/>
    <w:rsid w:val="004A3A67"/>
    <w:rsid w:val="004A3E5A"/>
    <w:rsid w:val="004A4017"/>
    <w:rsid w:val="004A440D"/>
    <w:rsid w:val="004A4637"/>
    <w:rsid w:val="004A4776"/>
    <w:rsid w:val="004A5147"/>
    <w:rsid w:val="004A55BD"/>
    <w:rsid w:val="004A5A4A"/>
    <w:rsid w:val="004A65AA"/>
    <w:rsid w:val="004A71A6"/>
    <w:rsid w:val="004A75AC"/>
    <w:rsid w:val="004B0090"/>
    <w:rsid w:val="004B1111"/>
    <w:rsid w:val="004B2951"/>
    <w:rsid w:val="004B3417"/>
    <w:rsid w:val="004B3779"/>
    <w:rsid w:val="004B3B4D"/>
    <w:rsid w:val="004B3CAC"/>
    <w:rsid w:val="004B4272"/>
    <w:rsid w:val="004B43AE"/>
    <w:rsid w:val="004B4A39"/>
    <w:rsid w:val="004B52A9"/>
    <w:rsid w:val="004B5759"/>
    <w:rsid w:val="004B5F9A"/>
    <w:rsid w:val="004B61D4"/>
    <w:rsid w:val="004B6C1E"/>
    <w:rsid w:val="004B6D7E"/>
    <w:rsid w:val="004B754B"/>
    <w:rsid w:val="004B764D"/>
    <w:rsid w:val="004B7E63"/>
    <w:rsid w:val="004C1071"/>
    <w:rsid w:val="004C160A"/>
    <w:rsid w:val="004C2C7F"/>
    <w:rsid w:val="004C2CC9"/>
    <w:rsid w:val="004C2F15"/>
    <w:rsid w:val="004C30ED"/>
    <w:rsid w:val="004C3122"/>
    <w:rsid w:val="004C38AB"/>
    <w:rsid w:val="004C395D"/>
    <w:rsid w:val="004C3D68"/>
    <w:rsid w:val="004C3E21"/>
    <w:rsid w:val="004C4BF1"/>
    <w:rsid w:val="004C53D4"/>
    <w:rsid w:val="004C5835"/>
    <w:rsid w:val="004C6568"/>
    <w:rsid w:val="004C6E64"/>
    <w:rsid w:val="004C7B80"/>
    <w:rsid w:val="004D02CE"/>
    <w:rsid w:val="004D083A"/>
    <w:rsid w:val="004D1BB1"/>
    <w:rsid w:val="004D1D1D"/>
    <w:rsid w:val="004D1D4C"/>
    <w:rsid w:val="004D1DB0"/>
    <w:rsid w:val="004D2A95"/>
    <w:rsid w:val="004D2C61"/>
    <w:rsid w:val="004D38C5"/>
    <w:rsid w:val="004D3979"/>
    <w:rsid w:val="004D3C0B"/>
    <w:rsid w:val="004D3CC2"/>
    <w:rsid w:val="004D3EB2"/>
    <w:rsid w:val="004D5675"/>
    <w:rsid w:val="004D584B"/>
    <w:rsid w:val="004D58E6"/>
    <w:rsid w:val="004D593F"/>
    <w:rsid w:val="004D73BD"/>
    <w:rsid w:val="004D7916"/>
    <w:rsid w:val="004D7E6B"/>
    <w:rsid w:val="004D7ED0"/>
    <w:rsid w:val="004E0C21"/>
    <w:rsid w:val="004E0FC2"/>
    <w:rsid w:val="004E105C"/>
    <w:rsid w:val="004E11E9"/>
    <w:rsid w:val="004E1384"/>
    <w:rsid w:val="004E14C5"/>
    <w:rsid w:val="004E1D12"/>
    <w:rsid w:val="004E1EE1"/>
    <w:rsid w:val="004E207D"/>
    <w:rsid w:val="004E2503"/>
    <w:rsid w:val="004E2D8A"/>
    <w:rsid w:val="004E3135"/>
    <w:rsid w:val="004E362E"/>
    <w:rsid w:val="004E36D0"/>
    <w:rsid w:val="004E375A"/>
    <w:rsid w:val="004E3D3E"/>
    <w:rsid w:val="004E4349"/>
    <w:rsid w:val="004E434B"/>
    <w:rsid w:val="004E4583"/>
    <w:rsid w:val="004E4727"/>
    <w:rsid w:val="004E47FE"/>
    <w:rsid w:val="004E4F79"/>
    <w:rsid w:val="004E540F"/>
    <w:rsid w:val="004E5603"/>
    <w:rsid w:val="004E5876"/>
    <w:rsid w:val="004E5ACE"/>
    <w:rsid w:val="004E5F98"/>
    <w:rsid w:val="004E686F"/>
    <w:rsid w:val="004E6A1A"/>
    <w:rsid w:val="004E6DF1"/>
    <w:rsid w:val="004E6ECF"/>
    <w:rsid w:val="004E7189"/>
    <w:rsid w:val="004E73AA"/>
    <w:rsid w:val="004E7AA0"/>
    <w:rsid w:val="004E7BB7"/>
    <w:rsid w:val="004E7E8E"/>
    <w:rsid w:val="004E7EDF"/>
    <w:rsid w:val="004E7EEE"/>
    <w:rsid w:val="004F00FA"/>
    <w:rsid w:val="004F0479"/>
    <w:rsid w:val="004F0A97"/>
    <w:rsid w:val="004F10F8"/>
    <w:rsid w:val="004F20EE"/>
    <w:rsid w:val="004F23A4"/>
    <w:rsid w:val="004F2590"/>
    <w:rsid w:val="004F29F0"/>
    <w:rsid w:val="004F2B73"/>
    <w:rsid w:val="004F2F15"/>
    <w:rsid w:val="004F303B"/>
    <w:rsid w:val="004F3CEF"/>
    <w:rsid w:val="004F43D0"/>
    <w:rsid w:val="004F4745"/>
    <w:rsid w:val="004F5F24"/>
    <w:rsid w:val="004F5FC6"/>
    <w:rsid w:val="004F6440"/>
    <w:rsid w:val="004F6A57"/>
    <w:rsid w:val="004F7331"/>
    <w:rsid w:val="004F77D0"/>
    <w:rsid w:val="005004C6"/>
    <w:rsid w:val="0050062B"/>
    <w:rsid w:val="005007E5"/>
    <w:rsid w:val="005009C1"/>
    <w:rsid w:val="00500B55"/>
    <w:rsid w:val="0050138A"/>
    <w:rsid w:val="005017A1"/>
    <w:rsid w:val="00501856"/>
    <w:rsid w:val="005022D5"/>
    <w:rsid w:val="00502C20"/>
    <w:rsid w:val="00503645"/>
    <w:rsid w:val="0050366F"/>
    <w:rsid w:val="00504617"/>
    <w:rsid w:val="00504E9B"/>
    <w:rsid w:val="00504F1E"/>
    <w:rsid w:val="005054F1"/>
    <w:rsid w:val="00505621"/>
    <w:rsid w:val="00506569"/>
    <w:rsid w:val="00506A59"/>
    <w:rsid w:val="00506C8E"/>
    <w:rsid w:val="005074B1"/>
    <w:rsid w:val="00507E99"/>
    <w:rsid w:val="00507F27"/>
    <w:rsid w:val="0051129D"/>
    <w:rsid w:val="005115AE"/>
    <w:rsid w:val="00511788"/>
    <w:rsid w:val="00511FAA"/>
    <w:rsid w:val="0051208A"/>
    <w:rsid w:val="005121CB"/>
    <w:rsid w:val="0051253C"/>
    <w:rsid w:val="00512D02"/>
    <w:rsid w:val="00513130"/>
    <w:rsid w:val="00513977"/>
    <w:rsid w:val="00514009"/>
    <w:rsid w:val="00514EC7"/>
    <w:rsid w:val="00515275"/>
    <w:rsid w:val="00515E90"/>
    <w:rsid w:val="00515FC5"/>
    <w:rsid w:val="005160C2"/>
    <w:rsid w:val="005169D0"/>
    <w:rsid w:val="00516E04"/>
    <w:rsid w:val="0051755F"/>
    <w:rsid w:val="00517E7E"/>
    <w:rsid w:val="00517F0D"/>
    <w:rsid w:val="0052006E"/>
    <w:rsid w:val="00520708"/>
    <w:rsid w:val="00520995"/>
    <w:rsid w:val="00520E2B"/>
    <w:rsid w:val="0052114B"/>
    <w:rsid w:val="00521440"/>
    <w:rsid w:val="0052187A"/>
    <w:rsid w:val="00521AF6"/>
    <w:rsid w:val="00522070"/>
    <w:rsid w:val="005222C1"/>
    <w:rsid w:val="0052272E"/>
    <w:rsid w:val="00523639"/>
    <w:rsid w:val="00523C8A"/>
    <w:rsid w:val="005243AF"/>
    <w:rsid w:val="005255A7"/>
    <w:rsid w:val="0052560B"/>
    <w:rsid w:val="00525FBE"/>
    <w:rsid w:val="00526201"/>
    <w:rsid w:val="0052655E"/>
    <w:rsid w:val="00526A5F"/>
    <w:rsid w:val="00526E3D"/>
    <w:rsid w:val="0052733D"/>
    <w:rsid w:val="00527E3C"/>
    <w:rsid w:val="00527F7A"/>
    <w:rsid w:val="005301D0"/>
    <w:rsid w:val="00530916"/>
    <w:rsid w:val="00530D30"/>
    <w:rsid w:val="0053195B"/>
    <w:rsid w:val="00531B31"/>
    <w:rsid w:val="00531B41"/>
    <w:rsid w:val="0053228D"/>
    <w:rsid w:val="00532C30"/>
    <w:rsid w:val="00532D3A"/>
    <w:rsid w:val="00533957"/>
    <w:rsid w:val="00533FA9"/>
    <w:rsid w:val="0053482E"/>
    <w:rsid w:val="005350AC"/>
    <w:rsid w:val="0053598B"/>
    <w:rsid w:val="00536736"/>
    <w:rsid w:val="00536F47"/>
    <w:rsid w:val="0053700C"/>
    <w:rsid w:val="00537362"/>
    <w:rsid w:val="00537472"/>
    <w:rsid w:val="005374D8"/>
    <w:rsid w:val="00537CA9"/>
    <w:rsid w:val="00537CE2"/>
    <w:rsid w:val="00540055"/>
    <w:rsid w:val="0054066F"/>
    <w:rsid w:val="00540751"/>
    <w:rsid w:val="00541157"/>
    <w:rsid w:val="005412C3"/>
    <w:rsid w:val="00541EBC"/>
    <w:rsid w:val="00542BAD"/>
    <w:rsid w:val="00542BB7"/>
    <w:rsid w:val="00542F70"/>
    <w:rsid w:val="005430F9"/>
    <w:rsid w:val="0054333E"/>
    <w:rsid w:val="00543677"/>
    <w:rsid w:val="00543B30"/>
    <w:rsid w:val="00543C2F"/>
    <w:rsid w:val="00543F3D"/>
    <w:rsid w:val="00544139"/>
    <w:rsid w:val="0054434A"/>
    <w:rsid w:val="00544427"/>
    <w:rsid w:val="00544F01"/>
    <w:rsid w:val="00545098"/>
    <w:rsid w:val="00545724"/>
    <w:rsid w:val="0054623B"/>
    <w:rsid w:val="00546742"/>
    <w:rsid w:val="0054738B"/>
    <w:rsid w:val="00547C09"/>
    <w:rsid w:val="00547E45"/>
    <w:rsid w:val="005508D9"/>
    <w:rsid w:val="00550B0B"/>
    <w:rsid w:val="005515ED"/>
    <w:rsid w:val="00551E4C"/>
    <w:rsid w:val="00552124"/>
    <w:rsid w:val="005524C7"/>
    <w:rsid w:val="00553993"/>
    <w:rsid w:val="00553CF3"/>
    <w:rsid w:val="00553F7C"/>
    <w:rsid w:val="005540BC"/>
    <w:rsid w:val="0055486C"/>
    <w:rsid w:val="00554893"/>
    <w:rsid w:val="00554CEB"/>
    <w:rsid w:val="00555201"/>
    <w:rsid w:val="00555747"/>
    <w:rsid w:val="005559BA"/>
    <w:rsid w:val="00556027"/>
    <w:rsid w:val="00556339"/>
    <w:rsid w:val="005564E9"/>
    <w:rsid w:val="00556A90"/>
    <w:rsid w:val="00556AE8"/>
    <w:rsid w:val="0056006F"/>
    <w:rsid w:val="005604C5"/>
    <w:rsid w:val="00560AC3"/>
    <w:rsid w:val="00560E1E"/>
    <w:rsid w:val="00560EB0"/>
    <w:rsid w:val="00561151"/>
    <w:rsid w:val="00561A75"/>
    <w:rsid w:val="0056251D"/>
    <w:rsid w:val="00562F96"/>
    <w:rsid w:val="005633EF"/>
    <w:rsid w:val="00563C7B"/>
    <w:rsid w:val="00563FAB"/>
    <w:rsid w:val="005640F6"/>
    <w:rsid w:val="0056469A"/>
    <w:rsid w:val="0056482E"/>
    <w:rsid w:val="00564D1C"/>
    <w:rsid w:val="00565185"/>
    <w:rsid w:val="00565723"/>
    <w:rsid w:val="00565914"/>
    <w:rsid w:val="00565C41"/>
    <w:rsid w:val="00566388"/>
    <w:rsid w:val="0056686C"/>
    <w:rsid w:val="00567A70"/>
    <w:rsid w:val="00567BC7"/>
    <w:rsid w:val="00570977"/>
    <w:rsid w:val="00570E2D"/>
    <w:rsid w:val="00571201"/>
    <w:rsid w:val="00571B89"/>
    <w:rsid w:val="00571CD4"/>
    <w:rsid w:val="00572784"/>
    <w:rsid w:val="00572790"/>
    <w:rsid w:val="005731E5"/>
    <w:rsid w:val="00573334"/>
    <w:rsid w:val="00573843"/>
    <w:rsid w:val="00573F52"/>
    <w:rsid w:val="005740F6"/>
    <w:rsid w:val="00575059"/>
    <w:rsid w:val="005752E9"/>
    <w:rsid w:val="00575429"/>
    <w:rsid w:val="005755F5"/>
    <w:rsid w:val="00575BF1"/>
    <w:rsid w:val="005760CC"/>
    <w:rsid w:val="00576231"/>
    <w:rsid w:val="00576FB1"/>
    <w:rsid w:val="00577878"/>
    <w:rsid w:val="005802ED"/>
    <w:rsid w:val="00580721"/>
    <w:rsid w:val="00580BF2"/>
    <w:rsid w:val="00580C7A"/>
    <w:rsid w:val="0058114B"/>
    <w:rsid w:val="00581361"/>
    <w:rsid w:val="005814CF"/>
    <w:rsid w:val="00581BDC"/>
    <w:rsid w:val="0058227D"/>
    <w:rsid w:val="005827BD"/>
    <w:rsid w:val="005827EC"/>
    <w:rsid w:val="00582A05"/>
    <w:rsid w:val="00583338"/>
    <w:rsid w:val="005836D0"/>
    <w:rsid w:val="005836FB"/>
    <w:rsid w:val="00583C39"/>
    <w:rsid w:val="00583E6E"/>
    <w:rsid w:val="00584002"/>
    <w:rsid w:val="005849B8"/>
    <w:rsid w:val="00584E2D"/>
    <w:rsid w:val="00585060"/>
    <w:rsid w:val="00585184"/>
    <w:rsid w:val="00585362"/>
    <w:rsid w:val="00585A06"/>
    <w:rsid w:val="005862D3"/>
    <w:rsid w:val="0058648B"/>
    <w:rsid w:val="005864F8"/>
    <w:rsid w:val="00586558"/>
    <w:rsid w:val="0058745F"/>
    <w:rsid w:val="00587692"/>
    <w:rsid w:val="00587894"/>
    <w:rsid w:val="00587F4C"/>
    <w:rsid w:val="0059046B"/>
    <w:rsid w:val="00590656"/>
    <w:rsid w:val="005908E4"/>
    <w:rsid w:val="005909CF"/>
    <w:rsid w:val="00590B4C"/>
    <w:rsid w:val="00590B5D"/>
    <w:rsid w:val="00590CFE"/>
    <w:rsid w:val="00590DDA"/>
    <w:rsid w:val="00590E4C"/>
    <w:rsid w:val="00591478"/>
    <w:rsid w:val="0059159F"/>
    <w:rsid w:val="00591C4E"/>
    <w:rsid w:val="00591E71"/>
    <w:rsid w:val="0059232F"/>
    <w:rsid w:val="005924AA"/>
    <w:rsid w:val="005928F2"/>
    <w:rsid w:val="00592A03"/>
    <w:rsid w:val="00592BC0"/>
    <w:rsid w:val="005935B1"/>
    <w:rsid w:val="0059396E"/>
    <w:rsid w:val="005939C1"/>
    <w:rsid w:val="00594593"/>
    <w:rsid w:val="00595074"/>
    <w:rsid w:val="00595652"/>
    <w:rsid w:val="00595827"/>
    <w:rsid w:val="005958D6"/>
    <w:rsid w:val="00595F4D"/>
    <w:rsid w:val="00596203"/>
    <w:rsid w:val="005966E5"/>
    <w:rsid w:val="0059687A"/>
    <w:rsid w:val="00596A4B"/>
    <w:rsid w:val="00596C78"/>
    <w:rsid w:val="00596CEE"/>
    <w:rsid w:val="00596E2C"/>
    <w:rsid w:val="00596FE3"/>
    <w:rsid w:val="00597328"/>
    <w:rsid w:val="005A0D41"/>
    <w:rsid w:val="005A0E03"/>
    <w:rsid w:val="005A13F3"/>
    <w:rsid w:val="005A1CB1"/>
    <w:rsid w:val="005A1E0A"/>
    <w:rsid w:val="005A1FC5"/>
    <w:rsid w:val="005A2200"/>
    <w:rsid w:val="005A2DF7"/>
    <w:rsid w:val="005A3517"/>
    <w:rsid w:val="005A3884"/>
    <w:rsid w:val="005A3B8B"/>
    <w:rsid w:val="005A3C6B"/>
    <w:rsid w:val="005A414F"/>
    <w:rsid w:val="005A49FB"/>
    <w:rsid w:val="005A5A65"/>
    <w:rsid w:val="005A5A9B"/>
    <w:rsid w:val="005A5B5D"/>
    <w:rsid w:val="005A64E2"/>
    <w:rsid w:val="005A64FE"/>
    <w:rsid w:val="005A69AF"/>
    <w:rsid w:val="005A69C5"/>
    <w:rsid w:val="005A6AB1"/>
    <w:rsid w:val="005A6EC2"/>
    <w:rsid w:val="005A7030"/>
    <w:rsid w:val="005A7AD4"/>
    <w:rsid w:val="005A7B42"/>
    <w:rsid w:val="005B0528"/>
    <w:rsid w:val="005B082F"/>
    <w:rsid w:val="005B0AA6"/>
    <w:rsid w:val="005B0B2F"/>
    <w:rsid w:val="005B0BFB"/>
    <w:rsid w:val="005B0DF8"/>
    <w:rsid w:val="005B12C4"/>
    <w:rsid w:val="005B14B2"/>
    <w:rsid w:val="005B1DFD"/>
    <w:rsid w:val="005B2695"/>
    <w:rsid w:val="005B26C3"/>
    <w:rsid w:val="005B27A5"/>
    <w:rsid w:val="005B2F44"/>
    <w:rsid w:val="005B32B4"/>
    <w:rsid w:val="005B3B22"/>
    <w:rsid w:val="005B457F"/>
    <w:rsid w:val="005B45D4"/>
    <w:rsid w:val="005B4ED1"/>
    <w:rsid w:val="005B5847"/>
    <w:rsid w:val="005B5D34"/>
    <w:rsid w:val="005B5E0A"/>
    <w:rsid w:val="005B6FED"/>
    <w:rsid w:val="005B71DE"/>
    <w:rsid w:val="005B78C3"/>
    <w:rsid w:val="005B7EDD"/>
    <w:rsid w:val="005C0BCB"/>
    <w:rsid w:val="005C0E62"/>
    <w:rsid w:val="005C1C4D"/>
    <w:rsid w:val="005C2019"/>
    <w:rsid w:val="005C21C1"/>
    <w:rsid w:val="005C24CD"/>
    <w:rsid w:val="005C325B"/>
    <w:rsid w:val="005C3D5E"/>
    <w:rsid w:val="005C4191"/>
    <w:rsid w:val="005C4716"/>
    <w:rsid w:val="005C4980"/>
    <w:rsid w:val="005C4ADB"/>
    <w:rsid w:val="005C534F"/>
    <w:rsid w:val="005C54DF"/>
    <w:rsid w:val="005C5540"/>
    <w:rsid w:val="005C56E2"/>
    <w:rsid w:val="005C5824"/>
    <w:rsid w:val="005C6748"/>
    <w:rsid w:val="005C6993"/>
    <w:rsid w:val="005C6F51"/>
    <w:rsid w:val="005C7E2F"/>
    <w:rsid w:val="005C7F46"/>
    <w:rsid w:val="005C7FCF"/>
    <w:rsid w:val="005D0286"/>
    <w:rsid w:val="005D02CF"/>
    <w:rsid w:val="005D04F6"/>
    <w:rsid w:val="005D0AB2"/>
    <w:rsid w:val="005D0BAA"/>
    <w:rsid w:val="005D0CBA"/>
    <w:rsid w:val="005D0F50"/>
    <w:rsid w:val="005D10E7"/>
    <w:rsid w:val="005D1D0A"/>
    <w:rsid w:val="005D23D1"/>
    <w:rsid w:val="005D2442"/>
    <w:rsid w:val="005D272E"/>
    <w:rsid w:val="005D290B"/>
    <w:rsid w:val="005D2D72"/>
    <w:rsid w:val="005D36FA"/>
    <w:rsid w:val="005D3983"/>
    <w:rsid w:val="005D3F84"/>
    <w:rsid w:val="005D3FDD"/>
    <w:rsid w:val="005D4751"/>
    <w:rsid w:val="005D4A65"/>
    <w:rsid w:val="005D4CCC"/>
    <w:rsid w:val="005D4FC3"/>
    <w:rsid w:val="005D5A0B"/>
    <w:rsid w:val="005D6565"/>
    <w:rsid w:val="005D664F"/>
    <w:rsid w:val="005D6B12"/>
    <w:rsid w:val="005D71FA"/>
    <w:rsid w:val="005D7D69"/>
    <w:rsid w:val="005E0311"/>
    <w:rsid w:val="005E051A"/>
    <w:rsid w:val="005E06B0"/>
    <w:rsid w:val="005E0D2A"/>
    <w:rsid w:val="005E156E"/>
    <w:rsid w:val="005E170E"/>
    <w:rsid w:val="005E1A10"/>
    <w:rsid w:val="005E1C9B"/>
    <w:rsid w:val="005E1DF9"/>
    <w:rsid w:val="005E1FFA"/>
    <w:rsid w:val="005E24CE"/>
    <w:rsid w:val="005E2811"/>
    <w:rsid w:val="005E2A8C"/>
    <w:rsid w:val="005E324E"/>
    <w:rsid w:val="005E34E9"/>
    <w:rsid w:val="005E3E3A"/>
    <w:rsid w:val="005E48CA"/>
    <w:rsid w:val="005E4A67"/>
    <w:rsid w:val="005E503F"/>
    <w:rsid w:val="005E5484"/>
    <w:rsid w:val="005E5D0D"/>
    <w:rsid w:val="005E6CF4"/>
    <w:rsid w:val="005E7254"/>
    <w:rsid w:val="005E75F4"/>
    <w:rsid w:val="005E7C1B"/>
    <w:rsid w:val="005E7CCE"/>
    <w:rsid w:val="005E7D18"/>
    <w:rsid w:val="005E7E52"/>
    <w:rsid w:val="005F0AA5"/>
    <w:rsid w:val="005F0B10"/>
    <w:rsid w:val="005F1C6D"/>
    <w:rsid w:val="005F20D7"/>
    <w:rsid w:val="005F23E0"/>
    <w:rsid w:val="005F2426"/>
    <w:rsid w:val="005F26A5"/>
    <w:rsid w:val="005F2798"/>
    <w:rsid w:val="005F29D9"/>
    <w:rsid w:val="005F336B"/>
    <w:rsid w:val="005F3549"/>
    <w:rsid w:val="005F36C0"/>
    <w:rsid w:val="005F3C81"/>
    <w:rsid w:val="005F3E0A"/>
    <w:rsid w:val="005F3F84"/>
    <w:rsid w:val="005F423D"/>
    <w:rsid w:val="005F4613"/>
    <w:rsid w:val="005F49EA"/>
    <w:rsid w:val="005F503B"/>
    <w:rsid w:val="005F53B0"/>
    <w:rsid w:val="005F53BB"/>
    <w:rsid w:val="005F5EA5"/>
    <w:rsid w:val="005F5F53"/>
    <w:rsid w:val="005F68D6"/>
    <w:rsid w:val="005F6D6C"/>
    <w:rsid w:val="005F73BD"/>
    <w:rsid w:val="0060039D"/>
    <w:rsid w:val="00600840"/>
    <w:rsid w:val="00601584"/>
    <w:rsid w:val="00601888"/>
    <w:rsid w:val="00601975"/>
    <w:rsid w:val="00601ACC"/>
    <w:rsid w:val="00601F6A"/>
    <w:rsid w:val="006020C6"/>
    <w:rsid w:val="00602FB7"/>
    <w:rsid w:val="006030CA"/>
    <w:rsid w:val="00603E98"/>
    <w:rsid w:val="006045F3"/>
    <w:rsid w:val="00604776"/>
    <w:rsid w:val="00604962"/>
    <w:rsid w:val="00604C04"/>
    <w:rsid w:val="0060500A"/>
    <w:rsid w:val="006057DD"/>
    <w:rsid w:val="00606A3E"/>
    <w:rsid w:val="00607BAC"/>
    <w:rsid w:val="00607BF1"/>
    <w:rsid w:val="00607C92"/>
    <w:rsid w:val="0061062E"/>
    <w:rsid w:val="00610C04"/>
    <w:rsid w:val="0061138F"/>
    <w:rsid w:val="0061157A"/>
    <w:rsid w:val="006115A9"/>
    <w:rsid w:val="00612356"/>
    <w:rsid w:val="00612410"/>
    <w:rsid w:val="00612CDB"/>
    <w:rsid w:val="00612EC7"/>
    <w:rsid w:val="006131B7"/>
    <w:rsid w:val="00613225"/>
    <w:rsid w:val="00613317"/>
    <w:rsid w:val="00613541"/>
    <w:rsid w:val="006137A0"/>
    <w:rsid w:val="0061381B"/>
    <w:rsid w:val="006139D4"/>
    <w:rsid w:val="00613B8D"/>
    <w:rsid w:val="00614246"/>
    <w:rsid w:val="00614C63"/>
    <w:rsid w:val="00614C79"/>
    <w:rsid w:val="00615A86"/>
    <w:rsid w:val="00615ED2"/>
    <w:rsid w:val="0061622D"/>
    <w:rsid w:val="0061662B"/>
    <w:rsid w:val="006166CB"/>
    <w:rsid w:val="00617632"/>
    <w:rsid w:val="006179F3"/>
    <w:rsid w:val="00617A91"/>
    <w:rsid w:val="0062030F"/>
    <w:rsid w:val="006204B1"/>
    <w:rsid w:val="006206F2"/>
    <w:rsid w:val="00620792"/>
    <w:rsid w:val="00620C46"/>
    <w:rsid w:val="00621331"/>
    <w:rsid w:val="00621547"/>
    <w:rsid w:val="00621C4F"/>
    <w:rsid w:val="0062264D"/>
    <w:rsid w:val="00622DC9"/>
    <w:rsid w:val="006233B0"/>
    <w:rsid w:val="00623A97"/>
    <w:rsid w:val="00623AE0"/>
    <w:rsid w:val="00623D7B"/>
    <w:rsid w:val="006247D0"/>
    <w:rsid w:val="00624CC7"/>
    <w:rsid w:val="00624E2F"/>
    <w:rsid w:val="00625117"/>
    <w:rsid w:val="0062527E"/>
    <w:rsid w:val="00625704"/>
    <w:rsid w:val="00625B20"/>
    <w:rsid w:val="00626232"/>
    <w:rsid w:val="006266C6"/>
    <w:rsid w:val="00626BA3"/>
    <w:rsid w:val="00626CBE"/>
    <w:rsid w:val="00627145"/>
    <w:rsid w:val="0062716E"/>
    <w:rsid w:val="00627423"/>
    <w:rsid w:val="00627E28"/>
    <w:rsid w:val="00627F04"/>
    <w:rsid w:val="00630041"/>
    <w:rsid w:val="00630669"/>
    <w:rsid w:val="00630C6B"/>
    <w:rsid w:val="00630D4D"/>
    <w:rsid w:val="00630E43"/>
    <w:rsid w:val="00630E83"/>
    <w:rsid w:val="00631742"/>
    <w:rsid w:val="00631E22"/>
    <w:rsid w:val="006320C7"/>
    <w:rsid w:val="00632172"/>
    <w:rsid w:val="00632A74"/>
    <w:rsid w:val="00632F8A"/>
    <w:rsid w:val="00633104"/>
    <w:rsid w:val="006331DD"/>
    <w:rsid w:val="0063353B"/>
    <w:rsid w:val="0063391C"/>
    <w:rsid w:val="00634BDB"/>
    <w:rsid w:val="006364C6"/>
    <w:rsid w:val="006368B6"/>
    <w:rsid w:val="00636F54"/>
    <w:rsid w:val="0063711B"/>
    <w:rsid w:val="00637C13"/>
    <w:rsid w:val="0064037F"/>
    <w:rsid w:val="006411A5"/>
    <w:rsid w:val="0064124A"/>
    <w:rsid w:val="0064274B"/>
    <w:rsid w:val="006429CC"/>
    <w:rsid w:val="006436BF"/>
    <w:rsid w:val="006439E5"/>
    <w:rsid w:val="00643A4C"/>
    <w:rsid w:val="00643DB3"/>
    <w:rsid w:val="0064412D"/>
    <w:rsid w:val="006441CF"/>
    <w:rsid w:val="006444F9"/>
    <w:rsid w:val="00644812"/>
    <w:rsid w:val="00644ECE"/>
    <w:rsid w:val="00644F8E"/>
    <w:rsid w:val="00644FBB"/>
    <w:rsid w:val="00645353"/>
    <w:rsid w:val="00645786"/>
    <w:rsid w:val="00645D0C"/>
    <w:rsid w:val="00646AE8"/>
    <w:rsid w:val="00647208"/>
    <w:rsid w:val="00647B8E"/>
    <w:rsid w:val="00647C9D"/>
    <w:rsid w:val="00647D5A"/>
    <w:rsid w:val="0065014F"/>
    <w:rsid w:val="00650C07"/>
    <w:rsid w:val="00651422"/>
    <w:rsid w:val="00651733"/>
    <w:rsid w:val="006517D4"/>
    <w:rsid w:val="00651D56"/>
    <w:rsid w:val="006522A1"/>
    <w:rsid w:val="0065266B"/>
    <w:rsid w:val="00652821"/>
    <w:rsid w:val="00652B04"/>
    <w:rsid w:val="00652BD2"/>
    <w:rsid w:val="0065390B"/>
    <w:rsid w:val="00653B68"/>
    <w:rsid w:val="00654402"/>
    <w:rsid w:val="00654F86"/>
    <w:rsid w:val="006551FA"/>
    <w:rsid w:val="006554F6"/>
    <w:rsid w:val="00655DC2"/>
    <w:rsid w:val="006560E0"/>
    <w:rsid w:val="0065663C"/>
    <w:rsid w:val="00657133"/>
    <w:rsid w:val="00657160"/>
    <w:rsid w:val="00657E62"/>
    <w:rsid w:val="006605CD"/>
    <w:rsid w:val="0066089F"/>
    <w:rsid w:val="00660B67"/>
    <w:rsid w:val="00660C20"/>
    <w:rsid w:val="00660DA4"/>
    <w:rsid w:val="00661495"/>
    <w:rsid w:val="00661923"/>
    <w:rsid w:val="006628ED"/>
    <w:rsid w:val="00662C4D"/>
    <w:rsid w:val="00662F38"/>
    <w:rsid w:val="00664155"/>
    <w:rsid w:val="00664196"/>
    <w:rsid w:val="00664582"/>
    <w:rsid w:val="006646D4"/>
    <w:rsid w:val="00664C2F"/>
    <w:rsid w:val="00664F6C"/>
    <w:rsid w:val="00665184"/>
    <w:rsid w:val="00665C51"/>
    <w:rsid w:val="0066613C"/>
    <w:rsid w:val="0066650E"/>
    <w:rsid w:val="00666534"/>
    <w:rsid w:val="006667A8"/>
    <w:rsid w:val="00667756"/>
    <w:rsid w:val="00667A40"/>
    <w:rsid w:val="00667B6F"/>
    <w:rsid w:val="00667BDC"/>
    <w:rsid w:val="00670F09"/>
    <w:rsid w:val="00671E98"/>
    <w:rsid w:val="006722F9"/>
    <w:rsid w:val="006729EB"/>
    <w:rsid w:val="00672CFF"/>
    <w:rsid w:val="00673144"/>
    <w:rsid w:val="0067339C"/>
    <w:rsid w:val="00673E10"/>
    <w:rsid w:val="00673FA6"/>
    <w:rsid w:val="00676126"/>
    <w:rsid w:val="006763B2"/>
    <w:rsid w:val="00680518"/>
    <w:rsid w:val="0068099B"/>
    <w:rsid w:val="00681C78"/>
    <w:rsid w:val="006821FD"/>
    <w:rsid w:val="00682202"/>
    <w:rsid w:val="00682A84"/>
    <w:rsid w:val="00682C23"/>
    <w:rsid w:val="006838B6"/>
    <w:rsid w:val="00683C2B"/>
    <w:rsid w:val="0068429C"/>
    <w:rsid w:val="0068438D"/>
    <w:rsid w:val="00685561"/>
    <w:rsid w:val="006859B9"/>
    <w:rsid w:val="00686A91"/>
    <w:rsid w:val="00686D01"/>
    <w:rsid w:val="00686F69"/>
    <w:rsid w:val="00687480"/>
    <w:rsid w:val="0068761A"/>
    <w:rsid w:val="00687F0D"/>
    <w:rsid w:val="00687F14"/>
    <w:rsid w:val="0069062A"/>
    <w:rsid w:val="0069094A"/>
    <w:rsid w:val="00690D0D"/>
    <w:rsid w:val="00690D14"/>
    <w:rsid w:val="00690E71"/>
    <w:rsid w:val="0069157E"/>
    <w:rsid w:val="00691853"/>
    <w:rsid w:val="006919F9"/>
    <w:rsid w:val="006921CF"/>
    <w:rsid w:val="00692582"/>
    <w:rsid w:val="00692ECB"/>
    <w:rsid w:val="006930B1"/>
    <w:rsid w:val="00694A9B"/>
    <w:rsid w:val="00694C2B"/>
    <w:rsid w:val="0069508C"/>
    <w:rsid w:val="00695642"/>
    <w:rsid w:val="006957A1"/>
    <w:rsid w:val="00695822"/>
    <w:rsid w:val="00695D03"/>
    <w:rsid w:val="00696129"/>
    <w:rsid w:val="0069612D"/>
    <w:rsid w:val="0069639F"/>
    <w:rsid w:val="00696CED"/>
    <w:rsid w:val="00696EA9"/>
    <w:rsid w:val="00696EF8"/>
    <w:rsid w:val="0069779C"/>
    <w:rsid w:val="006A00E8"/>
    <w:rsid w:val="006A07E6"/>
    <w:rsid w:val="006A0AE4"/>
    <w:rsid w:val="006A0D3A"/>
    <w:rsid w:val="006A1813"/>
    <w:rsid w:val="006A19AB"/>
    <w:rsid w:val="006A2CA9"/>
    <w:rsid w:val="006A2EBA"/>
    <w:rsid w:val="006A302D"/>
    <w:rsid w:val="006A3C54"/>
    <w:rsid w:val="006A4278"/>
    <w:rsid w:val="006A4655"/>
    <w:rsid w:val="006A53E5"/>
    <w:rsid w:val="006A5618"/>
    <w:rsid w:val="006A565A"/>
    <w:rsid w:val="006A586F"/>
    <w:rsid w:val="006A5E92"/>
    <w:rsid w:val="006A63C7"/>
    <w:rsid w:val="006A6A0B"/>
    <w:rsid w:val="006A7003"/>
    <w:rsid w:val="006A7109"/>
    <w:rsid w:val="006A7D32"/>
    <w:rsid w:val="006A7E31"/>
    <w:rsid w:val="006B0769"/>
    <w:rsid w:val="006B0934"/>
    <w:rsid w:val="006B0935"/>
    <w:rsid w:val="006B1156"/>
    <w:rsid w:val="006B17F5"/>
    <w:rsid w:val="006B1E39"/>
    <w:rsid w:val="006B1E70"/>
    <w:rsid w:val="006B2214"/>
    <w:rsid w:val="006B2B3C"/>
    <w:rsid w:val="006B2E04"/>
    <w:rsid w:val="006B306C"/>
    <w:rsid w:val="006B311A"/>
    <w:rsid w:val="006B3204"/>
    <w:rsid w:val="006B39CF"/>
    <w:rsid w:val="006B457A"/>
    <w:rsid w:val="006B4D88"/>
    <w:rsid w:val="006B4FC7"/>
    <w:rsid w:val="006B4FD8"/>
    <w:rsid w:val="006B50F5"/>
    <w:rsid w:val="006B51C3"/>
    <w:rsid w:val="006B5668"/>
    <w:rsid w:val="006B5855"/>
    <w:rsid w:val="006B5F6B"/>
    <w:rsid w:val="006B630A"/>
    <w:rsid w:val="006B6868"/>
    <w:rsid w:val="006B6BE5"/>
    <w:rsid w:val="006B6BF2"/>
    <w:rsid w:val="006B784E"/>
    <w:rsid w:val="006B7EEC"/>
    <w:rsid w:val="006C0465"/>
    <w:rsid w:val="006C1246"/>
    <w:rsid w:val="006C1332"/>
    <w:rsid w:val="006C1A7A"/>
    <w:rsid w:val="006C1B9B"/>
    <w:rsid w:val="006C1D5F"/>
    <w:rsid w:val="006C20E4"/>
    <w:rsid w:val="006C237D"/>
    <w:rsid w:val="006C2640"/>
    <w:rsid w:val="006C3254"/>
    <w:rsid w:val="006C3CAB"/>
    <w:rsid w:val="006C44CC"/>
    <w:rsid w:val="006C49CA"/>
    <w:rsid w:val="006C4FDB"/>
    <w:rsid w:val="006C5567"/>
    <w:rsid w:val="006C5B23"/>
    <w:rsid w:val="006C67B8"/>
    <w:rsid w:val="006C67C1"/>
    <w:rsid w:val="006C6FA5"/>
    <w:rsid w:val="006C7038"/>
    <w:rsid w:val="006D0048"/>
    <w:rsid w:val="006D0AAC"/>
    <w:rsid w:val="006D0BB1"/>
    <w:rsid w:val="006D1DC0"/>
    <w:rsid w:val="006D1F72"/>
    <w:rsid w:val="006D2119"/>
    <w:rsid w:val="006D287C"/>
    <w:rsid w:val="006D2A97"/>
    <w:rsid w:val="006D2F40"/>
    <w:rsid w:val="006D3110"/>
    <w:rsid w:val="006D3B38"/>
    <w:rsid w:val="006D3BD9"/>
    <w:rsid w:val="006D3CC1"/>
    <w:rsid w:val="006D3F87"/>
    <w:rsid w:val="006D411B"/>
    <w:rsid w:val="006D4BCF"/>
    <w:rsid w:val="006D4EAC"/>
    <w:rsid w:val="006D567B"/>
    <w:rsid w:val="006D5A8B"/>
    <w:rsid w:val="006D5ABA"/>
    <w:rsid w:val="006D5F30"/>
    <w:rsid w:val="006D60CD"/>
    <w:rsid w:val="006D6839"/>
    <w:rsid w:val="006D6C7A"/>
    <w:rsid w:val="006D742F"/>
    <w:rsid w:val="006D7968"/>
    <w:rsid w:val="006D79C4"/>
    <w:rsid w:val="006E021F"/>
    <w:rsid w:val="006E0603"/>
    <w:rsid w:val="006E06B3"/>
    <w:rsid w:val="006E0A9E"/>
    <w:rsid w:val="006E0B2C"/>
    <w:rsid w:val="006E0C2A"/>
    <w:rsid w:val="006E1278"/>
    <w:rsid w:val="006E21C2"/>
    <w:rsid w:val="006E290E"/>
    <w:rsid w:val="006E2AA3"/>
    <w:rsid w:val="006E41A1"/>
    <w:rsid w:val="006E4409"/>
    <w:rsid w:val="006E4916"/>
    <w:rsid w:val="006E4B8C"/>
    <w:rsid w:val="006E4C78"/>
    <w:rsid w:val="006E4EF2"/>
    <w:rsid w:val="006E51DC"/>
    <w:rsid w:val="006E59E0"/>
    <w:rsid w:val="006E5CF6"/>
    <w:rsid w:val="006E6411"/>
    <w:rsid w:val="006E6731"/>
    <w:rsid w:val="006E674F"/>
    <w:rsid w:val="006E6F7D"/>
    <w:rsid w:val="006E7068"/>
    <w:rsid w:val="006E73EF"/>
    <w:rsid w:val="006E759B"/>
    <w:rsid w:val="006E7E1E"/>
    <w:rsid w:val="006F0032"/>
    <w:rsid w:val="006F08EB"/>
    <w:rsid w:val="006F1CFF"/>
    <w:rsid w:val="006F241B"/>
    <w:rsid w:val="006F2CC3"/>
    <w:rsid w:val="006F2DF3"/>
    <w:rsid w:val="006F3ABD"/>
    <w:rsid w:val="006F41F6"/>
    <w:rsid w:val="006F4216"/>
    <w:rsid w:val="006F43AE"/>
    <w:rsid w:val="006F510A"/>
    <w:rsid w:val="006F5612"/>
    <w:rsid w:val="006F568E"/>
    <w:rsid w:val="006F5E81"/>
    <w:rsid w:val="006F5F33"/>
    <w:rsid w:val="006F643B"/>
    <w:rsid w:val="006F64F8"/>
    <w:rsid w:val="006F6BCA"/>
    <w:rsid w:val="006F7456"/>
    <w:rsid w:val="006F77E1"/>
    <w:rsid w:val="006F7918"/>
    <w:rsid w:val="00700205"/>
    <w:rsid w:val="00700989"/>
    <w:rsid w:val="007009B4"/>
    <w:rsid w:val="00700DBE"/>
    <w:rsid w:val="00700FE4"/>
    <w:rsid w:val="00701134"/>
    <w:rsid w:val="0070178A"/>
    <w:rsid w:val="00701BAA"/>
    <w:rsid w:val="00701E68"/>
    <w:rsid w:val="00702265"/>
    <w:rsid w:val="0070287B"/>
    <w:rsid w:val="00702BB4"/>
    <w:rsid w:val="00702E83"/>
    <w:rsid w:val="00702EF7"/>
    <w:rsid w:val="00703AFB"/>
    <w:rsid w:val="00703B44"/>
    <w:rsid w:val="00704323"/>
    <w:rsid w:val="007046D8"/>
    <w:rsid w:val="00704E8A"/>
    <w:rsid w:val="00705563"/>
    <w:rsid w:val="007058D2"/>
    <w:rsid w:val="0070598B"/>
    <w:rsid w:val="00705CC2"/>
    <w:rsid w:val="00706124"/>
    <w:rsid w:val="00706A5E"/>
    <w:rsid w:val="00706A8A"/>
    <w:rsid w:val="00706C8A"/>
    <w:rsid w:val="00707434"/>
    <w:rsid w:val="00707CF4"/>
    <w:rsid w:val="00707E6E"/>
    <w:rsid w:val="00707EF5"/>
    <w:rsid w:val="00711226"/>
    <w:rsid w:val="007114FF"/>
    <w:rsid w:val="00711864"/>
    <w:rsid w:val="00711950"/>
    <w:rsid w:val="00711D2F"/>
    <w:rsid w:val="007120AF"/>
    <w:rsid w:val="00712F8F"/>
    <w:rsid w:val="00713271"/>
    <w:rsid w:val="007138A0"/>
    <w:rsid w:val="007140A7"/>
    <w:rsid w:val="007142D5"/>
    <w:rsid w:val="0071471E"/>
    <w:rsid w:val="00714D4D"/>
    <w:rsid w:val="00715BA3"/>
    <w:rsid w:val="00716061"/>
    <w:rsid w:val="00716A0A"/>
    <w:rsid w:val="007171D6"/>
    <w:rsid w:val="0071744B"/>
    <w:rsid w:val="00717606"/>
    <w:rsid w:val="00717795"/>
    <w:rsid w:val="00717D53"/>
    <w:rsid w:val="007201DA"/>
    <w:rsid w:val="00720247"/>
    <w:rsid w:val="00720437"/>
    <w:rsid w:val="007210C8"/>
    <w:rsid w:val="00721A02"/>
    <w:rsid w:val="00721AC1"/>
    <w:rsid w:val="00721D3B"/>
    <w:rsid w:val="00722277"/>
    <w:rsid w:val="00722595"/>
    <w:rsid w:val="00722AAE"/>
    <w:rsid w:val="00722B87"/>
    <w:rsid w:val="00722D86"/>
    <w:rsid w:val="00723899"/>
    <w:rsid w:val="00723997"/>
    <w:rsid w:val="00723F1C"/>
    <w:rsid w:val="007241E1"/>
    <w:rsid w:val="007242DF"/>
    <w:rsid w:val="00724513"/>
    <w:rsid w:val="0072489A"/>
    <w:rsid w:val="00724C46"/>
    <w:rsid w:val="00725516"/>
    <w:rsid w:val="00725A4C"/>
    <w:rsid w:val="00725EDD"/>
    <w:rsid w:val="007265BC"/>
    <w:rsid w:val="007271E1"/>
    <w:rsid w:val="007275EC"/>
    <w:rsid w:val="00727616"/>
    <w:rsid w:val="00730C14"/>
    <w:rsid w:val="00731BD1"/>
    <w:rsid w:val="00732004"/>
    <w:rsid w:val="007320A8"/>
    <w:rsid w:val="0073259B"/>
    <w:rsid w:val="007325D9"/>
    <w:rsid w:val="00732AA4"/>
    <w:rsid w:val="00733BA6"/>
    <w:rsid w:val="007341D4"/>
    <w:rsid w:val="00734CE0"/>
    <w:rsid w:val="00734F82"/>
    <w:rsid w:val="00736160"/>
    <w:rsid w:val="007365E4"/>
    <w:rsid w:val="007367F3"/>
    <w:rsid w:val="00737190"/>
    <w:rsid w:val="00737268"/>
    <w:rsid w:val="007376D6"/>
    <w:rsid w:val="007378B9"/>
    <w:rsid w:val="00737956"/>
    <w:rsid w:val="00737AAB"/>
    <w:rsid w:val="00737C4E"/>
    <w:rsid w:val="00737F2E"/>
    <w:rsid w:val="00740D8A"/>
    <w:rsid w:val="00740DDF"/>
    <w:rsid w:val="00740F19"/>
    <w:rsid w:val="00740FF3"/>
    <w:rsid w:val="007414BE"/>
    <w:rsid w:val="0074173F"/>
    <w:rsid w:val="00741C4B"/>
    <w:rsid w:val="00741E34"/>
    <w:rsid w:val="00741F00"/>
    <w:rsid w:val="0074266F"/>
    <w:rsid w:val="00742CFE"/>
    <w:rsid w:val="00743711"/>
    <w:rsid w:val="007447C7"/>
    <w:rsid w:val="00744C47"/>
    <w:rsid w:val="00744F3B"/>
    <w:rsid w:val="0074517B"/>
    <w:rsid w:val="007460A6"/>
    <w:rsid w:val="00746C17"/>
    <w:rsid w:val="00746C73"/>
    <w:rsid w:val="0074741C"/>
    <w:rsid w:val="0075113B"/>
    <w:rsid w:val="00751470"/>
    <w:rsid w:val="007518BA"/>
    <w:rsid w:val="0075222F"/>
    <w:rsid w:val="007523EC"/>
    <w:rsid w:val="00752681"/>
    <w:rsid w:val="00752BBF"/>
    <w:rsid w:val="00752D2F"/>
    <w:rsid w:val="0075317B"/>
    <w:rsid w:val="00753342"/>
    <w:rsid w:val="00753370"/>
    <w:rsid w:val="00753739"/>
    <w:rsid w:val="00753EF0"/>
    <w:rsid w:val="00754004"/>
    <w:rsid w:val="00755D8F"/>
    <w:rsid w:val="00756CC6"/>
    <w:rsid w:val="00756D7E"/>
    <w:rsid w:val="007576CC"/>
    <w:rsid w:val="00757A4B"/>
    <w:rsid w:val="00757E28"/>
    <w:rsid w:val="00757EBE"/>
    <w:rsid w:val="007604BB"/>
    <w:rsid w:val="007607A6"/>
    <w:rsid w:val="00761400"/>
    <w:rsid w:val="00761412"/>
    <w:rsid w:val="007618E1"/>
    <w:rsid w:val="0076325E"/>
    <w:rsid w:val="0076348C"/>
    <w:rsid w:val="007636FF"/>
    <w:rsid w:val="00763D53"/>
    <w:rsid w:val="007642A6"/>
    <w:rsid w:val="00764441"/>
    <w:rsid w:val="00764659"/>
    <w:rsid w:val="0076596B"/>
    <w:rsid w:val="00765A7B"/>
    <w:rsid w:val="00765D7F"/>
    <w:rsid w:val="00765F98"/>
    <w:rsid w:val="00766D7F"/>
    <w:rsid w:val="007670E1"/>
    <w:rsid w:val="007671C4"/>
    <w:rsid w:val="00767EA7"/>
    <w:rsid w:val="0077005B"/>
    <w:rsid w:val="007704C7"/>
    <w:rsid w:val="0077053C"/>
    <w:rsid w:val="0077064E"/>
    <w:rsid w:val="00770727"/>
    <w:rsid w:val="007707AA"/>
    <w:rsid w:val="00770E98"/>
    <w:rsid w:val="00770F89"/>
    <w:rsid w:val="007711B1"/>
    <w:rsid w:val="007728F4"/>
    <w:rsid w:val="00772BD5"/>
    <w:rsid w:val="00773D2F"/>
    <w:rsid w:val="00774017"/>
    <w:rsid w:val="007742F4"/>
    <w:rsid w:val="00774623"/>
    <w:rsid w:val="00776494"/>
    <w:rsid w:val="00780488"/>
    <w:rsid w:val="007808C3"/>
    <w:rsid w:val="00780B75"/>
    <w:rsid w:val="007810CB"/>
    <w:rsid w:val="00781251"/>
    <w:rsid w:val="00781340"/>
    <w:rsid w:val="007813C1"/>
    <w:rsid w:val="00781449"/>
    <w:rsid w:val="00781C26"/>
    <w:rsid w:val="00781FEE"/>
    <w:rsid w:val="007820B5"/>
    <w:rsid w:val="00782930"/>
    <w:rsid w:val="00782BA1"/>
    <w:rsid w:val="00783195"/>
    <w:rsid w:val="0078323E"/>
    <w:rsid w:val="007847A8"/>
    <w:rsid w:val="00785232"/>
    <w:rsid w:val="00785B5D"/>
    <w:rsid w:val="00785E5A"/>
    <w:rsid w:val="007860EF"/>
    <w:rsid w:val="007866FF"/>
    <w:rsid w:val="00786BC8"/>
    <w:rsid w:val="0079021D"/>
    <w:rsid w:val="00790950"/>
    <w:rsid w:val="00790AC7"/>
    <w:rsid w:val="00790D8C"/>
    <w:rsid w:val="00791C0C"/>
    <w:rsid w:val="00791C5E"/>
    <w:rsid w:val="00792623"/>
    <w:rsid w:val="00792992"/>
    <w:rsid w:val="00792A03"/>
    <w:rsid w:val="0079307D"/>
    <w:rsid w:val="00793115"/>
    <w:rsid w:val="0079314A"/>
    <w:rsid w:val="00793652"/>
    <w:rsid w:val="00793ADF"/>
    <w:rsid w:val="00794641"/>
    <w:rsid w:val="00794A20"/>
    <w:rsid w:val="00794C7F"/>
    <w:rsid w:val="007959F6"/>
    <w:rsid w:val="00795B10"/>
    <w:rsid w:val="00795BAD"/>
    <w:rsid w:val="00796A47"/>
    <w:rsid w:val="007970A4"/>
    <w:rsid w:val="007971A6"/>
    <w:rsid w:val="007972AA"/>
    <w:rsid w:val="00797657"/>
    <w:rsid w:val="007978D2"/>
    <w:rsid w:val="00797FF3"/>
    <w:rsid w:val="007A08D8"/>
    <w:rsid w:val="007A0A6B"/>
    <w:rsid w:val="007A0B7D"/>
    <w:rsid w:val="007A0EF3"/>
    <w:rsid w:val="007A12EC"/>
    <w:rsid w:val="007A16AF"/>
    <w:rsid w:val="007A183D"/>
    <w:rsid w:val="007A19B7"/>
    <w:rsid w:val="007A21EB"/>
    <w:rsid w:val="007A28F6"/>
    <w:rsid w:val="007A3799"/>
    <w:rsid w:val="007A3A91"/>
    <w:rsid w:val="007A4070"/>
    <w:rsid w:val="007A41E7"/>
    <w:rsid w:val="007A43D9"/>
    <w:rsid w:val="007A4809"/>
    <w:rsid w:val="007A4CA3"/>
    <w:rsid w:val="007A4DB3"/>
    <w:rsid w:val="007A4E13"/>
    <w:rsid w:val="007A4F31"/>
    <w:rsid w:val="007A58A3"/>
    <w:rsid w:val="007A6BA6"/>
    <w:rsid w:val="007A7B6A"/>
    <w:rsid w:val="007A7C02"/>
    <w:rsid w:val="007B0358"/>
    <w:rsid w:val="007B0BF1"/>
    <w:rsid w:val="007B0CDD"/>
    <w:rsid w:val="007B0D10"/>
    <w:rsid w:val="007B0F97"/>
    <w:rsid w:val="007B1008"/>
    <w:rsid w:val="007B13CA"/>
    <w:rsid w:val="007B1448"/>
    <w:rsid w:val="007B1937"/>
    <w:rsid w:val="007B19AD"/>
    <w:rsid w:val="007B1ECC"/>
    <w:rsid w:val="007B21B2"/>
    <w:rsid w:val="007B3102"/>
    <w:rsid w:val="007B355A"/>
    <w:rsid w:val="007B374F"/>
    <w:rsid w:val="007B38E4"/>
    <w:rsid w:val="007B39F9"/>
    <w:rsid w:val="007B3F04"/>
    <w:rsid w:val="007B41F6"/>
    <w:rsid w:val="007B4EFD"/>
    <w:rsid w:val="007B669F"/>
    <w:rsid w:val="007B72D6"/>
    <w:rsid w:val="007B7A85"/>
    <w:rsid w:val="007B7BFF"/>
    <w:rsid w:val="007C04C5"/>
    <w:rsid w:val="007C0602"/>
    <w:rsid w:val="007C0942"/>
    <w:rsid w:val="007C122F"/>
    <w:rsid w:val="007C1454"/>
    <w:rsid w:val="007C191C"/>
    <w:rsid w:val="007C19F2"/>
    <w:rsid w:val="007C1B0C"/>
    <w:rsid w:val="007C1BA9"/>
    <w:rsid w:val="007C1F02"/>
    <w:rsid w:val="007C21EF"/>
    <w:rsid w:val="007C3412"/>
    <w:rsid w:val="007C36C9"/>
    <w:rsid w:val="007C371A"/>
    <w:rsid w:val="007C3957"/>
    <w:rsid w:val="007C3F68"/>
    <w:rsid w:val="007C429F"/>
    <w:rsid w:val="007C4323"/>
    <w:rsid w:val="007C4363"/>
    <w:rsid w:val="007C44F9"/>
    <w:rsid w:val="007C46FF"/>
    <w:rsid w:val="007C48FD"/>
    <w:rsid w:val="007C4AAE"/>
    <w:rsid w:val="007C4C2E"/>
    <w:rsid w:val="007C4CAA"/>
    <w:rsid w:val="007C58CD"/>
    <w:rsid w:val="007C6042"/>
    <w:rsid w:val="007C616F"/>
    <w:rsid w:val="007C672C"/>
    <w:rsid w:val="007C6869"/>
    <w:rsid w:val="007C70F9"/>
    <w:rsid w:val="007D0226"/>
    <w:rsid w:val="007D0A67"/>
    <w:rsid w:val="007D0AAC"/>
    <w:rsid w:val="007D0BFD"/>
    <w:rsid w:val="007D12B8"/>
    <w:rsid w:val="007D12E0"/>
    <w:rsid w:val="007D16A0"/>
    <w:rsid w:val="007D1936"/>
    <w:rsid w:val="007D19B9"/>
    <w:rsid w:val="007D1DA2"/>
    <w:rsid w:val="007D1EFB"/>
    <w:rsid w:val="007D22EC"/>
    <w:rsid w:val="007D3277"/>
    <w:rsid w:val="007D3458"/>
    <w:rsid w:val="007D365D"/>
    <w:rsid w:val="007D3EBD"/>
    <w:rsid w:val="007D4A7A"/>
    <w:rsid w:val="007D5934"/>
    <w:rsid w:val="007D5B65"/>
    <w:rsid w:val="007D65DF"/>
    <w:rsid w:val="007E01E4"/>
    <w:rsid w:val="007E1286"/>
    <w:rsid w:val="007E1C64"/>
    <w:rsid w:val="007E201D"/>
    <w:rsid w:val="007E209F"/>
    <w:rsid w:val="007E2140"/>
    <w:rsid w:val="007E242A"/>
    <w:rsid w:val="007E2C39"/>
    <w:rsid w:val="007E2ED1"/>
    <w:rsid w:val="007E2F80"/>
    <w:rsid w:val="007E3300"/>
    <w:rsid w:val="007E3334"/>
    <w:rsid w:val="007E3942"/>
    <w:rsid w:val="007E3B55"/>
    <w:rsid w:val="007E3D01"/>
    <w:rsid w:val="007E40F2"/>
    <w:rsid w:val="007E4398"/>
    <w:rsid w:val="007E46E8"/>
    <w:rsid w:val="007E5661"/>
    <w:rsid w:val="007E5CAF"/>
    <w:rsid w:val="007E6151"/>
    <w:rsid w:val="007E63C8"/>
    <w:rsid w:val="007E6802"/>
    <w:rsid w:val="007E6849"/>
    <w:rsid w:val="007E6EBE"/>
    <w:rsid w:val="007E7076"/>
    <w:rsid w:val="007E70AE"/>
    <w:rsid w:val="007E74E5"/>
    <w:rsid w:val="007E7F2D"/>
    <w:rsid w:val="007F0419"/>
    <w:rsid w:val="007F04B4"/>
    <w:rsid w:val="007F0BF9"/>
    <w:rsid w:val="007F20F9"/>
    <w:rsid w:val="007F2587"/>
    <w:rsid w:val="007F2714"/>
    <w:rsid w:val="007F2E97"/>
    <w:rsid w:val="007F3383"/>
    <w:rsid w:val="007F38EC"/>
    <w:rsid w:val="007F3A25"/>
    <w:rsid w:val="007F3A79"/>
    <w:rsid w:val="007F3AA5"/>
    <w:rsid w:val="007F3F7A"/>
    <w:rsid w:val="007F4D95"/>
    <w:rsid w:val="007F5309"/>
    <w:rsid w:val="007F54B5"/>
    <w:rsid w:val="007F6718"/>
    <w:rsid w:val="007F6EB6"/>
    <w:rsid w:val="007F6FFE"/>
    <w:rsid w:val="007F7107"/>
    <w:rsid w:val="007F7F9D"/>
    <w:rsid w:val="00800CD4"/>
    <w:rsid w:val="00800DEE"/>
    <w:rsid w:val="00800EE0"/>
    <w:rsid w:val="0080128E"/>
    <w:rsid w:val="008014D3"/>
    <w:rsid w:val="00802E5D"/>
    <w:rsid w:val="008033D1"/>
    <w:rsid w:val="00803559"/>
    <w:rsid w:val="008037D8"/>
    <w:rsid w:val="008038A1"/>
    <w:rsid w:val="00803A86"/>
    <w:rsid w:val="00803F18"/>
    <w:rsid w:val="0080461D"/>
    <w:rsid w:val="00804912"/>
    <w:rsid w:val="008049EA"/>
    <w:rsid w:val="00804A19"/>
    <w:rsid w:val="00804DE5"/>
    <w:rsid w:val="00805088"/>
    <w:rsid w:val="008053D3"/>
    <w:rsid w:val="00805D83"/>
    <w:rsid w:val="008066C2"/>
    <w:rsid w:val="00806CD9"/>
    <w:rsid w:val="00807387"/>
    <w:rsid w:val="0081030F"/>
    <w:rsid w:val="00810399"/>
    <w:rsid w:val="00811334"/>
    <w:rsid w:val="00811B80"/>
    <w:rsid w:val="00811E61"/>
    <w:rsid w:val="00812146"/>
    <w:rsid w:val="008124B4"/>
    <w:rsid w:val="00812A54"/>
    <w:rsid w:val="00812EC1"/>
    <w:rsid w:val="00813503"/>
    <w:rsid w:val="00813C29"/>
    <w:rsid w:val="00813DCF"/>
    <w:rsid w:val="00813EAF"/>
    <w:rsid w:val="008144CA"/>
    <w:rsid w:val="00814DE2"/>
    <w:rsid w:val="00815E3E"/>
    <w:rsid w:val="00816114"/>
    <w:rsid w:val="008168D8"/>
    <w:rsid w:val="0081691D"/>
    <w:rsid w:val="008169A4"/>
    <w:rsid w:val="00816CE4"/>
    <w:rsid w:val="00816DD1"/>
    <w:rsid w:val="00817045"/>
    <w:rsid w:val="008177B7"/>
    <w:rsid w:val="00817E31"/>
    <w:rsid w:val="0082074C"/>
    <w:rsid w:val="0082087D"/>
    <w:rsid w:val="00820898"/>
    <w:rsid w:val="00821438"/>
    <w:rsid w:val="0082164C"/>
    <w:rsid w:val="008216FD"/>
    <w:rsid w:val="00821850"/>
    <w:rsid w:val="00821F16"/>
    <w:rsid w:val="00822254"/>
    <w:rsid w:val="0082297A"/>
    <w:rsid w:val="00822C6E"/>
    <w:rsid w:val="00822C9D"/>
    <w:rsid w:val="00823017"/>
    <w:rsid w:val="00823C81"/>
    <w:rsid w:val="00823CC3"/>
    <w:rsid w:val="00823F48"/>
    <w:rsid w:val="008247D9"/>
    <w:rsid w:val="00824B47"/>
    <w:rsid w:val="00824B80"/>
    <w:rsid w:val="0082580B"/>
    <w:rsid w:val="00825D1F"/>
    <w:rsid w:val="00825E65"/>
    <w:rsid w:val="00826DEC"/>
    <w:rsid w:val="00827050"/>
    <w:rsid w:val="00827357"/>
    <w:rsid w:val="00827A87"/>
    <w:rsid w:val="00830471"/>
    <w:rsid w:val="00830649"/>
    <w:rsid w:val="008309A4"/>
    <w:rsid w:val="0083118B"/>
    <w:rsid w:val="00831B3E"/>
    <w:rsid w:val="008323F4"/>
    <w:rsid w:val="0083240B"/>
    <w:rsid w:val="00832890"/>
    <w:rsid w:val="00833651"/>
    <w:rsid w:val="0083433B"/>
    <w:rsid w:val="00834DB8"/>
    <w:rsid w:val="00836275"/>
    <w:rsid w:val="00836485"/>
    <w:rsid w:val="008365FC"/>
    <w:rsid w:val="00836849"/>
    <w:rsid w:val="008369FF"/>
    <w:rsid w:val="00836C41"/>
    <w:rsid w:val="00836F43"/>
    <w:rsid w:val="0083763B"/>
    <w:rsid w:val="00837A83"/>
    <w:rsid w:val="0084064A"/>
    <w:rsid w:val="008408CF"/>
    <w:rsid w:val="00840E8F"/>
    <w:rsid w:val="00840FE9"/>
    <w:rsid w:val="008412FD"/>
    <w:rsid w:val="00841A92"/>
    <w:rsid w:val="00841CBB"/>
    <w:rsid w:val="00842001"/>
    <w:rsid w:val="00842933"/>
    <w:rsid w:val="00842AF3"/>
    <w:rsid w:val="00842ECC"/>
    <w:rsid w:val="008430C8"/>
    <w:rsid w:val="008430E1"/>
    <w:rsid w:val="0084361A"/>
    <w:rsid w:val="00843C1C"/>
    <w:rsid w:val="00843C83"/>
    <w:rsid w:val="00843DBF"/>
    <w:rsid w:val="00843FCF"/>
    <w:rsid w:val="008443DD"/>
    <w:rsid w:val="0084492B"/>
    <w:rsid w:val="00845101"/>
    <w:rsid w:val="00845256"/>
    <w:rsid w:val="00845C6B"/>
    <w:rsid w:val="00846292"/>
    <w:rsid w:val="00847269"/>
    <w:rsid w:val="00847357"/>
    <w:rsid w:val="00847925"/>
    <w:rsid w:val="00847AB9"/>
    <w:rsid w:val="00847C63"/>
    <w:rsid w:val="00847D1A"/>
    <w:rsid w:val="00850069"/>
    <w:rsid w:val="0085025B"/>
    <w:rsid w:val="00850760"/>
    <w:rsid w:val="00850C8A"/>
    <w:rsid w:val="00851C63"/>
    <w:rsid w:val="00851D89"/>
    <w:rsid w:val="00851F30"/>
    <w:rsid w:val="00852A66"/>
    <w:rsid w:val="008530F5"/>
    <w:rsid w:val="008531AD"/>
    <w:rsid w:val="0085325C"/>
    <w:rsid w:val="00853CC4"/>
    <w:rsid w:val="008544D1"/>
    <w:rsid w:val="00854656"/>
    <w:rsid w:val="0085469B"/>
    <w:rsid w:val="0085501B"/>
    <w:rsid w:val="008552E6"/>
    <w:rsid w:val="00855474"/>
    <w:rsid w:val="008555A0"/>
    <w:rsid w:val="0085584E"/>
    <w:rsid w:val="00855E62"/>
    <w:rsid w:val="008565AE"/>
    <w:rsid w:val="00856697"/>
    <w:rsid w:val="00857057"/>
    <w:rsid w:val="00857BA3"/>
    <w:rsid w:val="00857BA7"/>
    <w:rsid w:val="0086045B"/>
    <w:rsid w:val="00860625"/>
    <w:rsid w:val="00860742"/>
    <w:rsid w:val="0086082C"/>
    <w:rsid w:val="008609CA"/>
    <w:rsid w:val="00860A99"/>
    <w:rsid w:val="00860BF7"/>
    <w:rsid w:val="00861876"/>
    <w:rsid w:val="00862900"/>
    <w:rsid w:val="008629B1"/>
    <w:rsid w:val="008631B6"/>
    <w:rsid w:val="0086356D"/>
    <w:rsid w:val="00863880"/>
    <w:rsid w:val="00863CBD"/>
    <w:rsid w:val="00864136"/>
    <w:rsid w:val="00864ADC"/>
    <w:rsid w:val="00864E41"/>
    <w:rsid w:val="00864EF3"/>
    <w:rsid w:val="008656B2"/>
    <w:rsid w:val="0086643D"/>
    <w:rsid w:val="0086691B"/>
    <w:rsid w:val="00866C9A"/>
    <w:rsid w:val="0086748B"/>
    <w:rsid w:val="00867B03"/>
    <w:rsid w:val="00867CF8"/>
    <w:rsid w:val="008715DF"/>
    <w:rsid w:val="00871DCA"/>
    <w:rsid w:val="00871EF6"/>
    <w:rsid w:val="00872511"/>
    <w:rsid w:val="0087299D"/>
    <w:rsid w:val="00872BA7"/>
    <w:rsid w:val="00872EE7"/>
    <w:rsid w:val="0087347D"/>
    <w:rsid w:val="00873824"/>
    <w:rsid w:val="00873A7A"/>
    <w:rsid w:val="008747BD"/>
    <w:rsid w:val="00874897"/>
    <w:rsid w:val="00874D4D"/>
    <w:rsid w:val="008759C7"/>
    <w:rsid w:val="00875C52"/>
    <w:rsid w:val="00876077"/>
    <w:rsid w:val="00876100"/>
    <w:rsid w:val="00876603"/>
    <w:rsid w:val="00876EBC"/>
    <w:rsid w:val="00876F18"/>
    <w:rsid w:val="00877574"/>
    <w:rsid w:val="0087788D"/>
    <w:rsid w:val="008779BA"/>
    <w:rsid w:val="00877C4D"/>
    <w:rsid w:val="00877D3C"/>
    <w:rsid w:val="00880059"/>
    <w:rsid w:val="00880153"/>
    <w:rsid w:val="00880613"/>
    <w:rsid w:val="008807B3"/>
    <w:rsid w:val="00880872"/>
    <w:rsid w:val="00880BBC"/>
    <w:rsid w:val="00880BC8"/>
    <w:rsid w:val="00880D10"/>
    <w:rsid w:val="00880F97"/>
    <w:rsid w:val="008812BB"/>
    <w:rsid w:val="0088133A"/>
    <w:rsid w:val="00881421"/>
    <w:rsid w:val="0088171E"/>
    <w:rsid w:val="00882C53"/>
    <w:rsid w:val="00884729"/>
    <w:rsid w:val="00884994"/>
    <w:rsid w:val="00884FE9"/>
    <w:rsid w:val="00885178"/>
    <w:rsid w:val="00885CB0"/>
    <w:rsid w:val="00885D38"/>
    <w:rsid w:val="00885DF5"/>
    <w:rsid w:val="0088618E"/>
    <w:rsid w:val="00886507"/>
    <w:rsid w:val="00886CFD"/>
    <w:rsid w:val="00887073"/>
    <w:rsid w:val="00887892"/>
    <w:rsid w:val="0088799A"/>
    <w:rsid w:val="00887E97"/>
    <w:rsid w:val="008901D7"/>
    <w:rsid w:val="008902D3"/>
    <w:rsid w:val="008907B9"/>
    <w:rsid w:val="00890C4A"/>
    <w:rsid w:val="008919B9"/>
    <w:rsid w:val="0089285E"/>
    <w:rsid w:val="00892C45"/>
    <w:rsid w:val="00892E2C"/>
    <w:rsid w:val="008933BB"/>
    <w:rsid w:val="00893AF4"/>
    <w:rsid w:val="00893B01"/>
    <w:rsid w:val="00893B05"/>
    <w:rsid w:val="00893D95"/>
    <w:rsid w:val="0089436C"/>
    <w:rsid w:val="00894827"/>
    <w:rsid w:val="00894AB2"/>
    <w:rsid w:val="008955C5"/>
    <w:rsid w:val="008955CD"/>
    <w:rsid w:val="008968DD"/>
    <w:rsid w:val="00896C11"/>
    <w:rsid w:val="00896F16"/>
    <w:rsid w:val="008970A9"/>
    <w:rsid w:val="0089745C"/>
    <w:rsid w:val="008975E1"/>
    <w:rsid w:val="00897698"/>
    <w:rsid w:val="008A0482"/>
    <w:rsid w:val="008A09EC"/>
    <w:rsid w:val="008A1033"/>
    <w:rsid w:val="008A13CE"/>
    <w:rsid w:val="008A1567"/>
    <w:rsid w:val="008A1653"/>
    <w:rsid w:val="008A21C7"/>
    <w:rsid w:val="008A244D"/>
    <w:rsid w:val="008A2616"/>
    <w:rsid w:val="008A2BE4"/>
    <w:rsid w:val="008A3C23"/>
    <w:rsid w:val="008A3D6C"/>
    <w:rsid w:val="008A4014"/>
    <w:rsid w:val="008A4157"/>
    <w:rsid w:val="008A44CB"/>
    <w:rsid w:val="008A4BA6"/>
    <w:rsid w:val="008A4F05"/>
    <w:rsid w:val="008A5995"/>
    <w:rsid w:val="008A599C"/>
    <w:rsid w:val="008A5B3B"/>
    <w:rsid w:val="008A648C"/>
    <w:rsid w:val="008A6B01"/>
    <w:rsid w:val="008A6FFC"/>
    <w:rsid w:val="008A71F8"/>
    <w:rsid w:val="008A7221"/>
    <w:rsid w:val="008A77A8"/>
    <w:rsid w:val="008A79D5"/>
    <w:rsid w:val="008B091F"/>
    <w:rsid w:val="008B0CC9"/>
    <w:rsid w:val="008B12C2"/>
    <w:rsid w:val="008B12EC"/>
    <w:rsid w:val="008B1677"/>
    <w:rsid w:val="008B1D9C"/>
    <w:rsid w:val="008B270E"/>
    <w:rsid w:val="008B2D8E"/>
    <w:rsid w:val="008B3118"/>
    <w:rsid w:val="008B39BA"/>
    <w:rsid w:val="008B3B39"/>
    <w:rsid w:val="008B4CC2"/>
    <w:rsid w:val="008B4E0D"/>
    <w:rsid w:val="008B4F7B"/>
    <w:rsid w:val="008B5385"/>
    <w:rsid w:val="008B5B21"/>
    <w:rsid w:val="008B5F55"/>
    <w:rsid w:val="008B60AF"/>
    <w:rsid w:val="008B64DD"/>
    <w:rsid w:val="008B66EC"/>
    <w:rsid w:val="008B69FB"/>
    <w:rsid w:val="008B6B30"/>
    <w:rsid w:val="008B7B57"/>
    <w:rsid w:val="008B7D71"/>
    <w:rsid w:val="008B7E05"/>
    <w:rsid w:val="008C0262"/>
    <w:rsid w:val="008C0DCD"/>
    <w:rsid w:val="008C0DD6"/>
    <w:rsid w:val="008C11B2"/>
    <w:rsid w:val="008C1645"/>
    <w:rsid w:val="008C17FA"/>
    <w:rsid w:val="008C1D41"/>
    <w:rsid w:val="008C2115"/>
    <w:rsid w:val="008C2780"/>
    <w:rsid w:val="008C2AE1"/>
    <w:rsid w:val="008C2B93"/>
    <w:rsid w:val="008C2D9B"/>
    <w:rsid w:val="008C2F4C"/>
    <w:rsid w:val="008C3365"/>
    <w:rsid w:val="008C37EF"/>
    <w:rsid w:val="008C39D0"/>
    <w:rsid w:val="008C3A91"/>
    <w:rsid w:val="008C3ECC"/>
    <w:rsid w:val="008C3F16"/>
    <w:rsid w:val="008C472C"/>
    <w:rsid w:val="008C4ABA"/>
    <w:rsid w:val="008C5212"/>
    <w:rsid w:val="008C5798"/>
    <w:rsid w:val="008C59BD"/>
    <w:rsid w:val="008C6094"/>
    <w:rsid w:val="008C6E48"/>
    <w:rsid w:val="008C73EA"/>
    <w:rsid w:val="008C785C"/>
    <w:rsid w:val="008C79E3"/>
    <w:rsid w:val="008C7AA7"/>
    <w:rsid w:val="008C7B27"/>
    <w:rsid w:val="008D071C"/>
    <w:rsid w:val="008D0B80"/>
    <w:rsid w:val="008D0E15"/>
    <w:rsid w:val="008D1016"/>
    <w:rsid w:val="008D1190"/>
    <w:rsid w:val="008D1233"/>
    <w:rsid w:val="008D126F"/>
    <w:rsid w:val="008D1838"/>
    <w:rsid w:val="008D1C81"/>
    <w:rsid w:val="008D29C9"/>
    <w:rsid w:val="008D2A9F"/>
    <w:rsid w:val="008D2AEF"/>
    <w:rsid w:val="008D2ED2"/>
    <w:rsid w:val="008D2EEB"/>
    <w:rsid w:val="008D365C"/>
    <w:rsid w:val="008D3787"/>
    <w:rsid w:val="008D394A"/>
    <w:rsid w:val="008D3EA8"/>
    <w:rsid w:val="008D41BB"/>
    <w:rsid w:val="008D4CBE"/>
    <w:rsid w:val="008D6BD6"/>
    <w:rsid w:val="008D78E9"/>
    <w:rsid w:val="008D7DB4"/>
    <w:rsid w:val="008D7ED6"/>
    <w:rsid w:val="008E010F"/>
    <w:rsid w:val="008E065E"/>
    <w:rsid w:val="008E092A"/>
    <w:rsid w:val="008E0F5D"/>
    <w:rsid w:val="008E121B"/>
    <w:rsid w:val="008E12FD"/>
    <w:rsid w:val="008E13D0"/>
    <w:rsid w:val="008E2492"/>
    <w:rsid w:val="008E2B1B"/>
    <w:rsid w:val="008E3647"/>
    <w:rsid w:val="008E3867"/>
    <w:rsid w:val="008E38C4"/>
    <w:rsid w:val="008E3B9D"/>
    <w:rsid w:val="008E3DCC"/>
    <w:rsid w:val="008E423A"/>
    <w:rsid w:val="008E451E"/>
    <w:rsid w:val="008E45A4"/>
    <w:rsid w:val="008E500F"/>
    <w:rsid w:val="008E558E"/>
    <w:rsid w:val="008E5E3C"/>
    <w:rsid w:val="008E5F0A"/>
    <w:rsid w:val="008E6CC3"/>
    <w:rsid w:val="008E6CD1"/>
    <w:rsid w:val="008E762B"/>
    <w:rsid w:val="008E77B6"/>
    <w:rsid w:val="008E7BEC"/>
    <w:rsid w:val="008E7D37"/>
    <w:rsid w:val="008F01CC"/>
    <w:rsid w:val="008F1267"/>
    <w:rsid w:val="008F12E1"/>
    <w:rsid w:val="008F14B6"/>
    <w:rsid w:val="008F2791"/>
    <w:rsid w:val="008F321B"/>
    <w:rsid w:val="008F3A40"/>
    <w:rsid w:val="008F3BC5"/>
    <w:rsid w:val="008F3C5B"/>
    <w:rsid w:val="008F42EB"/>
    <w:rsid w:val="008F4D87"/>
    <w:rsid w:val="008F4EB2"/>
    <w:rsid w:val="008F522A"/>
    <w:rsid w:val="008F5664"/>
    <w:rsid w:val="008F5DF0"/>
    <w:rsid w:val="008F6346"/>
    <w:rsid w:val="008F657F"/>
    <w:rsid w:val="008F6E3E"/>
    <w:rsid w:val="008F7622"/>
    <w:rsid w:val="008F7CF7"/>
    <w:rsid w:val="00900E7F"/>
    <w:rsid w:val="00900FBA"/>
    <w:rsid w:val="0090115C"/>
    <w:rsid w:val="00901931"/>
    <w:rsid w:val="00901DFA"/>
    <w:rsid w:val="00902374"/>
    <w:rsid w:val="00902395"/>
    <w:rsid w:val="0090249B"/>
    <w:rsid w:val="009029DB"/>
    <w:rsid w:val="009029E9"/>
    <w:rsid w:val="00902C20"/>
    <w:rsid w:val="00903080"/>
    <w:rsid w:val="009030BF"/>
    <w:rsid w:val="00903C27"/>
    <w:rsid w:val="00903CCD"/>
    <w:rsid w:val="00903E0F"/>
    <w:rsid w:val="00904126"/>
    <w:rsid w:val="00904226"/>
    <w:rsid w:val="0090497E"/>
    <w:rsid w:val="009058E6"/>
    <w:rsid w:val="0090599F"/>
    <w:rsid w:val="00905E91"/>
    <w:rsid w:val="0090603C"/>
    <w:rsid w:val="0090612D"/>
    <w:rsid w:val="00906A64"/>
    <w:rsid w:val="00906F09"/>
    <w:rsid w:val="00907E45"/>
    <w:rsid w:val="009102E4"/>
    <w:rsid w:val="00910C5C"/>
    <w:rsid w:val="00910C65"/>
    <w:rsid w:val="00910C68"/>
    <w:rsid w:val="00911277"/>
    <w:rsid w:val="00911783"/>
    <w:rsid w:val="0091198E"/>
    <w:rsid w:val="00911A44"/>
    <w:rsid w:val="00911C4E"/>
    <w:rsid w:val="00912471"/>
    <w:rsid w:val="00912951"/>
    <w:rsid w:val="0091325E"/>
    <w:rsid w:val="0091333B"/>
    <w:rsid w:val="0091403C"/>
    <w:rsid w:val="0091425A"/>
    <w:rsid w:val="00914368"/>
    <w:rsid w:val="009143C6"/>
    <w:rsid w:val="009143E7"/>
    <w:rsid w:val="009144D5"/>
    <w:rsid w:val="009145D8"/>
    <w:rsid w:val="0091487D"/>
    <w:rsid w:val="00914AB5"/>
    <w:rsid w:val="00914CD0"/>
    <w:rsid w:val="00915392"/>
    <w:rsid w:val="00915537"/>
    <w:rsid w:val="00915678"/>
    <w:rsid w:val="00916AF9"/>
    <w:rsid w:val="00916C4B"/>
    <w:rsid w:val="009170E6"/>
    <w:rsid w:val="0091711F"/>
    <w:rsid w:val="0091787A"/>
    <w:rsid w:val="00917D8D"/>
    <w:rsid w:val="00920106"/>
    <w:rsid w:val="009204AC"/>
    <w:rsid w:val="00920ED3"/>
    <w:rsid w:val="009211D1"/>
    <w:rsid w:val="00921381"/>
    <w:rsid w:val="00921608"/>
    <w:rsid w:val="00921CBE"/>
    <w:rsid w:val="009232A1"/>
    <w:rsid w:val="00923876"/>
    <w:rsid w:val="0092396A"/>
    <w:rsid w:val="009240ED"/>
    <w:rsid w:val="0092458F"/>
    <w:rsid w:val="009247B4"/>
    <w:rsid w:val="00925747"/>
    <w:rsid w:val="0092597B"/>
    <w:rsid w:val="0092598C"/>
    <w:rsid w:val="00925CA2"/>
    <w:rsid w:val="00925FF7"/>
    <w:rsid w:val="009260BE"/>
    <w:rsid w:val="00926ACC"/>
    <w:rsid w:val="00926FD4"/>
    <w:rsid w:val="00927115"/>
    <w:rsid w:val="00927364"/>
    <w:rsid w:val="00927D69"/>
    <w:rsid w:val="00930D25"/>
    <w:rsid w:val="00931076"/>
    <w:rsid w:val="00931084"/>
    <w:rsid w:val="00931B5F"/>
    <w:rsid w:val="00931D1D"/>
    <w:rsid w:val="00931E7D"/>
    <w:rsid w:val="00932445"/>
    <w:rsid w:val="00932C28"/>
    <w:rsid w:val="00932FAC"/>
    <w:rsid w:val="0093324D"/>
    <w:rsid w:val="009332D6"/>
    <w:rsid w:val="009339B2"/>
    <w:rsid w:val="009345D9"/>
    <w:rsid w:val="00934B15"/>
    <w:rsid w:val="009350DF"/>
    <w:rsid w:val="0093602D"/>
    <w:rsid w:val="009361EE"/>
    <w:rsid w:val="009362BC"/>
    <w:rsid w:val="0093728A"/>
    <w:rsid w:val="00937D48"/>
    <w:rsid w:val="0094053E"/>
    <w:rsid w:val="009407A8"/>
    <w:rsid w:val="00940B56"/>
    <w:rsid w:val="00942287"/>
    <w:rsid w:val="009422E3"/>
    <w:rsid w:val="0094231B"/>
    <w:rsid w:val="00942696"/>
    <w:rsid w:val="00942B62"/>
    <w:rsid w:val="00942DAA"/>
    <w:rsid w:val="0094329E"/>
    <w:rsid w:val="00943351"/>
    <w:rsid w:val="00943C48"/>
    <w:rsid w:val="00944D3F"/>
    <w:rsid w:val="009452B1"/>
    <w:rsid w:val="00945365"/>
    <w:rsid w:val="00945795"/>
    <w:rsid w:val="00945DF3"/>
    <w:rsid w:val="00945FE7"/>
    <w:rsid w:val="00946190"/>
    <w:rsid w:val="00946374"/>
    <w:rsid w:val="00946865"/>
    <w:rsid w:val="00947B19"/>
    <w:rsid w:val="00947B45"/>
    <w:rsid w:val="00947C1F"/>
    <w:rsid w:val="00947E29"/>
    <w:rsid w:val="00950083"/>
    <w:rsid w:val="00950441"/>
    <w:rsid w:val="00950A36"/>
    <w:rsid w:val="00950EC7"/>
    <w:rsid w:val="009511A6"/>
    <w:rsid w:val="009512A2"/>
    <w:rsid w:val="00951F59"/>
    <w:rsid w:val="009523D7"/>
    <w:rsid w:val="00952EF5"/>
    <w:rsid w:val="00953457"/>
    <w:rsid w:val="0095350B"/>
    <w:rsid w:val="009535F1"/>
    <w:rsid w:val="009539E3"/>
    <w:rsid w:val="00953CF2"/>
    <w:rsid w:val="009545D5"/>
    <w:rsid w:val="009546CE"/>
    <w:rsid w:val="0095479D"/>
    <w:rsid w:val="00954DA5"/>
    <w:rsid w:val="0095531D"/>
    <w:rsid w:val="00955597"/>
    <w:rsid w:val="00955D3B"/>
    <w:rsid w:val="009560B0"/>
    <w:rsid w:val="0095680B"/>
    <w:rsid w:val="009569F0"/>
    <w:rsid w:val="00956A0C"/>
    <w:rsid w:val="00956BD9"/>
    <w:rsid w:val="00957551"/>
    <w:rsid w:val="00960127"/>
    <w:rsid w:val="009607AE"/>
    <w:rsid w:val="00961479"/>
    <w:rsid w:val="009617B9"/>
    <w:rsid w:val="009619C9"/>
    <w:rsid w:val="00961C6F"/>
    <w:rsid w:val="00962489"/>
    <w:rsid w:val="0096271B"/>
    <w:rsid w:val="00962A4D"/>
    <w:rsid w:val="00962CB6"/>
    <w:rsid w:val="00962D50"/>
    <w:rsid w:val="0096427C"/>
    <w:rsid w:val="00964458"/>
    <w:rsid w:val="009647AB"/>
    <w:rsid w:val="0096491A"/>
    <w:rsid w:val="00964A33"/>
    <w:rsid w:val="00964AA8"/>
    <w:rsid w:val="00964DB2"/>
    <w:rsid w:val="00964EC7"/>
    <w:rsid w:val="0096504B"/>
    <w:rsid w:val="0096522E"/>
    <w:rsid w:val="00965291"/>
    <w:rsid w:val="009656E9"/>
    <w:rsid w:val="0096576D"/>
    <w:rsid w:val="00965B27"/>
    <w:rsid w:val="00965C3C"/>
    <w:rsid w:val="00965D16"/>
    <w:rsid w:val="0096637A"/>
    <w:rsid w:val="00966B30"/>
    <w:rsid w:val="00966D68"/>
    <w:rsid w:val="009671CB"/>
    <w:rsid w:val="009678A0"/>
    <w:rsid w:val="00967B76"/>
    <w:rsid w:val="009700FC"/>
    <w:rsid w:val="0097065A"/>
    <w:rsid w:val="00971266"/>
    <w:rsid w:val="00971B0F"/>
    <w:rsid w:val="00971B31"/>
    <w:rsid w:val="0097251E"/>
    <w:rsid w:val="00972612"/>
    <w:rsid w:val="009728D2"/>
    <w:rsid w:val="00972B1E"/>
    <w:rsid w:val="0097374F"/>
    <w:rsid w:val="00973A9D"/>
    <w:rsid w:val="009745E3"/>
    <w:rsid w:val="00974856"/>
    <w:rsid w:val="00974D41"/>
    <w:rsid w:val="009750FC"/>
    <w:rsid w:val="009758B7"/>
    <w:rsid w:val="00975B6F"/>
    <w:rsid w:val="00975CF2"/>
    <w:rsid w:val="00976535"/>
    <w:rsid w:val="00976F40"/>
    <w:rsid w:val="009778E6"/>
    <w:rsid w:val="00977A01"/>
    <w:rsid w:val="00977EE0"/>
    <w:rsid w:val="0098077D"/>
    <w:rsid w:val="00980902"/>
    <w:rsid w:val="00980EC8"/>
    <w:rsid w:val="009813BF"/>
    <w:rsid w:val="009813F5"/>
    <w:rsid w:val="00981905"/>
    <w:rsid w:val="00981E33"/>
    <w:rsid w:val="0098251D"/>
    <w:rsid w:val="009829E7"/>
    <w:rsid w:val="00982A62"/>
    <w:rsid w:val="00983570"/>
    <w:rsid w:val="00983E1A"/>
    <w:rsid w:val="00984918"/>
    <w:rsid w:val="009849DE"/>
    <w:rsid w:val="00985FD5"/>
    <w:rsid w:val="0098615A"/>
    <w:rsid w:val="00986477"/>
    <w:rsid w:val="00986AF3"/>
    <w:rsid w:val="00986E5E"/>
    <w:rsid w:val="00987154"/>
    <w:rsid w:val="00987305"/>
    <w:rsid w:val="00987BD9"/>
    <w:rsid w:val="0099035D"/>
    <w:rsid w:val="0099075C"/>
    <w:rsid w:val="00990C2C"/>
    <w:rsid w:val="00990EBC"/>
    <w:rsid w:val="00991064"/>
    <w:rsid w:val="00991D7A"/>
    <w:rsid w:val="00991E69"/>
    <w:rsid w:val="009921EE"/>
    <w:rsid w:val="00992C8F"/>
    <w:rsid w:val="009946C1"/>
    <w:rsid w:val="009949F5"/>
    <w:rsid w:val="00994BF9"/>
    <w:rsid w:val="00994E59"/>
    <w:rsid w:val="00994F5D"/>
    <w:rsid w:val="009954FC"/>
    <w:rsid w:val="00995AA7"/>
    <w:rsid w:val="00995C20"/>
    <w:rsid w:val="00996E6E"/>
    <w:rsid w:val="00997369"/>
    <w:rsid w:val="009977F1"/>
    <w:rsid w:val="009A01E4"/>
    <w:rsid w:val="009A0978"/>
    <w:rsid w:val="009A0BFB"/>
    <w:rsid w:val="009A0C92"/>
    <w:rsid w:val="009A0FAB"/>
    <w:rsid w:val="009A236A"/>
    <w:rsid w:val="009A2811"/>
    <w:rsid w:val="009A28F5"/>
    <w:rsid w:val="009A2AAB"/>
    <w:rsid w:val="009A2C46"/>
    <w:rsid w:val="009A2F86"/>
    <w:rsid w:val="009A2FF9"/>
    <w:rsid w:val="009A32A6"/>
    <w:rsid w:val="009A35C5"/>
    <w:rsid w:val="009A3ED1"/>
    <w:rsid w:val="009A48A8"/>
    <w:rsid w:val="009A4E58"/>
    <w:rsid w:val="009A517A"/>
    <w:rsid w:val="009A58F1"/>
    <w:rsid w:val="009A59FD"/>
    <w:rsid w:val="009A5DDD"/>
    <w:rsid w:val="009A63DA"/>
    <w:rsid w:val="009A6C50"/>
    <w:rsid w:val="009A78CA"/>
    <w:rsid w:val="009A7AB0"/>
    <w:rsid w:val="009B0516"/>
    <w:rsid w:val="009B0B93"/>
    <w:rsid w:val="009B0EAD"/>
    <w:rsid w:val="009B103E"/>
    <w:rsid w:val="009B1222"/>
    <w:rsid w:val="009B1794"/>
    <w:rsid w:val="009B1FBB"/>
    <w:rsid w:val="009B203E"/>
    <w:rsid w:val="009B21C2"/>
    <w:rsid w:val="009B2622"/>
    <w:rsid w:val="009B26FF"/>
    <w:rsid w:val="009B2A94"/>
    <w:rsid w:val="009B3571"/>
    <w:rsid w:val="009B4349"/>
    <w:rsid w:val="009B44E7"/>
    <w:rsid w:val="009B45AD"/>
    <w:rsid w:val="009B48A3"/>
    <w:rsid w:val="009B4D36"/>
    <w:rsid w:val="009B4D57"/>
    <w:rsid w:val="009B5238"/>
    <w:rsid w:val="009B5CF1"/>
    <w:rsid w:val="009B5FA7"/>
    <w:rsid w:val="009B6434"/>
    <w:rsid w:val="009B6B85"/>
    <w:rsid w:val="009B6E1B"/>
    <w:rsid w:val="009B718E"/>
    <w:rsid w:val="009B7506"/>
    <w:rsid w:val="009B7650"/>
    <w:rsid w:val="009B7976"/>
    <w:rsid w:val="009B7D6C"/>
    <w:rsid w:val="009B7FBB"/>
    <w:rsid w:val="009C05DA"/>
    <w:rsid w:val="009C1054"/>
    <w:rsid w:val="009C1E2C"/>
    <w:rsid w:val="009C2316"/>
    <w:rsid w:val="009C232F"/>
    <w:rsid w:val="009C24FF"/>
    <w:rsid w:val="009C29DE"/>
    <w:rsid w:val="009C2D8C"/>
    <w:rsid w:val="009C35AA"/>
    <w:rsid w:val="009C3AA6"/>
    <w:rsid w:val="009C400A"/>
    <w:rsid w:val="009C46F4"/>
    <w:rsid w:val="009C5CE8"/>
    <w:rsid w:val="009C6158"/>
    <w:rsid w:val="009C65AE"/>
    <w:rsid w:val="009C719F"/>
    <w:rsid w:val="009C7ECD"/>
    <w:rsid w:val="009D01AB"/>
    <w:rsid w:val="009D0433"/>
    <w:rsid w:val="009D1104"/>
    <w:rsid w:val="009D2753"/>
    <w:rsid w:val="009D2AB8"/>
    <w:rsid w:val="009D2B3A"/>
    <w:rsid w:val="009D2B8F"/>
    <w:rsid w:val="009D2BD7"/>
    <w:rsid w:val="009D2E04"/>
    <w:rsid w:val="009D312E"/>
    <w:rsid w:val="009D325F"/>
    <w:rsid w:val="009D3338"/>
    <w:rsid w:val="009D3F93"/>
    <w:rsid w:val="009D413B"/>
    <w:rsid w:val="009D47B9"/>
    <w:rsid w:val="009D5DAC"/>
    <w:rsid w:val="009D625B"/>
    <w:rsid w:val="009D7130"/>
    <w:rsid w:val="009D7566"/>
    <w:rsid w:val="009D7820"/>
    <w:rsid w:val="009D7998"/>
    <w:rsid w:val="009D7BA3"/>
    <w:rsid w:val="009E0468"/>
    <w:rsid w:val="009E054B"/>
    <w:rsid w:val="009E07AD"/>
    <w:rsid w:val="009E090D"/>
    <w:rsid w:val="009E0D57"/>
    <w:rsid w:val="009E139A"/>
    <w:rsid w:val="009E1719"/>
    <w:rsid w:val="009E1C2F"/>
    <w:rsid w:val="009E21AD"/>
    <w:rsid w:val="009E2573"/>
    <w:rsid w:val="009E27D7"/>
    <w:rsid w:val="009E2A45"/>
    <w:rsid w:val="009E2AB6"/>
    <w:rsid w:val="009E32FB"/>
    <w:rsid w:val="009E3D60"/>
    <w:rsid w:val="009E42FE"/>
    <w:rsid w:val="009E4752"/>
    <w:rsid w:val="009E5087"/>
    <w:rsid w:val="009E511A"/>
    <w:rsid w:val="009E56EF"/>
    <w:rsid w:val="009E5C6A"/>
    <w:rsid w:val="009E60A8"/>
    <w:rsid w:val="009E6A94"/>
    <w:rsid w:val="009E6BDD"/>
    <w:rsid w:val="009E6FD4"/>
    <w:rsid w:val="009E7C2C"/>
    <w:rsid w:val="009F02E8"/>
    <w:rsid w:val="009F031E"/>
    <w:rsid w:val="009F065D"/>
    <w:rsid w:val="009F0B5E"/>
    <w:rsid w:val="009F0E72"/>
    <w:rsid w:val="009F0EAA"/>
    <w:rsid w:val="009F10B4"/>
    <w:rsid w:val="009F10CB"/>
    <w:rsid w:val="009F11D3"/>
    <w:rsid w:val="009F14E0"/>
    <w:rsid w:val="009F17D2"/>
    <w:rsid w:val="009F196C"/>
    <w:rsid w:val="009F1DC3"/>
    <w:rsid w:val="009F2A90"/>
    <w:rsid w:val="009F3809"/>
    <w:rsid w:val="009F3B53"/>
    <w:rsid w:val="009F3EAF"/>
    <w:rsid w:val="009F4558"/>
    <w:rsid w:val="009F47F3"/>
    <w:rsid w:val="009F492E"/>
    <w:rsid w:val="009F5B9D"/>
    <w:rsid w:val="009F5E36"/>
    <w:rsid w:val="009F6085"/>
    <w:rsid w:val="009F696D"/>
    <w:rsid w:val="009F6BC6"/>
    <w:rsid w:val="009F6E67"/>
    <w:rsid w:val="009F735B"/>
    <w:rsid w:val="009F74D7"/>
    <w:rsid w:val="009F766D"/>
    <w:rsid w:val="00A00224"/>
    <w:rsid w:val="00A00B20"/>
    <w:rsid w:val="00A01207"/>
    <w:rsid w:val="00A0120E"/>
    <w:rsid w:val="00A01A3B"/>
    <w:rsid w:val="00A01A71"/>
    <w:rsid w:val="00A01F71"/>
    <w:rsid w:val="00A029DF"/>
    <w:rsid w:val="00A02B20"/>
    <w:rsid w:val="00A0324F"/>
    <w:rsid w:val="00A0329E"/>
    <w:rsid w:val="00A037FB"/>
    <w:rsid w:val="00A04256"/>
    <w:rsid w:val="00A042A4"/>
    <w:rsid w:val="00A045DA"/>
    <w:rsid w:val="00A04C10"/>
    <w:rsid w:val="00A0584B"/>
    <w:rsid w:val="00A05955"/>
    <w:rsid w:val="00A061C1"/>
    <w:rsid w:val="00A067EE"/>
    <w:rsid w:val="00A073E0"/>
    <w:rsid w:val="00A07B8B"/>
    <w:rsid w:val="00A07DFC"/>
    <w:rsid w:val="00A07F35"/>
    <w:rsid w:val="00A1064A"/>
    <w:rsid w:val="00A108F7"/>
    <w:rsid w:val="00A1098D"/>
    <w:rsid w:val="00A10B7A"/>
    <w:rsid w:val="00A10C51"/>
    <w:rsid w:val="00A10EE2"/>
    <w:rsid w:val="00A119A2"/>
    <w:rsid w:val="00A121DD"/>
    <w:rsid w:val="00A127B3"/>
    <w:rsid w:val="00A12882"/>
    <w:rsid w:val="00A12BD4"/>
    <w:rsid w:val="00A12BDE"/>
    <w:rsid w:val="00A12C56"/>
    <w:rsid w:val="00A12D4D"/>
    <w:rsid w:val="00A1312D"/>
    <w:rsid w:val="00A137D8"/>
    <w:rsid w:val="00A13895"/>
    <w:rsid w:val="00A14670"/>
    <w:rsid w:val="00A14B31"/>
    <w:rsid w:val="00A14C1D"/>
    <w:rsid w:val="00A15174"/>
    <w:rsid w:val="00A15225"/>
    <w:rsid w:val="00A155EE"/>
    <w:rsid w:val="00A15927"/>
    <w:rsid w:val="00A15A14"/>
    <w:rsid w:val="00A15E7F"/>
    <w:rsid w:val="00A16CEB"/>
    <w:rsid w:val="00A17328"/>
    <w:rsid w:val="00A17491"/>
    <w:rsid w:val="00A17507"/>
    <w:rsid w:val="00A17720"/>
    <w:rsid w:val="00A20CBF"/>
    <w:rsid w:val="00A21043"/>
    <w:rsid w:val="00A21504"/>
    <w:rsid w:val="00A2153D"/>
    <w:rsid w:val="00A2193D"/>
    <w:rsid w:val="00A21C01"/>
    <w:rsid w:val="00A21C92"/>
    <w:rsid w:val="00A21D56"/>
    <w:rsid w:val="00A22275"/>
    <w:rsid w:val="00A223AD"/>
    <w:rsid w:val="00A226E9"/>
    <w:rsid w:val="00A238A7"/>
    <w:rsid w:val="00A23A20"/>
    <w:rsid w:val="00A23E79"/>
    <w:rsid w:val="00A242AE"/>
    <w:rsid w:val="00A2443B"/>
    <w:rsid w:val="00A246F9"/>
    <w:rsid w:val="00A248E0"/>
    <w:rsid w:val="00A24B23"/>
    <w:rsid w:val="00A24BD5"/>
    <w:rsid w:val="00A24EE8"/>
    <w:rsid w:val="00A250C6"/>
    <w:rsid w:val="00A2542A"/>
    <w:rsid w:val="00A2555A"/>
    <w:rsid w:val="00A26207"/>
    <w:rsid w:val="00A267E2"/>
    <w:rsid w:val="00A268B9"/>
    <w:rsid w:val="00A26E49"/>
    <w:rsid w:val="00A2703A"/>
    <w:rsid w:val="00A27428"/>
    <w:rsid w:val="00A27E8C"/>
    <w:rsid w:val="00A3053D"/>
    <w:rsid w:val="00A305B4"/>
    <w:rsid w:val="00A3068B"/>
    <w:rsid w:val="00A314D6"/>
    <w:rsid w:val="00A31F19"/>
    <w:rsid w:val="00A321A2"/>
    <w:rsid w:val="00A32670"/>
    <w:rsid w:val="00A329CD"/>
    <w:rsid w:val="00A32E16"/>
    <w:rsid w:val="00A338C4"/>
    <w:rsid w:val="00A33918"/>
    <w:rsid w:val="00A33DFF"/>
    <w:rsid w:val="00A3427F"/>
    <w:rsid w:val="00A342EB"/>
    <w:rsid w:val="00A35115"/>
    <w:rsid w:val="00A35B46"/>
    <w:rsid w:val="00A3600D"/>
    <w:rsid w:val="00A365C2"/>
    <w:rsid w:val="00A369AB"/>
    <w:rsid w:val="00A36A61"/>
    <w:rsid w:val="00A36F6B"/>
    <w:rsid w:val="00A375F8"/>
    <w:rsid w:val="00A3789C"/>
    <w:rsid w:val="00A37DF4"/>
    <w:rsid w:val="00A405D8"/>
    <w:rsid w:val="00A40A7C"/>
    <w:rsid w:val="00A40DC0"/>
    <w:rsid w:val="00A40E7F"/>
    <w:rsid w:val="00A4105C"/>
    <w:rsid w:val="00A41060"/>
    <w:rsid w:val="00A41111"/>
    <w:rsid w:val="00A41127"/>
    <w:rsid w:val="00A41A41"/>
    <w:rsid w:val="00A41FFE"/>
    <w:rsid w:val="00A424B9"/>
    <w:rsid w:val="00A42696"/>
    <w:rsid w:val="00A42849"/>
    <w:rsid w:val="00A43F56"/>
    <w:rsid w:val="00A4459D"/>
    <w:rsid w:val="00A448CB"/>
    <w:rsid w:val="00A44BE5"/>
    <w:rsid w:val="00A44EE7"/>
    <w:rsid w:val="00A45007"/>
    <w:rsid w:val="00A4534F"/>
    <w:rsid w:val="00A4546C"/>
    <w:rsid w:val="00A455AB"/>
    <w:rsid w:val="00A455C7"/>
    <w:rsid w:val="00A45AE4"/>
    <w:rsid w:val="00A45DC5"/>
    <w:rsid w:val="00A466E4"/>
    <w:rsid w:val="00A46E42"/>
    <w:rsid w:val="00A4714D"/>
    <w:rsid w:val="00A47276"/>
    <w:rsid w:val="00A4783D"/>
    <w:rsid w:val="00A479EA"/>
    <w:rsid w:val="00A47A02"/>
    <w:rsid w:val="00A47C61"/>
    <w:rsid w:val="00A50A8C"/>
    <w:rsid w:val="00A5113E"/>
    <w:rsid w:val="00A51DDA"/>
    <w:rsid w:val="00A51E83"/>
    <w:rsid w:val="00A52041"/>
    <w:rsid w:val="00A52220"/>
    <w:rsid w:val="00A523A0"/>
    <w:rsid w:val="00A5259B"/>
    <w:rsid w:val="00A52D65"/>
    <w:rsid w:val="00A53859"/>
    <w:rsid w:val="00A54AD5"/>
    <w:rsid w:val="00A554AB"/>
    <w:rsid w:val="00A561BD"/>
    <w:rsid w:val="00A5625B"/>
    <w:rsid w:val="00A56662"/>
    <w:rsid w:val="00A5710D"/>
    <w:rsid w:val="00A57162"/>
    <w:rsid w:val="00A573A8"/>
    <w:rsid w:val="00A57A0E"/>
    <w:rsid w:val="00A57AB6"/>
    <w:rsid w:val="00A60405"/>
    <w:rsid w:val="00A60D31"/>
    <w:rsid w:val="00A6188A"/>
    <w:rsid w:val="00A61ACD"/>
    <w:rsid w:val="00A61B98"/>
    <w:rsid w:val="00A61C8F"/>
    <w:rsid w:val="00A623CB"/>
    <w:rsid w:val="00A6246E"/>
    <w:rsid w:val="00A627F4"/>
    <w:rsid w:val="00A6350F"/>
    <w:rsid w:val="00A63A87"/>
    <w:rsid w:val="00A64044"/>
    <w:rsid w:val="00A6484C"/>
    <w:rsid w:val="00A64902"/>
    <w:rsid w:val="00A64BA4"/>
    <w:rsid w:val="00A64C86"/>
    <w:rsid w:val="00A6527D"/>
    <w:rsid w:val="00A658A5"/>
    <w:rsid w:val="00A65C88"/>
    <w:rsid w:val="00A6603D"/>
    <w:rsid w:val="00A66040"/>
    <w:rsid w:val="00A666C2"/>
    <w:rsid w:val="00A6692A"/>
    <w:rsid w:val="00A66B61"/>
    <w:rsid w:val="00A672F4"/>
    <w:rsid w:val="00A70055"/>
    <w:rsid w:val="00A703B4"/>
    <w:rsid w:val="00A70B50"/>
    <w:rsid w:val="00A70B6A"/>
    <w:rsid w:val="00A70E0A"/>
    <w:rsid w:val="00A7120C"/>
    <w:rsid w:val="00A713B6"/>
    <w:rsid w:val="00A71C1E"/>
    <w:rsid w:val="00A72C11"/>
    <w:rsid w:val="00A72DF8"/>
    <w:rsid w:val="00A73019"/>
    <w:rsid w:val="00A733AD"/>
    <w:rsid w:val="00A736D5"/>
    <w:rsid w:val="00A73DA1"/>
    <w:rsid w:val="00A740D5"/>
    <w:rsid w:val="00A74AE0"/>
    <w:rsid w:val="00A74B5F"/>
    <w:rsid w:val="00A74BA3"/>
    <w:rsid w:val="00A751FB"/>
    <w:rsid w:val="00A75825"/>
    <w:rsid w:val="00A7592E"/>
    <w:rsid w:val="00A75A6E"/>
    <w:rsid w:val="00A75D3F"/>
    <w:rsid w:val="00A76598"/>
    <w:rsid w:val="00A76EB0"/>
    <w:rsid w:val="00A77175"/>
    <w:rsid w:val="00A77A5F"/>
    <w:rsid w:val="00A77DCF"/>
    <w:rsid w:val="00A80499"/>
    <w:rsid w:val="00A80A23"/>
    <w:rsid w:val="00A80C65"/>
    <w:rsid w:val="00A80D30"/>
    <w:rsid w:val="00A80DE5"/>
    <w:rsid w:val="00A81184"/>
    <w:rsid w:val="00A81FEC"/>
    <w:rsid w:val="00A8225C"/>
    <w:rsid w:val="00A82776"/>
    <w:rsid w:val="00A82989"/>
    <w:rsid w:val="00A82CE3"/>
    <w:rsid w:val="00A834AB"/>
    <w:rsid w:val="00A83B53"/>
    <w:rsid w:val="00A84411"/>
    <w:rsid w:val="00A849E4"/>
    <w:rsid w:val="00A85013"/>
    <w:rsid w:val="00A852AA"/>
    <w:rsid w:val="00A86105"/>
    <w:rsid w:val="00A863F3"/>
    <w:rsid w:val="00A86509"/>
    <w:rsid w:val="00A865DF"/>
    <w:rsid w:val="00A86862"/>
    <w:rsid w:val="00A86F25"/>
    <w:rsid w:val="00A86FD3"/>
    <w:rsid w:val="00A8723B"/>
    <w:rsid w:val="00A878F8"/>
    <w:rsid w:val="00A87937"/>
    <w:rsid w:val="00A87E74"/>
    <w:rsid w:val="00A87FE5"/>
    <w:rsid w:val="00A90189"/>
    <w:rsid w:val="00A90777"/>
    <w:rsid w:val="00A90EBC"/>
    <w:rsid w:val="00A913D5"/>
    <w:rsid w:val="00A916C2"/>
    <w:rsid w:val="00A9173F"/>
    <w:rsid w:val="00A91768"/>
    <w:rsid w:val="00A91C04"/>
    <w:rsid w:val="00A91C92"/>
    <w:rsid w:val="00A91D2B"/>
    <w:rsid w:val="00A924B5"/>
    <w:rsid w:val="00A926C8"/>
    <w:rsid w:val="00A92710"/>
    <w:rsid w:val="00A92B53"/>
    <w:rsid w:val="00A92E44"/>
    <w:rsid w:val="00A931AA"/>
    <w:rsid w:val="00A93333"/>
    <w:rsid w:val="00A93400"/>
    <w:rsid w:val="00A93562"/>
    <w:rsid w:val="00A93907"/>
    <w:rsid w:val="00A93C0A"/>
    <w:rsid w:val="00A94191"/>
    <w:rsid w:val="00A945A6"/>
    <w:rsid w:val="00A94FA6"/>
    <w:rsid w:val="00A95661"/>
    <w:rsid w:val="00A957A5"/>
    <w:rsid w:val="00A962AF"/>
    <w:rsid w:val="00A96322"/>
    <w:rsid w:val="00A96AEC"/>
    <w:rsid w:val="00A96CE0"/>
    <w:rsid w:val="00A96E22"/>
    <w:rsid w:val="00A96E9F"/>
    <w:rsid w:val="00A9722D"/>
    <w:rsid w:val="00A97326"/>
    <w:rsid w:val="00A97400"/>
    <w:rsid w:val="00A97701"/>
    <w:rsid w:val="00A9781F"/>
    <w:rsid w:val="00A97A5C"/>
    <w:rsid w:val="00AA0662"/>
    <w:rsid w:val="00AA09D1"/>
    <w:rsid w:val="00AA1789"/>
    <w:rsid w:val="00AA1B7F"/>
    <w:rsid w:val="00AA1B96"/>
    <w:rsid w:val="00AA1E6F"/>
    <w:rsid w:val="00AA1EF6"/>
    <w:rsid w:val="00AA24BF"/>
    <w:rsid w:val="00AA2733"/>
    <w:rsid w:val="00AA28A6"/>
    <w:rsid w:val="00AA2935"/>
    <w:rsid w:val="00AA2BC0"/>
    <w:rsid w:val="00AA2D48"/>
    <w:rsid w:val="00AA3FCD"/>
    <w:rsid w:val="00AA49A0"/>
    <w:rsid w:val="00AA546F"/>
    <w:rsid w:val="00AA5513"/>
    <w:rsid w:val="00AA56CC"/>
    <w:rsid w:val="00AA5AA2"/>
    <w:rsid w:val="00AA6710"/>
    <w:rsid w:val="00AA6AFA"/>
    <w:rsid w:val="00AA6F9B"/>
    <w:rsid w:val="00AA73C6"/>
    <w:rsid w:val="00AA74FF"/>
    <w:rsid w:val="00AA7519"/>
    <w:rsid w:val="00AA7A74"/>
    <w:rsid w:val="00AA7C8E"/>
    <w:rsid w:val="00AB0593"/>
    <w:rsid w:val="00AB0681"/>
    <w:rsid w:val="00AB0CF5"/>
    <w:rsid w:val="00AB0DCB"/>
    <w:rsid w:val="00AB1639"/>
    <w:rsid w:val="00AB16F0"/>
    <w:rsid w:val="00AB21E2"/>
    <w:rsid w:val="00AB27B6"/>
    <w:rsid w:val="00AB39FD"/>
    <w:rsid w:val="00AB426E"/>
    <w:rsid w:val="00AB437A"/>
    <w:rsid w:val="00AB45DE"/>
    <w:rsid w:val="00AB485D"/>
    <w:rsid w:val="00AB4DE8"/>
    <w:rsid w:val="00AB50ED"/>
    <w:rsid w:val="00AB5362"/>
    <w:rsid w:val="00AB5A90"/>
    <w:rsid w:val="00AB5EF7"/>
    <w:rsid w:val="00AB6C90"/>
    <w:rsid w:val="00AB75BD"/>
    <w:rsid w:val="00AC01BD"/>
    <w:rsid w:val="00AC029B"/>
    <w:rsid w:val="00AC03A8"/>
    <w:rsid w:val="00AC05B4"/>
    <w:rsid w:val="00AC060C"/>
    <w:rsid w:val="00AC0A83"/>
    <w:rsid w:val="00AC11AC"/>
    <w:rsid w:val="00AC12C3"/>
    <w:rsid w:val="00AC15F0"/>
    <w:rsid w:val="00AC244C"/>
    <w:rsid w:val="00AC269C"/>
    <w:rsid w:val="00AC2C51"/>
    <w:rsid w:val="00AC2D63"/>
    <w:rsid w:val="00AC301B"/>
    <w:rsid w:val="00AC3253"/>
    <w:rsid w:val="00AC3A83"/>
    <w:rsid w:val="00AC45E3"/>
    <w:rsid w:val="00AC4C19"/>
    <w:rsid w:val="00AC4F60"/>
    <w:rsid w:val="00AC51BA"/>
    <w:rsid w:val="00AC56EB"/>
    <w:rsid w:val="00AC61B4"/>
    <w:rsid w:val="00AC6572"/>
    <w:rsid w:val="00AC6941"/>
    <w:rsid w:val="00AC6F02"/>
    <w:rsid w:val="00AC7047"/>
    <w:rsid w:val="00AC70BC"/>
    <w:rsid w:val="00AC76DE"/>
    <w:rsid w:val="00AC77FF"/>
    <w:rsid w:val="00AC789C"/>
    <w:rsid w:val="00AC7E52"/>
    <w:rsid w:val="00AC7F33"/>
    <w:rsid w:val="00AD07A7"/>
    <w:rsid w:val="00AD080A"/>
    <w:rsid w:val="00AD1065"/>
    <w:rsid w:val="00AD1927"/>
    <w:rsid w:val="00AD2109"/>
    <w:rsid w:val="00AD27A7"/>
    <w:rsid w:val="00AD291E"/>
    <w:rsid w:val="00AD2B64"/>
    <w:rsid w:val="00AD2C95"/>
    <w:rsid w:val="00AD3543"/>
    <w:rsid w:val="00AD367C"/>
    <w:rsid w:val="00AD384F"/>
    <w:rsid w:val="00AD3AFB"/>
    <w:rsid w:val="00AD3C4F"/>
    <w:rsid w:val="00AD428F"/>
    <w:rsid w:val="00AD45E4"/>
    <w:rsid w:val="00AD4757"/>
    <w:rsid w:val="00AD4931"/>
    <w:rsid w:val="00AD4A5A"/>
    <w:rsid w:val="00AD539E"/>
    <w:rsid w:val="00AD53BF"/>
    <w:rsid w:val="00AD57A1"/>
    <w:rsid w:val="00AD5857"/>
    <w:rsid w:val="00AD59B3"/>
    <w:rsid w:val="00AD5BD2"/>
    <w:rsid w:val="00AD5ED9"/>
    <w:rsid w:val="00AD6F82"/>
    <w:rsid w:val="00AD701D"/>
    <w:rsid w:val="00AD75BB"/>
    <w:rsid w:val="00AD797C"/>
    <w:rsid w:val="00AE0257"/>
    <w:rsid w:val="00AE02E0"/>
    <w:rsid w:val="00AE0438"/>
    <w:rsid w:val="00AE10EB"/>
    <w:rsid w:val="00AE1781"/>
    <w:rsid w:val="00AE1898"/>
    <w:rsid w:val="00AE1AD2"/>
    <w:rsid w:val="00AE1C16"/>
    <w:rsid w:val="00AE27F8"/>
    <w:rsid w:val="00AE28DF"/>
    <w:rsid w:val="00AE2ACB"/>
    <w:rsid w:val="00AE2D9E"/>
    <w:rsid w:val="00AE2EE8"/>
    <w:rsid w:val="00AE2EEF"/>
    <w:rsid w:val="00AE3014"/>
    <w:rsid w:val="00AE35FE"/>
    <w:rsid w:val="00AE430A"/>
    <w:rsid w:val="00AE5134"/>
    <w:rsid w:val="00AE52FF"/>
    <w:rsid w:val="00AE55AA"/>
    <w:rsid w:val="00AE62C8"/>
    <w:rsid w:val="00AE686F"/>
    <w:rsid w:val="00AE69C3"/>
    <w:rsid w:val="00AE7285"/>
    <w:rsid w:val="00AE7A26"/>
    <w:rsid w:val="00AF0489"/>
    <w:rsid w:val="00AF04A7"/>
    <w:rsid w:val="00AF04DD"/>
    <w:rsid w:val="00AF0844"/>
    <w:rsid w:val="00AF0A07"/>
    <w:rsid w:val="00AF136B"/>
    <w:rsid w:val="00AF171A"/>
    <w:rsid w:val="00AF1CD8"/>
    <w:rsid w:val="00AF1E49"/>
    <w:rsid w:val="00AF20DC"/>
    <w:rsid w:val="00AF22EC"/>
    <w:rsid w:val="00AF28D3"/>
    <w:rsid w:val="00AF2DB8"/>
    <w:rsid w:val="00AF2E95"/>
    <w:rsid w:val="00AF32C8"/>
    <w:rsid w:val="00AF3751"/>
    <w:rsid w:val="00AF3A02"/>
    <w:rsid w:val="00AF3AF2"/>
    <w:rsid w:val="00AF3DC0"/>
    <w:rsid w:val="00AF4446"/>
    <w:rsid w:val="00AF49CC"/>
    <w:rsid w:val="00AF4E05"/>
    <w:rsid w:val="00AF68AF"/>
    <w:rsid w:val="00AF6BCA"/>
    <w:rsid w:val="00AF7184"/>
    <w:rsid w:val="00AF7923"/>
    <w:rsid w:val="00AF7959"/>
    <w:rsid w:val="00B002C6"/>
    <w:rsid w:val="00B0073D"/>
    <w:rsid w:val="00B007DB"/>
    <w:rsid w:val="00B00B3B"/>
    <w:rsid w:val="00B00BBC"/>
    <w:rsid w:val="00B00BBF"/>
    <w:rsid w:val="00B00F2D"/>
    <w:rsid w:val="00B00F7A"/>
    <w:rsid w:val="00B01041"/>
    <w:rsid w:val="00B01065"/>
    <w:rsid w:val="00B0109E"/>
    <w:rsid w:val="00B0116A"/>
    <w:rsid w:val="00B01BB7"/>
    <w:rsid w:val="00B020AA"/>
    <w:rsid w:val="00B02445"/>
    <w:rsid w:val="00B03066"/>
    <w:rsid w:val="00B031FD"/>
    <w:rsid w:val="00B0386A"/>
    <w:rsid w:val="00B03896"/>
    <w:rsid w:val="00B044A6"/>
    <w:rsid w:val="00B0497D"/>
    <w:rsid w:val="00B04B1F"/>
    <w:rsid w:val="00B04D57"/>
    <w:rsid w:val="00B04E0A"/>
    <w:rsid w:val="00B052F9"/>
    <w:rsid w:val="00B0642E"/>
    <w:rsid w:val="00B068E4"/>
    <w:rsid w:val="00B071D4"/>
    <w:rsid w:val="00B072C2"/>
    <w:rsid w:val="00B076E7"/>
    <w:rsid w:val="00B07EA4"/>
    <w:rsid w:val="00B10916"/>
    <w:rsid w:val="00B114FC"/>
    <w:rsid w:val="00B11E89"/>
    <w:rsid w:val="00B121BD"/>
    <w:rsid w:val="00B123EC"/>
    <w:rsid w:val="00B12992"/>
    <w:rsid w:val="00B129A3"/>
    <w:rsid w:val="00B133FD"/>
    <w:rsid w:val="00B1355D"/>
    <w:rsid w:val="00B137BF"/>
    <w:rsid w:val="00B14312"/>
    <w:rsid w:val="00B14E7B"/>
    <w:rsid w:val="00B15D39"/>
    <w:rsid w:val="00B1683E"/>
    <w:rsid w:val="00B168D1"/>
    <w:rsid w:val="00B170D1"/>
    <w:rsid w:val="00B1743D"/>
    <w:rsid w:val="00B20345"/>
    <w:rsid w:val="00B20B9B"/>
    <w:rsid w:val="00B20C99"/>
    <w:rsid w:val="00B20DEE"/>
    <w:rsid w:val="00B214E0"/>
    <w:rsid w:val="00B217C2"/>
    <w:rsid w:val="00B217C3"/>
    <w:rsid w:val="00B21B16"/>
    <w:rsid w:val="00B224B3"/>
    <w:rsid w:val="00B225CD"/>
    <w:rsid w:val="00B22843"/>
    <w:rsid w:val="00B22BC9"/>
    <w:rsid w:val="00B22C54"/>
    <w:rsid w:val="00B2310E"/>
    <w:rsid w:val="00B23378"/>
    <w:rsid w:val="00B234C4"/>
    <w:rsid w:val="00B238B1"/>
    <w:rsid w:val="00B23B6C"/>
    <w:rsid w:val="00B23E81"/>
    <w:rsid w:val="00B240EF"/>
    <w:rsid w:val="00B247C4"/>
    <w:rsid w:val="00B25330"/>
    <w:rsid w:val="00B25881"/>
    <w:rsid w:val="00B26841"/>
    <w:rsid w:val="00B26C36"/>
    <w:rsid w:val="00B26F76"/>
    <w:rsid w:val="00B276B3"/>
    <w:rsid w:val="00B276BF"/>
    <w:rsid w:val="00B2794A"/>
    <w:rsid w:val="00B27BC5"/>
    <w:rsid w:val="00B30347"/>
    <w:rsid w:val="00B317EA"/>
    <w:rsid w:val="00B3195A"/>
    <w:rsid w:val="00B319DD"/>
    <w:rsid w:val="00B31C50"/>
    <w:rsid w:val="00B31DD8"/>
    <w:rsid w:val="00B31FA8"/>
    <w:rsid w:val="00B335FE"/>
    <w:rsid w:val="00B33DFF"/>
    <w:rsid w:val="00B33F6C"/>
    <w:rsid w:val="00B34B1D"/>
    <w:rsid w:val="00B351AD"/>
    <w:rsid w:val="00B35852"/>
    <w:rsid w:val="00B35FD1"/>
    <w:rsid w:val="00B36179"/>
    <w:rsid w:val="00B364D5"/>
    <w:rsid w:val="00B36FAD"/>
    <w:rsid w:val="00B37605"/>
    <w:rsid w:val="00B407DA"/>
    <w:rsid w:val="00B40E20"/>
    <w:rsid w:val="00B40E28"/>
    <w:rsid w:val="00B40F8F"/>
    <w:rsid w:val="00B4118F"/>
    <w:rsid w:val="00B41B06"/>
    <w:rsid w:val="00B41E00"/>
    <w:rsid w:val="00B422C1"/>
    <w:rsid w:val="00B42647"/>
    <w:rsid w:val="00B428CD"/>
    <w:rsid w:val="00B4293E"/>
    <w:rsid w:val="00B42EF7"/>
    <w:rsid w:val="00B43325"/>
    <w:rsid w:val="00B434F7"/>
    <w:rsid w:val="00B4356E"/>
    <w:rsid w:val="00B43D85"/>
    <w:rsid w:val="00B440AD"/>
    <w:rsid w:val="00B449A1"/>
    <w:rsid w:val="00B44B6A"/>
    <w:rsid w:val="00B44C38"/>
    <w:rsid w:val="00B467C6"/>
    <w:rsid w:val="00B46FE2"/>
    <w:rsid w:val="00B4779E"/>
    <w:rsid w:val="00B500E9"/>
    <w:rsid w:val="00B502B3"/>
    <w:rsid w:val="00B507CA"/>
    <w:rsid w:val="00B50FF0"/>
    <w:rsid w:val="00B51215"/>
    <w:rsid w:val="00B5134D"/>
    <w:rsid w:val="00B51791"/>
    <w:rsid w:val="00B51FD1"/>
    <w:rsid w:val="00B52B40"/>
    <w:rsid w:val="00B52C8C"/>
    <w:rsid w:val="00B52D5F"/>
    <w:rsid w:val="00B52E1B"/>
    <w:rsid w:val="00B52E6B"/>
    <w:rsid w:val="00B531A7"/>
    <w:rsid w:val="00B537AF"/>
    <w:rsid w:val="00B53E7E"/>
    <w:rsid w:val="00B53F4F"/>
    <w:rsid w:val="00B544A5"/>
    <w:rsid w:val="00B5478A"/>
    <w:rsid w:val="00B54A1A"/>
    <w:rsid w:val="00B54F3B"/>
    <w:rsid w:val="00B55073"/>
    <w:rsid w:val="00B551FD"/>
    <w:rsid w:val="00B554CD"/>
    <w:rsid w:val="00B5669E"/>
    <w:rsid w:val="00B56DAF"/>
    <w:rsid w:val="00B56DB7"/>
    <w:rsid w:val="00B57563"/>
    <w:rsid w:val="00B575A0"/>
    <w:rsid w:val="00B57E11"/>
    <w:rsid w:val="00B600B3"/>
    <w:rsid w:val="00B60243"/>
    <w:rsid w:val="00B6030B"/>
    <w:rsid w:val="00B60BF9"/>
    <w:rsid w:val="00B60E80"/>
    <w:rsid w:val="00B60FA2"/>
    <w:rsid w:val="00B61477"/>
    <w:rsid w:val="00B6183A"/>
    <w:rsid w:val="00B618C7"/>
    <w:rsid w:val="00B61A6A"/>
    <w:rsid w:val="00B61F99"/>
    <w:rsid w:val="00B626FB"/>
    <w:rsid w:val="00B628F3"/>
    <w:rsid w:val="00B6342E"/>
    <w:rsid w:val="00B63464"/>
    <w:rsid w:val="00B63711"/>
    <w:rsid w:val="00B63C5C"/>
    <w:rsid w:val="00B64FC5"/>
    <w:rsid w:val="00B64FCA"/>
    <w:rsid w:val="00B65040"/>
    <w:rsid w:val="00B6512F"/>
    <w:rsid w:val="00B65C22"/>
    <w:rsid w:val="00B66157"/>
    <w:rsid w:val="00B6656E"/>
    <w:rsid w:val="00B66CB6"/>
    <w:rsid w:val="00B67C7B"/>
    <w:rsid w:val="00B67ED2"/>
    <w:rsid w:val="00B704AB"/>
    <w:rsid w:val="00B70F0F"/>
    <w:rsid w:val="00B7113F"/>
    <w:rsid w:val="00B712FC"/>
    <w:rsid w:val="00B72570"/>
    <w:rsid w:val="00B72F4C"/>
    <w:rsid w:val="00B736E0"/>
    <w:rsid w:val="00B7380F"/>
    <w:rsid w:val="00B741ED"/>
    <w:rsid w:val="00B744D7"/>
    <w:rsid w:val="00B7490F"/>
    <w:rsid w:val="00B7495A"/>
    <w:rsid w:val="00B74B49"/>
    <w:rsid w:val="00B74E15"/>
    <w:rsid w:val="00B75376"/>
    <w:rsid w:val="00B75B8C"/>
    <w:rsid w:val="00B765E1"/>
    <w:rsid w:val="00B76C60"/>
    <w:rsid w:val="00B77A2C"/>
    <w:rsid w:val="00B77C1B"/>
    <w:rsid w:val="00B801C1"/>
    <w:rsid w:val="00B80366"/>
    <w:rsid w:val="00B80A1F"/>
    <w:rsid w:val="00B80B22"/>
    <w:rsid w:val="00B80EB3"/>
    <w:rsid w:val="00B811D4"/>
    <w:rsid w:val="00B81E54"/>
    <w:rsid w:val="00B82304"/>
    <w:rsid w:val="00B8240D"/>
    <w:rsid w:val="00B824B7"/>
    <w:rsid w:val="00B83514"/>
    <w:rsid w:val="00B83620"/>
    <w:rsid w:val="00B84111"/>
    <w:rsid w:val="00B84414"/>
    <w:rsid w:val="00B84C73"/>
    <w:rsid w:val="00B84D09"/>
    <w:rsid w:val="00B8514A"/>
    <w:rsid w:val="00B85522"/>
    <w:rsid w:val="00B85E6C"/>
    <w:rsid w:val="00B86721"/>
    <w:rsid w:val="00B868C8"/>
    <w:rsid w:val="00B869E4"/>
    <w:rsid w:val="00B87239"/>
    <w:rsid w:val="00B87A41"/>
    <w:rsid w:val="00B87D22"/>
    <w:rsid w:val="00B9014E"/>
    <w:rsid w:val="00B904A8"/>
    <w:rsid w:val="00B911B7"/>
    <w:rsid w:val="00B91493"/>
    <w:rsid w:val="00B92950"/>
    <w:rsid w:val="00B93C4C"/>
    <w:rsid w:val="00B94E2E"/>
    <w:rsid w:val="00B95565"/>
    <w:rsid w:val="00B955B9"/>
    <w:rsid w:val="00B958F4"/>
    <w:rsid w:val="00B968E3"/>
    <w:rsid w:val="00B96C71"/>
    <w:rsid w:val="00B96EAC"/>
    <w:rsid w:val="00B96F3C"/>
    <w:rsid w:val="00B97416"/>
    <w:rsid w:val="00B974FA"/>
    <w:rsid w:val="00B97BBC"/>
    <w:rsid w:val="00BA04EC"/>
    <w:rsid w:val="00BA121B"/>
    <w:rsid w:val="00BA126A"/>
    <w:rsid w:val="00BA12A7"/>
    <w:rsid w:val="00BA191D"/>
    <w:rsid w:val="00BA1D63"/>
    <w:rsid w:val="00BA2083"/>
    <w:rsid w:val="00BA249B"/>
    <w:rsid w:val="00BA2C16"/>
    <w:rsid w:val="00BA36A9"/>
    <w:rsid w:val="00BA3C59"/>
    <w:rsid w:val="00BA3E2F"/>
    <w:rsid w:val="00BA4F2B"/>
    <w:rsid w:val="00BA52B0"/>
    <w:rsid w:val="00BA5E81"/>
    <w:rsid w:val="00BA60B9"/>
    <w:rsid w:val="00BA6436"/>
    <w:rsid w:val="00BA69AD"/>
    <w:rsid w:val="00BA6A94"/>
    <w:rsid w:val="00BA735F"/>
    <w:rsid w:val="00BA73B6"/>
    <w:rsid w:val="00BB03F8"/>
    <w:rsid w:val="00BB0BF1"/>
    <w:rsid w:val="00BB0C7A"/>
    <w:rsid w:val="00BB12E9"/>
    <w:rsid w:val="00BB16AB"/>
    <w:rsid w:val="00BB1827"/>
    <w:rsid w:val="00BB185B"/>
    <w:rsid w:val="00BB195C"/>
    <w:rsid w:val="00BB21D7"/>
    <w:rsid w:val="00BB2448"/>
    <w:rsid w:val="00BB359A"/>
    <w:rsid w:val="00BB4716"/>
    <w:rsid w:val="00BB4C3B"/>
    <w:rsid w:val="00BB4E33"/>
    <w:rsid w:val="00BB4FCD"/>
    <w:rsid w:val="00BB6790"/>
    <w:rsid w:val="00BB67DE"/>
    <w:rsid w:val="00BB69D4"/>
    <w:rsid w:val="00BB6B97"/>
    <w:rsid w:val="00BB6D75"/>
    <w:rsid w:val="00BB7191"/>
    <w:rsid w:val="00BB77FF"/>
    <w:rsid w:val="00BB783F"/>
    <w:rsid w:val="00BB7A1A"/>
    <w:rsid w:val="00BB7D22"/>
    <w:rsid w:val="00BC0A3D"/>
    <w:rsid w:val="00BC15FE"/>
    <w:rsid w:val="00BC181B"/>
    <w:rsid w:val="00BC1A3D"/>
    <w:rsid w:val="00BC1B1B"/>
    <w:rsid w:val="00BC2523"/>
    <w:rsid w:val="00BC28C9"/>
    <w:rsid w:val="00BC2AD8"/>
    <w:rsid w:val="00BC34EE"/>
    <w:rsid w:val="00BC3BFE"/>
    <w:rsid w:val="00BC4CEE"/>
    <w:rsid w:val="00BC5347"/>
    <w:rsid w:val="00BC6525"/>
    <w:rsid w:val="00BC65C4"/>
    <w:rsid w:val="00BC6898"/>
    <w:rsid w:val="00BC6BD5"/>
    <w:rsid w:val="00BC6FEC"/>
    <w:rsid w:val="00BC7530"/>
    <w:rsid w:val="00BC7A8E"/>
    <w:rsid w:val="00BC7D99"/>
    <w:rsid w:val="00BD003E"/>
    <w:rsid w:val="00BD0291"/>
    <w:rsid w:val="00BD139A"/>
    <w:rsid w:val="00BD13EA"/>
    <w:rsid w:val="00BD1406"/>
    <w:rsid w:val="00BD1747"/>
    <w:rsid w:val="00BD1DBB"/>
    <w:rsid w:val="00BD20D9"/>
    <w:rsid w:val="00BD223E"/>
    <w:rsid w:val="00BD2AF8"/>
    <w:rsid w:val="00BD2EB1"/>
    <w:rsid w:val="00BD3091"/>
    <w:rsid w:val="00BD35A5"/>
    <w:rsid w:val="00BD35CC"/>
    <w:rsid w:val="00BD54F6"/>
    <w:rsid w:val="00BD55FA"/>
    <w:rsid w:val="00BD5722"/>
    <w:rsid w:val="00BD5A6D"/>
    <w:rsid w:val="00BD5CA5"/>
    <w:rsid w:val="00BD5D3A"/>
    <w:rsid w:val="00BD5E35"/>
    <w:rsid w:val="00BD5FAF"/>
    <w:rsid w:val="00BD61D9"/>
    <w:rsid w:val="00BD6209"/>
    <w:rsid w:val="00BD64A0"/>
    <w:rsid w:val="00BD683F"/>
    <w:rsid w:val="00BD69FF"/>
    <w:rsid w:val="00BD6E0C"/>
    <w:rsid w:val="00BD6F70"/>
    <w:rsid w:val="00BD70FC"/>
    <w:rsid w:val="00BD7166"/>
    <w:rsid w:val="00BD757D"/>
    <w:rsid w:val="00BD7E1B"/>
    <w:rsid w:val="00BE02BC"/>
    <w:rsid w:val="00BE0401"/>
    <w:rsid w:val="00BE0F1F"/>
    <w:rsid w:val="00BE13A3"/>
    <w:rsid w:val="00BE1541"/>
    <w:rsid w:val="00BE1682"/>
    <w:rsid w:val="00BE17E5"/>
    <w:rsid w:val="00BE18B1"/>
    <w:rsid w:val="00BE18B5"/>
    <w:rsid w:val="00BE2180"/>
    <w:rsid w:val="00BE2DB8"/>
    <w:rsid w:val="00BE300A"/>
    <w:rsid w:val="00BE3808"/>
    <w:rsid w:val="00BE3A02"/>
    <w:rsid w:val="00BE3C02"/>
    <w:rsid w:val="00BE3D88"/>
    <w:rsid w:val="00BE417A"/>
    <w:rsid w:val="00BE4994"/>
    <w:rsid w:val="00BE4A36"/>
    <w:rsid w:val="00BE4A8D"/>
    <w:rsid w:val="00BE4FA5"/>
    <w:rsid w:val="00BE6326"/>
    <w:rsid w:val="00BE6672"/>
    <w:rsid w:val="00BE6C80"/>
    <w:rsid w:val="00BE7469"/>
    <w:rsid w:val="00BE7776"/>
    <w:rsid w:val="00BE7BCA"/>
    <w:rsid w:val="00BE7E19"/>
    <w:rsid w:val="00BF0405"/>
    <w:rsid w:val="00BF0C81"/>
    <w:rsid w:val="00BF16F6"/>
    <w:rsid w:val="00BF1746"/>
    <w:rsid w:val="00BF2157"/>
    <w:rsid w:val="00BF25A0"/>
    <w:rsid w:val="00BF3102"/>
    <w:rsid w:val="00BF36DA"/>
    <w:rsid w:val="00BF38CE"/>
    <w:rsid w:val="00BF3A47"/>
    <w:rsid w:val="00BF3A62"/>
    <w:rsid w:val="00BF3EC9"/>
    <w:rsid w:val="00BF41D0"/>
    <w:rsid w:val="00BF47AA"/>
    <w:rsid w:val="00BF4E62"/>
    <w:rsid w:val="00BF529E"/>
    <w:rsid w:val="00BF5784"/>
    <w:rsid w:val="00BF57AF"/>
    <w:rsid w:val="00BF5820"/>
    <w:rsid w:val="00BF5E0A"/>
    <w:rsid w:val="00BF5FAE"/>
    <w:rsid w:val="00BF6FE1"/>
    <w:rsid w:val="00BF70F2"/>
    <w:rsid w:val="00C007B2"/>
    <w:rsid w:val="00C00C2E"/>
    <w:rsid w:val="00C00F75"/>
    <w:rsid w:val="00C0114D"/>
    <w:rsid w:val="00C01CDF"/>
    <w:rsid w:val="00C02121"/>
    <w:rsid w:val="00C02246"/>
    <w:rsid w:val="00C02370"/>
    <w:rsid w:val="00C0239C"/>
    <w:rsid w:val="00C02ABA"/>
    <w:rsid w:val="00C02C71"/>
    <w:rsid w:val="00C04607"/>
    <w:rsid w:val="00C04CBA"/>
    <w:rsid w:val="00C05531"/>
    <w:rsid w:val="00C05635"/>
    <w:rsid w:val="00C05CAF"/>
    <w:rsid w:val="00C0627F"/>
    <w:rsid w:val="00C062E9"/>
    <w:rsid w:val="00C06D04"/>
    <w:rsid w:val="00C0738E"/>
    <w:rsid w:val="00C0743C"/>
    <w:rsid w:val="00C07B64"/>
    <w:rsid w:val="00C1071E"/>
    <w:rsid w:val="00C10AE1"/>
    <w:rsid w:val="00C11A1D"/>
    <w:rsid w:val="00C11ADF"/>
    <w:rsid w:val="00C129AC"/>
    <w:rsid w:val="00C129C5"/>
    <w:rsid w:val="00C12C2A"/>
    <w:rsid w:val="00C12D5E"/>
    <w:rsid w:val="00C130C3"/>
    <w:rsid w:val="00C132E2"/>
    <w:rsid w:val="00C13376"/>
    <w:rsid w:val="00C133AF"/>
    <w:rsid w:val="00C13721"/>
    <w:rsid w:val="00C138FB"/>
    <w:rsid w:val="00C140E2"/>
    <w:rsid w:val="00C141CA"/>
    <w:rsid w:val="00C14409"/>
    <w:rsid w:val="00C14DE8"/>
    <w:rsid w:val="00C14E04"/>
    <w:rsid w:val="00C14EA4"/>
    <w:rsid w:val="00C14F3D"/>
    <w:rsid w:val="00C15278"/>
    <w:rsid w:val="00C1547C"/>
    <w:rsid w:val="00C1587F"/>
    <w:rsid w:val="00C16E62"/>
    <w:rsid w:val="00C17026"/>
    <w:rsid w:val="00C17C5E"/>
    <w:rsid w:val="00C20EB9"/>
    <w:rsid w:val="00C21053"/>
    <w:rsid w:val="00C2107A"/>
    <w:rsid w:val="00C21306"/>
    <w:rsid w:val="00C213C4"/>
    <w:rsid w:val="00C21488"/>
    <w:rsid w:val="00C2194C"/>
    <w:rsid w:val="00C22D58"/>
    <w:rsid w:val="00C2305F"/>
    <w:rsid w:val="00C234D9"/>
    <w:rsid w:val="00C238DF"/>
    <w:rsid w:val="00C2453B"/>
    <w:rsid w:val="00C246E0"/>
    <w:rsid w:val="00C253AF"/>
    <w:rsid w:val="00C25546"/>
    <w:rsid w:val="00C2555E"/>
    <w:rsid w:val="00C25800"/>
    <w:rsid w:val="00C260C7"/>
    <w:rsid w:val="00C26389"/>
    <w:rsid w:val="00C26BA0"/>
    <w:rsid w:val="00C27D81"/>
    <w:rsid w:val="00C303C4"/>
    <w:rsid w:val="00C3066D"/>
    <w:rsid w:val="00C311DC"/>
    <w:rsid w:val="00C314DA"/>
    <w:rsid w:val="00C31798"/>
    <w:rsid w:val="00C32365"/>
    <w:rsid w:val="00C3272E"/>
    <w:rsid w:val="00C32CE4"/>
    <w:rsid w:val="00C33064"/>
    <w:rsid w:val="00C33A44"/>
    <w:rsid w:val="00C33A45"/>
    <w:rsid w:val="00C33A72"/>
    <w:rsid w:val="00C34115"/>
    <w:rsid w:val="00C345BF"/>
    <w:rsid w:val="00C34732"/>
    <w:rsid w:val="00C347E3"/>
    <w:rsid w:val="00C34C2B"/>
    <w:rsid w:val="00C34ED7"/>
    <w:rsid w:val="00C35022"/>
    <w:rsid w:val="00C35474"/>
    <w:rsid w:val="00C35A92"/>
    <w:rsid w:val="00C35CAA"/>
    <w:rsid w:val="00C367C1"/>
    <w:rsid w:val="00C36A22"/>
    <w:rsid w:val="00C371F9"/>
    <w:rsid w:val="00C372E4"/>
    <w:rsid w:val="00C377F2"/>
    <w:rsid w:val="00C404AD"/>
    <w:rsid w:val="00C417EB"/>
    <w:rsid w:val="00C43242"/>
    <w:rsid w:val="00C436D1"/>
    <w:rsid w:val="00C43EF1"/>
    <w:rsid w:val="00C442AA"/>
    <w:rsid w:val="00C44B31"/>
    <w:rsid w:val="00C44F65"/>
    <w:rsid w:val="00C44FEE"/>
    <w:rsid w:val="00C45088"/>
    <w:rsid w:val="00C45299"/>
    <w:rsid w:val="00C46256"/>
    <w:rsid w:val="00C46493"/>
    <w:rsid w:val="00C47058"/>
    <w:rsid w:val="00C470AB"/>
    <w:rsid w:val="00C47351"/>
    <w:rsid w:val="00C506BB"/>
    <w:rsid w:val="00C50959"/>
    <w:rsid w:val="00C50FE1"/>
    <w:rsid w:val="00C510F7"/>
    <w:rsid w:val="00C518A8"/>
    <w:rsid w:val="00C51B0A"/>
    <w:rsid w:val="00C51DD4"/>
    <w:rsid w:val="00C51ED7"/>
    <w:rsid w:val="00C51EE2"/>
    <w:rsid w:val="00C52136"/>
    <w:rsid w:val="00C5213D"/>
    <w:rsid w:val="00C52510"/>
    <w:rsid w:val="00C52568"/>
    <w:rsid w:val="00C528DD"/>
    <w:rsid w:val="00C52AEA"/>
    <w:rsid w:val="00C531B1"/>
    <w:rsid w:val="00C5346F"/>
    <w:rsid w:val="00C53E25"/>
    <w:rsid w:val="00C5408B"/>
    <w:rsid w:val="00C543F4"/>
    <w:rsid w:val="00C54565"/>
    <w:rsid w:val="00C5458D"/>
    <w:rsid w:val="00C54F56"/>
    <w:rsid w:val="00C550A8"/>
    <w:rsid w:val="00C55787"/>
    <w:rsid w:val="00C55D26"/>
    <w:rsid w:val="00C5609C"/>
    <w:rsid w:val="00C56320"/>
    <w:rsid w:val="00C56434"/>
    <w:rsid w:val="00C56E9E"/>
    <w:rsid w:val="00C60B6F"/>
    <w:rsid w:val="00C60CB6"/>
    <w:rsid w:val="00C611AF"/>
    <w:rsid w:val="00C61816"/>
    <w:rsid w:val="00C618BD"/>
    <w:rsid w:val="00C61B7F"/>
    <w:rsid w:val="00C6258E"/>
    <w:rsid w:val="00C6291C"/>
    <w:rsid w:val="00C62AF4"/>
    <w:rsid w:val="00C62FAB"/>
    <w:rsid w:val="00C63052"/>
    <w:rsid w:val="00C63303"/>
    <w:rsid w:val="00C633CB"/>
    <w:rsid w:val="00C63680"/>
    <w:rsid w:val="00C63FAF"/>
    <w:rsid w:val="00C649E6"/>
    <w:rsid w:val="00C655FA"/>
    <w:rsid w:val="00C65CE6"/>
    <w:rsid w:val="00C65E49"/>
    <w:rsid w:val="00C662EB"/>
    <w:rsid w:val="00C666A7"/>
    <w:rsid w:val="00C66A2D"/>
    <w:rsid w:val="00C67519"/>
    <w:rsid w:val="00C67A94"/>
    <w:rsid w:val="00C67C36"/>
    <w:rsid w:val="00C67C3E"/>
    <w:rsid w:val="00C67CD7"/>
    <w:rsid w:val="00C67F0E"/>
    <w:rsid w:val="00C716B1"/>
    <w:rsid w:val="00C719DB"/>
    <w:rsid w:val="00C71F95"/>
    <w:rsid w:val="00C720AA"/>
    <w:rsid w:val="00C73549"/>
    <w:rsid w:val="00C73985"/>
    <w:rsid w:val="00C7412F"/>
    <w:rsid w:val="00C74241"/>
    <w:rsid w:val="00C74393"/>
    <w:rsid w:val="00C758C6"/>
    <w:rsid w:val="00C76D70"/>
    <w:rsid w:val="00C77749"/>
    <w:rsid w:val="00C777C0"/>
    <w:rsid w:val="00C77AAE"/>
    <w:rsid w:val="00C77BF6"/>
    <w:rsid w:val="00C80240"/>
    <w:rsid w:val="00C80918"/>
    <w:rsid w:val="00C810EF"/>
    <w:rsid w:val="00C81678"/>
    <w:rsid w:val="00C81911"/>
    <w:rsid w:val="00C81FDA"/>
    <w:rsid w:val="00C81FF9"/>
    <w:rsid w:val="00C82072"/>
    <w:rsid w:val="00C82B4B"/>
    <w:rsid w:val="00C82BB7"/>
    <w:rsid w:val="00C82C80"/>
    <w:rsid w:val="00C832D0"/>
    <w:rsid w:val="00C8333E"/>
    <w:rsid w:val="00C83688"/>
    <w:rsid w:val="00C84246"/>
    <w:rsid w:val="00C84980"/>
    <w:rsid w:val="00C85042"/>
    <w:rsid w:val="00C852B4"/>
    <w:rsid w:val="00C85691"/>
    <w:rsid w:val="00C860AA"/>
    <w:rsid w:val="00C863BA"/>
    <w:rsid w:val="00C86487"/>
    <w:rsid w:val="00C86668"/>
    <w:rsid w:val="00C8762C"/>
    <w:rsid w:val="00C87FBB"/>
    <w:rsid w:val="00C908FB"/>
    <w:rsid w:val="00C90B12"/>
    <w:rsid w:val="00C9216D"/>
    <w:rsid w:val="00C92343"/>
    <w:rsid w:val="00C92E75"/>
    <w:rsid w:val="00C93190"/>
    <w:rsid w:val="00C933FC"/>
    <w:rsid w:val="00C93568"/>
    <w:rsid w:val="00C94117"/>
    <w:rsid w:val="00C944D7"/>
    <w:rsid w:val="00C9450A"/>
    <w:rsid w:val="00C94D60"/>
    <w:rsid w:val="00C9625E"/>
    <w:rsid w:val="00C9631F"/>
    <w:rsid w:val="00C96720"/>
    <w:rsid w:val="00C969C0"/>
    <w:rsid w:val="00C96D8F"/>
    <w:rsid w:val="00C970EF"/>
    <w:rsid w:val="00C971D6"/>
    <w:rsid w:val="00C971D9"/>
    <w:rsid w:val="00C971E9"/>
    <w:rsid w:val="00C97374"/>
    <w:rsid w:val="00CA00F9"/>
    <w:rsid w:val="00CA0428"/>
    <w:rsid w:val="00CA06AE"/>
    <w:rsid w:val="00CA06B4"/>
    <w:rsid w:val="00CA070B"/>
    <w:rsid w:val="00CA08B1"/>
    <w:rsid w:val="00CA0A85"/>
    <w:rsid w:val="00CA0E92"/>
    <w:rsid w:val="00CA11D7"/>
    <w:rsid w:val="00CA1741"/>
    <w:rsid w:val="00CA1929"/>
    <w:rsid w:val="00CA264F"/>
    <w:rsid w:val="00CA280D"/>
    <w:rsid w:val="00CA2961"/>
    <w:rsid w:val="00CA29B1"/>
    <w:rsid w:val="00CA2C71"/>
    <w:rsid w:val="00CA2DAE"/>
    <w:rsid w:val="00CA2F7D"/>
    <w:rsid w:val="00CA31D3"/>
    <w:rsid w:val="00CA3371"/>
    <w:rsid w:val="00CA34B0"/>
    <w:rsid w:val="00CA34CA"/>
    <w:rsid w:val="00CA4E46"/>
    <w:rsid w:val="00CA5609"/>
    <w:rsid w:val="00CA56D6"/>
    <w:rsid w:val="00CA6601"/>
    <w:rsid w:val="00CA7270"/>
    <w:rsid w:val="00CA7610"/>
    <w:rsid w:val="00CA7D6A"/>
    <w:rsid w:val="00CB0115"/>
    <w:rsid w:val="00CB0539"/>
    <w:rsid w:val="00CB0D85"/>
    <w:rsid w:val="00CB145C"/>
    <w:rsid w:val="00CB1D78"/>
    <w:rsid w:val="00CB2434"/>
    <w:rsid w:val="00CB291A"/>
    <w:rsid w:val="00CB2CDA"/>
    <w:rsid w:val="00CB315E"/>
    <w:rsid w:val="00CB37FE"/>
    <w:rsid w:val="00CB405D"/>
    <w:rsid w:val="00CB4C2C"/>
    <w:rsid w:val="00CB50D7"/>
    <w:rsid w:val="00CB53FE"/>
    <w:rsid w:val="00CB562A"/>
    <w:rsid w:val="00CB5A23"/>
    <w:rsid w:val="00CB61B7"/>
    <w:rsid w:val="00CB7177"/>
    <w:rsid w:val="00CB72D0"/>
    <w:rsid w:val="00CC06CA"/>
    <w:rsid w:val="00CC0A51"/>
    <w:rsid w:val="00CC13E0"/>
    <w:rsid w:val="00CC1998"/>
    <w:rsid w:val="00CC1FE0"/>
    <w:rsid w:val="00CC2009"/>
    <w:rsid w:val="00CC225A"/>
    <w:rsid w:val="00CC22EC"/>
    <w:rsid w:val="00CC284D"/>
    <w:rsid w:val="00CC2BF5"/>
    <w:rsid w:val="00CC34AC"/>
    <w:rsid w:val="00CC405E"/>
    <w:rsid w:val="00CC4946"/>
    <w:rsid w:val="00CC4C8C"/>
    <w:rsid w:val="00CC5267"/>
    <w:rsid w:val="00CC6B92"/>
    <w:rsid w:val="00CC6C71"/>
    <w:rsid w:val="00CC772A"/>
    <w:rsid w:val="00CC79D2"/>
    <w:rsid w:val="00CC7B9D"/>
    <w:rsid w:val="00CC7E4B"/>
    <w:rsid w:val="00CC7E6F"/>
    <w:rsid w:val="00CD299E"/>
    <w:rsid w:val="00CD2B27"/>
    <w:rsid w:val="00CD2C4B"/>
    <w:rsid w:val="00CD2FA4"/>
    <w:rsid w:val="00CD30A9"/>
    <w:rsid w:val="00CD38EC"/>
    <w:rsid w:val="00CD3A8F"/>
    <w:rsid w:val="00CD3F38"/>
    <w:rsid w:val="00CD45DA"/>
    <w:rsid w:val="00CD47F6"/>
    <w:rsid w:val="00CD4909"/>
    <w:rsid w:val="00CD5403"/>
    <w:rsid w:val="00CD582B"/>
    <w:rsid w:val="00CD584C"/>
    <w:rsid w:val="00CD5AB9"/>
    <w:rsid w:val="00CD6595"/>
    <w:rsid w:val="00CD6661"/>
    <w:rsid w:val="00CD6922"/>
    <w:rsid w:val="00CD7905"/>
    <w:rsid w:val="00CD7D72"/>
    <w:rsid w:val="00CD7E60"/>
    <w:rsid w:val="00CE05AE"/>
    <w:rsid w:val="00CE199D"/>
    <w:rsid w:val="00CE19F3"/>
    <w:rsid w:val="00CE1B02"/>
    <w:rsid w:val="00CE25C7"/>
    <w:rsid w:val="00CE3894"/>
    <w:rsid w:val="00CE3D35"/>
    <w:rsid w:val="00CE40AC"/>
    <w:rsid w:val="00CE417A"/>
    <w:rsid w:val="00CE4272"/>
    <w:rsid w:val="00CE4304"/>
    <w:rsid w:val="00CE44F6"/>
    <w:rsid w:val="00CE52ED"/>
    <w:rsid w:val="00CE54AC"/>
    <w:rsid w:val="00CE58E1"/>
    <w:rsid w:val="00CE650D"/>
    <w:rsid w:val="00CE7061"/>
    <w:rsid w:val="00CE70DB"/>
    <w:rsid w:val="00CE7199"/>
    <w:rsid w:val="00CE73EA"/>
    <w:rsid w:val="00CE7AC1"/>
    <w:rsid w:val="00CE7CE7"/>
    <w:rsid w:val="00CE7E85"/>
    <w:rsid w:val="00CF04F3"/>
    <w:rsid w:val="00CF0A78"/>
    <w:rsid w:val="00CF0B9B"/>
    <w:rsid w:val="00CF1824"/>
    <w:rsid w:val="00CF1DEC"/>
    <w:rsid w:val="00CF2185"/>
    <w:rsid w:val="00CF298D"/>
    <w:rsid w:val="00CF2D37"/>
    <w:rsid w:val="00CF3339"/>
    <w:rsid w:val="00CF3658"/>
    <w:rsid w:val="00CF3ADE"/>
    <w:rsid w:val="00CF42DC"/>
    <w:rsid w:val="00CF4618"/>
    <w:rsid w:val="00CF4B45"/>
    <w:rsid w:val="00CF4DF6"/>
    <w:rsid w:val="00CF54CE"/>
    <w:rsid w:val="00CF56CD"/>
    <w:rsid w:val="00CF5A45"/>
    <w:rsid w:val="00CF5EE7"/>
    <w:rsid w:val="00CF5F5D"/>
    <w:rsid w:val="00CF5FEF"/>
    <w:rsid w:val="00CF6045"/>
    <w:rsid w:val="00CF6559"/>
    <w:rsid w:val="00CF6C0F"/>
    <w:rsid w:val="00CF6DAC"/>
    <w:rsid w:val="00CF7B7E"/>
    <w:rsid w:val="00D00074"/>
    <w:rsid w:val="00D00408"/>
    <w:rsid w:val="00D00736"/>
    <w:rsid w:val="00D009AF"/>
    <w:rsid w:val="00D00C8F"/>
    <w:rsid w:val="00D0106D"/>
    <w:rsid w:val="00D010F2"/>
    <w:rsid w:val="00D01685"/>
    <w:rsid w:val="00D01703"/>
    <w:rsid w:val="00D0173B"/>
    <w:rsid w:val="00D01C39"/>
    <w:rsid w:val="00D01FEA"/>
    <w:rsid w:val="00D02961"/>
    <w:rsid w:val="00D02A4F"/>
    <w:rsid w:val="00D02B64"/>
    <w:rsid w:val="00D02C66"/>
    <w:rsid w:val="00D02CE6"/>
    <w:rsid w:val="00D033C0"/>
    <w:rsid w:val="00D0419A"/>
    <w:rsid w:val="00D04543"/>
    <w:rsid w:val="00D0524E"/>
    <w:rsid w:val="00D05E3E"/>
    <w:rsid w:val="00D079D6"/>
    <w:rsid w:val="00D07D5B"/>
    <w:rsid w:val="00D10688"/>
    <w:rsid w:val="00D1069E"/>
    <w:rsid w:val="00D10863"/>
    <w:rsid w:val="00D108CE"/>
    <w:rsid w:val="00D10E3E"/>
    <w:rsid w:val="00D11B33"/>
    <w:rsid w:val="00D11BE4"/>
    <w:rsid w:val="00D122EB"/>
    <w:rsid w:val="00D12454"/>
    <w:rsid w:val="00D125CB"/>
    <w:rsid w:val="00D12D78"/>
    <w:rsid w:val="00D13355"/>
    <w:rsid w:val="00D147C2"/>
    <w:rsid w:val="00D14B61"/>
    <w:rsid w:val="00D155A9"/>
    <w:rsid w:val="00D15AB3"/>
    <w:rsid w:val="00D16114"/>
    <w:rsid w:val="00D1656C"/>
    <w:rsid w:val="00D16956"/>
    <w:rsid w:val="00D16A79"/>
    <w:rsid w:val="00D16C84"/>
    <w:rsid w:val="00D16F08"/>
    <w:rsid w:val="00D1708A"/>
    <w:rsid w:val="00D1798A"/>
    <w:rsid w:val="00D17DE2"/>
    <w:rsid w:val="00D20228"/>
    <w:rsid w:val="00D20DAB"/>
    <w:rsid w:val="00D21686"/>
    <w:rsid w:val="00D21DEA"/>
    <w:rsid w:val="00D21F22"/>
    <w:rsid w:val="00D224C6"/>
    <w:rsid w:val="00D22AAA"/>
    <w:rsid w:val="00D22AF5"/>
    <w:rsid w:val="00D22B69"/>
    <w:rsid w:val="00D23BED"/>
    <w:rsid w:val="00D24032"/>
    <w:rsid w:val="00D24200"/>
    <w:rsid w:val="00D244FE"/>
    <w:rsid w:val="00D2478F"/>
    <w:rsid w:val="00D24852"/>
    <w:rsid w:val="00D24B64"/>
    <w:rsid w:val="00D25619"/>
    <w:rsid w:val="00D25934"/>
    <w:rsid w:val="00D26309"/>
    <w:rsid w:val="00D266FC"/>
    <w:rsid w:val="00D26735"/>
    <w:rsid w:val="00D26A70"/>
    <w:rsid w:val="00D26F6A"/>
    <w:rsid w:val="00D270A4"/>
    <w:rsid w:val="00D2750D"/>
    <w:rsid w:val="00D2759C"/>
    <w:rsid w:val="00D27662"/>
    <w:rsid w:val="00D27896"/>
    <w:rsid w:val="00D2797D"/>
    <w:rsid w:val="00D30963"/>
    <w:rsid w:val="00D30AA2"/>
    <w:rsid w:val="00D3102E"/>
    <w:rsid w:val="00D312FC"/>
    <w:rsid w:val="00D31B3E"/>
    <w:rsid w:val="00D31E2B"/>
    <w:rsid w:val="00D32475"/>
    <w:rsid w:val="00D331D9"/>
    <w:rsid w:val="00D3325C"/>
    <w:rsid w:val="00D33C1A"/>
    <w:rsid w:val="00D34130"/>
    <w:rsid w:val="00D3451F"/>
    <w:rsid w:val="00D34665"/>
    <w:rsid w:val="00D348BF"/>
    <w:rsid w:val="00D34E1B"/>
    <w:rsid w:val="00D3541B"/>
    <w:rsid w:val="00D3571C"/>
    <w:rsid w:val="00D3599D"/>
    <w:rsid w:val="00D359E1"/>
    <w:rsid w:val="00D36049"/>
    <w:rsid w:val="00D36A2E"/>
    <w:rsid w:val="00D36CF2"/>
    <w:rsid w:val="00D3705B"/>
    <w:rsid w:val="00D376BA"/>
    <w:rsid w:val="00D37A20"/>
    <w:rsid w:val="00D37B91"/>
    <w:rsid w:val="00D37C74"/>
    <w:rsid w:val="00D37D21"/>
    <w:rsid w:val="00D37DE4"/>
    <w:rsid w:val="00D37E14"/>
    <w:rsid w:val="00D4005D"/>
    <w:rsid w:val="00D401AE"/>
    <w:rsid w:val="00D408E3"/>
    <w:rsid w:val="00D40F2D"/>
    <w:rsid w:val="00D411F1"/>
    <w:rsid w:val="00D41C96"/>
    <w:rsid w:val="00D41DE6"/>
    <w:rsid w:val="00D42341"/>
    <w:rsid w:val="00D42C40"/>
    <w:rsid w:val="00D43347"/>
    <w:rsid w:val="00D4393F"/>
    <w:rsid w:val="00D44291"/>
    <w:rsid w:val="00D45164"/>
    <w:rsid w:val="00D4530C"/>
    <w:rsid w:val="00D45624"/>
    <w:rsid w:val="00D45A4E"/>
    <w:rsid w:val="00D45DB0"/>
    <w:rsid w:val="00D46264"/>
    <w:rsid w:val="00D467C1"/>
    <w:rsid w:val="00D46845"/>
    <w:rsid w:val="00D46D21"/>
    <w:rsid w:val="00D4718C"/>
    <w:rsid w:val="00D47A45"/>
    <w:rsid w:val="00D50B0E"/>
    <w:rsid w:val="00D50F9F"/>
    <w:rsid w:val="00D512E3"/>
    <w:rsid w:val="00D519FB"/>
    <w:rsid w:val="00D51D9E"/>
    <w:rsid w:val="00D51F96"/>
    <w:rsid w:val="00D520C6"/>
    <w:rsid w:val="00D52219"/>
    <w:rsid w:val="00D5238A"/>
    <w:rsid w:val="00D525C3"/>
    <w:rsid w:val="00D52B6F"/>
    <w:rsid w:val="00D52C6C"/>
    <w:rsid w:val="00D53223"/>
    <w:rsid w:val="00D53EA6"/>
    <w:rsid w:val="00D54628"/>
    <w:rsid w:val="00D5484C"/>
    <w:rsid w:val="00D54ED0"/>
    <w:rsid w:val="00D550AD"/>
    <w:rsid w:val="00D5568A"/>
    <w:rsid w:val="00D56197"/>
    <w:rsid w:val="00D565C2"/>
    <w:rsid w:val="00D56719"/>
    <w:rsid w:val="00D5693E"/>
    <w:rsid w:val="00D57136"/>
    <w:rsid w:val="00D57769"/>
    <w:rsid w:val="00D57C55"/>
    <w:rsid w:val="00D57EDF"/>
    <w:rsid w:val="00D6059A"/>
    <w:rsid w:val="00D60761"/>
    <w:rsid w:val="00D608FA"/>
    <w:rsid w:val="00D60936"/>
    <w:rsid w:val="00D60A65"/>
    <w:rsid w:val="00D61655"/>
    <w:rsid w:val="00D6287F"/>
    <w:rsid w:val="00D62C7E"/>
    <w:rsid w:val="00D62CA0"/>
    <w:rsid w:val="00D6322C"/>
    <w:rsid w:val="00D6342E"/>
    <w:rsid w:val="00D63612"/>
    <w:rsid w:val="00D63D73"/>
    <w:rsid w:val="00D63E32"/>
    <w:rsid w:val="00D64966"/>
    <w:rsid w:val="00D64DBC"/>
    <w:rsid w:val="00D64E6F"/>
    <w:rsid w:val="00D654DC"/>
    <w:rsid w:val="00D66CBA"/>
    <w:rsid w:val="00D66DEA"/>
    <w:rsid w:val="00D66E1E"/>
    <w:rsid w:val="00D670F4"/>
    <w:rsid w:val="00D67240"/>
    <w:rsid w:val="00D67331"/>
    <w:rsid w:val="00D679C7"/>
    <w:rsid w:val="00D679D1"/>
    <w:rsid w:val="00D705C5"/>
    <w:rsid w:val="00D70D77"/>
    <w:rsid w:val="00D70E17"/>
    <w:rsid w:val="00D70FD3"/>
    <w:rsid w:val="00D713E2"/>
    <w:rsid w:val="00D715AB"/>
    <w:rsid w:val="00D722AD"/>
    <w:rsid w:val="00D72348"/>
    <w:rsid w:val="00D72396"/>
    <w:rsid w:val="00D73B3D"/>
    <w:rsid w:val="00D73DA8"/>
    <w:rsid w:val="00D7407F"/>
    <w:rsid w:val="00D74275"/>
    <w:rsid w:val="00D747DC"/>
    <w:rsid w:val="00D74B37"/>
    <w:rsid w:val="00D74FAC"/>
    <w:rsid w:val="00D754C3"/>
    <w:rsid w:val="00D756FC"/>
    <w:rsid w:val="00D75722"/>
    <w:rsid w:val="00D75830"/>
    <w:rsid w:val="00D75A30"/>
    <w:rsid w:val="00D75D3D"/>
    <w:rsid w:val="00D760D1"/>
    <w:rsid w:val="00D761D8"/>
    <w:rsid w:val="00D7640F"/>
    <w:rsid w:val="00D77011"/>
    <w:rsid w:val="00D77D51"/>
    <w:rsid w:val="00D77E82"/>
    <w:rsid w:val="00D809B1"/>
    <w:rsid w:val="00D81356"/>
    <w:rsid w:val="00D820E7"/>
    <w:rsid w:val="00D8241A"/>
    <w:rsid w:val="00D82493"/>
    <w:rsid w:val="00D8299A"/>
    <w:rsid w:val="00D83286"/>
    <w:rsid w:val="00D83431"/>
    <w:rsid w:val="00D840FB"/>
    <w:rsid w:val="00D84682"/>
    <w:rsid w:val="00D855DB"/>
    <w:rsid w:val="00D857F8"/>
    <w:rsid w:val="00D8605A"/>
    <w:rsid w:val="00D8623E"/>
    <w:rsid w:val="00D863C3"/>
    <w:rsid w:val="00D86D87"/>
    <w:rsid w:val="00D86EAD"/>
    <w:rsid w:val="00D90B09"/>
    <w:rsid w:val="00D913C2"/>
    <w:rsid w:val="00D91E36"/>
    <w:rsid w:val="00D9217E"/>
    <w:rsid w:val="00D9242C"/>
    <w:rsid w:val="00D92921"/>
    <w:rsid w:val="00D935C1"/>
    <w:rsid w:val="00D9361C"/>
    <w:rsid w:val="00D936D4"/>
    <w:rsid w:val="00D94199"/>
    <w:rsid w:val="00D9491A"/>
    <w:rsid w:val="00D94AB2"/>
    <w:rsid w:val="00D94F11"/>
    <w:rsid w:val="00D95054"/>
    <w:rsid w:val="00D9582F"/>
    <w:rsid w:val="00D959B9"/>
    <w:rsid w:val="00D95CFB"/>
    <w:rsid w:val="00D95E1E"/>
    <w:rsid w:val="00D962A5"/>
    <w:rsid w:val="00D962B7"/>
    <w:rsid w:val="00D96D56"/>
    <w:rsid w:val="00D9730B"/>
    <w:rsid w:val="00D978E3"/>
    <w:rsid w:val="00D97BE3"/>
    <w:rsid w:val="00D97E03"/>
    <w:rsid w:val="00D97F2C"/>
    <w:rsid w:val="00D97F31"/>
    <w:rsid w:val="00DA0007"/>
    <w:rsid w:val="00DA0323"/>
    <w:rsid w:val="00DA0CF2"/>
    <w:rsid w:val="00DA0FEE"/>
    <w:rsid w:val="00DA188B"/>
    <w:rsid w:val="00DA18BE"/>
    <w:rsid w:val="00DA2A03"/>
    <w:rsid w:val="00DA2C10"/>
    <w:rsid w:val="00DA2DE4"/>
    <w:rsid w:val="00DA2F1F"/>
    <w:rsid w:val="00DA2F31"/>
    <w:rsid w:val="00DA3B04"/>
    <w:rsid w:val="00DA43AB"/>
    <w:rsid w:val="00DA44A1"/>
    <w:rsid w:val="00DA4858"/>
    <w:rsid w:val="00DA4F78"/>
    <w:rsid w:val="00DA5BBA"/>
    <w:rsid w:val="00DA5D28"/>
    <w:rsid w:val="00DA5FA1"/>
    <w:rsid w:val="00DA603D"/>
    <w:rsid w:val="00DA668E"/>
    <w:rsid w:val="00DA673A"/>
    <w:rsid w:val="00DA75BE"/>
    <w:rsid w:val="00DA7AFE"/>
    <w:rsid w:val="00DA7E07"/>
    <w:rsid w:val="00DB04B0"/>
    <w:rsid w:val="00DB04EB"/>
    <w:rsid w:val="00DB0A5C"/>
    <w:rsid w:val="00DB0B26"/>
    <w:rsid w:val="00DB0CB7"/>
    <w:rsid w:val="00DB0E89"/>
    <w:rsid w:val="00DB0ECD"/>
    <w:rsid w:val="00DB1149"/>
    <w:rsid w:val="00DB163C"/>
    <w:rsid w:val="00DB19B7"/>
    <w:rsid w:val="00DB1F60"/>
    <w:rsid w:val="00DB1FA1"/>
    <w:rsid w:val="00DB256F"/>
    <w:rsid w:val="00DB28AE"/>
    <w:rsid w:val="00DB297A"/>
    <w:rsid w:val="00DB364D"/>
    <w:rsid w:val="00DB3AE4"/>
    <w:rsid w:val="00DB3B6D"/>
    <w:rsid w:val="00DB3C1B"/>
    <w:rsid w:val="00DB3FFA"/>
    <w:rsid w:val="00DB4139"/>
    <w:rsid w:val="00DB41E4"/>
    <w:rsid w:val="00DB4260"/>
    <w:rsid w:val="00DB437C"/>
    <w:rsid w:val="00DB4690"/>
    <w:rsid w:val="00DB495D"/>
    <w:rsid w:val="00DB49B2"/>
    <w:rsid w:val="00DB4B52"/>
    <w:rsid w:val="00DB4BCE"/>
    <w:rsid w:val="00DB5A40"/>
    <w:rsid w:val="00DB5B29"/>
    <w:rsid w:val="00DB64E2"/>
    <w:rsid w:val="00DB67C9"/>
    <w:rsid w:val="00DB67E5"/>
    <w:rsid w:val="00DB72F9"/>
    <w:rsid w:val="00DB7692"/>
    <w:rsid w:val="00DB77B4"/>
    <w:rsid w:val="00DB7F8E"/>
    <w:rsid w:val="00DC07ED"/>
    <w:rsid w:val="00DC098A"/>
    <w:rsid w:val="00DC0C95"/>
    <w:rsid w:val="00DC1232"/>
    <w:rsid w:val="00DC12C2"/>
    <w:rsid w:val="00DC1386"/>
    <w:rsid w:val="00DC1886"/>
    <w:rsid w:val="00DC1CAB"/>
    <w:rsid w:val="00DC2636"/>
    <w:rsid w:val="00DC2CF3"/>
    <w:rsid w:val="00DC2D8F"/>
    <w:rsid w:val="00DC3089"/>
    <w:rsid w:val="00DC33AA"/>
    <w:rsid w:val="00DC3458"/>
    <w:rsid w:val="00DC3695"/>
    <w:rsid w:val="00DC3733"/>
    <w:rsid w:val="00DC3971"/>
    <w:rsid w:val="00DC3FED"/>
    <w:rsid w:val="00DC4515"/>
    <w:rsid w:val="00DC4B93"/>
    <w:rsid w:val="00DC50BA"/>
    <w:rsid w:val="00DC55E5"/>
    <w:rsid w:val="00DC57C4"/>
    <w:rsid w:val="00DC652F"/>
    <w:rsid w:val="00DC6945"/>
    <w:rsid w:val="00DC7873"/>
    <w:rsid w:val="00DC7E07"/>
    <w:rsid w:val="00DD036F"/>
    <w:rsid w:val="00DD05F5"/>
    <w:rsid w:val="00DD0645"/>
    <w:rsid w:val="00DD0A8D"/>
    <w:rsid w:val="00DD0C2A"/>
    <w:rsid w:val="00DD0C2F"/>
    <w:rsid w:val="00DD1752"/>
    <w:rsid w:val="00DD1A17"/>
    <w:rsid w:val="00DD2050"/>
    <w:rsid w:val="00DD26CE"/>
    <w:rsid w:val="00DD26E6"/>
    <w:rsid w:val="00DD28F5"/>
    <w:rsid w:val="00DD3033"/>
    <w:rsid w:val="00DD3390"/>
    <w:rsid w:val="00DD3441"/>
    <w:rsid w:val="00DD34EA"/>
    <w:rsid w:val="00DD3779"/>
    <w:rsid w:val="00DD3C30"/>
    <w:rsid w:val="00DD4059"/>
    <w:rsid w:val="00DD430F"/>
    <w:rsid w:val="00DD48D6"/>
    <w:rsid w:val="00DD4958"/>
    <w:rsid w:val="00DD4B41"/>
    <w:rsid w:val="00DD4ED3"/>
    <w:rsid w:val="00DD5459"/>
    <w:rsid w:val="00DD5C6E"/>
    <w:rsid w:val="00DD5DD1"/>
    <w:rsid w:val="00DD6580"/>
    <w:rsid w:val="00DD6929"/>
    <w:rsid w:val="00DD6B91"/>
    <w:rsid w:val="00DD6D15"/>
    <w:rsid w:val="00DD71FB"/>
    <w:rsid w:val="00DE032F"/>
    <w:rsid w:val="00DE078E"/>
    <w:rsid w:val="00DE0984"/>
    <w:rsid w:val="00DE0A14"/>
    <w:rsid w:val="00DE0F83"/>
    <w:rsid w:val="00DE0FFA"/>
    <w:rsid w:val="00DE1046"/>
    <w:rsid w:val="00DE1102"/>
    <w:rsid w:val="00DE1232"/>
    <w:rsid w:val="00DE12BB"/>
    <w:rsid w:val="00DE25F1"/>
    <w:rsid w:val="00DE2B19"/>
    <w:rsid w:val="00DE2B57"/>
    <w:rsid w:val="00DE2E15"/>
    <w:rsid w:val="00DE3408"/>
    <w:rsid w:val="00DE354C"/>
    <w:rsid w:val="00DE3998"/>
    <w:rsid w:val="00DE3B89"/>
    <w:rsid w:val="00DE3FAF"/>
    <w:rsid w:val="00DE4226"/>
    <w:rsid w:val="00DE4CAF"/>
    <w:rsid w:val="00DE53EA"/>
    <w:rsid w:val="00DE5B1D"/>
    <w:rsid w:val="00DE6340"/>
    <w:rsid w:val="00DE6758"/>
    <w:rsid w:val="00DE67F6"/>
    <w:rsid w:val="00DE6C35"/>
    <w:rsid w:val="00DE6D78"/>
    <w:rsid w:val="00DE705F"/>
    <w:rsid w:val="00DE7664"/>
    <w:rsid w:val="00DE7AA6"/>
    <w:rsid w:val="00DE7CAB"/>
    <w:rsid w:val="00DF0148"/>
    <w:rsid w:val="00DF0355"/>
    <w:rsid w:val="00DF0B9C"/>
    <w:rsid w:val="00DF1042"/>
    <w:rsid w:val="00DF1310"/>
    <w:rsid w:val="00DF14A1"/>
    <w:rsid w:val="00DF18A6"/>
    <w:rsid w:val="00DF1926"/>
    <w:rsid w:val="00DF198E"/>
    <w:rsid w:val="00DF25E0"/>
    <w:rsid w:val="00DF35D9"/>
    <w:rsid w:val="00DF3FAC"/>
    <w:rsid w:val="00DF3FBF"/>
    <w:rsid w:val="00DF425E"/>
    <w:rsid w:val="00DF445B"/>
    <w:rsid w:val="00DF4480"/>
    <w:rsid w:val="00DF47B6"/>
    <w:rsid w:val="00DF4E67"/>
    <w:rsid w:val="00DF51B8"/>
    <w:rsid w:val="00DF52E7"/>
    <w:rsid w:val="00DF56EE"/>
    <w:rsid w:val="00DF5C6A"/>
    <w:rsid w:val="00DF5FF4"/>
    <w:rsid w:val="00DF6BFB"/>
    <w:rsid w:val="00DF6CC9"/>
    <w:rsid w:val="00DF7E98"/>
    <w:rsid w:val="00E00B08"/>
    <w:rsid w:val="00E01A3B"/>
    <w:rsid w:val="00E01A3E"/>
    <w:rsid w:val="00E02CD9"/>
    <w:rsid w:val="00E02D9D"/>
    <w:rsid w:val="00E03000"/>
    <w:rsid w:val="00E03087"/>
    <w:rsid w:val="00E030FC"/>
    <w:rsid w:val="00E03ACC"/>
    <w:rsid w:val="00E045AB"/>
    <w:rsid w:val="00E05332"/>
    <w:rsid w:val="00E056B7"/>
    <w:rsid w:val="00E05D7E"/>
    <w:rsid w:val="00E05DA9"/>
    <w:rsid w:val="00E05F6E"/>
    <w:rsid w:val="00E06222"/>
    <w:rsid w:val="00E06516"/>
    <w:rsid w:val="00E06591"/>
    <w:rsid w:val="00E06DD2"/>
    <w:rsid w:val="00E073E0"/>
    <w:rsid w:val="00E07A16"/>
    <w:rsid w:val="00E07C5B"/>
    <w:rsid w:val="00E07CE4"/>
    <w:rsid w:val="00E07E02"/>
    <w:rsid w:val="00E110BA"/>
    <w:rsid w:val="00E11328"/>
    <w:rsid w:val="00E11AF6"/>
    <w:rsid w:val="00E11F2C"/>
    <w:rsid w:val="00E11FA0"/>
    <w:rsid w:val="00E11FA3"/>
    <w:rsid w:val="00E12070"/>
    <w:rsid w:val="00E1235E"/>
    <w:rsid w:val="00E124E2"/>
    <w:rsid w:val="00E12C55"/>
    <w:rsid w:val="00E12FAD"/>
    <w:rsid w:val="00E13B4C"/>
    <w:rsid w:val="00E13E42"/>
    <w:rsid w:val="00E1401A"/>
    <w:rsid w:val="00E14808"/>
    <w:rsid w:val="00E14984"/>
    <w:rsid w:val="00E14BB8"/>
    <w:rsid w:val="00E1580C"/>
    <w:rsid w:val="00E15859"/>
    <w:rsid w:val="00E15B7F"/>
    <w:rsid w:val="00E15BA2"/>
    <w:rsid w:val="00E15EA7"/>
    <w:rsid w:val="00E16D59"/>
    <w:rsid w:val="00E1740A"/>
    <w:rsid w:val="00E17462"/>
    <w:rsid w:val="00E17A76"/>
    <w:rsid w:val="00E17AD4"/>
    <w:rsid w:val="00E17C72"/>
    <w:rsid w:val="00E17E6E"/>
    <w:rsid w:val="00E2094A"/>
    <w:rsid w:val="00E2165A"/>
    <w:rsid w:val="00E217BA"/>
    <w:rsid w:val="00E21F3E"/>
    <w:rsid w:val="00E21FC6"/>
    <w:rsid w:val="00E226DC"/>
    <w:rsid w:val="00E226EF"/>
    <w:rsid w:val="00E22842"/>
    <w:rsid w:val="00E22B7F"/>
    <w:rsid w:val="00E22E8F"/>
    <w:rsid w:val="00E23BD2"/>
    <w:rsid w:val="00E2436A"/>
    <w:rsid w:val="00E246DF"/>
    <w:rsid w:val="00E248A5"/>
    <w:rsid w:val="00E250B7"/>
    <w:rsid w:val="00E2513C"/>
    <w:rsid w:val="00E25B8E"/>
    <w:rsid w:val="00E262FC"/>
    <w:rsid w:val="00E266C5"/>
    <w:rsid w:val="00E26E7F"/>
    <w:rsid w:val="00E271E3"/>
    <w:rsid w:val="00E275EA"/>
    <w:rsid w:val="00E27640"/>
    <w:rsid w:val="00E2765C"/>
    <w:rsid w:val="00E27821"/>
    <w:rsid w:val="00E27894"/>
    <w:rsid w:val="00E27977"/>
    <w:rsid w:val="00E27983"/>
    <w:rsid w:val="00E27FB4"/>
    <w:rsid w:val="00E303B0"/>
    <w:rsid w:val="00E3045A"/>
    <w:rsid w:val="00E30D5D"/>
    <w:rsid w:val="00E30EE7"/>
    <w:rsid w:val="00E30F60"/>
    <w:rsid w:val="00E31082"/>
    <w:rsid w:val="00E31633"/>
    <w:rsid w:val="00E31785"/>
    <w:rsid w:val="00E31ACF"/>
    <w:rsid w:val="00E31D33"/>
    <w:rsid w:val="00E32C45"/>
    <w:rsid w:val="00E32E91"/>
    <w:rsid w:val="00E32F32"/>
    <w:rsid w:val="00E33748"/>
    <w:rsid w:val="00E33935"/>
    <w:rsid w:val="00E34C2C"/>
    <w:rsid w:val="00E34D77"/>
    <w:rsid w:val="00E34E90"/>
    <w:rsid w:val="00E35B05"/>
    <w:rsid w:val="00E35B59"/>
    <w:rsid w:val="00E3676F"/>
    <w:rsid w:val="00E36E7F"/>
    <w:rsid w:val="00E37103"/>
    <w:rsid w:val="00E371B4"/>
    <w:rsid w:val="00E37447"/>
    <w:rsid w:val="00E375E7"/>
    <w:rsid w:val="00E406E7"/>
    <w:rsid w:val="00E40863"/>
    <w:rsid w:val="00E409B3"/>
    <w:rsid w:val="00E40C61"/>
    <w:rsid w:val="00E4249B"/>
    <w:rsid w:val="00E432DE"/>
    <w:rsid w:val="00E43633"/>
    <w:rsid w:val="00E4367E"/>
    <w:rsid w:val="00E437A9"/>
    <w:rsid w:val="00E437F8"/>
    <w:rsid w:val="00E43AE8"/>
    <w:rsid w:val="00E43B44"/>
    <w:rsid w:val="00E43B81"/>
    <w:rsid w:val="00E4407C"/>
    <w:rsid w:val="00E442E6"/>
    <w:rsid w:val="00E44857"/>
    <w:rsid w:val="00E449B3"/>
    <w:rsid w:val="00E44DE6"/>
    <w:rsid w:val="00E44EF9"/>
    <w:rsid w:val="00E44F50"/>
    <w:rsid w:val="00E451F3"/>
    <w:rsid w:val="00E4568D"/>
    <w:rsid w:val="00E459C7"/>
    <w:rsid w:val="00E45BD3"/>
    <w:rsid w:val="00E45F4C"/>
    <w:rsid w:val="00E461B4"/>
    <w:rsid w:val="00E466B1"/>
    <w:rsid w:val="00E466EB"/>
    <w:rsid w:val="00E467EC"/>
    <w:rsid w:val="00E469EC"/>
    <w:rsid w:val="00E470AE"/>
    <w:rsid w:val="00E473EF"/>
    <w:rsid w:val="00E47843"/>
    <w:rsid w:val="00E47919"/>
    <w:rsid w:val="00E47AC7"/>
    <w:rsid w:val="00E50911"/>
    <w:rsid w:val="00E50DB1"/>
    <w:rsid w:val="00E50F17"/>
    <w:rsid w:val="00E50FC4"/>
    <w:rsid w:val="00E51113"/>
    <w:rsid w:val="00E5160B"/>
    <w:rsid w:val="00E5249B"/>
    <w:rsid w:val="00E527C4"/>
    <w:rsid w:val="00E52BAB"/>
    <w:rsid w:val="00E531EF"/>
    <w:rsid w:val="00E532F1"/>
    <w:rsid w:val="00E53440"/>
    <w:rsid w:val="00E53812"/>
    <w:rsid w:val="00E54371"/>
    <w:rsid w:val="00E547C2"/>
    <w:rsid w:val="00E5528D"/>
    <w:rsid w:val="00E557EA"/>
    <w:rsid w:val="00E55CFA"/>
    <w:rsid w:val="00E5610B"/>
    <w:rsid w:val="00E56118"/>
    <w:rsid w:val="00E561E3"/>
    <w:rsid w:val="00E56458"/>
    <w:rsid w:val="00E5648A"/>
    <w:rsid w:val="00E566E9"/>
    <w:rsid w:val="00E56A93"/>
    <w:rsid w:val="00E56AD4"/>
    <w:rsid w:val="00E56CA3"/>
    <w:rsid w:val="00E56DE8"/>
    <w:rsid w:val="00E572D2"/>
    <w:rsid w:val="00E576A4"/>
    <w:rsid w:val="00E57792"/>
    <w:rsid w:val="00E57878"/>
    <w:rsid w:val="00E62D8E"/>
    <w:rsid w:val="00E63A59"/>
    <w:rsid w:val="00E64140"/>
    <w:rsid w:val="00E648B7"/>
    <w:rsid w:val="00E64E7F"/>
    <w:rsid w:val="00E6508B"/>
    <w:rsid w:val="00E6516D"/>
    <w:rsid w:val="00E656FC"/>
    <w:rsid w:val="00E65B3A"/>
    <w:rsid w:val="00E65F53"/>
    <w:rsid w:val="00E668C3"/>
    <w:rsid w:val="00E66948"/>
    <w:rsid w:val="00E669E2"/>
    <w:rsid w:val="00E66B03"/>
    <w:rsid w:val="00E66B95"/>
    <w:rsid w:val="00E66C8E"/>
    <w:rsid w:val="00E66D40"/>
    <w:rsid w:val="00E66D71"/>
    <w:rsid w:val="00E702E7"/>
    <w:rsid w:val="00E708D2"/>
    <w:rsid w:val="00E70B1F"/>
    <w:rsid w:val="00E70EA7"/>
    <w:rsid w:val="00E713B7"/>
    <w:rsid w:val="00E71405"/>
    <w:rsid w:val="00E71691"/>
    <w:rsid w:val="00E71B69"/>
    <w:rsid w:val="00E71E2F"/>
    <w:rsid w:val="00E72631"/>
    <w:rsid w:val="00E734E7"/>
    <w:rsid w:val="00E73BF3"/>
    <w:rsid w:val="00E74754"/>
    <w:rsid w:val="00E74CCD"/>
    <w:rsid w:val="00E74FC6"/>
    <w:rsid w:val="00E75446"/>
    <w:rsid w:val="00E75585"/>
    <w:rsid w:val="00E75698"/>
    <w:rsid w:val="00E756E9"/>
    <w:rsid w:val="00E76135"/>
    <w:rsid w:val="00E768C4"/>
    <w:rsid w:val="00E76A78"/>
    <w:rsid w:val="00E76D0F"/>
    <w:rsid w:val="00E76DD6"/>
    <w:rsid w:val="00E76F2E"/>
    <w:rsid w:val="00E802DE"/>
    <w:rsid w:val="00E805C4"/>
    <w:rsid w:val="00E80D44"/>
    <w:rsid w:val="00E80ECD"/>
    <w:rsid w:val="00E814D1"/>
    <w:rsid w:val="00E81EB1"/>
    <w:rsid w:val="00E81F98"/>
    <w:rsid w:val="00E82668"/>
    <w:rsid w:val="00E830B5"/>
    <w:rsid w:val="00E855D7"/>
    <w:rsid w:val="00E85653"/>
    <w:rsid w:val="00E8590E"/>
    <w:rsid w:val="00E85B11"/>
    <w:rsid w:val="00E85C19"/>
    <w:rsid w:val="00E85E79"/>
    <w:rsid w:val="00E8607B"/>
    <w:rsid w:val="00E863AD"/>
    <w:rsid w:val="00E86486"/>
    <w:rsid w:val="00E869E1"/>
    <w:rsid w:val="00E87686"/>
    <w:rsid w:val="00E8768B"/>
    <w:rsid w:val="00E90170"/>
    <w:rsid w:val="00E906AD"/>
    <w:rsid w:val="00E91796"/>
    <w:rsid w:val="00E92110"/>
    <w:rsid w:val="00E925DC"/>
    <w:rsid w:val="00E92E6A"/>
    <w:rsid w:val="00E9329F"/>
    <w:rsid w:val="00E933B6"/>
    <w:rsid w:val="00E93713"/>
    <w:rsid w:val="00E938DF"/>
    <w:rsid w:val="00E93958"/>
    <w:rsid w:val="00E93A06"/>
    <w:rsid w:val="00E93E74"/>
    <w:rsid w:val="00E94D4B"/>
    <w:rsid w:val="00E9576F"/>
    <w:rsid w:val="00E95DC4"/>
    <w:rsid w:val="00E96518"/>
    <w:rsid w:val="00E96A4D"/>
    <w:rsid w:val="00E96BFA"/>
    <w:rsid w:val="00E96C0B"/>
    <w:rsid w:val="00E96DE4"/>
    <w:rsid w:val="00E96F07"/>
    <w:rsid w:val="00E971CC"/>
    <w:rsid w:val="00E97353"/>
    <w:rsid w:val="00E97C45"/>
    <w:rsid w:val="00E97E7E"/>
    <w:rsid w:val="00EA03E3"/>
    <w:rsid w:val="00EA0F3C"/>
    <w:rsid w:val="00EA1389"/>
    <w:rsid w:val="00EA1909"/>
    <w:rsid w:val="00EA1E33"/>
    <w:rsid w:val="00EA23B7"/>
    <w:rsid w:val="00EA24FC"/>
    <w:rsid w:val="00EA252B"/>
    <w:rsid w:val="00EA2D12"/>
    <w:rsid w:val="00EA3192"/>
    <w:rsid w:val="00EA32DF"/>
    <w:rsid w:val="00EA34AD"/>
    <w:rsid w:val="00EA3B4E"/>
    <w:rsid w:val="00EA3D68"/>
    <w:rsid w:val="00EA3EBD"/>
    <w:rsid w:val="00EA3EC9"/>
    <w:rsid w:val="00EA3F9C"/>
    <w:rsid w:val="00EA43BA"/>
    <w:rsid w:val="00EA4B5F"/>
    <w:rsid w:val="00EA4E74"/>
    <w:rsid w:val="00EA57D9"/>
    <w:rsid w:val="00EA596E"/>
    <w:rsid w:val="00EA5B77"/>
    <w:rsid w:val="00EA5E55"/>
    <w:rsid w:val="00EA609B"/>
    <w:rsid w:val="00EA619E"/>
    <w:rsid w:val="00EA7326"/>
    <w:rsid w:val="00EB0363"/>
    <w:rsid w:val="00EB077D"/>
    <w:rsid w:val="00EB08B3"/>
    <w:rsid w:val="00EB1723"/>
    <w:rsid w:val="00EB1FE3"/>
    <w:rsid w:val="00EB2058"/>
    <w:rsid w:val="00EB22B9"/>
    <w:rsid w:val="00EB27AC"/>
    <w:rsid w:val="00EB2BA2"/>
    <w:rsid w:val="00EB2E0B"/>
    <w:rsid w:val="00EB2E64"/>
    <w:rsid w:val="00EB2F92"/>
    <w:rsid w:val="00EB3384"/>
    <w:rsid w:val="00EB4329"/>
    <w:rsid w:val="00EB5122"/>
    <w:rsid w:val="00EB5626"/>
    <w:rsid w:val="00EB5A45"/>
    <w:rsid w:val="00EB5B61"/>
    <w:rsid w:val="00EB5D6C"/>
    <w:rsid w:val="00EB5DAC"/>
    <w:rsid w:val="00EB6723"/>
    <w:rsid w:val="00EB6D1F"/>
    <w:rsid w:val="00EB7B1A"/>
    <w:rsid w:val="00EC0761"/>
    <w:rsid w:val="00EC0822"/>
    <w:rsid w:val="00EC08A9"/>
    <w:rsid w:val="00EC1392"/>
    <w:rsid w:val="00EC1944"/>
    <w:rsid w:val="00EC1C98"/>
    <w:rsid w:val="00EC215F"/>
    <w:rsid w:val="00EC2332"/>
    <w:rsid w:val="00EC248F"/>
    <w:rsid w:val="00EC2630"/>
    <w:rsid w:val="00EC2844"/>
    <w:rsid w:val="00EC294B"/>
    <w:rsid w:val="00EC2F80"/>
    <w:rsid w:val="00EC4356"/>
    <w:rsid w:val="00EC49A0"/>
    <w:rsid w:val="00EC4A78"/>
    <w:rsid w:val="00EC4CBA"/>
    <w:rsid w:val="00EC516D"/>
    <w:rsid w:val="00EC52C7"/>
    <w:rsid w:val="00EC537C"/>
    <w:rsid w:val="00EC5399"/>
    <w:rsid w:val="00EC69CC"/>
    <w:rsid w:val="00EC6F3B"/>
    <w:rsid w:val="00EC7194"/>
    <w:rsid w:val="00EC727B"/>
    <w:rsid w:val="00EC72A9"/>
    <w:rsid w:val="00EC7AB0"/>
    <w:rsid w:val="00EC7E5D"/>
    <w:rsid w:val="00ED0880"/>
    <w:rsid w:val="00ED16EB"/>
    <w:rsid w:val="00ED16F4"/>
    <w:rsid w:val="00ED17EE"/>
    <w:rsid w:val="00ED1FD8"/>
    <w:rsid w:val="00ED272D"/>
    <w:rsid w:val="00ED29B2"/>
    <w:rsid w:val="00ED2C04"/>
    <w:rsid w:val="00ED3120"/>
    <w:rsid w:val="00ED3D6E"/>
    <w:rsid w:val="00ED4197"/>
    <w:rsid w:val="00ED424E"/>
    <w:rsid w:val="00ED42F8"/>
    <w:rsid w:val="00ED4666"/>
    <w:rsid w:val="00ED4A77"/>
    <w:rsid w:val="00ED6E03"/>
    <w:rsid w:val="00ED7532"/>
    <w:rsid w:val="00ED7BB0"/>
    <w:rsid w:val="00EE0420"/>
    <w:rsid w:val="00EE10D1"/>
    <w:rsid w:val="00EE1395"/>
    <w:rsid w:val="00EE144C"/>
    <w:rsid w:val="00EE1E9C"/>
    <w:rsid w:val="00EE2728"/>
    <w:rsid w:val="00EE2E43"/>
    <w:rsid w:val="00EE2E90"/>
    <w:rsid w:val="00EE3DAA"/>
    <w:rsid w:val="00EE424D"/>
    <w:rsid w:val="00EE4369"/>
    <w:rsid w:val="00EE4B97"/>
    <w:rsid w:val="00EE4DA9"/>
    <w:rsid w:val="00EE55E6"/>
    <w:rsid w:val="00EE576B"/>
    <w:rsid w:val="00EE5FEC"/>
    <w:rsid w:val="00EE6649"/>
    <w:rsid w:val="00EE6CE3"/>
    <w:rsid w:val="00EE6CF7"/>
    <w:rsid w:val="00EE6D5D"/>
    <w:rsid w:val="00EE6FA1"/>
    <w:rsid w:val="00EE71D9"/>
    <w:rsid w:val="00EE7380"/>
    <w:rsid w:val="00EF0805"/>
    <w:rsid w:val="00EF0A74"/>
    <w:rsid w:val="00EF1475"/>
    <w:rsid w:val="00EF1B69"/>
    <w:rsid w:val="00EF1F43"/>
    <w:rsid w:val="00EF204E"/>
    <w:rsid w:val="00EF2091"/>
    <w:rsid w:val="00EF281F"/>
    <w:rsid w:val="00EF2A86"/>
    <w:rsid w:val="00EF2DCA"/>
    <w:rsid w:val="00EF30B8"/>
    <w:rsid w:val="00EF3481"/>
    <w:rsid w:val="00EF3529"/>
    <w:rsid w:val="00EF3C76"/>
    <w:rsid w:val="00EF3F64"/>
    <w:rsid w:val="00EF4080"/>
    <w:rsid w:val="00EF4270"/>
    <w:rsid w:val="00EF4848"/>
    <w:rsid w:val="00EF4CFC"/>
    <w:rsid w:val="00EF5C3F"/>
    <w:rsid w:val="00EF6593"/>
    <w:rsid w:val="00EF6C6C"/>
    <w:rsid w:val="00EF71AE"/>
    <w:rsid w:val="00EF74F9"/>
    <w:rsid w:val="00EF7517"/>
    <w:rsid w:val="00F00128"/>
    <w:rsid w:val="00F0030C"/>
    <w:rsid w:val="00F005D8"/>
    <w:rsid w:val="00F00789"/>
    <w:rsid w:val="00F00D3F"/>
    <w:rsid w:val="00F00D89"/>
    <w:rsid w:val="00F00E9B"/>
    <w:rsid w:val="00F01437"/>
    <w:rsid w:val="00F014B9"/>
    <w:rsid w:val="00F014E1"/>
    <w:rsid w:val="00F02329"/>
    <w:rsid w:val="00F02733"/>
    <w:rsid w:val="00F0285C"/>
    <w:rsid w:val="00F03175"/>
    <w:rsid w:val="00F03254"/>
    <w:rsid w:val="00F03A54"/>
    <w:rsid w:val="00F03C36"/>
    <w:rsid w:val="00F044D7"/>
    <w:rsid w:val="00F04F9B"/>
    <w:rsid w:val="00F056FC"/>
    <w:rsid w:val="00F05944"/>
    <w:rsid w:val="00F05C73"/>
    <w:rsid w:val="00F0637E"/>
    <w:rsid w:val="00F06DA9"/>
    <w:rsid w:val="00F06E7E"/>
    <w:rsid w:val="00F073F0"/>
    <w:rsid w:val="00F079C4"/>
    <w:rsid w:val="00F10476"/>
    <w:rsid w:val="00F1051F"/>
    <w:rsid w:val="00F10C42"/>
    <w:rsid w:val="00F11050"/>
    <w:rsid w:val="00F1129F"/>
    <w:rsid w:val="00F112E4"/>
    <w:rsid w:val="00F11363"/>
    <w:rsid w:val="00F11A0E"/>
    <w:rsid w:val="00F11DCA"/>
    <w:rsid w:val="00F11DF6"/>
    <w:rsid w:val="00F11E63"/>
    <w:rsid w:val="00F127A2"/>
    <w:rsid w:val="00F12E33"/>
    <w:rsid w:val="00F13023"/>
    <w:rsid w:val="00F135AD"/>
    <w:rsid w:val="00F135D8"/>
    <w:rsid w:val="00F13865"/>
    <w:rsid w:val="00F13987"/>
    <w:rsid w:val="00F13C2A"/>
    <w:rsid w:val="00F13D34"/>
    <w:rsid w:val="00F14766"/>
    <w:rsid w:val="00F14806"/>
    <w:rsid w:val="00F14837"/>
    <w:rsid w:val="00F15D3E"/>
    <w:rsid w:val="00F15E4C"/>
    <w:rsid w:val="00F16B00"/>
    <w:rsid w:val="00F17005"/>
    <w:rsid w:val="00F17E9F"/>
    <w:rsid w:val="00F20093"/>
    <w:rsid w:val="00F201A0"/>
    <w:rsid w:val="00F2020A"/>
    <w:rsid w:val="00F20C89"/>
    <w:rsid w:val="00F211E8"/>
    <w:rsid w:val="00F2133D"/>
    <w:rsid w:val="00F21806"/>
    <w:rsid w:val="00F21A9E"/>
    <w:rsid w:val="00F21C21"/>
    <w:rsid w:val="00F21D5D"/>
    <w:rsid w:val="00F22C95"/>
    <w:rsid w:val="00F22F6C"/>
    <w:rsid w:val="00F23199"/>
    <w:rsid w:val="00F23D17"/>
    <w:rsid w:val="00F240F9"/>
    <w:rsid w:val="00F244F6"/>
    <w:rsid w:val="00F247A4"/>
    <w:rsid w:val="00F24BC0"/>
    <w:rsid w:val="00F24C0A"/>
    <w:rsid w:val="00F254F1"/>
    <w:rsid w:val="00F258C6"/>
    <w:rsid w:val="00F25DD7"/>
    <w:rsid w:val="00F26056"/>
    <w:rsid w:val="00F26118"/>
    <w:rsid w:val="00F26A35"/>
    <w:rsid w:val="00F270C3"/>
    <w:rsid w:val="00F27419"/>
    <w:rsid w:val="00F276D7"/>
    <w:rsid w:val="00F277B3"/>
    <w:rsid w:val="00F301C5"/>
    <w:rsid w:val="00F30688"/>
    <w:rsid w:val="00F31299"/>
    <w:rsid w:val="00F31325"/>
    <w:rsid w:val="00F31407"/>
    <w:rsid w:val="00F31ED5"/>
    <w:rsid w:val="00F32E77"/>
    <w:rsid w:val="00F32FFA"/>
    <w:rsid w:val="00F33459"/>
    <w:rsid w:val="00F3430A"/>
    <w:rsid w:val="00F34562"/>
    <w:rsid w:val="00F34CD9"/>
    <w:rsid w:val="00F34F7D"/>
    <w:rsid w:val="00F34FB7"/>
    <w:rsid w:val="00F35051"/>
    <w:rsid w:val="00F3534A"/>
    <w:rsid w:val="00F35A13"/>
    <w:rsid w:val="00F35EF1"/>
    <w:rsid w:val="00F36DC5"/>
    <w:rsid w:val="00F400B3"/>
    <w:rsid w:val="00F41D3B"/>
    <w:rsid w:val="00F42013"/>
    <w:rsid w:val="00F4206C"/>
    <w:rsid w:val="00F42589"/>
    <w:rsid w:val="00F42743"/>
    <w:rsid w:val="00F42891"/>
    <w:rsid w:val="00F42A3F"/>
    <w:rsid w:val="00F43759"/>
    <w:rsid w:val="00F43895"/>
    <w:rsid w:val="00F44569"/>
    <w:rsid w:val="00F45CD0"/>
    <w:rsid w:val="00F462D9"/>
    <w:rsid w:val="00F46475"/>
    <w:rsid w:val="00F464B4"/>
    <w:rsid w:val="00F46E40"/>
    <w:rsid w:val="00F47BF2"/>
    <w:rsid w:val="00F50B29"/>
    <w:rsid w:val="00F51397"/>
    <w:rsid w:val="00F514DF"/>
    <w:rsid w:val="00F5155D"/>
    <w:rsid w:val="00F51677"/>
    <w:rsid w:val="00F51B6B"/>
    <w:rsid w:val="00F51D99"/>
    <w:rsid w:val="00F51F0E"/>
    <w:rsid w:val="00F52CD4"/>
    <w:rsid w:val="00F52CF4"/>
    <w:rsid w:val="00F53089"/>
    <w:rsid w:val="00F53A19"/>
    <w:rsid w:val="00F542CF"/>
    <w:rsid w:val="00F542DC"/>
    <w:rsid w:val="00F542F2"/>
    <w:rsid w:val="00F54667"/>
    <w:rsid w:val="00F54BF3"/>
    <w:rsid w:val="00F556F3"/>
    <w:rsid w:val="00F55B35"/>
    <w:rsid w:val="00F55DC0"/>
    <w:rsid w:val="00F56107"/>
    <w:rsid w:val="00F565F3"/>
    <w:rsid w:val="00F57214"/>
    <w:rsid w:val="00F57BF0"/>
    <w:rsid w:val="00F602B5"/>
    <w:rsid w:val="00F6039C"/>
    <w:rsid w:val="00F60E2C"/>
    <w:rsid w:val="00F61AF3"/>
    <w:rsid w:val="00F6212B"/>
    <w:rsid w:val="00F6213D"/>
    <w:rsid w:val="00F623E1"/>
    <w:rsid w:val="00F6299C"/>
    <w:rsid w:val="00F62B5D"/>
    <w:rsid w:val="00F62E6F"/>
    <w:rsid w:val="00F631D5"/>
    <w:rsid w:val="00F63B07"/>
    <w:rsid w:val="00F63C6B"/>
    <w:rsid w:val="00F63E6A"/>
    <w:rsid w:val="00F63EED"/>
    <w:rsid w:val="00F64379"/>
    <w:rsid w:val="00F64383"/>
    <w:rsid w:val="00F643DD"/>
    <w:rsid w:val="00F64405"/>
    <w:rsid w:val="00F64706"/>
    <w:rsid w:val="00F65472"/>
    <w:rsid w:val="00F659FA"/>
    <w:rsid w:val="00F65B2D"/>
    <w:rsid w:val="00F65FE0"/>
    <w:rsid w:val="00F66096"/>
    <w:rsid w:val="00F660D7"/>
    <w:rsid w:val="00F666FF"/>
    <w:rsid w:val="00F66C68"/>
    <w:rsid w:val="00F66F4B"/>
    <w:rsid w:val="00F70200"/>
    <w:rsid w:val="00F70722"/>
    <w:rsid w:val="00F7152C"/>
    <w:rsid w:val="00F716DE"/>
    <w:rsid w:val="00F71836"/>
    <w:rsid w:val="00F71F5E"/>
    <w:rsid w:val="00F71FE5"/>
    <w:rsid w:val="00F72362"/>
    <w:rsid w:val="00F72576"/>
    <w:rsid w:val="00F730B9"/>
    <w:rsid w:val="00F7342A"/>
    <w:rsid w:val="00F734E8"/>
    <w:rsid w:val="00F73DA8"/>
    <w:rsid w:val="00F74121"/>
    <w:rsid w:val="00F7437F"/>
    <w:rsid w:val="00F749C1"/>
    <w:rsid w:val="00F74B5E"/>
    <w:rsid w:val="00F75061"/>
    <w:rsid w:val="00F7540A"/>
    <w:rsid w:val="00F75757"/>
    <w:rsid w:val="00F759CC"/>
    <w:rsid w:val="00F75AA8"/>
    <w:rsid w:val="00F761F8"/>
    <w:rsid w:val="00F76262"/>
    <w:rsid w:val="00F76992"/>
    <w:rsid w:val="00F76A96"/>
    <w:rsid w:val="00F76F25"/>
    <w:rsid w:val="00F77396"/>
    <w:rsid w:val="00F7763A"/>
    <w:rsid w:val="00F77C94"/>
    <w:rsid w:val="00F77CAF"/>
    <w:rsid w:val="00F80535"/>
    <w:rsid w:val="00F805E2"/>
    <w:rsid w:val="00F80D08"/>
    <w:rsid w:val="00F81548"/>
    <w:rsid w:val="00F81BFA"/>
    <w:rsid w:val="00F827EB"/>
    <w:rsid w:val="00F82F6F"/>
    <w:rsid w:val="00F831D5"/>
    <w:rsid w:val="00F83358"/>
    <w:rsid w:val="00F8370A"/>
    <w:rsid w:val="00F83A6F"/>
    <w:rsid w:val="00F8442F"/>
    <w:rsid w:val="00F8498F"/>
    <w:rsid w:val="00F84C8F"/>
    <w:rsid w:val="00F85325"/>
    <w:rsid w:val="00F85A4D"/>
    <w:rsid w:val="00F85B23"/>
    <w:rsid w:val="00F86051"/>
    <w:rsid w:val="00F86F20"/>
    <w:rsid w:val="00F873E1"/>
    <w:rsid w:val="00F908F9"/>
    <w:rsid w:val="00F9096F"/>
    <w:rsid w:val="00F90BBB"/>
    <w:rsid w:val="00F90BC9"/>
    <w:rsid w:val="00F914A1"/>
    <w:rsid w:val="00F91A3C"/>
    <w:rsid w:val="00F91FDC"/>
    <w:rsid w:val="00F9202E"/>
    <w:rsid w:val="00F92A96"/>
    <w:rsid w:val="00F93BE2"/>
    <w:rsid w:val="00F93F9E"/>
    <w:rsid w:val="00F952EB"/>
    <w:rsid w:val="00F95945"/>
    <w:rsid w:val="00F95D47"/>
    <w:rsid w:val="00F95F33"/>
    <w:rsid w:val="00F96146"/>
    <w:rsid w:val="00F96319"/>
    <w:rsid w:val="00F974BB"/>
    <w:rsid w:val="00FA04E3"/>
    <w:rsid w:val="00FA0658"/>
    <w:rsid w:val="00FA06C5"/>
    <w:rsid w:val="00FA07B4"/>
    <w:rsid w:val="00FA0A0D"/>
    <w:rsid w:val="00FA1955"/>
    <w:rsid w:val="00FA247A"/>
    <w:rsid w:val="00FA2969"/>
    <w:rsid w:val="00FA31AB"/>
    <w:rsid w:val="00FA31B3"/>
    <w:rsid w:val="00FA334A"/>
    <w:rsid w:val="00FA3DC4"/>
    <w:rsid w:val="00FA3E01"/>
    <w:rsid w:val="00FA4039"/>
    <w:rsid w:val="00FA40BA"/>
    <w:rsid w:val="00FA48CA"/>
    <w:rsid w:val="00FA4AAD"/>
    <w:rsid w:val="00FA4CA4"/>
    <w:rsid w:val="00FA4E96"/>
    <w:rsid w:val="00FA526B"/>
    <w:rsid w:val="00FA60BA"/>
    <w:rsid w:val="00FA6474"/>
    <w:rsid w:val="00FA671C"/>
    <w:rsid w:val="00FA6BED"/>
    <w:rsid w:val="00FA6ED3"/>
    <w:rsid w:val="00FA706B"/>
    <w:rsid w:val="00FA751A"/>
    <w:rsid w:val="00FB0AFA"/>
    <w:rsid w:val="00FB0B03"/>
    <w:rsid w:val="00FB0B9F"/>
    <w:rsid w:val="00FB1583"/>
    <w:rsid w:val="00FB1BD4"/>
    <w:rsid w:val="00FB2E76"/>
    <w:rsid w:val="00FB3821"/>
    <w:rsid w:val="00FB42A7"/>
    <w:rsid w:val="00FB43F8"/>
    <w:rsid w:val="00FB6253"/>
    <w:rsid w:val="00FB66ED"/>
    <w:rsid w:val="00FB68DF"/>
    <w:rsid w:val="00FB6CD7"/>
    <w:rsid w:val="00FB7605"/>
    <w:rsid w:val="00FB7700"/>
    <w:rsid w:val="00FC078F"/>
    <w:rsid w:val="00FC091D"/>
    <w:rsid w:val="00FC0A19"/>
    <w:rsid w:val="00FC0E80"/>
    <w:rsid w:val="00FC111E"/>
    <w:rsid w:val="00FC118A"/>
    <w:rsid w:val="00FC1B49"/>
    <w:rsid w:val="00FC1EFE"/>
    <w:rsid w:val="00FC2062"/>
    <w:rsid w:val="00FC224D"/>
    <w:rsid w:val="00FC274A"/>
    <w:rsid w:val="00FC2ADF"/>
    <w:rsid w:val="00FC2B3A"/>
    <w:rsid w:val="00FC316D"/>
    <w:rsid w:val="00FC338E"/>
    <w:rsid w:val="00FC345B"/>
    <w:rsid w:val="00FC34AF"/>
    <w:rsid w:val="00FC38B8"/>
    <w:rsid w:val="00FC3C27"/>
    <w:rsid w:val="00FC501D"/>
    <w:rsid w:val="00FC5238"/>
    <w:rsid w:val="00FC54B8"/>
    <w:rsid w:val="00FC564E"/>
    <w:rsid w:val="00FC5737"/>
    <w:rsid w:val="00FC63CB"/>
    <w:rsid w:val="00FC653C"/>
    <w:rsid w:val="00FC6801"/>
    <w:rsid w:val="00FC6A60"/>
    <w:rsid w:val="00FC6B66"/>
    <w:rsid w:val="00FC6E66"/>
    <w:rsid w:val="00FC6E8D"/>
    <w:rsid w:val="00FC7A2A"/>
    <w:rsid w:val="00FC7CDD"/>
    <w:rsid w:val="00FD0273"/>
    <w:rsid w:val="00FD08C4"/>
    <w:rsid w:val="00FD0C2E"/>
    <w:rsid w:val="00FD0F54"/>
    <w:rsid w:val="00FD15F2"/>
    <w:rsid w:val="00FD1622"/>
    <w:rsid w:val="00FD1CFE"/>
    <w:rsid w:val="00FD22B1"/>
    <w:rsid w:val="00FD23C9"/>
    <w:rsid w:val="00FD24DA"/>
    <w:rsid w:val="00FD2B36"/>
    <w:rsid w:val="00FD39ED"/>
    <w:rsid w:val="00FD3BEB"/>
    <w:rsid w:val="00FD48C9"/>
    <w:rsid w:val="00FD56B9"/>
    <w:rsid w:val="00FD5E96"/>
    <w:rsid w:val="00FD6F1F"/>
    <w:rsid w:val="00FD70DE"/>
    <w:rsid w:val="00FD7F69"/>
    <w:rsid w:val="00FE05FE"/>
    <w:rsid w:val="00FE0839"/>
    <w:rsid w:val="00FE0946"/>
    <w:rsid w:val="00FE09B7"/>
    <w:rsid w:val="00FE1198"/>
    <w:rsid w:val="00FE160C"/>
    <w:rsid w:val="00FE22B4"/>
    <w:rsid w:val="00FE2505"/>
    <w:rsid w:val="00FE27FC"/>
    <w:rsid w:val="00FE2F44"/>
    <w:rsid w:val="00FE2FBA"/>
    <w:rsid w:val="00FE3232"/>
    <w:rsid w:val="00FE3902"/>
    <w:rsid w:val="00FE3C75"/>
    <w:rsid w:val="00FE4DFE"/>
    <w:rsid w:val="00FE5109"/>
    <w:rsid w:val="00FE5587"/>
    <w:rsid w:val="00FE5E5C"/>
    <w:rsid w:val="00FE6081"/>
    <w:rsid w:val="00FE6D6D"/>
    <w:rsid w:val="00FE746A"/>
    <w:rsid w:val="00FE753B"/>
    <w:rsid w:val="00FE7580"/>
    <w:rsid w:val="00FE75E9"/>
    <w:rsid w:val="00FE7624"/>
    <w:rsid w:val="00FE77AA"/>
    <w:rsid w:val="00FE7950"/>
    <w:rsid w:val="00FF04E0"/>
    <w:rsid w:val="00FF0666"/>
    <w:rsid w:val="00FF15D2"/>
    <w:rsid w:val="00FF1783"/>
    <w:rsid w:val="00FF19FA"/>
    <w:rsid w:val="00FF22F5"/>
    <w:rsid w:val="00FF244C"/>
    <w:rsid w:val="00FF26EB"/>
    <w:rsid w:val="00FF28E2"/>
    <w:rsid w:val="00FF3318"/>
    <w:rsid w:val="00FF376B"/>
    <w:rsid w:val="00FF397B"/>
    <w:rsid w:val="00FF4306"/>
    <w:rsid w:val="00FF4B05"/>
    <w:rsid w:val="00FF5252"/>
    <w:rsid w:val="00FF52B5"/>
    <w:rsid w:val="00FF5C4C"/>
    <w:rsid w:val="00FF5E92"/>
    <w:rsid w:val="00FF6638"/>
    <w:rsid w:val="00FF6821"/>
    <w:rsid w:val="00FF70F9"/>
    <w:rsid w:val="00FF75C5"/>
    <w:rsid w:val="00FF77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7905"/>
    <w:rPr>
      <w:sz w:val="26"/>
      <w:szCs w:val="24"/>
    </w:rPr>
  </w:style>
  <w:style w:type="paragraph" w:styleId="Heading1">
    <w:name w:val="heading 1"/>
    <w:basedOn w:val="BodyText"/>
    <w:next w:val="BodyText"/>
    <w:link w:val="Heading1Char"/>
    <w:uiPriority w:val="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673E10"/>
    <w:rPr>
      <w:sz w:val="26"/>
    </w:rPr>
  </w:style>
  <w:style w:type="character" w:customStyle="1" w:styleId="CommentTextChar">
    <w:name w:val="Comment Text Char"/>
    <w:basedOn w:val="DefaultParagraphFont"/>
    <w:link w:val="CommentText"/>
    <w:semiHidden/>
    <w:rsid w:val="00673E10"/>
    <w:rPr>
      <w:szCs w:val="24"/>
    </w:rPr>
  </w:style>
  <w:style w:type="character" w:styleId="Hyperlink">
    <w:name w:val="Hyperlink"/>
    <w:basedOn w:val="DefaultParagraphFont"/>
    <w:rsid w:val="000152E2"/>
    <w:rPr>
      <w:color w:val="0000FF" w:themeColor="hyperlink"/>
      <w:u w:val="single"/>
    </w:rPr>
  </w:style>
  <w:style w:type="character" w:styleId="FollowedHyperlink">
    <w:name w:val="FollowedHyperlink"/>
    <w:basedOn w:val="DefaultParagraphFont"/>
    <w:rsid w:val="0074517B"/>
    <w:rPr>
      <w:color w:val="800080" w:themeColor="followedHyperlink"/>
      <w:u w:val="single"/>
    </w:rPr>
  </w:style>
  <w:style w:type="paragraph" w:styleId="CommentSubject">
    <w:name w:val="annotation subject"/>
    <w:basedOn w:val="CommentText"/>
    <w:next w:val="CommentText"/>
    <w:link w:val="CommentSubjectChar"/>
    <w:rsid w:val="006D3CC1"/>
    <w:pPr>
      <w:spacing w:before="0" w:line="240" w:lineRule="auto"/>
      <w:ind w:left="0" w:firstLine="0"/>
    </w:pPr>
    <w:rPr>
      <w:b/>
      <w:bCs/>
      <w:szCs w:val="20"/>
    </w:rPr>
  </w:style>
  <w:style w:type="character" w:customStyle="1" w:styleId="CommentSubjectChar">
    <w:name w:val="Comment Subject Char"/>
    <w:basedOn w:val="CommentTextChar"/>
    <w:link w:val="CommentSubject"/>
    <w:rsid w:val="006D3CC1"/>
    <w:rPr>
      <w:b/>
      <w:bCs/>
      <w:szCs w:val="24"/>
    </w:rPr>
  </w:style>
  <w:style w:type="paragraph" w:styleId="NormalWeb">
    <w:name w:val="Normal (Web)"/>
    <w:basedOn w:val="Normal"/>
    <w:uiPriority w:val="99"/>
    <w:unhideWhenUsed/>
    <w:rsid w:val="00CD2C4B"/>
    <w:pPr>
      <w:spacing w:before="100" w:beforeAutospacing="1" w:after="100" w:afterAutospacing="1"/>
    </w:pPr>
    <w:rPr>
      <w:sz w:val="24"/>
    </w:rPr>
  </w:style>
  <w:style w:type="paragraph" w:customStyle="1" w:styleId="BoxSpaceAbove">
    <w:name w:val="Box Space Above"/>
    <w:basedOn w:val="BodyText"/>
    <w:rsid w:val="00120715"/>
    <w:pPr>
      <w:keepNext/>
      <w:spacing w:before="360" w:line="80" w:lineRule="exact"/>
      <w:jc w:val="left"/>
    </w:pPr>
  </w:style>
  <w:style w:type="paragraph" w:customStyle="1" w:styleId="BoxSpaceBelow">
    <w:name w:val="Box Space Below"/>
    <w:basedOn w:val="Box"/>
    <w:rsid w:val="00120715"/>
    <w:pPr>
      <w:keepNext w:val="0"/>
      <w:spacing w:before="60" w:after="60" w:line="80" w:lineRule="exact"/>
    </w:pPr>
    <w:rPr>
      <w:sz w:val="14"/>
    </w:rPr>
  </w:style>
  <w:style w:type="paragraph" w:styleId="Revision">
    <w:name w:val="Revision"/>
    <w:hidden/>
    <w:uiPriority w:val="99"/>
    <w:semiHidden/>
    <w:rsid w:val="000B44BF"/>
    <w:rPr>
      <w:sz w:val="26"/>
      <w:szCs w:val="24"/>
    </w:rPr>
  </w:style>
  <w:style w:type="paragraph" w:styleId="ListParagraph">
    <w:name w:val="List Paragraph"/>
    <w:basedOn w:val="Normal"/>
    <w:uiPriority w:val="34"/>
    <w:qFormat/>
    <w:rsid w:val="00270159"/>
    <w:pPr>
      <w:ind w:left="720"/>
      <w:contextualSpacing/>
    </w:pPr>
  </w:style>
  <w:style w:type="paragraph" w:customStyle="1" w:styleId="Default">
    <w:name w:val="Default"/>
    <w:rsid w:val="0024443E"/>
    <w:pPr>
      <w:autoSpaceDE w:val="0"/>
      <w:autoSpaceDN w:val="0"/>
      <w:adjustRightInd w:val="0"/>
    </w:pPr>
    <w:rPr>
      <w:rFonts w:ascii="Arial" w:hAnsi="Arial" w:cs="Arial"/>
      <w:color w:val="000000"/>
      <w:sz w:val="24"/>
      <w:szCs w:val="24"/>
    </w:rPr>
  </w:style>
  <w:style w:type="table" w:styleId="TableGrid">
    <w:name w:val="Table Grid"/>
    <w:basedOn w:val="TableNormal"/>
    <w:rsid w:val="00A71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QuoteChar">
    <w:name w:val="Quote Char"/>
    <w:basedOn w:val="DefaultParagraphFont"/>
    <w:link w:val="Quote"/>
    <w:rsid w:val="00BE1682"/>
    <w:rPr>
      <w:sz w:val="24"/>
    </w:rPr>
  </w:style>
  <w:style w:type="character" w:customStyle="1" w:styleId="FootnoteTextChar">
    <w:name w:val="Footnote Text Char"/>
    <w:basedOn w:val="DefaultParagraphFont"/>
    <w:link w:val="FootnoteText"/>
    <w:rsid w:val="005862D3"/>
    <w:rPr>
      <w:sz w:val="22"/>
    </w:rPr>
  </w:style>
  <w:style w:type="paragraph" w:customStyle="1" w:styleId="oteNormal">
    <w:name w:val="oteNormal"/>
    <w:basedOn w:val="BodyText"/>
    <w:rsid w:val="00A90777"/>
  </w:style>
  <w:style w:type="character" w:customStyle="1" w:styleId="Heading1Char">
    <w:name w:val="Heading 1 Char"/>
    <w:basedOn w:val="DefaultParagraphFont"/>
    <w:link w:val="Heading1"/>
    <w:uiPriority w:val="9"/>
    <w:rsid w:val="008168D8"/>
    <w:rPr>
      <w:sz w:val="52"/>
    </w:rPr>
  </w:style>
  <w:style w:type="character" w:customStyle="1" w:styleId="ReferenceChar">
    <w:name w:val="Reference Char"/>
    <w:basedOn w:val="DefaultParagraphFont"/>
    <w:link w:val="Reference"/>
    <w:rsid w:val="00DC07ED"/>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7905"/>
    <w:rPr>
      <w:sz w:val="26"/>
      <w:szCs w:val="24"/>
    </w:rPr>
  </w:style>
  <w:style w:type="paragraph" w:styleId="Heading1">
    <w:name w:val="heading 1"/>
    <w:basedOn w:val="BodyText"/>
    <w:next w:val="BodyText"/>
    <w:link w:val="Heading1Char"/>
    <w:uiPriority w:val="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673E10"/>
    <w:rPr>
      <w:sz w:val="26"/>
    </w:rPr>
  </w:style>
  <w:style w:type="character" w:customStyle="1" w:styleId="CommentTextChar">
    <w:name w:val="Comment Text Char"/>
    <w:basedOn w:val="DefaultParagraphFont"/>
    <w:link w:val="CommentText"/>
    <w:semiHidden/>
    <w:rsid w:val="00673E10"/>
    <w:rPr>
      <w:szCs w:val="24"/>
    </w:rPr>
  </w:style>
  <w:style w:type="character" w:styleId="Hyperlink">
    <w:name w:val="Hyperlink"/>
    <w:basedOn w:val="DefaultParagraphFont"/>
    <w:rsid w:val="000152E2"/>
    <w:rPr>
      <w:color w:val="0000FF" w:themeColor="hyperlink"/>
      <w:u w:val="single"/>
    </w:rPr>
  </w:style>
  <w:style w:type="character" w:styleId="FollowedHyperlink">
    <w:name w:val="FollowedHyperlink"/>
    <w:basedOn w:val="DefaultParagraphFont"/>
    <w:rsid w:val="0074517B"/>
    <w:rPr>
      <w:color w:val="800080" w:themeColor="followedHyperlink"/>
      <w:u w:val="single"/>
    </w:rPr>
  </w:style>
  <w:style w:type="paragraph" w:styleId="CommentSubject">
    <w:name w:val="annotation subject"/>
    <w:basedOn w:val="CommentText"/>
    <w:next w:val="CommentText"/>
    <w:link w:val="CommentSubjectChar"/>
    <w:rsid w:val="006D3CC1"/>
    <w:pPr>
      <w:spacing w:before="0" w:line="240" w:lineRule="auto"/>
      <w:ind w:left="0" w:firstLine="0"/>
    </w:pPr>
    <w:rPr>
      <w:b/>
      <w:bCs/>
      <w:szCs w:val="20"/>
    </w:rPr>
  </w:style>
  <w:style w:type="character" w:customStyle="1" w:styleId="CommentSubjectChar">
    <w:name w:val="Comment Subject Char"/>
    <w:basedOn w:val="CommentTextChar"/>
    <w:link w:val="CommentSubject"/>
    <w:rsid w:val="006D3CC1"/>
    <w:rPr>
      <w:b/>
      <w:bCs/>
      <w:szCs w:val="24"/>
    </w:rPr>
  </w:style>
  <w:style w:type="paragraph" w:styleId="NormalWeb">
    <w:name w:val="Normal (Web)"/>
    <w:basedOn w:val="Normal"/>
    <w:uiPriority w:val="99"/>
    <w:unhideWhenUsed/>
    <w:rsid w:val="00CD2C4B"/>
    <w:pPr>
      <w:spacing w:before="100" w:beforeAutospacing="1" w:after="100" w:afterAutospacing="1"/>
    </w:pPr>
    <w:rPr>
      <w:sz w:val="24"/>
    </w:rPr>
  </w:style>
  <w:style w:type="paragraph" w:customStyle="1" w:styleId="BoxSpaceAbove">
    <w:name w:val="Box Space Above"/>
    <w:basedOn w:val="BodyText"/>
    <w:rsid w:val="00120715"/>
    <w:pPr>
      <w:keepNext/>
      <w:spacing w:before="360" w:line="80" w:lineRule="exact"/>
      <w:jc w:val="left"/>
    </w:pPr>
  </w:style>
  <w:style w:type="paragraph" w:customStyle="1" w:styleId="BoxSpaceBelow">
    <w:name w:val="Box Space Below"/>
    <w:basedOn w:val="Box"/>
    <w:rsid w:val="00120715"/>
    <w:pPr>
      <w:keepNext w:val="0"/>
      <w:spacing w:before="60" w:after="60" w:line="80" w:lineRule="exact"/>
    </w:pPr>
    <w:rPr>
      <w:sz w:val="14"/>
    </w:rPr>
  </w:style>
  <w:style w:type="paragraph" w:styleId="Revision">
    <w:name w:val="Revision"/>
    <w:hidden/>
    <w:uiPriority w:val="99"/>
    <w:semiHidden/>
    <w:rsid w:val="000B44BF"/>
    <w:rPr>
      <w:sz w:val="26"/>
      <w:szCs w:val="24"/>
    </w:rPr>
  </w:style>
  <w:style w:type="paragraph" w:styleId="ListParagraph">
    <w:name w:val="List Paragraph"/>
    <w:basedOn w:val="Normal"/>
    <w:uiPriority w:val="34"/>
    <w:qFormat/>
    <w:rsid w:val="00270159"/>
    <w:pPr>
      <w:ind w:left="720"/>
      <w:contextualSpacing/>
    </w:pPr>
  </w:style>
  <w:style w:type="paragraph" w:customStyle="1" w:styleId="Default">
    <w:name w:val="Default"/>
    <w:rsid w:val="0024443E"/>
    <w:pPr>
      <w:autoSpaceDE w:val="0"/>
      <w:autoSpaceDN w:val="0"/>
      <w:adjustRightInd w:val="0"/>
    </w:pPr>
    <w:rPr>
      <w:rFonts w:ascii="Arial" w:hAnsi="Arial" w:cs="Arial"/>
      <w:color w:val="000000"/>
      <w:sz w:val="24"/>
      <w:szCs w:val="24"/>
    </w:rPr>
  </w:style>
  <w:style w:type="table" w:styleId="TableGrid">
    <w:name w:val="Table Grid"/>
    <w:basedOn w:val="TableNormal"/>
    <w:rsid w:val="00A71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QuoteChar">
    <w:name w:val="Quote Char"/>
    <w:basedOn w:val="DefaultParagraphFont"/>
    <w:link w:val="Quote"/>
    <w:rsid w:val="00BE1682"/>
    <w:rPr>
      <w:sz w:val="24"/>
    </w:rPr>
  </w:style>
  <w:style w:type="character" w:customStyle="1" w:styleId="FootnoteTextChar">
    <w:name w:val="Footnote Text Char"/>
    <w:basedOn w:val="DefaultParagraphFont"/>
    <w:link w:val="FootnoteText"/>
    <w:rsid w:val="005862D3"/>
    <w:rPr>
      <w:sz w:val="22"/>
    </w:rPr>
  </w:style>
  <w:style w:type="paragraph" w:customStyle="1" w:styleId="oteNormal">
    <w:name w:val="oteNormal"/>
    <w:basedOn w:val="BodyText"/>
    <w:rsid w:val="00A90777"/>
  </w:style>
  <w:style w:type="character" w:customStyle="1" w:styleId="Heading1Char">
    <w:name w:val="Heading 1 Char"/>
    <w:basedOn w:val="DefaultParagraphFont"/>
    <w:link w:val="Heading1"/>
    <w:uiPriority w:val="9"/>
    <w:rsid w:val="008168D8"/>
    <w:rPr>
      <w:sz w:val="52"/>
    </w:rPr>
  </w:style>
  <w:style w:type="character" w:customStyle="1" w:styleId="ReferenceChar">
    <w:name w:val="Reference Char"/>
    <w:basedOn w:val="DefaultParagraphFont"/>
    <w:link w:val="Reference"/>
    <w:rsid w:val="00DC07ED"/>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856">
      <w:bodyDiv w:val="1"/>
      <w:marLeft w:val="0"/>
      <w:marRight w:val="0"/>
      <w:marTop w:val="0"/>
      <w:marBottom w:val="0"/>
      <w:divBdr>
        <w:top w:val="none" w:sz="0" w:space="0" w:color="auto"/>
        <w:left w:val="none" w:sz="0" w:space="0" w:color="auto"/>
        <w:bottom w:val="none" w:sz="0" w:space="0" w:color="auto"/>
        <w:right w:val="none" w:sz="0" w:space="0" w:color="auto"/>
      </w:divBdr>
    </w:div>
    <w:div w:id="26873442">
      <w:bodyDiv w:val="1"/>
      <w:marLeft w:val="0"/>
      <w:marRight w:val="0"/>
      <w:marTop w:val="0"/>
      <w:marBottom w:val="0"/>
      <w:divBdr>
        <w:top w:val="none" w:sz="0" w:space="0" w:color="auto"/>
        <w:left w:val="none" w:sz="0" w:space="0" w:color="auto"/>
        <w:bottom w:val="none" w:sz="0" w:space="0" w:color="auto"/>
        <w:right w:val="none" w:sz="0" w:space="0" w:color="auto"/>
      </w:divBdr>
    </w:div>
    <w:div w:id="42868900">
      <w:bodyDiv w:val="1"/>
      <w:marLeft w:val="0"/>
      <w:marRight w:val="0"/>
      <w:marTop w:val="0"/>
      <w:marBottom w:val="0"/>
      <w:divBdr>
        <w:top w:val="none" w:sz="0" w:space="0" w:color="auto"/>
        <w:left w:val="none" w:sz="0" w:space="0" w:color="auto"/>
        <w:bottom w:val="none" w:sz="0" w:space="0" w:color="auto"/>
        <w:right w:val="none" w:sz="0" w:space="0" w:color="auto"/>
      </w:divBdr>
    </w:div>
    <w:div w:id="175464953">
      <w:bodyDiv w:val="1"/>
      <w:marLeft w:val="0"/>
      <w:marRight w:val="0"/>
      <w:marTop w:val="0"/>
      <w:marBottom w:val="0"/>
      <w:divBdr>
        <w:top w:val="none" w:sz="0" w:space="0" w:color="auto"/>
        <w:left w:val="none" w:sz="0" w:space="0" w:color="auto"/>
        <w:bottom w:val="none" w:sz="0" w:space="0" w:color="auto"/>
        <w:right w:val="none" w:sz="0" w:space="0" w:color="auto"/>
      </w:divBdr>
    </w:div>
    <w:div w:id="192041956">
      <w:bodyDiv w:val="1"/>
      <w:marLeft w:val="0"/>
      <w:marRight w:val="0"/>
      <w:marTop w:val="0"/>
      <w:marBottom w:val="0"/>
      <w:divBdr>
        <w:top w:val="none" w:sz="0" w:space="0" w:color="auto"/>
        <w:left w:val="none" w:sz="0" w:space="0" w:color="auto"/>
        <w:bottom w:val="none" w:sz="0" w:space="0" w:color="auto"/>
        <w:right w:val="none" w:sz="0" w:space="0" w:color="auto"/>
      </w:divBdr>
    </w:div>
    <w:div w:id="254750366">
      <w:bodyDiv w:val="1"/>
      <w:marLeft w:val="0"/>
      <w:marRight w:val="0"/>
      <w:marTop w:val="0"/>
      <w:marBottom w:val="0"/>
      <w:divBdr>
        <w:top w:val="none" w:sz="0" w:space="0" w:color="auto"/>
        <w:left w:val="none" w:sz="0" w:space="0" w:color="auto"/>
        <w:bottom w:val="none" w:sz="0" w:space="0" w:color="auto"/>
        <w:right w:val="none" w:sz="0" w:space="0" w:color="auto"/>
      </w:divBdr>
    </w:div>
    <w:div w:id="265162755">
      <w:bodyDiv w:val="1"/>
      <w:marLeft w:val="0"/>
      <w:marRight w:val="0"/>
      <w:marTop w:val="0"/>
      <w:marBottom w:val="0"/>
      <w:divBdr>
        <w:top w:val="none" w:sz="0" w:space="0" w:color="auto"/>
        <w:left w:val="none" w:sz="0" w:space="0" w:color="auto"/>
        <w:bottom w:val="none" w:sz="0" w:space="0" w:color="auto"/>
        <w:right w:val="none" w:sz="0" w:space="0" w:color="auto"/>
      </w:divBdr>
    </w:div>
    <w:div w:id="337315677">
      <w:bodyDiv w:val="1"/>
      <w:marLeft w:val="0"/>
      <w:marRight w:val="0"/>
      <w:marTop w:val="0"/>
      <w:marBottom w:val="0"/>
      <w:divBdr>
        <w:top w:val="none" w:sz="0" w:space="0" w:color="auto"/>
        <w:left w:val="none" w:sz="0" w:space="0" w:color="auto"/>
        <w:bottom w:val="none" w:sz="0" w:space="0" w:color="auto"/>
        <w:right w:val="none" w:sz="0" w:space="0" w:color="auto"/>
      </w:divBdr>
    </w:div>
    <w:div w:id="410077973">
      <w:bodyDiv w:val="1"/>
      <w:marLeft w:val="0"/>
      <w:marRight w:val="0"/>
      <w:marTop w:val="0"/>
      <w:marBottom w:val="0"/>
      <w:divBdr>
        <w:top w:val="none" w:sz="0" w:space="0" w:color="auto"/>
        <w:left w:val="none" w:sz="0" w:space="0" w:color="auto"/>
        <w:bottom w:val="none" w:sz="0" w:space="0" w:color="auto"/>
        <w:right w:val="none" w:sz="0" w:space="0" w:color="auto"/>
      </w:divBdr>
    </w:div>
    <w:div w:id="451823890">
      <w:bodyDiv w:val="1"/>
      <w:marLeft w:val="0"/>
      <w:marRight w:val="0"/>
      <w:marTop w:val="0"/>
      <w:marBottom w:val="0"/>
      <w:divBdr>
        <w:top w:val="none" w:sz="0" w:space="0" w:color="auto"/>
        <w:left w:val="none" w:sz="0" w:space="0" w:color="auto"/>
        <w:bottom w:val="none" w:sz="0" w:space="0" w:color="auto"/>
        <w:right w:val="none" w:sz="0" w:space="0" w:color="auto"/>
      </w:divBdr>
    </w:div>
    <w:div w:id="552693709">
      <w:bodyDiv w:val="1"/>
      <w:marLeft w:val="0"/>
      <w:marRight w:val="0"/>
      <w:marTop w:val="0"/>
      <w:marBottom w:val="0"/>
      <w:divBdr>
        <w:top w:val="none" w:sz="0" w:space="0" w:color="auto"/>
        <w:left w:val="none" w:sz="0" w:space="0" w:color="auto"/>
        <w:bottom w:val="none" w:sz="0" w:space="0" w:color="auto"/>
        <w:right w:val="none" w:sz="0" w:space="0" w:color="auto"/>
      </w:divBdr>
    </w:div>
    <w:div w:id="592056926">
      <w:bodyDiv w:val="1"/>
      <w:marLeft w:val="0"/>
      <w:marRight w:val="0"/>
      <w:marTop w:val="0"/>
      <w:marBottom w:val="0"/>
      <w:divBdr>
        <w:top w:val="none" w:sz="0" w:space="0" w:color="auto"/>
        <w:left w:val="none" w:sz="0" w:space="0" w:color="auto"/>
        <w:bottom w:val="none" w:sz="0" w:space="0" w:color="auto"/>
        <w:right w:val="none" w:sz="0" w:space="0" w:color="auto"/>
      </w:divBdr>
    </w:div>
    <w:div w:id="611981636">
      <w:bodyDiv w:val="1"/>
      <w:marLeft w:val="0"/>
      <w:marRight w:val="0"/>
      <w:marTop w:val="0"/>
      <w:marBottom w:val="0"/>
      <w:divBdr>
        <w:top w:val="none" w:sz="0" w:space="0" w:color="auto"/>
        <w:left w:val="none" w:sz="0" w:space="0" w:color="auto"/>
        <w:bottom w:val="none" w:sz="0" w:space="0" w:color="auto"/>
        <w:right w:val="none" w:sz="0" w:space="0" w:color="auto"/>
      </w:divBdr>
    </w:div>
    <w:div w:id="673189171">
      <w:bodyDiv w:val="1"/>
      <w:marLeft w:val="0"/>
      <w:marRight w:val="0"/>
      <w:marTop w:val="0"/>
      <w:marBottom w:val="0"/>
      <w:divBdr>
        <w:top w:val="none" w:sz="0" w:space="0" w:color="auto"/>
        <w:left w:val="none" w:sz="0" w:space="0" w:color="auto"/>
        <w:bottom w:val="none" w:sz="0" w:space="0" w:color="auto"/>
        <w:right w:val="none" w:sz="0" w:space="0" w:color="auto"/>
      </w:divBdr>
    </w:div>
    <w:div w:id="729965496">
      <w:bodyDiv w:val="1"/>
      <w:marLeft w:val="0"/>
      <w:marRight w:val="0"/>
      <w:marTop w:val="0"/>
      <w:marBottom w:val="0"/>
      <w:divBdr>
        <w:top w:val="none" w:sz="0" w:space="0" w:color="auto"/>
        <w:left w:val="none" w:sz="0" w:space="0" w:color="auto"/>
        <w:bottom w:val="none" w:sz="0" w:space="0" w:color="auto"/>
        <w:right w:val="none" w:sz="0" w:space="0" w:color="auto"/>
      </w:divBdr>
      <w:divsChild>
        <w:div w:id="1676610709">
          <w:marLeft w:val="0"/>
          <w:marRight w:val="0"/>
          <w:marTop w:val="0"/>
          <w:marBottom w:val="0"/>
          <w:divBdr>
            <w:top w:val="none" w:sz="0" w:space="0" w:color="auto"/>
            <w:left w:val="none" w:sz="0" w:space="0" w:color="auto"/>
            <w:bottom w:val="none" w:sz="0" w:space="0" w:color="auto"/>
            <w:right w:val="none" w:sz="0" w:space="0" w:color="auto"/>
          </w:divBdr>
          <w:divsChild>
            <w:div w:id="1985308692">
              <w:marLeft w:val="0"/>
              <w:marRight w:val="0"/>
              <w:marTop w:val="0"/>
              <w:marBottom w:val="0"/>
              <w:divBdr>
                <w:top w:val="none" w:sz="0" w:space="0" w:color="auto"/>
                <w:left w:val="none" w:sz="0" w:space="0" w:color="auto"/>
                <w:bottom w:val="none" w:sz="0" w:space="0" w:color="auto"/>
                <w:right w:val="none" w:sz="0" w:space="0" w:color="auto"/>
              </w:divBdr>
              <w:divsChild>
                <w:div w:id="20791867">
                  <w:marLeft w:val="0"/>
                  <w:marRight w:val="0"/>
                  <w:marTop w:val="0"/>
                  <w:marBottom w:val="0"/>
                  <w:divBdr>
                    <w:top w:val="none" w:sz="0" w:space="0" w:color="auto"/>
                    <w:left w:val="none" w:sz="0" w:space="0" w:color="auto"/>
                    <w:bottom w:val="none" w:sz="0" w:space="0" w:color="auto"/>
                    <w:right w:val="none" w:sz="0" w:space="0" w:color="auto"/>
                  </w:divBdr>
                  <w:divsChild>
                    <w:div w:id="61023241">
                      <w:marLeft w:val="0"/>
                      <w:marRight w:val="0"/>
                      <w:marTop w:val="0"/>
                      <w:marBottom w:val="0"/>
                      <w:divBdr>
                        <w:top w:val="none" w:sz="0" w:space="0" w:color="auto"/>
                        <w:left w:val="none" w:sz="0" w:space="0" w:color="auto"/>
                        <w:bottom w:val="none" w:sz="0" w:space="0" w:color="auto"/>
                        <w:right w:val="none" w:sz="0" w:space="0" w:color="auto"/>
                      </w:divBdr>
                      <w:divsChild>
                        <w:div w:id="981468187">
                          <w:marLeft w:val="0"/>
                          <w:marRight w:val="0"/>
                          <w:marTop w:val="0"/>
                          <w:marBottom w:val="0"/>
                          <w:divBdr>
                            <w:top w:val="none" w:sz="0" w:space="0" w:color="auto"/>
                            <w:left w:val="none" w:sz="0" w:space="0" w:color="auto"/>
                            <w:bottom w:val="none" w:sz="0" w:space="0" w:color="auto"/>
                            <w:right w:val="none" w:sz="0" w:space="0" w:color="auto"/>
                          </w:divBdr>
                          <w:divsChild>
                            <w:div w:id="1292781481">
                              <w:marLeft w:val="0"/>
                              <w:marRight w:val="0"/>
                              <w:marTop w:val="0"/>
                              <w:marBottom w:val="0"/>
                              <w:divBdr>
                                <w:top w:val="none" w:sz="0" w:space="0" w:color="auto"/>
                                <w:left w:val="none" w:sz="0" w:space="0" w:color="auto"/>
                                <w:bottom w:val="none" w:sz="0" w:space="0" w:color="auto"/>
                                <w:right w:val="none" w:sz="0" w:space="0" w:color="auto"/>
                              </w:divBdr>
                              <w:divsChild>
                                <w:div w:id="158414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781993">
      <w:bodyDiv w:val="1"/>
      <w:marLeft w:val="0"/>
      <w:marRight w:val="0"/>
      <w:marTop w:val="0"/>
      <w:marBottom w:val="0"/>
      <w:divBdr>
        <w:top w:val="none" w:sz="0" w:space="0" w:color="auto"/>
        <w:left w:val="none" w:sz="0" w:space="0" w:color="auto"/>
        <w:bottom w:val="none" w:sz="0" w:space="0" w:color="auto"/>
        <w:right w:val="none" w:sz="0" w:space="0" w:color="auto"/>
      </w:divBdr>
    </w:div>
    <w:div w:id="755831260">
      <w:bodyDiv w:val="1"/>
      <w:marLeft w:val="0"/>
      <w:marRight w:val="0"/>
      <w:marTop w:val="0"/>
      <w:marBottom w:val="0"/>
      <w:divBdr>
        <w:top w:val="none" w:sz="0" w:space="0" w:color="auto"/>
        <w:left w:val="none" w:sz="0" w:space="0" w:color="auto"/>
        <w:bottom w:val="none" w:sz="0" w:space="0" w:color="auto"/>
        <w:right w:val="none" w:sz="0" w:space="0" w:color="auto"/>
      </w:divBdr>
    </w:div>
    <w:div w:id="791024346">
      <w:bodyDiv w:val="1"/>
      <w:marLeft w:val="0"/>
      <w:marRight w:val="0"/>
      <w:marTop w:val="0"/>
      <w:marBottom w:val="0"/>
      <w:divBdr>
        <w:top w:val="none" w:sz="0" w:space="0" w:color="auto"/>
        <w:left w:val="none" w:sz="0" w:space="0" w:color="auto"/>
        <w:bottom w:val="none" w:sz="0" w:space="0" w:color="auto"/>
        <w:right w:val="none" w:sz="0" w:space="0" w:color="auto"/>
      </w:divBdr>
    </w:div>
    <w:div w:id="848761336">
      <w:bodyDiv w:val="1"/>
      <w:marLeft w:val="0"/>
      <w:marRight w:val="0"/>
      <w:marTop w:val="0"/>
      <w:marBottom w:val="0"/>
      <w:divBdr>
        <w:top w:val="none" w:sz="0" w:space="0" w:color="auto"/>
        <w:left w:val="none" w:sz="0" w:space="0" w:color="auto"/>
        <w:bottom w:val="none" w:sz="0" w:space="0" w:color="auto"/>
        <w:right w:val="none" w:sz="0" w:space="0" w:color="auto"/>
      </w:divBdr>
    </w:div>
    <w:div w:id="912854727">
      <w:bodyDiv w:val="1"/>
      <w:marLeft w:val="0"/>
      <w:marRight w:val="0"/>
      <w:marTop w:val="0"/>
      <w:marBottom w:val="0"/>
      <w:divBdr>
        <w:top w:val="none" w:sz="0" w:space="0" w:color="auto"/>
        <w:left w:val="none" w:sz="0" w:space="0" w:color="auto"/>
        <w:bottom w:val="none" w:sz="0" w:space="0" w:color="auto"/>
        <w:right w:val="none" w:sz="0" w:space="0" w:color="auto"/>
      </w:divBdr>
    </w:div>
    <w:div w:id="945311024">
      <w:bodyDiv w:val="1"/>
      <w:marLeft w:val="0"/>
      <w:marRight w:val="0"/>
      <w:marTop w:val="0"/>
      <w:marBottom w:val="0"/>
      <w:divBdr>
        <w:top w:val="none" w:sz="0" w:space="0" w:color="auto"/>
        <w:left w:val="none" w:sz="0" w:space="0" w:color="auto"/>
        <w:bottom w:val="none" w:sz="0" w:space="0" w:color="auto"/>
        <w:right w:val="none" w:sz="0" w:space="0" w:color="auto"/>
      </w:divBdr>
    </w:div>
    <w:div w:id="1028215577">
      <w:bodyDiv w:val="1"/>
      <w:marLeft w:val="0"/>
      <w:marRight w:val="0"/>
      <w:marTop w:val="0"/>
      <w:marBottom w:val="0"/>
      <w:divBdr>
        <w:top w:val="none" w:sz="0" w:space="0" w:color="auto"/>
        <w:left w:val="none" w:sz="0" w:space="0" w:color="auto"/>
        <w:bottom w:val="none" w:sz="0" w:space="0" w:color="auto"/>
        <w:right w:val="none" w:sz="0" w:space="0" w:color="auto"/>
      </w:divBdr>
    </w:div>
    <w:div w:id="1097410416">
      <w:bodyDiv w:val="1"/>
      <w:marLeft w:val="0"/>
      <w:marRight w:val="0"/>
      <w:marTop w:val="0"/>
      <w:marBottom w:val="0"/>
      <w:divBdr>
        <w:top w:val="none" w:sz="0" w:space="0" w:color="auto"/>
        <w:left w:val="none" w:sz="0" w:space="0" w:color="auto"/>
        <w:bottom w:val="none" w:sz="0" w:space="0" w:color="auto"/>
        <w:right w:val="none" w:sz="0" w:space="0" w:color="auto"/>
      </w:divBdr>
    </w:div>
    <w:div w:id="1178470252">
      <w:bodyDiv w:val="1"/>
      <w:marLeft w:val="0"/>
      <w:marRight w:val="0"/>
      <w:marTop w:val="0"/>
      <w:marBottom w:val="0"/>
      <w:divBdr>
        <w:top w:val="none" w:sz="0" w:space="0" w:color="auto"/>
        <w:left w:val="none" w:sz="0" w:space="0" w:color="auto"/>
        <w:bottom w:val="none" w:sz="0" w:space="0" w:color="auto"/>
        <w:right w:val="none" w:sz="0" w:space="0" w:color="auto"/>
      </w:divBdr>
    </w:div>
    <w:div w:id="1188175497">
      <w:bodyDiv w:val="1"/>
      <w:marLeft w:val="0"/>
      <w:marRight w:val="0"/>
      <w:marTop w:val="0"/>
      <w:marBottom w:val="0"/>
      <w:divBdr>
        <w:top w:val="none" w:sz="0" w:space="0" w:color="auto"/>
        <w:left w:val="none" w:sz="0" w:space="0" w:color="auto"/>
        <w:bottom w:val="none" w:sz="0" w:space="0" w:color="auto"/>
        <w:right w:val="none" w:sz="0" w:space="0" w:color="auto"/>
      </w:divBdr>
    </w:div>
    <w:div w:id="1205680351">
      <w:bodyDiv w:val="1"/>
      <w:marLeft w:val="0"/>
      <w:marRight w:val="0"/>
      <w:marTop w:val="0"/>
      <w:marBottom w:val="0"/>
      <w:divBdr>
        <w:top w:val="none" w:sz="0" w:space="0" w:color="auto"/>
        <w:left w:val="none" w:sz="0" w:space="0" w:color="auto"/>
        <w:bottom w:val="none" w:sz="0" w:space="0" w:color="auto"/>
        <w:right w:val="none" w:sz="0" w:space="0" w:color="auto"/>
      </w:divBdr>
    </w:div>
    <w:div w:id="1239289868">
      <w:bodyDiv w:val="1"/>
      <w:marLeft w:val="0"/>
      <w:marRight w:val="0"/>
      <w:marTop w:val="0"/>
      <w:marBottom w:val="0"/>
      <w:divBdr>
        <w:top w:val="none" w:sz="0" w:space="0" w:color="auto"/>
        <w:left w:val="none" w:sz="0" w:space="0" w:color="auto"/>
        <w:bottom w:val="none" w:sz="0" w:space="0" w:color="auto"/>
        <w:right w:val="none" w:sz="0" w:space="0" w:color="auto"/>
      </w:divBdr>
    </w:div>
    <w:div w:id="1267079718">
      <w:bodyDiv w:val="1"/>
      <w:marLeft w:val="0"/>
      <w:marRight w:val="0"/>
      <w:marTop w:val="0"/>
      <w:marBottom w:val="0"/>
      <w:divBdr>
        <w:top w:val="none" w:sz="0" w:space="0" w:color="auto"/>
        <w:left w:val="none" w:sz="0" w:space="0" w:color="auto"/>
        <w:bottom w:val="none" w:sz="0" w:space="0" w:color="auto"/>
        <w:right w:val="none" w:sz="0" w:space="0" w:color="auto"/>
      </w:divBdr>
    </w:div>
    <w:div w:id="1296981932">
      <w:bodyDiv w:val="1"/>
      <w:marLeft w:val="0"/>
      <w:marRight w:val="0"/>
      <w:marTop w:val="0"/>
      <w:marBottom w:val="0"/>
      <w:divBdr>
        <w:top w:val="none" w:sz="0" w:space="0" w:color="auto"/>
        <w:left w:val="none" w:sz="0" w:space="0" w:color="auto"/>
        <w:bottom w:val="none" w:sz="0" w:space="0" w:color="auto"/>
        <w:right w:val="none" w:sz="0" w:space="0" w:color="auto"/>
      </w:divBdr>
    </w:div>
    <w:div w:id="1328368139">
      <w:bodyDiv w:val="1"/>
      <w:marLeft w:val="0"/>
      <w:marRight w:val="0"/>
      <w:marTop w:val="0"/>
      <w:marBottom w:val="0"/>
      <w:divBdr>
        <w:top w:val="none" w:sz="0" w:space="0" w:color="auto"/>
        <w:left w:val="none" w:sz="0" w:space="0" w:color="auto"/>
        <w:bottom w:val="none" w:sz="0" w:space="0" w:color="auto"/>
        <w:right w:val="none" w:sz="0" w:space="0" w:color="auto"/>
      </w:divBdr>
    </w:div>
    <w:div w:id="1362626783">
      <w:bodyDiv w:val="1"/>
      <w:marLeft w:val="0"/>
      <w:marRight w:val="0"/>
      <w:marTop w:val="0"/>
      <w:marBottom w:val="0"/>
      <w:divBdr>
        <w:top w:val="none" w:sz="0" w:space="0" w:color="auto"/>
        <w:left w:val="none" w:sz="0" w:space="0" w:color="auto"/>
        <w:bottom w:val="none" w:sz="0" w:space="0" w:color="auto"/>
        <w:right w:val="none" w:sz="0" w:space="0" w:color="auto"/>
      </w:divBdr>
    </w:div>
    <w:div w:id="1404991905">
      <w:bodyDiv w:val="1"/>
      <w:marLeft w:val="0"/>
      <w:marRight w:val="0"/>
      <w:marTop w:val="0"/>
      <w:marBottom w:val="0"/>
      <w:divBdr>
        <w:top w:val="none" w:sz="0" w:space="0" w:color="auto"/>
        <w:left w:val="none" w:sz="0" w:space="0" w:color="auto"/>
        <w:bottom w:val="none" w:sz="0" w:space="0" w:color="auto"/>
        <w:right w:val="none" w:sz="0" w:space="0" w:color="auto"/>
      </w:divBdr>
    </w:div>
    <w:div w:id="1459955977">
      <w:bodyDiv w:val="1"/>
      <w:marLeft w:val="0"/>
      <w:marRight w:val="0"/>
      <w:marTop w:val="0"/>
      <w:marBottom w:val="0"/>
      <w:divBdr>
        <w:top w:val="none" w:sz="0" w:space="0" w:color="auto"/>
        <w:left w:val="none" w:sz="0" w:space="0" w:color="auto"/>
        <w:bottom w:val="none" w:sz="0" w:space="0" w:color="auto"/>
        <w:right w:val="none" w:sz="0" w:space="0" w:color="auto"/>
      </w:divBdr>
    </w:div>
    <w:div w:id="1461877269">
      <w:bodyDiv w:val="1"/>
      <w:marLeft w:val="0"/>
      <w:marRight w:val="0"/>
      <w:marTop w:val="0"/>
      <w:marBottom w:val="0"/>
      <w:divBdr>
        <w:top w:val="none" w:sz="0" w:space="0" w:color="auto"/>
        <w:left w:val="none" w:sz="0" w:space="0" w:color="auto"/>
        <w:bottom w:val="none" w:sz="0" w:space="0" w:color="auto"/>
        <w:right w:val="none" w:sz="0" w:space="0" w:color="auto"/>
      </w:divBdr>
    </w:div>
    <w:div w:id="1470703895">
      <w:bodyDiv w:val="1"/>
      <w:marLeft w:val="0"/>
      <w:marRight w:val="0"/>
      <w:marTop w:val="0"/>
      <w:marBottom w:val="0"/>
      <w:divBdr>
        <w:top w:val="none" w:sz="0" w:space="0" w:color="auto"/>
        <w:left w:val="none" w:sz="0" w:space="0" w:color="auto"/>
        <w:bottom w:val="none" w:sz="0" w:space="0" w:color="auto"/>
        <w:right w:val="none" w:sz="0" w:space="0" w:color="auto"/>
      </w:divBdr>
    </w:div>
    <w:div w:id="1474906792">
      <w:bodyDiv w:val="1"/>
      <w:marLeft w:val="0"/>
      <w:marRight w:val="0"/>
      <w:marTop w:val="0"/>
      <w:marBottom w:val="0"/>
      <w:divBdr>
        <w:top w:val="none" w:sz="0" w:space="0" w:color="auto"/>
        <w:left w:val="none" w:sz="0" w:space="0" w:color="auto"/>
        <w:bottom w:val="none" w:sz="0" w:space="0" w:color="auto"/>
        <w:right w:val="none" w:sz="0" w:space="0" w:color="auto"/>
      </w:divBdr>
    </w:div>
    <w:div w:id="1511751318">
      <w:bodyDiv w:val="1"/>
      <w:marLeft w:val="0"/>
      <w:marRight w:val="0"/>
      <w:marTop w:val="0"/>
      <w:marBottom w:val="0"/>
      <w:divBdr>
        <w:top w:val="none" w:sz="0" w:space="0" w:color="auto"/>
        <w:left w:val="none" w:sz="0" w:space="0" w:color="auto"/>
        <w:bottom w:val="none" w:sz="0" w:space="0" w:color="auto"/>
        <w:right w:val="none" w:sz="0" w:space="0" w:color="auto"/>
      </w:divBdr>
    </w:div>
    <w:div w:id="1548101333">
      <w:bodyDiv w:val="1"/>
      <w:marLeft w:val="0"/>
      <w:marRight w:val="0"/>
      <w:marTop w:val="0"/>
      <w:marBottom w:val="0"/>
      <w:divBdr>
        <w:top w:val="none" w:sz="0" w:space="0" w:color="auto"/>
        <w:left w:val="none" w:sz="0" w:space="0" w:color="auto"/>
        <w:bottom w:val="none" w:sz="0" w:space="0" w:color="auto"/>
        <w:right w:val="none" w:sz="0" w:space="0" w:color="auto"/>
      </w:divBdr>
    </w:div>
    <w:div w:id="1564870038">
      <w:bodyDiv w:val="1"/>
      <w:marLeft w:val="0"/>
      <w:marRight w:val="0"/>
      <w:marTop w:val="0"/>
      <w:marBottom w:val="0"/>
      <w:divBdr>
        <w:top w:val="none" w:sz="0" w:space="0" w:color="auto"/>
        <w:left w:val="none" w:sz="0" w:space="0" w:color="auto"/>
        <w:bottom w:val="none" w:sz="0" w:space="0" w:color="auto"/>
        <w:right w:val="none" w:sz="0" w:space="0" w:color="auto"/>
      </w:divBdr>
    </w:div>
    <w:div w:id="1565481415">
      <w:bodyDiv w:val="1"/>
      <w:marLeft w:val="0"/>
      <w:marRight w:val="0"/>
      <w:marTop w:val="0"/>
      <w:marBottom w:val="0"/>
      <w:divBdr>
        <w:top w:val="none" w:sz="0" w:space="0" w:color="auto"/>
        <w:left w:val="none" w:sz="0" w:space="0" w:color="auto"/>
        <w:bottom w:val="none" w:sz="0" w:space="0" w:color="auto"/>
        <w:right w:val="none" w:sz="0" w:space="0" w:color="auto"/>
      </w:divBdr>
      <w:divsChild>
        <w:div w:id="311063876">
          <w:marLeft w:val="0"/>
          <w:marRight w:val="0"/>
          <w:marTop w:val="0"/>
          <w:marBottom w:val="0"/>
          <w:divBdr>
            <w:top w:val="none" w:sz="0" w:space="0" w:color="auto"/>
            <w:left w:val="none" w:sz="0" w:space="0" w:color="auto"/>
            <w:bottom w:val="none" w:sz="0" w:space="0" w:color="auto"/>
            <w:right w:val="none" w:sz="0" w:space="0" w:color="auto"/>
          </w:divBdr>
          <w:divsChild>
            <w:div w:id="1373532422">
              <w:marLeft w:val="0"/>
              <w:marRight w:val="0"/>
              <w:marTop w:val="0"/>
              <w:marBottom w:val="0"/>
              <w:divBdr>
                <w:top w:val="none" w:sz="0" w:space="0" w:color="auto"/>
                <w:left w:val="none" w:sz="0" w:space="0" w:color="auto"/>
                <w:bottom w:val="none" w:sz="0" w:space="0" w:color="auto"/>
                <w:right w:val="none" w:sz="0" w:space="0" w:color="auto"/>
              </w:divBdr>
              <w:divsChild>
                <w:div w:id="651518091">
                  <w:marLeft w:val="0"/>
                  <w:marRight w:val="0"/>
                  <w:marTop w:val="0"/>
                  <w:marBottom w:val="0"/>
                  <w:divBdr>
                    <w:top w:val="none" w:sz="0" w:space="0" w:color="auto"/>
                    <w:left w:val="none" w:sz="0" w:space="0" w:color="auto"/>
                    <w:bottom w:val="none" w:sz="0" w:space="0" w:color="auto"/>
                    <w:right w:val="none" w:sz="0" w:space="0" w:color="auto"/>
                  </w:divBdr>
                  <w:divsChild>
                    <w:div w:id="575895545">
                      <w:marLeft w:val="0"/>
                      <w:marRight w:val="0"/>
                      <w:marTop w:val="0"/>
                      <w:marBottom w:val="0"/>
                      <w:divBdr>
                        <w:top w:val="none" w:sz="0" w:space="0" w:color="auto"/>
                        <w:left w:val="none" w:sz="0" w:space="0" w:color="auto"/>
                        <w:bottom w:val="none" w:sz="0" w:space="0" w:color="auto"/>
                        <w:right w:val="none" w:sz="0" w:space="0" w:color="auto"/>
                      </w:divBdr>
                      <w:divsChild>
                        <w:div w:id="1940525431">
                          <w:marLeft w:val="0"/>
                          <w:marRight w:val="0"/>
                          <w:marTop w:val="0"/>
                          <w:marBottom w:val="0"/>
                          <w:divBdr>
                            <w:top w:val="none" w:sz="0" w:space="0" w:color="auto"/>
                            <w:left w:val="none" w:sz="0" w:space="0" w:color="auto"/>
                            <w:bottom w:val="single" w:sz="6" w:space="0" w:color="DDD5C9"/>
                            <w:right w:val="none" w:sz="0" w:space="0" w:color="auto"/>
                          </w:divBdr>
                        </w:div>
                      </w:divsChild>
                    </w:div>
                  </w:divsChild>
                </w:div>
              </w:divsChild>
            </w:div>
          </w:divsChild>
        </w:div>
      </w:divsChild>
    </w:div>
    <w:div w:id="1636717876">
      <w:bodyDiv w:val="1"/>
      <w:marLeft w:val="0"/>
      <w:marRight w:val="0"/>
      <w:marTop w:val="0"/>
      <w:marBottom w:val="0"/>
      <w:divBdr>
        <w:top w:val="none" w:sz="0" w:space="0" w:color="auto"/>
        <w:left w:val="none" w:sz="0" w:space="0" w:color="auto"/>
        <w:bottom w:val="none" w:sz="0" w:space="0" w:color="auto"/>
        <w:right w:val="none" w:sz="0" w:space="0" w:color="auto"/>
      </w:divBdr>
    </w:div>
    <w:div w:id="1643844609">
      <w:bodyDiv w:val="1"/>
      <w:marLeft w:val="0"/>
      <w:marRight w:val="0"/>
      <w:marTop w:val="0"/>
      <w:marBottom w:val="0"/>
      <w:divBdr>
        <w:top w:val="none" w:sz="0" w:space="0" w:color="auto"/>
        <w:left w:val="none" w:sz="0" w:space="0" w:color="auto"/>
        <w:bottom w:val="none" w:sz="0" w:space="0" w:color="auto"/>
        <w:right w:val="none" w:sz="0" w:space="0" w:color="auto"/>
      </w:divBdr>
    </w:div>
    <w:div w:id="1949308223">
      <w:bodyDiv w:val="1"/>
      <w:marLeft w:val="0"/>
      <w:marRight w:val="0"/>
      <w:marTop w:val="0"/>
      <w:marBottom w:val="0"/>
      <w:divBdr>
        <w:top w:val="none" w:sz="0" w:space="0" w:color="auto"/>
        <w:left w:val="none" w:sz="0" w:space="0" w:color="auto"/>
        <w:bottom w:val="none" w:sz="0" w:space="0" w:color="auto"/>
        <w:right w:val="none" w:sz="0" w:space="0" w:color="auto"/>
      </w:divBdr>
    </w:div>
    <w:div w:id="2099859356">
      <w:bodyDiv w:val="1"/>
      <w:marLeft w:val="0"/>
      <w:marRight w:val="0"/>
      <w:marTop w:val="0"/>
      <w:marBottom w:val="0"/>
      <w:divBdr>
        <w:top w:val="none" w:sz="0" w:space="0" w:color="auto"/>
        <w:left w:val="none" w:sz="0" w:space="0" w:color="auto"/>
        <w:bottom w:val="none" w:sz="0" w:space="0" w:color="auto"/>
        <w:right w:val="none" w:sz="0" w:space="0" w:color="auto"/>
      </w:divBdr>
    </w:div>
    <w:div w:id="210989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01710-D04D-4842-965E-1DE7F65FB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54</Pages>
  <Words>15380</Words>
  <Characters>83325</Characters>
  <Application>Microsoft Office Word</Application>
  <DocSecurity>0</DocSecurity>
  <Lines>1543</Lines>
  <Paragraphs>587</Paragraphs>
  <ScaleCrop>false</ScaleCrop>
  <HeadingPairs>
    <vt:vector size="2" baseType="variant">
      <vt:variant>
        <vt:lpstr>Title</vt:lpstr>
      </vt:variant>
      <vt:variant>
        <vt:i4>1</vt:i4>
      </vt:variant>
    </vt:vector>
  </HeadingPairs>
  <TitlesOfParts>
    <vt:vector size="1" baseType="lpstr">
      <vt:lpstr>Productivity in FBT</vt:lpstr>
    </vt:vector>
  </TitlesOfParts>
  <Company>Productivity Commission</Company>
  <LinksUpToDate>false</LinksUpToDate>
  <CharactersWithSpaces>98118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in FBT</dc:title>
  <dc:subject>Productivity in manufacturing</dc:subject>
  <dc:creator>Productivity Commission</dc:creator>
  <dc:description>5.</dc:description>
  <cp:lastModifiedBy>Productivity Commission</cp:lastModifiedBy>
  <cp:revision>2</cp:revision>
  <cp:lastPrinted>2013-11-27T23:36:00Z</cp:lastPrinted>
  <dcterms:created xsi:type="dcterms:W3CDTF">2013-12-03T23:06:00Z</dcterms:created>
  <dcterms:modified xsi:type="dcterms:W3CDTF">2013-12-03T23:06:00Z</dcterms:modified>
</cp:coreProperties>
</file>