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C53B7A" w:rsidP="00C53B7A">
      <w:pPr>
        <w:pStyle w:val="Heading1"/>
        <w:spacing w:before="0"/>
      </w:pPr>
      <w:bookmarkStart w:id="0" w:name="ChapterNumber"/>
      <w:bookmarkStart w:id="1" w:name="_GoBack"/>
      <w:bookmarkEnd w:id="1"/>
      <w:r>
        <w:t>6</w:t>
      </w:r>
      <w:bookmarkEnd w:id="0"/>
      <w:r>
        <w:tab/>
      </w:r>
      <w:bookmarkStart w:id="2" w:name="ChapterTitle"/>
      <w:r>
        <w:t xml:space="preserve">Productivity in </w:t>
      </w:r>
      <w:bookmarkEnd w:id="2"/>
      <w:r>
        <w:t xml:space="preserve">Metal </w:t>
      </w:r>
      <w:r w:rsidR="00AF35AC">
        <w:t>p</w:t>
      </w:r>
      <w:r>
        <w:t>roducts</w:t>
      </w:r>
    </w:p>
    <w:p w:rsidR="008B02B0" w:rsidRDefault="005609A0" w:rsidP="00A121EC">
      <w:pPr>
        <w:pStyle w:val="BodyText"/>
      </w:pPr>
      <w:bookmarkStart w:id="3" w:name="begin"/>
      <w:bookmarkEnd w:id="3"/>
      <w:r>
        <w:t>Multifactor productivity (</w:t>
      </w:r>
      <w:r w:rsidR="008B02B0" w:rsidRPr="00EB3BC2">
        <w:t>MFP</w:t>
      </w:r>
      <w:r>
        <w:t>)</w:t>
      </w:r>
      <w:r w:rsidR="008B02B0" w:rsidRPr="00EB3BC2">
        <w:t xml:space="preserve"> growth in the Metal products (MP) subsector of </w:t>
      </w:r>
      <w:r w:rsidR="00C23FA6" w:rsidRPr="00EB3BC2">
        <w:t>M</w:t>
      </w:r>
      <w:r w:rsidR="008B02B0" w:rsidRPr="00EB3BC2">
        <w:t xml:space="preserve">anufacturing </w:t>
      </w:r>
      <w:r w:rsidR="00912682" w:rsidRPr="00EB3BC2">
        <w:t>declined between</w:t>
      </w:r>
      <w:r w:rsidR="005441CC" w:rsidRPr="00EB3BC2">
        <w:t xml:space="preserve"> cycle 3 </w:t>
      </w:r>
      <w:r w:rsidR="00EE616A" w:rsidRPr="00EB3BC2">
        <w:t xml:space="preserve">(1998-99 to 2003-04) </w:t>
      </w:r>
      <w:r w:rsidR="00475B76" w:rsidRPr="00EB3BC2">
        <w:t xml:space="preserve">and </w:t>
      </w:r>
      <w:r w:rsidR="005441CC" w:rsidRPr="00EB3BC2">
        <w:t>cycle 4</w:t>
      </w:r>
      <w:r w:rsidR="00EE616A" w:rsidRPr="00EB3BC2">
        <w:t xml:space="preserve"> (2003</w:t>
      </w:r>
      <w:r w:rsidR="00B04391">
        <w:noBreakHyphen/>
      </w:r>
      <w:r w:rsidR="00EE616A" w:rsidRPr="00EB3BC2">
        <w:t>04 to 2007-08)</w:t>
      </w:r>
      <w:r w:rsidR="00912682" w:rsidRPr="00EB3BC2">
        <w:t xml:space="preserve"> — with the subsector making the third largest negative contribution of any subsector to the MFP decline in total Manufacturing. </w:t>
      </w:r>
      <w:r w:rsidR="008B02B0" w:rsidRPr="00EB3BC2">
        <w:t xml:space="preserve">The </w:t>
      </w:r>
      <w:r w:rsidR="00FB0C56">
        <w:t xml:space="preserve">MFP </w:t>
      </w:r>
      <w:r w:rsidR="008B02B0" w:rsidRPr="00EB3BC2">
        <w:t>decline in MP occurred despite very strong growth in output</w:t>
      </w:r>
      <w:r w:rsidR="00335716" w:rsidRPr="00EB3BC2">
        <w:t xml:space="preserve"> over </w:t>
      </w:r>
      <w:r w:rsidR="00C02280" w:rsidRPr="00EB3BC2">
        <w:t>cycle 4</w:t>
      </w:r>
      <w:r w:rsidR="008B02B0" w:rsidRPr="00EB3BC2">
        <w:t xml:space="preserve">, </w:t>
      </w:r>
      <w:r w:rsidR="003507F5" w:rsidRPr="00EB3BC2">
        <w:t xml:space="preserve">because </w:t>
      </w:r>
      <w:r w:rsidR="008B02B0" w:rsidRPr="00EB3BC2">
        <w:t>the growth in inputs was even larger.</w:t>
      </w:r>
    </w:p>
    <w:p w:rsidR="008B02B0" w:rsidRDefault="008B02B0" w:rsidP="008B02B0">
      <w:pPr>
        <w:pStyle w:val="BodyText"/>
      </w:pPr>
      <w:r>
        <w:t xml:space="preserve">This chapter examines the structure and characteristics of the </w:t>
      </w:r>
      <w:r w:rsidR="00294178">
        <w:t>MP</w:t>
      </w:r>
      <w:r>
        <w:t xml:space="preserve"> subsector before detailing </w:t>
      </w:r>
      <w:r w:rsidR="00EE07CB">
        <w:t xml:space="preserve">its </w:t>
      </w:r>
      <w:r>
        <w:t>pattern</w:t>
      </w:r>
      <w:r w:rsidR="00EE07CB">
        <w:t xml:space="preserve"> of MFP growth</w:t>
      </w:r>
      <w:r>
        <w:t xml:space="preserve"> and</w:t>
      </w:r>
      <w:r w:rsidR="00EE07CB">
        <w:t xml:space="preserve"> the</w:t>
      </w:r>
      <w:r>
        <w:t xml:space="preserve"> factors that are likely to have influenced</w:t>
      </w:r>
      <w:r w:rsidR="00A55F46">
        <w:t> </w:t>
      </w:r>
      <w:r w:rsidR="00EE07CB">
        <w:t>it.</w:t>
      </w:r>
    </w:p>
    <w:p w:rsidR="00D8403B" w:rsidRDefault="00B34BFE" w:rsidP="00D8403B">
      <w:pPr>
        <w:pStyle w:val="Heading2"/>
      </w:pPr>
      <w:r>
        <w:t>6.</w:t>
      </w:r>
      <w:r w:rsidR="00227A34">
        <w:rPr>
          <w:noProof/>
        </w:rPr>
        <w:t>1</w:t>
      </w:r>
      <w:r w:rsidR="00070414">
        <w:tab/>
      </w:r>
      <w:r w:rsidR="00B54CA0">
        <w:t>Metal products</w:t>
      </w:r>
      <w:r w:rsidR="00223A68">
        <w:t xml:space="preserve"> </w:t>
      </w:r>
      <w:r w:rsidR="009B06E9">
        <w:t xml:space="preserve">subsector </w:t>
      </w:r>
      <w:r w:rsidR="00E03AE8">
        <w:t>structure</w:t>
      </w:r>
      <w:r w:rsidR="00223A68">
        <w:t xml:space="preserve"> and characteristics</w:t>
      </w:r>
    </w:p>
    <w:p w:rsidR="003E4D9E" w:rsidRDefault="002A2044" w:rsidP="0043221D">
      <w:pPr>
        <w:pStyle w:val="BodyText"/>
      </w:pPr>
      <w:r>
        <w:t>MP</w:t>
      </w:r>
      <w:r w:rsidR="00F73145">
        <w:t xml:space="preserve"> consists of </w:t>
      </w:r>
      <w:r w:rsidR="00822CC5">
        <w:t xml:space="preserve">two </w:t>
      </w:r>
      <w:r w:rsidR="00910A50" w:rsidRPr="00C87A74">
        <w:rPr>
          <w:i/>
        </w:rPr>
        <w:t xml:space="preserve">Australian and New Zealand Standard Industrial </w:t>
      </w:r>
      <w:r w:rsidR="00910A50">
        <w:rPr>
          <w:i/>
        </w:rPr>
        <w:t>Classification</w:t>
      </w:r>
      <w:r w:rsidR="00910A50">
        <w:t xml:space="preserve"> (</w:t>
      </w:r>
      <w:proofErr w:type="spellStart"/>
      <w:r w:rsidR="00822CC5">
        <w:t>ANZSIC06</w:t>
      </w:r>
      <w:proofErr w:type="spellEnd"/>
      <w:r w:rsidR="00910A50">
        <w:t>)</w:t>
      </w:r>
      <w:r w:rsidR="00822CC5">
        <w:t xml:space="preserve"> subdivisions</w:t>
      </w:r>
      <w:r w:rsidR="00D437AF">
        <w:t xml:space="preserve"> (table </w:t>
      </w:r>
      <w:r w:rsidR="009430E4">
        <w:t>6.1</w:t>
      </w:r>
      <w:r w:rsidR="00D437AF">
        <w:t>)</w:t>
      </w:r>
      <w:r w:rsidR="00822CC5">
        <w:t xml:space="preserve">: </w:t>
      </w:r>
      <w:r w:rsidR="00F73145">
        <w:t>Primary m</w:t>
      </w:r>
      <w:r w:rsidR="0043221D">
        <w:t xml:space="preserve">etal </w:t>
      </w:r>
      <w:r w:rsidR="00DF20BE">
        <w:t>product manufacturing</w:t>
      </w:r>
      <w:r w:rsidR="00B34BFE">
        <w:t xml:space="preserve"> (‘Primary metals’)</w:t>
      </w:r>
      <w:r w:rsidR="00DF20BE">
        <w:t xml:space="preserve"> and</w:t>
      </w:r>
      <w:r w:rsidR="0043221D">
        <w:t xml:space="preserve"> Fabricated </w:t>
      </w:r>
      <w:r w:rsidR="00F73145">
        <w:t>m</w:t>
      </w:r>
      <w:r w:rsidR="0043221D">
        <w:t xml:space="preserve">etal </w:t>
      </w:r>
      <w:r w:rsidR="00F73145">
        <w:t>p</w:t>
      </w:r>
      <w:r w:rsidR="0043221D">
        <w:t xml:space="preserve">roduct </w:t>
      </w:r>
      <w:r w:rsidR="00F73145">
        <w:t>m</w:t>
      </w:r>
      <w:r w:rsidR="0043221D">
        <w:t>anufacturing</w:t>
      </w:r>
      <w:r w:rsidR="00B34BFE">
        <w:t xml:space="preserve"> (‘Fabricated metals’)</w:t>
      </w:r>
      <w:r w:rsidR="0043221D">
        <w:t xml:space="preserve">. </w:t>
      </w:r>
    </w:p>
    <w:p w:rsidR="006F5AB1" w:rsidRPr="000B72CE" w:rsidRDefault="006F5AB1">
      <w:pPr>
        <w:pStyle w:val="TableTitle"/>
        <w:rPr>
          <w:sz w:val="24"/>
          <w:szCs w:val="24"/>
        </w:rPr>
      </w:pPr>
      <w:r w:rsidRPr="000B72CE">
        <w:rPr>
          <w:b w:val="0"/>
          <w:sz w:val="24"/>
          <w:szCs w:val="24"/>
        </w:rPr>
        <w:t xml:space="preserve">Table </w:t>
      </w:r>
      <w:bookmarkStart w:id="4" w:name="OLE_LINK2"/>
      <w:r w:rsidR="00B34BFE" w:rsidRPr="000B72CE">
        <w:rPr>
          <w:b w:val="0"/>
          <w:sz w:val="24"/>
          <w:szCs w:val="24"/>
        </w:rPr>
        <w:t>6.</w:t>
      </w:r>
      <w:r w:rsidR="00227A34">
        <w:rPr>
          <w:b w:val="0"/>
          <w:noProof/>
          <w:sz w:val="24"/>
          <w:szCs w:val="24"/>
        </w:rPr>
        <w:t>1</w:t>
      </w:r>
      <w:bookmarkEnd w:id="4"/>
      <w:r w:rsidRPr="000B72CE">
        <w:rPr>
          <w:sz w:val="24"/>
          <w:szCs w:val="24"/>
        </w:rPr>
        <w:tab/>
      </w:r>
      <w:r w:rsidR="000B72CE" w:rsidRPr="000B72CE">
        <w:rPr>
          <w:sz w:val="24"/>
          <w:szCs w:val="24"/>
        </w:rPr>
        <w:t xml:space="preserve">Activities within the </w:t>
      </w:r>
      <w:r w:rsidR="004E0C6F" w:rsidRPr="000B72CE">
        <w:rPr>
          <w:sz w:val="24"/>
          <w:szCs w:val="24"/>
        </w:rPr>
        <w:t>Metal products subsector</w:t>
      </w:r>
    </w:p>
    <w:tbl>
      <w:tblPr>
        <w:tblW w:w="5000" w:type="pct"/>
        <w:tblLayout w:type="fixed"/>
        <w:tblCellMar>
          <w:left w:w="0" w:type="dxa"/>
          <w:right w:w="0" w:type="dxa"/>
        </w:tblCellMar>
        <w:tblLook w:val="0000" w:firstRow="0" w:lastRow="0" w:firstColumn="0" w:lastColumn="0" w:noHBand="0" w:noVBand="0"/>
      </w:tblPr>
      <w:tblGrid>
        <w:gridCol w:w="2552"/>
        <w:gridCol w:w="6237"/>
      </w:tblGrid>
      <w:tr w:rsidR="006F5AB1" w:rsidTr="006C120D">
        <w:tc>
          <w:tcPr>
            <w:tcW w:w="1452" w:type="pct"/>
            <w:tcBorders>
              <w:top w:val="single" w:sz="6" w:space="0" w:color="auto"/>
              <w:bottom w:val="single" w:sz="6" w:space="0" w:color="auto"/>
            </w:tcBorders>
            <w:shd w:val="clear" w:color="auto" w:fill="auto"/>
          </w:tcPr>
          <w:p w:rsidR="006F5AB1" w:rsidRDefault="006F5AB1" w:rsidP="00E455AA">
            <w:pPr>
              <w:pStyle w:val="TableColumnHeading"/>
              <w:jc w:val="left"/>
              <w:rPr>
                <w:rFonts w:asciiTheme="minorHAnsi" w:eastAsiaTheme="minorHAnsi" w:hAnsiTheme="minorHAnsi" w:cstheme="minorBidi"/>
                <w:szCs w:val="22"/>
                <w:lang w:eastAsia="en-US"/>
              </w:rPr>
            </w:pPr>
            <w:r>
              <w:t>Subdivision</w:t>
            </w:r>
          </w:p>
        </w:tc>
        <w:tc>
          <w:tcPr>
            <w:tcW w:w="3548" w:type="pct"/>
            <w:tcBorders>
              <w:top w:val="single" w:sz="6" w:space="0" w:color="auto"/>
              <w:bottom w:val="single" w:sz="6" w:space="0" w:color="auto"/>
            </w:tcBorders>
            <w:shd w:val="clear" w:color="auto" w:fill="auto"/>
          </w:tcPr>
          <w:p w:rsidR="006F5AB1" w:rsidRDefault="006F5AB1" w:rsidP="00E455AA">
            <w:pPr>
              <w:pStyle w:val="TableColumnHeading"/>
              <w:ind w:right="28"/>
              <w:jc w:val="left"/>
            </w:pPr>
            <w:r>
              <w:t>Primary activities</w:t>
            </w:r>
          </w:p>
        </w:tc>
      </w:tr>
      <w:tr w:rsidR="006F5AB1" w:rsidTr="0096442A">
        <w:tc>
          <w:tcPr>
            <w:tcW w:w="1452" w:type="pct"/>
            <w:tcBorders>
              <w:top w:val="single" w:sz="6" w:space="0" w:color="auto"/>
              <w:bottom w:val="dotted" w:sz="4" w:space="0" w:color="auto"/>
            </w:tcBorders>
            <w:shd w:val="clear" w:color="auto" w:fill="D9D9D9" w:themeFill="background1" w:themeFillShade="D9"/>
          </w:tcPr>
          <w:p w:rsidR="006F5AB1" w:rsidRDefault="006F5AB1" w:rsidP="00153074">
            <w:pPr>
              <w:pStyle w:val="TableBodyText"/>
              <w:spacing w:before="40"/>
              <w:jc w:val="left"/>
              <w:rPr>
                <w:rFonts w:asciiTheme="minorHAnsi" w:eastAsiaTheme="minorHAnsi" w:hAnsiTheme="minorHAnsi" w:cstheme="minorBidi"/>
                <w:szCs w:val="22"/>
                <w:lang w:eastAsia="en-US"/>
              </w:rPr>
            </w:pPr>
            <w:r>
              <w:t>Primary metal product manufacturing</w:t>
            </w:r>
          </w:p>
        </w:tc>
        <w:tc>
          <w:tcPr>
            <w:tcW w:w="3548" w:type="pct"/>
            <w:tcBorders>
              <w:top w:val="single" w:sz="6" w:space="0" w:color="auto"/>
              <w:bottom w:val="dotted" w:sz="4" w:space="0" w:color="auto"/>
            </w:tcBorders>
            <w:shd w:val="clear" w:color="auto" w:fill="D9D9D9" w:themeFill="background1" w:themeFillShade="D9"/>
          </w:tcPr>
          <w:p w:rsidR="006F5AB1" w:rsidRDefault="00BC3805" w:rsidP="00153074">
            <w:pPr>
              <w:pStyle w:val="TableBodyText"/>
              <w:spacing w:before="40"/>
              <w:ind w:right="28"/>
              <w:jc w:val="left"/>
              <w:rPr>
                <w:i/>
              </w:rPr>
            </w:pPr>
            <w:r>
              <w:t>Includes</w:t>
            </w:r>
            <w:r w:rsidR="00B441F2">
              <w:t xml:space="preserve"> the manufacturing of</w:t>
            </w:r>
            <w:r w:rsidR="006F5AB1">
              <w:t xml:space="preserve"> iron and steel (including casting and production of pipes and tubes), alumina refining and aluminium smelting, </w:t>
            </w:r>
            <w:r w:rsidR="0014193A">
              <w:t xml:space="preserve">and </w:t>
            </w:r>
            <w:r w:rsidR="006F5AB1">
              <w:t>smelting of other non-ferrous metals (such as co</w:t>
            </w:r>
            <w:r w:rsidR="0014193A">
              <w:t>pper, gold, zinc, lead, silver).</w:t>
            </w:r>
            <w:r w:rsidR="006F5AB1">
              <w:t xml:space="preserve"> </w:t>
            </w:r>
            <w:r w:rsidR="0014193A">
              <w:t>Also includes casting of metals, aluminium rolling, drawing and extruding, and other manufactured products (such as wires, rods, plates, sheets and foil).</w:t>
            </w:r>
          </w:p>
        </w:tc>
      </w:tr>
      <w:tr w:rsidR="006F5AB1" w:rsidTr="006C120D">
        <w:tc>
          <w:tcPr>
            <w:tcW w:w="1452" w:type="pct"/>
            <w:tcBorders>
              <w:top w:val="dotted" w:sz="4" w:space="0" w:color="auto"/>
              <w:bottom w:val="single" w:sz="4" w:space="0" w:color="auto"/>
            </w:tcBorders>
            <w:shd w:val="clear" w:color="auto" w:fill="auto"/>
          </w:tcPr>
          <w:p w:rsidR="006F5AB1" w:rsidRDefault="006F5AB1" w:rsidP="00153074">
            <w:pPr>
              <w:pStyle w:val="TableBodyText"/>
              <w:spacing w:before="40"/>
              <w:jc w:val="left"/>
              <w:rPr>
                <w:rFonts w:asciiTheme="minorHAnsi" w:eastAsiaTheme="minorHAnsi" w:hAnsiTheme="minorHAnsi" w:cstheme="minorBidi"/>
                <w:szCs w:val="22"/>
                <w:lang w:eastAsia="en-US"/>
              </w:rPr>
            </w:pPr>
            <w:r>
              <w:t>Fabricated metal product manufacturing</w:t>
            </w:r>
          </w:p>
        </w:tc>
        <w:tc>
          <w:tcPr>
            <w:tcW w:w="3548" w:type="pct"/>
            <w:tcBorders>
              <w:top w:val="dotted" w:sz="4" w:space="0" w:color="auto"/>
              <w:bottom w:val="single" w:sz="4" w:space="0" w:color="auto"/>
            </w:tcBorders>
            <w:shd w:val="clear" w:color="auto" w:fill="auto"/>
          </w:tcPr>
          <w:p w:rsidR="006F5AB1" w:rsidRDefault="00B441F2" w:rsidP="00153074">
            <w:pPr>
              <w:pStyle w:val="TableBodyText"/>
              <w:spacing w:before="40"/>
              <w:ind w:right="28"/>
              <w:jc w:val="left"/>
              <w:rPr>
                <w:i/>
              </w:rPr>
            </w:pPr>
            <w:r>
              <w:t>Includes iron and steel forging, structural metal products (including structural steel and architectural aluminium products), metal container manufacturing, sheet metal products,</w:t>
            </w:r>
            <w:r w:rsidR="002B601D">
              <w:t xml:space="preserve"> metal coatings, and other fabricated manufactures (such as cutlery, livestock yarding equipment, mattress supports and ammunition). </w:t>
            </w:r>
          </w:p>
        </w:tc>
      </w:tr>
    </w:tbl>
    <w:p w:rsidR="006F5AB1" w:rsidRPr="006F5AB1" w:rsidRDefault="006F5AB1" w:rsidP="00E455AA">
      <w:pPr>
        <w:pStyle w:val="Source"/>
      </w:pPr>
      <w:r>
        <w:rPr>
          <w:i/>
        </w:rPr>
        <w:t>Source</w:t>
      </w:r>
      <w:r>
        <w:t>: ABS (</w:t>
      </w:r>
      <w:r w:rsidRPr="00C87A74">
        <w:rPr>
          <w:i/>
        </w:rPr>
        <w:t xml:space="preserve">Australian and New Zealand Standard Industrial </w:t>
      </w:r>
      <w:r w:rsidR="002351AD">
        <w:rPr>
          <w:i/>
        </w:rPr>
        <w:t>Classification, 2006</w:t>
      </w:r>
      <w:r>
        <w:rPr>
          <w:i/>
        </w:rPr>
        <w:t>,</w:t>
      </w:r>
      <w:r>
        <w:t xml:space="preserve"> Cat. no</w:t>
      </w:r>
      <w:r w:rsidR="00697A1E">
        <w:t>. </w:t>
      </w:r>
      <w:r>
        <w:t>1292.0</w:t>
      </w:r>
      <w:r w:rsidR="00723A60">
        <w:t>).</w:t>
      </w:r>
    </w:p>
    <w:p w:rsidR="006F5AB1" w:rsidRDefault="008E4E79" w:rsidP="0043221D">
      <w:pPr>
        <w:pStyle w:val="BodyText"/>
      </w:pPr>
      <w:r>
        <w:lastRenderedPageBreak/>
        <w:t xml:space="preserve">The output from </w:t>
      </w:r>
      <w:r w:rsidR="00D97A0B">
        <w:t xml:space="preserve">Primary </w:t>
      </w:r>
      <w:r>
        <w:t xml:space="preserve">metals </w:t>
      </w:r>
      <w:r w:rsidR="00D97A0B">
        <w:t xml:space="preserve">is </w:t>
      </w:r>
      <w:r w:rsidR="000962AE">
        <w:t>mostly</w:t>
      </w:r>
      <w:r>
        <w:t xml:space="preserve"> exported (for example, refined metal </w:t>
      </w:r>
      <w:r w:rsidR="00002308">
        <w:t>and</w:t>
      </w:r>
      <w:r>
        <w:t xml:space="preserve"> alumina) or </w:t>
      </w:r>
      <w:r w:rsidR="000962AE">
        <w:t>used</w:t>
      </w:r>
      <w:r>
        <w:t xml:space="preserve"> </w:t>
      </w:r>
      <w:r w:rsidR="00941229">
        <w:t>as inputs</w:t>
      </w:r>
      <w:r w:rsidR="00052A04">
        <w:t xml:space="preserve"> to</w:t>
      </w:r>
      <w:r w:rsidR="00941229">
        <w:t xml:space="preserve"> </w:t>
      </w:r>
      <w:r w:rsidR="00D97A0B">
        <w:t>F</w:t>
      </w:r>
      <w:r>
        <w:t>abricated me</w:t>
      </w:r>
      <w:r w:rsidR="00C478F5">
        <w:t>tal</w:t>
      </w:r>
      <w:r w:rsidR="00D97A0B">
        <w:t>s</w:t>
      </w:r>
      <w:r w:rsidR="00C478F5">
        <w:t xml:space="preserve">. </w:t>
      </w:r>
      <w:r w:rsidR="00134EE9">
        <w:t>Output</w:t>
      </w:r>
      <w:r w:rsidR="00C478F5">
        <w:t xml:space="preserve"> from </w:t>
      </w:r>
      <w:r w:rsidR="00A739DB">
        <w:t>F</w:t>
      </w:r>
      <w:r w:rsidR="00C478F5">
        <w:t>abricated metal</w:t>
      </w:r>
      <w:r w:rsidR="00A739DB">
        <w:t>s</w:t>
      </w:r>
      <w:r w:rsidR="00C478F5">
        <w:t xml:space="preserve"> is </w:t>
      </w:r>
      <w:r w:rsidR="002B2715">
        <w:t xml:space="preserve">mainly </w:t>
      </w:r>
      <w:r w:rsidR="00C478F5">
        <w:t>used in construction and final consumption goods.</w:t>
      </w:r>
    </w:p>
    <w:p w:rsidR="009D6F0A" w:rsidRDefault="00E049C0" w:rsidP="00DA45D1">
      <w:pPr>
        <w:pStyle w:val="BodyText"/>
      </w:pPr>
      <w:r>
        <w:t>MP</w:t>
      </w:r>
      <w:r w:rsidR="00A10902" w:rsidRPr="00DA45D1">
        <w:t xml:space="preserve"> </w:t>
      </w:r>
      <w:r w:rsidR="00DA45D1">
        <w:t>is</w:t>
      </w:r>
      <w:r w:rsidR="00DA45D1" w:rsidRPr="00DA45D1">
        <w:t xml:space="preserve"> </w:t>
      </w:r>
      <w:r w:rsidR="00A10902" w:rsidRPr="00DA45D1">
        <w:t xml:space="preserve">a </w:t>
      </w:r>
      <w:r w:rsidR="004C2A4E" w:rsidRPr="00DA45D1">
        <w:t>sizable</w:t>
      </w:r>
      <w:r w:rsidR="00A10902" w:rsidRPr="00DA45D1">
        <w:t xml:space="preserve"> share of total Manufacturing</w:t>
      </w:r>
      <w:r w:rsidR="00DA45D1">
        <w:t xml:space="preserve"> — </w:t>
      </w:r>
      <w:r w:rsidR="00A10902" w:rsidRPr="00DA45D1">
        <w:t xml:space="preserve">23 per cent of value added, 17 per cent of hours worked and 32 per cent of </w:t>
      </w:r>
      <w:r w:rsidR="00DA45D1">
        <w:t>investment (</w:t>
      </w:r>
      <w:r w:rsidR="00A10902" w:rsidRPr="00DA45D1">
        <w:t>gross fixed capital formation</w:t>
      </w:r>
      <w:r w:rsidR="00DA45D1">
        <w:t>) in 2007-08</w:t>
      </w:r>
      <w:r w:rsidR="00A10902" w:rsidRPr="00DA45D1">
        <w:t>.</w:t>
      </w:r>
      <w:r w:rsidR="00D931CD" w:rsidRPr="00DA45D1">
        <w:t xml:space="preserve"> During cycle 4, </w:t>
      </w:r>
      <w:r w:rsidR="00CB3828">
        <w:t xml:space="preserve">MP’s </w:t>
      </w:r>
      <w:r w:rsidR="00D931CD" w:rsidRPr="00DA45D1">
        <w:t>share of investment rose particularly quickly, which had productivity implications that are discussed later in the chapter</w:t>
      </w:r>
      <w:r w:rsidR="00735FC4">
        <w:t>.</w:t>
      </w:r>
      <w:r w:rsidR="00061713" w:rsidRPr="00E455AA" w:rsidDel="00061713">
        <w:t xml:space="preserve"> </w:t>
      </w:r>
    </w:p>
    <w:p w:rsidR="00BB7960" w:rsidRDefault="00BB7960" w:rsidP="00EC4839">
      <w:pPr>
        <w:pStyle w:val="Heading3"/>
      </w:pPr>
      <w:r>
        <w:t>Relative sizes of the M</w:t>
      </w:r>
      <w:r w:rsidR="00B54CA0">
        <w:t>etal products</w:t>
      </w:r>
      <w:r>
        <w:t xml:space="preserve"> subdivisions</w:t>
      </w:r>
    </w:p>
    <w:p w:rsidR="00775130" w:rsidRDefault="00775130" w:rsidP="0043221D">
      <w:pPr>
        <w:pStyle w:val="BodyText"/>
      </w:pPr>
      <w:r w:rsidRPr="00EB3BC2">
        <w:t xml:space="preserve">In 2007-08 (the end of cycle 4), Primary metals was the larger of </w:t>
      </w:r>
      <w:r w:rsidR="006A39CF">
        <w:t xml:space="preserve">the </w:t>
      </w:r>
      <w:r w:rsidRPr="00EB3BC2">
        <w:t>two subdivisions in terms of value added, hours worked and investment</w:t>
      </w:r>
      <w:r w:rsidR="00FB7D53" w:rsidRPr="00EB3BC2">
        <w:t xml:space="preserve"> (table </w:t>
      </w:r>
      <w:r w:rsidR="00B057BB" w:rsidRPr="00EB3BC2">
        <w:t>6.2</w:t>
      </w:r>
      <w:r w:rsidR="00FB7D53" w:rsidRPr="00EB3BC2">
        <w:t>)</w:t>
      </w:r>
      <w:r w:rsidR="00B057BB" w:rsidRPr="00EB3BC2">
        <w:t>. However, there is some volatility in the shares of outputs and inputs over time</w:t>
      </w:r>
      <w:r w:rsidR="00475B76" w:rsidRPr="00EB3BC2">
        <w:t>.</w:t>
      </w:r>
      <w:r w:rsidRPr="00EB3BC2">
        <w:rPr>
          <w:rStyle w:val="FootnoteReference"/>
        </w:rPr>
        <w:footnoteReference w:id="1"/>
      </w:r>
    </w:p>
    <w:p w:rsidR="00895E41" w:rsidRDefault="00895E41" w:rsidP="00895E41">
      <w:pPr>
        <w:pStyle w:val="BodyText"/>
      </w:pPr>
      <w:r>
        <w:t xml:space="preserve">The mix of activities within the MP subdivisions is quite diverse. In Primary metals, the majority of value added comes from Basic non-ferrous metal manufacturing, of which Alumina production and Aluminium smelting </w:t>
      </w:r>
      <w:r w:rsidR="00EB3BC2">
        <w:t>are</w:t>
      </w:r>
      <w:r>
        <w:t xml:space="preserve"> the largest components. Basic ferrous metal manufacturing — primarily the manufacture of steel — also makes up a significant share of Primary metals output.</w:t>
      </w:r>
    </w:p>
    <w:p w:rsidR="00895E41" w:rsidRDefault="00895E41" w:rsidP="0043221D">
      <w:pPr>
        <w:pStyle w:val="BodyText"/>
      </w:pPr>
      <w:r>
        <w:t>In Fabricated metals, Structural metal product manufacturing — a product group that is mainly used in construction — makes up the largest proportion of value added. In turn, the largest parts of Structural metal product manufacturing are Structural steel fabricating and Architectural aluminium product manufacturing. Other fabricated metal product manufacturing also contributes a large proportion of value added in Fabricated metals.</w:t>
      </w:r>
    </w:p>
    <w:p w:rsidR="001C5BB9" w:rsidRPr="00711549" w:rsidRDefault="001C5BB9" w:rsidP="001C5BB9">
      <w:pPr>
        <w:pStyle w:val="TableTitle"/>
      </w:pPr>
      <w:r w:rsidRPr="00EC4839">
        <w:rPr>
          <w:b w:val="0"/>
          <w:sz w:val="24"/>
        </w:rPr>
        <w:lastRenderedPageBreak/>
        <w:t xml:space="preserve">Table </w:t>
      </w:r>
      <w:bookmarkStart w:id="5" w:name="OLE_LINK34"/>
      <w:r w:rsidR="009430E4" w:rsidRPr="00EC4839">
        <w:rPr>
          <w:b w:val="0"/>
          <w:sz w:val="24"/>
        </w:rPr>
        <w:t>6.</w:t>
      </w:r>
      <w:r w:rsidR="00227A34">
        <w:rPr>
          <w:b w:val="0"/>
          <w:noProof/>
          <w:sz w:val="24"/>
        </w:rPr>
        <w:t>2</w:t>
      </w:r>
      <w:bookmarkEnd w:id="5"/>
      <w:r w:rsidRPr="00EC4839">
        <w:rPr>
          <w:sz w:val="24"/>
        </w:rPr>
        <w:tab/>
      </w:r>
      <w:r w:rsidR="00BC1A3E" w:rsidRPr="00EC4839">
        <w:rPr>
          <w:sz w:val="24"/>
        </w:rPr>
        <w:t>Composition</w:t>
      </w:r>
      <w:r w:rsidR="00970A37" w:rsidRPr="00EC4839">
        <w:rPr>
          <w:sz w:val="24"/>
        </w:rPr>
        <w:t xml:space="preserve"> </w:t>
      </w:r>
      <w:r w:rsidR="00BC1A3E" w:rsidRPr="00EC4839">
        <w:rPr>
          <w:sz w:val="24"/>
        </w:rPr>
        <w:t xml:space="preserve">of </w:t>
      </w:r>
      <w:r w:rsidR="00694DB4">
        <w:rPr>
          <w:sz w:val="24"/>
        </w:rPr>
        <w:t>Metal products</w:t>
      </w:r>
      <w:r w:rsidR="000C2304">
        <w:rPr>
          <w:sz w:val="24"/>
        </w:rPr>
        <w:t xml:space="preserve"> subsector</w:t>
      </w:r>
      <w:r w:rsidR="00711549">
        <w:t>, 2007-08</w:t>
      </w:r>
      <w:r w:rsidR="00D07F32">
        <w:rPr>
          <w:rStyle w:val="NoteLabel"/>
          <w:b/>
        </w:rPr>
        <w:t>a</w:t>
      </w:r>
    </w:p>
    <w:p w:rsidR="001C5BB9" w:rsidRDefault="00F06963" w:rsidP="001C5BB9">
      <w:pPr>
        <w:pStyle w:val="Subtitle"/>
      </w:pPr>
      <w:r>
        <w:t>Percentage shares of MP</w:t>
      </w:r>
    </w:p>
    <w:tbl>
      <w:tblPr>
        <w:tblW w:w="5000" w:type="pct"/>
        <w:tblLayout w:type="fixed"/>
        <w:tblCellMar>
          <w:left w:w="0" w:type="dxa"/>
          <w:right w:w="0" w:type="dxa"/>
        </w:tblCellMar>
        <w:tblLook w:val="0000" w:firstRow="0" w:lastRow="0" w:firstColumn="0" w:lastColumn="0" w:noHBand="0" w:noVBand="0"/>
      </w:tblPr>
      <w:tblGrid>
        <w:gridCol w:w="5534"/>
        <w:gridCol w:w="991"/>
        <w:gridCol w:w="991"/>
        <w:gridCol w:w="1273"/>
      </w:tblGrid>
      <w:tr w:rsidR="00F4158A" w:rsidTr="00D07F32">
        <w:tc>
          <w:tcPr>
            <w:tcW w:w="3148" w:type="pct"/>
            <w:tcBorders>
              <w:top w:val="single" w:sz="6" w:space="0" w:color="auto"/>
              <w:bottom w:val="single" w:sz="6" w:space="0" w:color="auto"/>
            </w:tcBorders>
            <w:shd w:val="clear" w:color="auto" w:fill="auto"/>
            <w:vAlign w:val="bottom"/>
          </w:tcPr>
          <w:p w:rsidR="00F4158A" w:rsidRDefault="00970A37" w:rsidP="00D07F32">
            <w:pPr>
              <w:pStyle w:val="TableColumnHeading"/>
              <w:jc w:val="left"/>
            </w:pPr>
            <w:proofErr w:type="spellStart"/>
            <w:r>
              <w:t>ANZSIC</w:t>
            </w:r>
            <w:r w:rsidR="00903AFB">
              <w:t>06</w:t>
            </w:r>
            <w:proofErr w:type="spellEnd"/>
            <w:r>
              <w:t xml:space="preserve"> subdivision/group/class</w:t>
            </w:r>
            <w:r w:rsidR="00D07F32">
              <w:rPr>
                <w:rStyle w:val="NoteLabel"/>
                <w:i w:val="0"/>
              </w:rPr>
              <w:t>b</w:t>
            </w:r>
          </w:p>
        </w:tc>
        <w:tc>
          <w:tcPr>
            <w:tcW w:w="564" w:type="pct"/>
            <w:tcBorders>
              <w:top w:val="single" w:sz="6" w:space="0" w:color="auto"/>
              <w:bottom w:val="single" w:sz="4" w:space="0" w:color="auto"/>
            </w:tcBorders>
            <w:shd w:val="clear" w:color="auto" w:fill="auto"/>
            <w:vAlign w:val="bottom"/>
          </w:tcPr>
          <w:p w:rsidR="00F4158A" w:rsidRPr="00F4158A" w:rsidRDefault="00791830" w:rsidP="00B93AD7">
            <w:pPr>
              <w:pStyle w:val="TableColumnHeading"/>
              <w:ind w:right="28"/>
            </w:pPr>
            <w:r>
              <w:br/>
            </w:r>
            <w:r w:rsidR="00EC3F04">
              <w:t>V</w:t>
            </w:r>
            <w:r w:rsidR="007830E9">
              <w:t>alue added</w:t>
            </w:r>
            <w:r w:rsidR="00F4158A">
              <w:t xml:space="preserve"> </w:t>
            </w:r>
          </w:p>
        </w:tc>
        <w:tc>
          <w:tcPr>
            <w:tcW w:w="564" w:type="pct"/>
            <w:tcBorders>
              <w:top w:val="single" w:sz="6" w:space="0" w:color="auto"/>
              <w:bottom w:val="single" w:sz="4" w:space="0" w:color="auto"/>
            </w:tcBorders>
            <w:shd w:val="clear" w:color="auto" w:fill="auto"/>
            <w:vAlign w:val="bottom"/>
          </w:tcPr>
          <w:p w:rsidR="00F4158A" w:rsidRPr="00F4158A" w:rsidRDefault="00EC3F04" w:rsidP="00B93AD7">
            <w:pPr>
              <w:pStyle w:val="TableColumnHeading"/>
              <w:ind w:right="28"/>
            </w:pPr>
            <w:r>
              <w:t>H</w:t>
            </w:r>
            <w:r w:rsidR="00711549">
              <w:t>ours worked</w:t>
            </w:r>
          </w:p>
        </w:tc>
        <w:tc>
          <w:tcPr>
            <w:tcW w:w="724" w:type="pct"/>
            <w:tcBorders>
              <w:top w:val="single" w:sz="6" w:space="0" w:color="auto"/>
              <w:bottom w:val="single" w:sz="4" w:space="0" w:color="auto"/>
            </w:tcBorders>
            <w:shd w:val="clear" w:color="auto" w:fill="auto"/>
            <w:vAlign w:val="bottom"/>
          </w:tcPr>
          <w:p w:rsidR="00F4158A" w:rsidRDefault="000F34CB" w:rsidP="00B93AD7">
            <w:pPr>
              <w:pStyle w:val="TableColumnHeading"/>
              <w:ind w:right="28"/>
            </w:pPr>
            <w:r>
              <w:t>Investment</w:t>
            </w:r>
            <w:r>
              <w:rPr>
                <w:rStyle w:val="NoteLabel"/>
                <w:i w:val="0"/>
              </w:rPr>
              <w:t>c</w:t>
            </w:r>
            <w:r>
              <w:t xml:space="preserve"> </w:t>
            </w:r>
          </w:p>
        </w:tc>
      </w:tr>
      <w:tr w:rsidR="00100A68" w:rsidRPr="002B1CDC" w:rsidTr="00D07F32">
        <w:tc>
          <w:tcPr>
            <w:tcW w:w="3148" w:type="pct"/>
            <w:tcBorders>
              <w:top w:val="single" w:sz="4" w:space="0" w:color="auto"/>
            </w:tcBorders>
            <w:shd w:val="clear" w:color="auto" w:fill="D9D9D9" w:themeFill="background1" w:themeFillShade="D9"/>
            <w:vAlign w:val="bottom"/>
          </w:tcPr>
          <w:p w:rsidR="00100A68" w:rsidRPr="002B1CDC" w:rsidRDefault="00100A68" w:rsidP="00E91B94">
            <w:pPr>
              <w:pStyle w:val="TableBodyText"/>
              <w:spacing w:before="40"/>
              <w:jc w:val="left"/>
              <w:rPr>
                <w:b/>
              </w:rPr>
            </w:pPr>
            <w:r>
              <w:rPr>
                <w:b/>
              </w:rPr>
              <w:t xml:space="preserve">21 </w:t>
            </w:r>
            <w:r w:rsidRPr="002B1CDC">
              <w:rPr>
                <w:b/>
              </w:rPr>
              <w:t>Primary metal product manufacturing</w:t>
            </w:r>
          </w:p>
        </w:tc>
        <w:tc>
          <w:tcPr>
            <w:tcW w:w="564" w:type="pct"/>
            <w:tcBorders>
              <w:top w:val="single" w:sz="4" w:space="0" w:color="auto"/>
            </w:tcBorders>
            <w:shd w:val="clear" w:color="auto" w:fill="D9D9D9" w:themeFill="background1" w:themeFillShade="D9"/>
            <w:vAlign w:val="bottom"/>
          </w:tcPr>
          <w:p w:rsidR="00100A68" w:rsidRPr="00335BBE" w:rsidRDefault="00413B9C" w:rsidP="00E91B94">
            <w:pPr>
              <w:pStyle w:val="TableBodyText"/>
              <w:spacing w:before="40"/>
              <w:rPr>
                <w:b/>
              </w:rPr>
            </w:pPr>
            <w:r w:rsidRPr="00335BBE">
              <w:rPr>
                <w:b/>
              </w:rPr>
              <w:t>61.3</w:t>
            </w:r>
          </w:p>
        </w:tc>
        <w:tc>
          <w:tcPr>
            <w:tcW w:w="564" w:type="pct"/>
            <w:tcBorders>
              <w:top w:val="single" w:sz="4" w:space="0" w:color="auto"/>
            </w:tcBorders>
            <w:shd w:val="clear" w:color="auto" w:fill="D9D9D9" w:themeFill="background1" w:themeFillShade="D9"/>
            <w:vAlign w:val="bottom"/>
          </w:tcPr>
          <w:p w:rsidR="00100A68" w:rsidRPr="00AD4254" w:rsidRDefault="00100A68" w:rsidP="00E91B94">
            <w:pPr>
              <w:pStyle w:val="TableBodyText"/>
              <w:spacing w:before="40"/>
              <w:rPr>
                <w:b/>
              </w:rPr>
            </w:pPr>
            <w:r w:rsidRPr="00AD4254">
              <w:rPr>
                <w:b/>
              </w:rPr>
              <w:t>52.9</w:t>
            </w:r>
          </w:p>
        </w:tc>
        <w:tc>
          <w:tcPr>
            <w:tcW w:w="724" w:type="pct"/>
            <w:tcBorders>
              <w:top w:val="single" w:sz="4" w:space="0" w:color="auto"/>
            </w:tcBorders>
            <w:shd w:val="clear" w:color="auto" w:fill="D9D9D9" w:themeFill="background1" w:themeFillShade="D9"/>
            <w:vAlign w:val="bottom"/>
          </w:tcPr>
          <w:p w:rsidR="00100A68" w:rsidRPr="002B1CDC" w:rsidRDefault="00100A68" w:rsidP="00E91B94">
            <w:pPr>
              <w:pStyle w:val="TableBodyText"/>
              <w:spacing w:before="40"/>
              <w:rPr>
                <w:b/>
              </w:rPr>
            </w:pPr>
            <w:r>
              <w:rPr>
                <w:b/>
              </w:rPr>
              <w:t>76.7</w:t>
            </w:r>
          </w:p>
        </w:tc>
      </w:tr>
      <w:tr w:rsidR="00327E94" w:rsidTr="00D07F32">
        <w:tc>
          <w:tcPr>
            <w:tcW w:w="3148" w:type="pct"/>
            <w:vAlign w:val="bottom"/>
          </w:tcPr>
          <w:p w:rsidR="00327E94" w:rsidRPr="002B1CDC" w:rsidRDefault="00327E94" w:rsidP="00B93AD7">
            <w:pPr>
              <w:pStyle w:val="TableBodyText"/>
              <w:jc w:val="left"/>
            </w:pPr>
            <w:r>
              <w:t xml:space="preserve">    </w:t>
            </w:r>
            <w:r w:rsidRPr="002B1CDC">
              <w:t>211 Basic ferrous metal manufacturing</w:t>
            </w:r>
          </w:p>
        </w:tc>
        <w:tc>
          <w:tcPr>
            <w:tcW w:w="564" w:type="pct"/>
            <w:shd w:val="clear" w:color="auto" w:fill="auto"/>
            <w:vAlign w:val="bottom"/>
          </w:tcPr>
          <w:p w:rsidR="00327E94" w:rsidRDefault="00327E94" w:rsidP="00B93AD7">
            <w:pPr>
              <w:pStyle w:val="TableBodyText"/>
            </w:pPr>
            <w:r>
              <w:t>17.6</w:t>
            </w:r>
          </w:p>
        </w:tc>
        <w:tc>
          <w:tcPr>
            <w:tcW w:w="564" w:type="pct"/>
            <w:shd w:val="clear" w:color="auto" w:fill="auto"/>
            <w:vAlign w:val="bottom"/>
          </w:tcPr>
          <w:p w:rsidR="00327E94" w:rsidRPr="002B1CDC" w:rsidRDefault="00327E94" w:rsidP="00B93AD7">
            <w:pPr>
              <w:pStyle w:val="TableBodyText"/>
            </w:pPr>
          </w:p>
        </w:tc>
        <w:tc>
          <w:tcPr>
            <w:tcW w:w="724" w:type="pct"/>
            <w:shd w:val="clear" w:color="auto" w:fill="auto"/>
            <w:vAlign w:val="bottom"/>
          </w:tcPr>
          <w:p w:rsidR="00327E94" w:rsidRPr="002B1CDC" w:rsidRDefault="00327E94" w:rsidP="00B93AD7">
            <w:pPr>
              <w:pStyle w:val="TableBodyText"/>
            </w:pPr>
          </w:p>
        </w:tc>
      </w:tr>
      <w:tr w:rsidR="00327E94" w:rsidTr="00D07F32">
        <w:tc>
          <w:tcPr>
            <w:tcW w:w="3148" w:type="pct"/>
            <w:shd w:val="clear" w:color="auto" w:fill="D9D9D9" w:themeFill="background1" w:themeFillShade="D9"/>
            <w:vAlign w:val="bottom"/>
          </w:tcPr>
          <w:p w:rsidR="00327E94" w:rsidRPr="002B1CDC" w:rsidRDefault="00327E94" w:rsidP="00B93AD7">
            <w:pPr>
              <w:pStyle w:val="TableBodyText"/>
              <w:jc w:val="left"/>
            </w:pPr>
            <w:r>
              <w:t xml:space="preserve">    </w:t>
            </w:r>
            <w:r w:rsidRPr="002B1CDC">
              <w:t>212 Basic ferrous metal product manufacturing</w:t>
            </w:r>
          </w:p>
        </w:tc>
        <w:tc>
          <w:tcPr>
            <w:tcW w:w="564" w:type="pct"/>
            <w:shd w:val="clear" w:color="auto" w:fill="D9D9D9" w:themeFill="background1" w:themeFillShade="D9"/>
            <w:vAlign w:val="bottom"/>
          </w:tcPr>
          <w:p w:rsidR="00327E94" w:rsidRDefault="00327E94" w:rsidP="00B93AD7">
            <w:pPr>
              <w:pStyle w:val="TableBodyText"/>
            </w:pPr>
            <w:r>
              <w:t>5.3</w:t>
            </w:r>
          </w:p>
        </w:tc>
        <w:tc>
          <w:tcPr>
            <w:tcW w:w="564" w:type="pct"/>
            <w:shd w:val="clear" w:color="auto" w:fill="D9D9D9" w:themeFill="background1" w:themeFillShade="D9"/>
            <w:vAlign w:val="bottom"/>
          </w:tcPr>
          <w:p w:rsidR="00327E94" w:rsidRPr="002B1CDC" w:rsidRDefault="00327E94" w:rsidP="00B93AD7">
            <w:pPr>
              <w:pStyle w:val="TableBodyText"/>
            </w:pPr>
          </w:p>
        </w:tc>
        <w:tc>
          <w:tcPr>
            <w:tcW w:w="724" w:type="pct"/>
            <w:shd w:val="clear" w:color="auto" w:fill="D9D9D9" w:themeFill="background1" w:themeFillShade="D9"/>
            <w:vAlign w:val="bottom"/>
          </w:tcPr>
          <w:p w:rsidR="00327E94" w:rsidRPr="002B1CDC" w:rsidRDefault="00327E94" w:rsidP="00B93AD7">
            <w:pPr>
              <w:pStyle w:val="TableBodyText"/>
            </w:pPr>
          </w:p>
        </w:tc>
      </w:tr>
      <w:tr w:rsidR="00327E94" w:rsidTr="00D07F32">
        <w:tc>
          <w:tcPr>
            <w:tcW w:w="3148" w:type="pct"/>
            <w:vAlign w:val="bottom"/>
          </w:tcPr>
          <w:p w:rsidR="00327E94" w:rsidRPr="002B1CDC" w:rsidRDefault="00327E94" w:rsidP="00B93AD7">
            <w:pPr>
              <w:pStyle w:val="TableBodyText"/>
              <w:jc w:val="left"/>
            </w:pPr>
            <w:r>
              <w:t xml:space="preserve">    </w:t>
            </w:r>
            <w:r w:rsidRPr="002B1CDC">
              <w:t>213 Basic non-ferrous metal manufacturing</w:t>
            </w:r>
          </w:p>
        </w:tc>
        <w:tc>
          <w:tcPr>
            <w:tcW w:w="564" w:type="pct"/>
            <w:shd w:val="clear" w:color="auto" w:fill="auto"/>
            <w:vAlign w:val="bottom"/>
          </w:tcPr>
          <w:p w:rsidR="00327E94" w:rsidRDefault="00327E94" w:rsidP="00B93AD7">
            <w:pPr>
              <w:pStyle w:val="TableBodyText"/>
            </w:pPr>
            <w:r>
              <w:t>36.5</w:t>
            </w:r>
          </w:p>
        </w:tc>
        <w:tc>
          <w:tcPr>
            <w:tcW w:w="564" w:type="pct"/>
            <w:shd w:val="clear" w:color="auto" w:fill="auto"/>
            <w:vAlign w:val="bottom"/>
          </w:tcPr>
          <w:p w:rsidR="00327E94" w:rsidRPr="002B1CDC" w:rsidRDefault="00327E94" w:rsidP="00B93AD7">
            <w:pPr>
              <w:pStyle w:val="TableBodyText"/>
            </w:pPr>
          </w:p>
        </w:tc>
        <w:tc>
          <w:tcPr>
            <w:tcW w:w="724" w:type="pct"/>
            <w:shd w:val="clear" w:color="auto" w:fill="auto"/>
            <w:vAlign w:val="bottom"/>
          </w:tcPr>
          <w:p w:rsidR="00327E94" w:rsidRPr="002B1CDC" w:rsidRDefault="00327E94" w:rsidP="00B93AD7">
            <w:pPr>
              <w:pStyle w:val="TableBodyText"/>
            </w:pPr>
          </w:p>
        </w:tc>
      </w:tr>
      <w:tr w:rsidR="00413B9C" w:rsidRPr="002B1CDC" w:rsidTr="00D07F32">
        <w:tc>
          <w:tcPr>
            <w:tcW w:w="3148" w:type="pct"/>
            <w:shd w:val="clear" w:color="auto" w:fill="D9D9D9" w:themeFill="background1" w:themeFillShade="D9"/>
            <w:vAlign w:val="bottom"/>
          </w:tcPr>
          <w:p w:rsidR="00413B9C" w:rsidRPr="002B1CDC" w:rsidRDefault="00413B9C" w:rsidP="00B93AD7">
            <w:pPr>
              <w:pStyle w:val="TableBodyText"/>
              <w:jc w:val="left"/>
              <w:rPr>
                <w:i/>
              </w:rPr>
            </w:pPr>
            <w:r>
              <w:t xml:space="preserve">    </w:t>
            </w:r>
            <w:r w:rsidR="009F3702">
              <w:rPr>
                <w:i/>
              </w:rPr>
              <w:t xml:space="preserve">   </w:t>
            </w:r>
            <w:r w:rsidRPr="002B1CDC">
              <w:rPr>
                <w:i/>
              </w:rPr>
              <w:t>2131 Alumina production</w:t>
            </w:r>
          </w:p>
        </w:tc>
        <w:tc>
          <w:tcPr>
            <w:tcW w:w="564" w:type="pct"/>
            <w:shd w:val="clear" w:color="auto" w:fill="D9D9D9" w:themeFill="background1" w:themeFillShade="D9"/>
            <w:vAlign w:val="bottom"/>
          </w:tcPr>
          <w:p w:rsidR="00413B9C" w:rsidRPr="00335BBE" w:rsidRDefault="00413B9C" w:rsidP="00B93AD7">
            <w:pPr>
              <w:pStyle w:val="TableBodyText"/>
              <w:rPr>
                <w:i/>
              </w:rPr>
            </w:pPr>
            <w:r w:rsidRPr="00335BBE">
              <w:rPr>
                <w:i/>
              </w:rPr>
              <w:t>16.9</w:t>
            </w:r>
          </w:p>
        </w:tc>
        <w:tc>
          <w:tcPr>
            <w:tcW w:w="564" w:type="pct"/>
            <w:shd w:val="clear" w:color="auto" w:fill="D9D9D9" w:themeFill="background1" w:themeFillShade="D9"/>
            <w:vAlign w:val="bottom"/>
          </w:tcPr>
          <w:p w:rsidR="00413B9C" w:rsidRPr="002B1CDC" w:rsidRDefault="00413B9C" w:rsidP="00B93AD7">
            <w:pPr>
              <w:pStyle w:val="TableBodyText"/>
              <w:rPr>
                <w:i/>
              </w:rPr>
            </w:pPr>
          </w:p>
        </w:tc>
        <w:tc>
          <w:tcPr>
            <w:tcW w:w="724" w:type="pct"/>
            <w:shd w:val="clear" w:color="auto" w:fill="D9D9D9" w:themeFill="background1" w:themeFillShade="D9"/>
            <w:vAlign w:val="bottom"/>
          </w:tcPr>
          <w:p w:rsidR="00413B9C" w:rsidRPr="002B1CDC" w:rsidRDefault="00413B9C" w:rsidP="00B93AD7">
            <w:pPr>
              <w:pStyle w:val="TableBodyText"/>
              <w:rPr>
                <w:i/>
              </w:rPr>
            </w:pPr>
          </w:p>
        </w:tc>
      </w:tr>
      <w:tr w:rsidR="00413B9C" w:rsidRPr="002B1CDC" w:rsidTr="00D07F32">
        <w:tc>
          <w:tcPr>
            <w:tcW w:w="3148" w:type="pct"/>
            <w:vAlign w:val="bottom"/>
          </w:tcPr>
          <w:p w:rsidR="00413B9C" w:rsidRPr="002B1CDC" w:rsidRDefault="00413B9C" w:rsidP="00B93AD7">
            <w:pPr>
              <w:pStyle w:val="TableBodyText"/>
              <w:jc w:val="left"/>
              <w:rPr>
                <w:i/>
              </w:rPr>
            </w:pPr>
            <w:r>
              <w:t xml:space="preserve">    </w:t>
            </w:r>
            <w:r w:rsidR="009F3702">
              <w:rPr>
                <w:i/>
              </w:rPr>
              <w:t xml:space="preserve">   </w:t>
            </w:r>
            <w:r w:rsidRPr="002B1CDC">
              <w:rPr>
                <w:i/>
              </w:rPr>
              <w:t>2132 Aluminium smelting</w:t>
            </w:r>
          </w:p>
        </w:tc>
        <w:tc>
          <w:tcPr>
            <w:tcW w:w="564" w:type="pct"/>
            <w:shd w:val="clear" w:color="auto" w:fill="auto"/>
            <w:vAlign w:val="bottom"/>
          </w:tcPr>
          <w:p w:rsidR="00413B9C" w:rsidRPr="00335BBE" w:rsidRDefault="00413B9C" w:rsidP="00B93AD7">
            <w:pPr>
              <w:pStyle w:val="TableBodyText"/>
              <w:rPr>
                <w:i/>
              </w:rPr>
            </w:pPr>
            <w:r w:rsidRPr="00335BBE">
              <w:rPr>
                <w:i/>
              </w:rPr>
              <w:t>8.4</w:t>
            </w:r>
          </w:p>
        </w:tc>
        <w:tc>
          <w:tcPr>
            <w:tcW w:w="564" w:type="pct"/>
            <w:shd w:val="clear" w:color="auto" w:fill="auto"/>
            <w:vAlign w:val="bottom"/>
          </w:tcPr>
          <w:p w:rsidR="00413B9C" w:rsidRPr="002B1CDC" w:rsidRDefault="00413B9C" w:rsidP="00B93AD7">
            <w:pPr>
              <w:pStyle w:val="TableBodyText"/>
              <w:rPr>
                <w:i/>
              </w:rPr>
            </w:pPr>
          </w:p>
        </w:tc>
        <w:tc>
          <w:tcPr>
            <w:tcW w:w="724" w:type="pct"/>
            <w:shd w:val="clear" w:color="auto" w:fill="auto"/>
            <w:vAlign w:val="bottom"/>
          </w:tcPr>
          <w:p w:rsidR="00413B9C" w:rsidRPr="002B1CDC" w:rsidRDefault="00413B9C" w:rsidP="00B93AD7">
            <w:pPr>
              <w:pStyle w:val="TableBodyText"/>
              <w:rPr>
                <w:i/>
              </w:rPr>
            </w:pPr>
          </w:p>
        </w:tc>
      </w:tr>
      <w:tr w:rsidR="00413B9C" w:rsidRPr="002B1CDC" w:rsidTr="00D07F32">
        <w:tc>
          <w:tcPr>
            <w:tcW w:w="3148" w:type="pct"/>
            <w:shd w:val="clear" w:color="auto" w:fill="D9D9D9" w:themeFill="background1" w:themeFillShade="D9"/>
            <w:vAlign w:val="bottom"/>
          </w:tcPr>
          <w:p w:rsidR="00413B9C" w:rsidRPr="002B1CDC" w:rsidRDefault="00413B9C" w:rsidP="00B93AD7">
            <w:pPr>
              <w:pStyle w:val="TableBodyText"/>
              <w:jc w:val="left"/>
              <w:rPr>
                <w:i/>
              </w:rPr>
            </w:pPr>
            <w:r>
              <w:t xml:space="preserve">    </w:t>
            </w:r>
            <w:r w:rsidR="009F3702">
              <w:rPr>
                <w:i/>
              </w:rPr>
              <w:t xml:space="preserve">   </w:t>
            </w:r>
            <w:r w:rsidRPr="002B1CDC">
              <w:rPr>
                <w:i/>
              </w:rPr>
              <w:t>2133 Copper, silver, lead and zinc smelting and refining</w:t>
            </w:r>
          </w:p>
        </w:tc>
        <w:tc>
          <w:tcPr>
            <w:tcW w:w="564" w:type="pct"/>
            <w:shd w:val="clear" w:color="auto" w:fill="D9D9D9" w:themeFill="background1" w:themeFillShade="D9"/>
            <w:vAlign w:val="bottom"/>
          </w:tcPr>
          <w:p w:rsidR="00413B9C" w:rsidRPr="00335BBE" w:rsidRDefault="00413B9C" w:rsidP="00B93AD7">
            <w:pPr>
              <w:pStyle w:val="TableBodyText"/>
              <w:rPr>
                <w:i/>
              </w:rPr>
            </w:pPr>
            <w:r w:rsidRPr="00335BBE">
              <w:rPr>
                <w:i/>
              </w:rPr>
              <w:t>2.3</w:t>
            </w:r>
          </w:p>
        </w:tc>
        <w:tc>
          <w:tcPr>
            <w:tcW w:w="564" w:type="pct"/>
            <w:shd w:val="clear" w:color="auto" w:fill="D9D9D9" w:themeFill="background1" w:themeFillShade="D9"/>
            <w:vAlign w:val="bottom"/>
          </w:tcPr>
          <w:p w:rsidR="00413B9C" w:rsidRPr="002B1CDC" w:rsidRDefault="00413B9C" w:rsidP="00B93AD7">
            <w:pPr>
              <w:pStyle w:val="TableBodyText"/>
              <w:rPr>
                <w:i/>
              </w:rPr>
            </w:pPr>
          </w:p>
        </w:tc>
        <w:tc>
          <w:tcPr>
            <w:tcW w:w="724" w:type="pct"/>
            <w:shd w:val="clear" w:color="auto" w:fill="D9D9D9" w:themeFill="background1" w:themeFillShade="D9"/>
            <w:vAlign w:val="bottom"/>
          </w:tcPr>
          <w:p w:rsidR="00413B9C" w:rsidRPr="002B1CDC" w:rsidRDefault="00413B9C" w:rsidP="00B93AD7">
            <w:pPr>
              <w:pStyle w:val="TableBodyText"/>
              <w:rPr>
                <w:i/>
              </w:rPr>
            </w:pPr>
          </w:p>
        </w:tc>
      </w:tr>
      <w:tr w:rsidR="00413B9C" w:rsidRPr="002B1CDC" w:rsidTr="00D07F32">
        <w:tc>
          <w:tcPr>
            <w:tcW w:w="3148" w:type="pct"/>
            <w:vAlign w:val="bottom"/>
          </w:tcPr>
          <w:p w:rsidR="00413B9C" w:rsidRPr="002B1CDC" w:rsidRDefault="00413B9C" w:rsidP="00B93AD7">
            <w:pPr>
              <w:pStyle w:val="TableBodyText"/>
              <w:jc w:val="left"/>
              <w:rPr>
                <w:i/>
              </w:rPr>
            </w:pPr>
            <w:r w:rsidRPr="002B1CDC">
              <w:rPr>
                <w:i/>
              </w:rPr>
              <w:t xml:space="preserve">    </w:t>
            </w:r>
            <w:r w:rsidR="009F3702">
              <w:t xml:space="preserve">   </w:t>
            </w:r>
            <w:r w:rsidRPr="002B1CDC">
              <w:rPr>
                <w:i/>
              </w:rPr>
              <w:t>2139 Other basic non-ferrous metal manufacturing</w:t>
            </w:r>
          </w:p>
        </w:tc>
        <w:tc>
          <w:tcPr>
            <w:tcW w:w="564" w:type="pct"/>
            <w:shd w:val="clear" w:color="auto" w:fill="auto"/>
            <w:vAlign w:val="bottom"/>
          </w:tcPr>
          <w:p w:rsidR="00413B9C" w:rsidRPr="00335BBE" w:rsidRDefault="00413B9C" w:rsidP="00B93AD7">
            <w:pPr>
              <w:pStyle w:val="TableBodyText"/>
              <w:rPr>
                <w:i/>
              </w:rPr>
            </w:pPr>
            <w:r w:rsidRPr="00335BBE">
              <w:rPr>
                <w:i/>
              </w:rPr>
              <w:t>8.9</w:t>
            </w:r>
          </w:p>
        </w:tc>
        <w:tc>
          <w:tcPr>
            <w:tcW w:w="564" w:type="pct"/>
            <w:shd w:val="clear" w:color="auto" w:fill="auto"/>
            <w:vAlign w:val="bottom"/>
          </w:tcPr>
          <w:p w:rsidR="00413B9C" w:rsidRPr="002B1CDC" w:rsidRDefault="00413B9C" w:rsidP="00B93AD7">
            <w:pPr>
              <w:pStyle w:val="TableBodyText"/>
              <w:rPr>
                <w:i/>
              </w:rPr>
            </w:pPr>
          </w:p>
        </w:tc>
        <w:tc>
          <w:tcPr>
            <w:tcW w:w="724" w:type="pct"/>
            <w:shd w:val="clear" w:color="auto" w:fill="auto"/>
            <w:vAlign w:val="bottom"/>
          </w:tcPr>
          <w:p w:rsidR="00413B9C" w:rsidRPr="002B1CDC" w:rsidRDefault="00413B9C" w:rsidP="00B93AD7">
            <w:pPr>
              <w:pStyle w:val="TableBodyText"/>
              <w:rPr>
                <w:i/>
              </w:rPr>
            </w:pPr>
          </w:p>
        </w:tc>
      </w:tr>
      <w:tr w:rsidR="00100A68" w:rsidTr="00D07F32">
        <w:tc>
          <w:tcPr>
            <w:tcW w:w="3148" w:type="pct"/>
            <w:shd w:val="clear" w:color="auto" w:fill="D9D9D9" w:themeFill="background1" w:themeFillShade="D9"/>
            <w:vAlign w:val="bottom"/>
          </w:tcPr>
          <w:p w:rsidR="00100A68" w:rsidRPr="002B1CDC" w:rsidRDefault="00100A68" w:rsidP="00B93AD7">
            <w:pPr>
              <w:pStyle w:val="TableBodyText"/>
              <w:jc w:val="left"/>
            </w:pPr>
            <w:r>
              <w:t xml:space="preserve">    </w:t>
            </w:r>
            <w:r w:rsidRPr="002B1CDC">
              <w:t>214 Basic non-ferrous metal product manufacturing</w:t>
            </w:r>
          </w:p>
        </w:tc>
        <w:tc>
          <w:tcPr>
            <w:tcW w:w="564" w:type="pct"/>
            <w:shd w:val="clear" w:color="auto" w:fill="D9D9D9" w:themeFill="background1" w:themeFillShade="D9"/>
            <w:vAlign w:val="bottom"/>
          </w:tcPr>
          <w:p w:rsidR="00100A68" w:rsidRPr="00413B9C" w:rsidRDefault="00413B9C" w:rsidP="00B93AD7">
            <w:pPr>
              <w:pStyle w:val="TableBodyText"/>
            </w:pPr>
            <w:r>
              <w:t>1.9</w:t>
            </w:r>
          </w:p>
        </w:tc>
        <w:tc>
          <w:tcPr>
            <w:tcW w:w="564" w:type="pct"/>
            <w:shd w:val="clear" w:color="auto" w:fill="D9D9D9" w:themeFill="background1" w:themeFillShade="D9"/>
            <w:vAlign w:val="bottom"/>
          </w:tcPr>
          <w:p w:rsidR="00100A68" w:rsidRPr="002B1CDC" w:rsidRDefault="00100A68" w:rsidP="00B93AD7">
            <w:pPr>
              <w:pStyle w:val="TableBodyText"/>
            </w:pPr>
          </w:p>
        </w:tc>
        <w:tc>
          <w:tcPr>
            <w:tcW w:w="724" w:type="pct"/>
            <w:shd w:val="clear" w:color="auto" w:fill="D9D9D9" w:themeFill="background1" w:themeFillShade="D9"/>
            <w:vAlign w:val="bottom"/>
          </w:tcPr>
          <w:p w:rsidR="00100A68" w:rsidRPr="002B1CDC" w:rsidRDefault="00100A68" w:rsidP="00B93AD7">
            <w:pPr>
              <w:pStyle w:val="TableBodyText"/>
            </w:pPr>
          </w:p>
        </w:tc>
      </w:tr>
      <w:tr w:rsidR="00100A68" w:rsidTr="00D07F32">
        <w:tc>
          <w:tcPr>
            <w:tcW w:w="3148" w:type="pct"/>
            <w:vAlign w:val="bottom"/>
          </w:tcPr>
          <w:p w:rsidR="00100A68" w:rsidRPr="002B1CDC" w:rsidRDefault="00100A68" w:rsidP="00B93AD7">
            <w:pPr>
              <w:pStyle w:val="TableBodyText"/>
              <w:jc w:val="left"/>
            </w:pPr>
          </w:p>
        </w:tc>
        <w:tc>
          <w:tcPr>
            <w:tcW w:w="564" w:type="pct"/>
            <w:shd w:val="clear" w:color="auto" w:fill="auto"/>
            <w:vAlign w:val="bottom"/>
          </w:tcPr>
          <w:p w:rsidR="00100A68" w:rsidRPr="002B1CDC" w:rsidRDefault="00100A68" w:rsidP="00B93AD7">
            <w:pPr>
              <w:pStyle w:val="TableBodyText"/>
            </w:pPr>
          </w:p>
        </w:tc>
        <w:tc>
          <w:tcPr>
            <w:tcW w:w="564" w:type="pct"/>
            <w:shd w:val="clear" w:color="auto" w:fill="auto"/>
            <w:vAlign w:val="bottom"/>
          </w:tcPr>
          <w:p w:rsidR="00100A68" w:rsidRPr="002B1CDC" w:rsidRDefault="00100A68" w:rsidP="00B93AD7">
            <w:pPr>
              <w:pStyle w:val="TableBodyText"/>
            </w:pPr>
          </w:p>
        </w:tc>
        <w:tc>
          <w:tcPr>
            <w:tcW w:w="724" w:type="pct"/>
            <w:shd w:val="clear" w:color="auto" w:fill="auto"/>
            <w:vAlign w:val="bottom"/>
          </w:tcPr>
          <w:p w:rsidR="00100A68" w:rsidRPr="002B1CDC" w:rsidRDefault="00100A68" w:rsidP="00B93AD7">
            <w:pPr>
              <w:pStyle w:val="TableBodyText"/>
            </w:pPr>
          </w:p>
        </w:tc>
      </w:tr>
      <w:tr w:rsidR="00100A68" w:rsidRPr="002B1CDC" w:rsidTr="00D07F32">
        <w:tc>
          <w:tcPr>
            <w:tcW w:w="3148" w:type="pct"/>
            <w:shd w:val="clear" w:color="auto" w:fill="D9D9D9" w:themeFill="background1" w:themeFillShade="D9"/>
            <w:vAlign w:val="bottom"/>
          </w:tcPr>
          <w:p w:rsidR="00100A68" w:rsidRPr="002B1CDC" w:rsidRDefault="00100A68" w:rsidP="00B93AD7">
            <w:pPr>
              <w:pStyle w:val="TableBodyText"/>
              <w:jc w:val="left"/>
              <w:rPr>
                <w:b/>
              </w:rPr>
            </w:pPr>
            <w:r>
              <w:rPr>
                <w:b/>
              </w:rPr>
              <w:t xml:space="preserve">22 </w:t>
            </w:r>
            <w:r w:rsidRPr="002B1CDC">
              <w:rPr>
                <w:b/>
              </w:rPr>
              <w:t>Fabricated metal product manufacturing</w:t>
            </w:r>
          </w:p>
        </w:tc>
        <w:tc>
          <w:tcPr>
            <w:tcW w:w="564" w:type="pct"/>
            <w:shd w:val="clear" w:color="auto" w:fill="D9D9D9" w:themeFill="background1" w:themeFillShade="D9"/>
            <w:vAlign w:val="bottom"/>
          </w:tcPr>
          <w:p w:rsidR="00100A68" w:rsidRPr="00335BBE" w:rsidRDefault="00413B9C" w:rsidP="00B93AD7">
            <w:pPr>
              <w:pStyle w:val="TableBodyText"/>
              <w:rPr>
                <w:b/>
              </w:rPr>
            </w:pPr>
            <w:r w:rsidRPr="00335BBE">
              <w:rPr>
                <w:b/>
              </w:rPr>
              <w:t>38.7</w:t>
            </w:r>
          </w:p>
        </w:tc>
        <w:tc>
          <w:tcPr>
            <w:tcW w:w="564" w:type="pct"/>
            <w:shd w:val="clear" w:color="auto" w:fill="D9D9D9" w:themeFill="background1" w:themeFillShade="D9"/>
            <w:vAlign w:val="bottom"/>
          </w:tcPr>
          <w:p w:rsidR="00100A68" w:rsidRPr="002B1CDC" w:rsidRDefault="00100A68" w:rsidP="00B93AD7">
            <w:pPr>
              <w:pStyle w:val="TableBodyText"/>
              <w:rPr>
                <w:b/>
              </w:rPr>
            </w:pPr>
            <w:r>
              <w:rPr>
                <w:b/>
              </w:rPr>
              <w:t>47.1</w:t>
            </w:r>
          </w:p>
        </w:tc>
        <w:tc>
          <w:tcPr>
            <w:tcW w:w="724" w:type="pct"/>
            <w:shd w:val="clear" w:color="auto" w:fill="D9D9D9" w:themeFill="background1" w:themeFillShade="D9"/>
            <w:vAlign w:val="bottom"/>
          </w:tcPr>
          <w:p w:rsidR="00100A68" w:rsidRPr="002B1CDC" w:rsidRDefault="00100A68" w:rsidP="00B93AD7">
            <w:pPr>
              <w:pStyle w:val="TableBodyText"/>
              <w:rPr>
                <w:b/>
              </w:rPr>
            </w:pPr>
            <w:r>
              <w:rPr>
                <w:b/>
              </w:rPr>
              <w:t>23.3</w:t>
            </w:r>
          </w:p>
        </w:tc>
      </w:tr>
      <w:tr w:rsidR="00413B9C" w:rsidTr="00D07F32">
        <w:tc>
          <w:tcPr>
            <w:tcW w:w="3148" w:type="pct"/>
            <w:vAlign w:val="bottom"/>
          </w:tcPr>
          <w:p w:rsidR="00413B9C" w:rsidRPr="002B1CDC" w:rsidRDefault="00413B9C" w:rsidP="00B93AD7">
            <w:pPr>
              <w:pStyle w:val="TableBodyText"/>
              <w:jc w:val="left"/>
            </w:pPr>
            <w:r>
              <w:t xml:space="preserve">    </w:t>
            </w:r>
            <w:r w:rsidRPr="002B1CDC">
              <w:t>221 Iron and steel forging</w:t>
            </w:r>
          </w:p>
        </w:tc>
        <w:tc>
          <w:tcPr>
            <w:tcW w:w="564" w:type="pct"/>
            <w:shd w:val="clear" w:color="auto" w:fill="auto"/>
            <w:vAlign w:val="bottom"/>
          </w:tcPr>
          <w:p w:rsidR="00413B9C" w:rsidRDefault="00413B9C" w:rsidP="00B93AD7">
            <w:pPr>
              <w:pStyle w:val="TableBodyText"/>
            </w:pPr>
            <w:r>
              <w:t>0.8</w:t>
            </w:r>
          </w:p>
        </w:tc>
        <w:tc>
          <w:tcPr>
            <w:tcW w:w="564" w:type="pct"/>
            <w:shd w:val="clear" w:color="auto" w:fill="auto"/>
            <w:vAlign w:val="bottom"/>
          </w:tcPr>
          <w:p w:rsidR="00413B9C" w:rsidRPr="002B1CDC" w:rsidRDefault="00413B9C" w:rsidP="00B93AD7">
            <w:pPr>
              <w:pStyle w:val="TableBodyText"/>
            </w:pPr>
          </w:p>
        </w:tc>
        <w:tc>
          <w:tcPr>
            <w:tcW w:w="724" w:type="pct"/>
            <w:shd w:val="clear" w:color="auto" w:fill="auto"/>
            <w:vAlign w:val="bottom"/>
          </w:tcPr>
          <w:p w:rsidR="00413B9C" w:rsidRPr="002B1CDC" w:rsidRDefault="00413B9C" w:rsidP="00B93AD7">
            <w:pPr>
              <w:pStyle w:val="TableBodyText"/>
            </w:pPr>
          </w:p>
        </w:tc>
      </w:tr>
      <w:tr w:rsidR="00413B9C" w:rsidTr="00D07F32">
        <w:tc>
          <w:tcPr>
            <w:tcW w:w="3148" w:type="pct"/>
            <w:shd w:val="clear" w:color="auto" w:fill="D9D9D9" w:themeFill="background1" w:themeFillShade="D9"/>
            <w:vAlign w:val="bottom"/>
          </w:tcPr>
          <w:p w:rsidR="00413B9C" w:rsidRPr="002B1CDC" w:rsidRDefault="00413B9C" w:rsidP="00B93AD7">
            <w:pPr>
              <w:pStyle w:val="TableBodyText"/>
              <w:jc w:val="left"/>
            </w:pPr>
            <w:r>
              <w:t xml:space="preserve">    </w:t>
            </w:r>
            <w:r w:rsidRPr="002B1CDC">
              <w:t>222 Structural metal product manufacturing</w:t>
            </w:r>
          </w:p>
        </w:tc>
        <w:tc>
          <w:tcPr>
            <w:tcW w:w="564" w:type="pct"/>
            <w:shd w:val="clear" w:color="auto" w:fill="D9D9D9" w:themeFill="background1" w:themeFillShade="D9"/>
            <w:vAlign w:val="bottom"/>
          </w:tcPr>
          <w:p w:rsidR="00413B9C" w:rsidRDefault="00413B9C" w:rsidP="00B93AD7">
            <w:pPr>
              <w:pStyle w:val="TableBodyText"/>
            </w:pPr>
            <w:r>
              <w:t>19.5</w:t>
            </w:r>
          </w:p>
        </w:tc>
        <w:tc>
          <w:tcPr>
            <w:tcW w:w="564" w:type="pct"/>
            <w:shd w:val="clear" w:color="auto" w:fill="D9D9D9" w:themeFill="background1" w:themeFillShade="D9"/>
            <w:vAlign w:val="bottom"/>
          </w:tcPr>
          <w:p w:rsidR="00413B9C" w:rsidRPr="002B1CDC" w:rsidRDefault="00413B9C" w:rsidP="00B93AD7">
            <w:pPr>
              <w:pStyle w:val="TableBodyText"/>
            </w:pPr>
          </w:p>
        </w:tc>
        <w:tc>
          <w:tcPr>
            <w:tcW w:w="724" w:type="pct"/>
            <w:shd w:val="clear" w:color="auto" w:fill="D9D9D9" w:themeFill="background1" w:themeFillShade="D9"/>
            <w:vAlign w:val="bottom"/>
          </w:tcPr>
          <w:p w:rsidR="00413B9C" w:rsidRPr="002B1CDC" w:rsidRDefault="00413B9C" w:rsidP="00B93AD7">
            <w:pPr>
              <w:pStyle w:val="TableBodyText"/>
            </w:pPr>
          </w:p>
        </w:tc>
      </w:tr>
      <w:tr w:rsidR="00413B9C" w:rsidRPr="002B1CDC" w:rsidTr="00D07F32">
        <w:tc>
          <w:tcPr>
            <w:tcW w:w="3148" w:type="pct"/>
            <w:vAlign w:val="bottom"/>
          </w:tcPr>
          <w:p w:rsidR="00413B9C" w:rsidRPr="002B1CDC" w:rsidRDefault="00413B9C" w:rsidP="00B93AD7">
            <w:pPr>
              <w:pStyle w:val="TableBodyText"/>
              <w:jc w:val="left"/>
              <w:rPr>
                <w:i/>
              </w:rPr>
            </w:pPr>
            <w:r>
              <w:t xml:space="preserve">    </w:t>
            </w:r>
            <w:r w:rsidR="009F3702">
              <w:rPr>
                <w:i/>
              </w:rPr>
              <w:t xml:space="preserve">   </w:t>
            </w:r>
            <w:r w:rsidRPr="002B1CDC">
              <w:rPr>
                <w:i/>
              </w:rPr>
              <w:t>2221 Structural steel fabricating</w:t>
            </w:r>
          </w:p>
        </w:tc>
        <w:tc>
          <w:tcPr>
            <w:tcW w:w="564" w:type="pct"/>
            <w:shd w:val="clear" w:color="auto" w:fill="auto"/>
            <w:vAlign w:val="bottom"/>
          </w:tcPr>
          <w:p w:rsidR="00413B9C" w:rsidRPr="00335BBE" w:rsidRDefault="00413B9C" w:rsidP="00B93AD7">
            <w:pPr>
              <w:pStyle w:val="TableBodyText"/>
              <w:rPr>
                <w:i/>
              </w:rPr>
            </w:pPr>
            <w:r w:rsidRPr="00335BBE">
              <w:rPr>
                <w:i/>
              </w:rPr>
              <w:t>8.8</w:t>
            </w:r>
          </w:p>
        </w:tc>
        <w:tc>
          <w:tcPr>
            <w:tcW w:w="564" w:type="pct"/>
            <w:shd w:val="clear" w:color="auto" w:fill="auto"/>
            <w:vAlign w:val="bottom"/>
          </w:tcPr>
          <w:p w:rsidR="00413B9C" w:rsidRPr="002B1CDC" w:rsidRDefault="00413B9C" w:rsidP="00B93AD7">
            <w:pPr>
              <w:pStyle w:val="TableBodyText"/>
              <w:rPr>
                <w:i/>
              </w:rPr>
            </w:pPr>
          </w:p>
        </w:tc>
        <w:tc>
          <w:tcPr>
            <w:tcW w:w="724" w:type="pct"/>
            <w:shd w:val="clear" w:color="auto" w:fill="auto"/>
            <w:vAlign w:val="bottom"/>
          </w:tcPr>
          <w:p w:rsidR="00413B9C" w:rsidRPr="002B1CDC" w:rsidRDefault="00413B9C" w:rsidP="00B93AD7">
            <w:pPr>
              <w:pStyle w:val="TableBodyText"/>
              <w:rPr>
                <w:i/>
              </w:rPr>
            </w:pPr>
          </w:p>
        </w:tc>
      </w:tr>
      <w:tr w:rsidR="00413B9C" w:rsidRPr="002B1CDC" w:rsidTr="00D07F32">
        <w:tc>
          <w:tcPr>
            <w:tcW w:w="3148" w:type="pct"/>
            <w:shd w:val="clear" w:color="auto" w:fill="D9D9D9" w:themeFill="background1" w:themeFillShade="D9"/>
            <w:vAlign w:val="bottom"/>
          </w:tcPr>
          <w:p w:rsidR="00413B9C" w:rsidRPr="002B1CDC" w:rsidRDefault="00413B9C" w:rsidP="00B93AD7">
            <w:pPr>
              <w:pStyle w:val="TableBodyText"/>
              <w:jc w:val="left"/>
              <w:rPr>
                <w:i/>
              </w:rPr>
            </w:pPr>
            <w:r>
              <w:t xml:space="preserve">    </w:t>
            </w:r>
            <w:r w:rsidR="009F3702">
              <w:rPr>
                <w:i/>
              </w:rPr>
              <w:t xml:space="preserve">   </w:t>
            </w:r>
            <w:r w:rsidRPr="002B1CDC">
              <w:rPr>
                <w:i/>
              </w:rPr>
              <w:t>2222 Prefabricated metal building manufacturing</w:t>
            </w:r>
          </w:p>
        </w:tc>
        <w:tc>
          <w:tcPr>
            <w:tcW w:w="564" w:type="pct"/>
            <w:shd w:val="clear" w:color="auto" w:fill="D9D9D9" w:themeFill="background1" w:themeFillShade="D9"/>
            <w:vAlign w:val="bottom"/>
          </w:tcPr>
          <w:p w:rsidR="00413B9C" w:rsidRPr="00335BBE" w:rsidRDefault="00413B9C" w:rsidP="00B93AD7">
            <w:pPr>
              <w:pStyle w:val="TableBodyText"/>
              <w:rPr>
                <w:i/>
              </w:rPr>
            </w:pPr>
            <w:r w:rsidRPr="00335BBE">
              <w:rPr>
                <w:i/>
              </w:rPr>
              <w:t>2.1</w:t>
            </w:r>
          </w:p>
        </w:tc>
        <w:tc>
          <w:tcPr>
            <w:tcW w:w="564" w:type="pct"/>
            <w:shd w:val="clear" w:color="auto" w:fill="D9D9D9" w:themeFill="background1" w:themeFillShade="D9"/>
            <w:vAlign w:val="bottom"/>
          </w:tcPr>
          <w:p w:rsidR="00413B9C" w:rsidRPr="002B1CDC" w:rsidRDefault="00413B9C" w:rsidP="00B93AD7">
            <w:pPr>
              <w:pStyle w:val="TableBodyText"/>
              <w:rPr>
                <w:i/>
              </w:rPr>
            </w:pPr>
          </w:p>
        </w:tc>
        <w:tc>
          <w:tcPr>
            <w:tcW w:w="724" w:type="pct"/>
            <w:shd w:val="clear" w:color="auto" w:fill="D9D9D9" w:themeFill="background1" w:themeFillShade="D9"/>
            <w:vAlign w:val="bottom"/>
          </w:tcPr>
          <w:p w:rsidR="00413B9C" w:rsidRPr="002B1CDC" w:rsidRDefault="00413B9C" w:rsidP="00B93AD7">
            <w:pPr>
              <w:pStyle w:val="TableBodyText"/>
              <w:rPr>
                <w:i/>
              </w:rPr>
            </w:pPr>
          </w:p>
        </w:tc>
      </w:tr>
      <w:tr w:rsidR="00413B9C" w:rsidRPr="002B1CDC" w:rsidTr="00D07F32">
        <w:tc>
          <w:tcPr>
            <w:tcW w:w="3148" w:type="pct"/>
            <w:vAlign w:val="bottom"/>
          </w:tcPr>
          <w:p w:rsidR="00413B9C" w:rsidRPr="002B1CDC" w:rsidRDefault="00413B9C" w:rsidP="00B93AD7">
            <w:pPr>
              <w:pStyle w:val="TableBodyText"/>
              <w:jc w:val="left"/>
              <w:rPr>
                <w:i/>
              </w:rPr>
            </w:pPr>
            <w:r>
              <w:t xml:space="preserve">    </w:t>
            </w:r>
            <w:r w:rsidR="009F3702">
              <w:rPr>
                <w:i/>
              </w:rPr>
              <w:t xml:space="preserve">   </w:t>
            </w:r>
            <w:r w:rsidRPr="002B1CDC">
              <w:rPr>
                <w:i/>
              </w:rPr>
              <w:t>2223 Architectural aluminium product manufacturing</w:t>
            </w:r>
          </w:p>
        </w:tc>
        <w:tc>
          <w:tcPr>
            <w:tcW w:w="564" w:type="pct"/>
            <w:shd w:val="clear" w:color="auto" w:fill="auto"/>
            <w:vAlign w:val="bottom"/>
          </w:tcPr>
          <w:p w:rsidR="00413B9C" w:rsidRPr="00335BBE" w:rsidRDefault="00413B9C" w:rsidP="00B93AD7">
            <w:pPr>
              <w:pStyle w:val="TableBodyText"/>
              <w:rPr>
                <w:i/>
              </w:rPr>
            </w:pPr>
            <w:r w:rsidRPr="00335BBE">
              <w:rPr>
                <w:i/>
              </w:rPr>
              <w:t>5.1</w:t>
            </w:r>
          </w:p>
        </w:tc>
        <w:tc>
          <w:tcPr>
            <w:tcW w:w="564" w:type="pct"/>
            <w:shd w:val="clear" w:color="auto" w:fill="auto"/>
            <w:vAlign w:val="bottom"/>
          </w:tcPr>
          <w:p w:rsidR="00413B9C" w:rsidRPr="002B1CDC" w:rsidRDefault="00413B9C" w:rsidP="00B93AD7">
            <w:pPr>
              <w:pStyle w:val="TableBodyText"/>
              <w:rPr>
                <w:i/>
              </w:rPr>
            </w:pPr>
          </w:p>
        </w:tc>
        <w:tc>
          <w:tcPr>
            <w:tcW w:w="724" w:type="pct"/>
            <w:shd w:val="clear" w:color="auto" w:fill="auto"/>
            <w:vAlign w:val="bottom"/>
          </w:tcPr>
          <w:p w:rsidR="00413B9C" w:rsidRPr="002B1CDC" w:rsidRDefault="00413B9C" w:rsidP="00B93AD7">
            <w:pPr>
              <w:pStyle w:val="TableBodyText"/>
              <w:rPr>
                <w:i/>
              </w:rPr>
            </w:pPr>
          </w:p>
        </w:tc>
      </w:tr>
      <w:tr w:rsidR="00413B9C" w:rsidRPr="002B1CDC" w:rsidTr="00D07F32">
        <w:tc>
          <w:tcPr>
            <w:tcW w:w="3148" w:type="pct"/>
            <w:shd w:val="clear" w:color="auto" w:fill="D9D9D9" w:themeFill="background1" w:themeFillShade="D9"/>
            <w:vAlign w:val="bottom"/>
          </w:tcPr>
          <w:p w:rsidR="00413B9C" w:rsidRPr="002B1CDC" w:rsidRDefault="00413B9C" w:rsidP="00B93AD7">
            <w:pPr>
              <w:pStyle w:val="TableBodyText"/>
              <w:jc w:val="left"/>
              <w:rPr>
                <w:i/>
              </w:rPr>
            </w:pPr>
            <w:r>
              <w:t xml:space="preserve">    </w:t>
            </w:r>
            <w:r w:rsidR="009F3702">
              <w:rPr>
                <w:i/>
              </w:rPr>
              <w:t xml:space="preserve">   </w:t>
            </w:r>
            <w:r w:rsidRPr="002B1CDC">
              <w:rPr>
                <w:i/>
              </w:rPr>
              <w:t xml:space="preserve">2224 Metal roof and guttering </w:t>
            </w:r>
            <w:proofErr w:type="spellStart"/>
            <w:r w:rsidRPr="002B1CDC">
              <w:rPr>
                <w:i/>
              </w:rPr>
              <w:t>m</w:t>
            </w:r>
            <w:r w:rsidR="009F3702">
              <w:rPr>
                <w:i/>
              </w:rPr>
              <w:t>fg</w:t>
            </w:r>
            <w:proofErr w:type="spellEnd"/>
            <w:r w:rsidRPr="002B1CDC">
              <w:rPr>
                <w:i/>
              </w:rPr>
              <w:t xml:space="preserve"> (except aluminium)</w:t>
            </w:r>
          </w:p>
        </w:tc>
        <w:tc>
          <w:tcPr>
            <w:tcW w:w="564" w:type="pct"/>
            <w:shd w:val="clear" w:color="auto" w:fill="D9D9D9" w:themeFill="background1" w:themeFillShade="D9"/>
            <w:vAlign w:val="bottom"/>
          </w:tcPr>
          <w:p w:rsidR="00413B9C" w:rsidRPr="00335BBE" w:rsidRDefault="00413B9C" w:rsidP="00B93AD7">
            <w:pPr>
              <w:pStyle w:val="TableBodyText"/>
              <w:rPr>
                <w:i/>
              </w:rPr>
            </w:pPr>
            <w:r w:rsidRPr="00335BBE">
              <w:rPr>
                <w:i/>
              </w:rPr>
              <w:t>0.6</w:t>
            </w:r>
          </w:p>
        </w:tc>
        <w:tc>
          <w:tcPr>
            <w:tcW w:w="564" w:type="pct"/>
            <w:shd w:val="clear" w:color="auto" w:fill="D9D9D9" w:themeFill="background1" w:themeFillShade="D9"/>
            <w:vAlign w:val="bottom"/>
          </w:tcPr>
          <w:p w:rsidR="00413B9C" w:rsidRPr="002B1CDC" w:rsidRDefault="00413B9C" w:rsidP="00B93AD7">
            <w:pPr>
              <w:pStyle w:val="TableBodyText"/>
              <w:rPr>
                <w:i/>
              </w:rPr>
            </w:pPr>
          </w:p>
        </w:tc>
        <w:tc>
          <w:tcPr>
            <w:tcW w:w="724" w:type="pct"/>
            <w:shd w:val="clear" w:color="auto" w:fill="D9D9D9" w:themeFill="background1" w:themeFillShade="D9"/>
            <w:vAlign w:val="bottom"/>
          </w:tcPr>
          <w:p w:rsidR="00413B9C" w:rsidRPr="002B1CDC" w:rsidRDefault="00413B9C" w:rsidP="00B93AD7">
            <w:pPr>
              <w:pStyle w:val="TableBodyText"/>
              <w:rPr>
                <w:i/>
              </w:rPr>
            </w:pPr>
          </w:p>
        </w:tc>
      </w:tr>
      <w:tr w:rsidR="00413B9C" w:rsidRPr="002B1CDC" w:rsidTr="00D07F32">
        <w:tc>
          <w:tcPr>
            <w:tcW w:w="3148" w:type="pct"/>
            <w:vAlign w:val="bottom"/>
          </w:tcPr>
          <w:p w:rsidR="00413B9C" w:rsidRPr="002B1CDC" w:rsidRDefault="00413B9C" w:rsidP="00B93AD7">
            <w:pPr>
              <w:pStyle w:val="TableBodyText"/>
              <w:jc w:val="left"/>
              <w:rPr>
                <w:i/>
              </w:rPr>
            </w:pPr>
            <w:r w:rsidRPr="002B1CDC">
              <w:rPr>
                <w:i/>
              </w:rPr>
              <w:t xml:space="preserve">    </w:t>
            </w:r>
            <w:r w:rsidR="009F3702">
              <w:t xml:space="preserve">   </w:t>
            </w:r>
            <w:r w:rsidRPr="002B1CDC">
              <w:rPr>
                <w:i/>
              </w:rPr>
              <w:t>2229 Other structural metal product manufacturing</w:t>
            </w:r>
          </w:p>
        </w:tc>
        <w:tc>
          <w:tcPr>
            <w:tcW w:w="564" w:type="pct"/>
            <w:shd w:val="clear" w:color="auto" w:fill="auto"/>
            <w:vAlign w:val="bottom"/>
          </w:tcPr>
          <w:p w:rsidR="00413B9C" w:rsidRPr="00335BBE" w:rsidRDefault="00413B9C" w:rsidP="00B93AD7">
            <w:pPr>
              <w:pStyle w:val="TableBodyText"/>
              <w:rPr>
                <w:i/>
              </w:rPr>
            </w:pPr>
            <w:r w:rsidRPr="00335BBE">
              <w:rPr>
                <w:i/>
              </w:rPr>
              <w:t>2.9</w:t>
            </w:r>
          </w:p>
        </w:tc>
        <w:tc>
          <w:tcPr>
            <w:tcW w:w="564" w:type="pct"/>
            <w:shd w:val="clear" w:color="auto" w:fill="auto"/>
            <w:vAlign w:val="bottom"/>
          </w:tcPr>
          <w:p w:rsidR="00413B9C" w:rsidRPr="002B1CDC" w:rsidRDefault="00413B9C" w:rsidP="00B93AD7">
            <w:pPr>
              <w:pStyle w:val="TableBodyText"/>
              <w:rPr>
                <w:i/>
              </w:rPr>
            </w:pPr>
          </w:p>
        </w:tc>
        <w:tc>
          <w:tcPr>
            <w:tcW w:w="724" w:type="pct"/>
            <w:shd w:val="clear" w:color="auto" w:fill="auto"/>
            <w:vAlign w:val="bottom"/>
          </w:tcPr>
          <w:p w:rsidR="00413B9C" w:rsidRPr="002B1CDC" w:rsidRDefault="00413B9C" w:rsidP="00B93AD7">
            <w:pPr>
              <w:pStyle w:val="TableBodyText"/>
              <w:rPr>
                <w:i/>
              </w:rPr>
            </w:pPr>
          </w:p>
        </w:tc>
      </w:tr>
      <w:tr w:rsidR="00413B9C" w:rsidTr="00D07F32">
        <w:tc>
          <w:tcPr>
            <w:tcW w:w="3148" w:type="pct"/>
            <w:shd w:val="clear" w:color="auto" w:fill="D9D9D9" w:themeFill="background1" w:themeFillShade="D9"/>
            <w:vAlign w:val="bottom"/>
          </w:tcPr>
          <w:p w:rsidR="00413B9C" w:rsidRPr="002B1CDC" w:rsidRDefault="00413B9C" w:rsidP="00B93AD7">
            <w:pPr>
              <w:pStyle w:val="TableBodyText"/>
              <w:jc w:val="left"/>
            </w:pPr>
            <w:r>
              <w:t xml:space="preserve">    </w:t>
            </w:r>
            <w:r w:rsidRPr="002B1CDC">
              <w:t>223 Metal container manufacturing</w:t>
            </w:r>
          </w:p>
        </w:tc>
        <w:tc>
          <w:tcPr>
            <w:tcW w:w="564" w:type="pct"/>
            <w:shd w:val="clear" w:color="auto" w:fill="D9D9D9" w:themeFill="background1" w:themeFillShade="D9"/>
            <w:vAlign w:val="bottom"/>
          </w:tcPr>
          <w:p w:rsidR="00413B9C" w:rsidRDefault="00413B9C" w:rsidP="00B93AD7">
            <w:pPr>
              <w:pStyle w:val="TableBodyText"/>
            </w:pPr>
            <w:r>
              <w:t>3.5</w:t>
            </w:r>
          </w:p>
        </w:tc>
        <w:tc>
          <w:tcPr>
            <w:tcW w:w="564" w:type="pct"/>
            <w:shd w:val="clear" w:color="auto" w:fill="D9D9D9" w:themeFill="background1" w:themeFillShade="D9"/>
            <w:vAlign w:val="bottom"/>
          </w:tcPr>
          <w:p w:rsidR="00413B9C" w:rsidRPr="002B1CDC" w:rsidRDefault="00413B9C" w:rsidP="00B93AD7">
            <w:pPr>
              <w:pStyle w:val="TableBodyText"/>
            </w:pPr>
          </w:p>
        </w:tc>
        <w:tc>
          <w:tcPr>
            <w:tcW w:w="724" w:type="pct"/>
            <w:shd w:val="clear" w:color="auto" w:fill="D9D9D9" w:themeFill="background1" w:themeFillShade="D9"/>
            <w:vAlign w:val="bottom"/>
          </w:tcPr>
          <w:p w:rsidR="00413B9C" w:rsidRPr="002B1CDC" w:rsidRDefault="00413B9C" w:rsidP="00B93AD7">
            <w:pPr>
              <w:pStyle w:val="TableBodyText"/>
            </w:pPr>
          </w:p>
        </w:tc>
      </w:tr>
      <w:tr w:rsidR="00413B9C" w:rsidTr="00D07F32">
        <w:tc>
          <w:tcPr>
            <w:tcW w:w="3148" w:type="pct"/>
            <w:vAlign w:val="bottom"/>
          </w:tcPr>
          <w:p w:rsidR="00413B9C" w:rsidRPr="002B1CDC" w:rsidRDefault="00413B9C" w:rsidP="00B93AD7">
            <w:pPr>
              <w:pStyle w:val="TableBodyText"/>
              <w:jc w:val="left"/>
            </w:pPr>
            <w:r>
              <w:t xml:space="preserve">    </w:t>
            </w:r>
            <w:r w:rsidRPr="002B1CDC">
              <w:t xml:space="preserve">224 Sheet metal product </w:t>
            </w:r>
            <w:proofErr w:type="spellStart"/>
            <w:r w:rsidRPr="002B1CDC">
              <w:t>m</w:t>
            </w:r>
            <w:r w:rsidR="009F3702">
              <w:t>fg</w:t>
            </w:r>
            <w:proofErr w:type="spellEnd"/>
            <w:r w:rsidR="0010206D" w:rsidRPr="00633C47">
              <w:rPr>
                <w:rStyle w:val="NoteLabel"/>
              </w:rPr>
              <w:t>d</w:t>
            </w:r>
          </w:p>
        </w:tc>
        <w:tc>
          <w:tcPr>
            <w:tcW w:w="564" w:type="pct"/>
            <w:shd w:val="clear" w:color="auto" w:fill="auto"/>
            <w:vAlign w:val="bottom"/>
          </w:tcPr>
          <w:p w:rsidR="00413B9C" w:rsidRDefault="00413B9C" w:rsidP="00B93AD7">
            <w:pPr>
              <w:pStyle w:val="TableBodyText"/>
            </w:pPr>
            <w:r>
              <w:t>2.9</w:t>
            </w:r>
          </w:p>
        </w:tc>
        <w:tc>
          <w:tcPr>
            <w:tcW w:w="564" w:type="pct"/>
            <w:shd w:val="clear" w:color="auto" w:fill="auto"/>
            <w:vAlign w:val="bottom"/>
          </w:tcPr>
          <w:p w:rsidR="00413B9C" w:rsidRPr="002B1CDC" w:rsidRDefault="00413B9C" w:rsidP="00B93AD7">
            <w:pPr>
              <w:pStyle w:val="TableBodyText"/>
            </w:pPr>
          </w:p>
        </w:tc>
        <w:tc>
          <w:tcPr>
            <w:tcW w:w="724" w:type="pct"/>
            <w:shd w:val="clear" w:color="auto" w:fill="auto"/>
            <w:vAlign w:val="bottom"/>
          </w:tcPr>
          <w:p w:rsidR="00413B9C" w:rsidRPr="002B1CDC" w:rsidRDefault="00413B9C" w:rsidP="00B93AD7">
            <w:pPr>
              <w:pStyle w:val="TableBodyText"/>
            </w:pPr>
          </w:p>
        </w:tc>
      </w:tr>
      <w:tr w:rsidR="00413B9C" w:rsidTr="00D07F32">
        <w:tc>
          <w:tcPr>
            <w:tcW w:w="3148" w:type="pct"/>
            <w:tcBorders>
              <w:bottom w:val="single" w:sz="4" w:space="0" w:color="auto"/>
            </w:tcBorders>
            <w:shd w:val="clear" w:color="auto" w:fill="D9D9D9" w:themeFill="background1" w:themeFillShade="D9"/>
            <w:vAlign w:val="bottom"/>
          </w:tcPr>
          <w:p w:rsidR="00413B9C" w:rsidRPr="002B1CDC" w:rsidRDefault="00413B9C" w:rsidP="00B93AD7">
            <w:pPr>
              <w:pStyle w:val="TableBodyText"/>
              <w:jc w:val="left"/>
            </w:pPr>
            <w:r>
              <w:t xml:space="preserve">    </w:t>
            </w:r>
            <w:r w:rsidRPr="002B1CDC">
              <w:t>229 Other fabricated metal product manufacturing</w:t>
            </w:r>
          </w:p>
        </w:tc>
        <w:tc>
          <w:tcPr>
            <w:tcW w:w="564" w:type="pct"/>
            <w:tcBorders>
              <w:bottom w:val="single" w:sz="4" w:space="0" w:color="auto"/>
            </w:tcBorders>
            <w:shd w:val="clear" w:color="auto" w:fill="D9D9D9" w:themeFill="background1" w:themeFillShade="D9"/>
            <w:vAlign w:val="bottom"/>
          </w:tcPr>
          <w:p w:rsidR="00413B9C" w:rsidRDefault="00413B9C" w:rsidP="00B93AD7">
            <w:pPr>
              <w:pStyle w:val="TableBodyText"/>
            </w:pPr>
            <w:r>
              <w:t>12.0</w:t>
            </w:r>
          </w:p>
        </w:tc>
        <w:tc>
          <w:tcPr>
            <w:tcW w:w="564" w:type="pct"/>
            <w:tcBorders>
              <w:bottom w:val="single" w:sz="4" w:space="0" w:color="auto"/>
            </w:tcBorders>
            <w:shd w:val="clear" w:color="auto" w:fill="D9D9D9" w:themeFill="background1" w:themeFillShade="D9"/>
            <w:vAlign w:val="bottom"/>
          </w:tcPr>
          <w:p w:rsidR="00413B9C" w:rsidRPr="002B1CDC" w:rsidRDefault="00413B9C" w:rsidP="00B93AD7">
            <w:pPr>
              <w:pStyle w:val="TableBodyText"/>
            </w:pPr>
          </w:p>
        </w:tc>
        <w:tc>
          <w:tcPr>
            <w:tcW w:w="724" w:type="pct"/>
            <w:tcBorders>
              <w:bottom w:val="single" w:sz="4" w:space="0" w:color="auto"/>
            </w:tcBorders>
            <w:shd w:val="clear" w:color="auto" w:fill="D9D9D9" w:themeFill="background1" w:themeFillShade="D9"/>
            <w:vAlign w:val="bottom"/>
          </w:tcPr>
          <w:p w:rsidR="00413B9C" w:rsidRPr="002B1CDC" w:rsidRDefault="00413B9C" w:rsidP="00B93AD7">
            <w:pPr>
              <w:pStyle w:val="TableBodyText"/>
            </w:pPr>
          </w:p>
        </w:tc>
      </w:tr>
    </w:tbl>
    <w:p w:rsidR="00851213" w:rsidRDefault="00D07F32" w:rsidP="00851213">
      <w:pPr>
        <w:pStyle w:val="Note"/>
      </w:pPr>
      <w:r>
        <w:rPr>
          <w:rStyle w:val="NoteLabel"/>
        </w:rPr>
        <w:t>a</w:t>
      </w:r>
      <w:r>
        <w:t xml:space="preserve"> 2007-08 shares are presented because they are more representative of cycle 4, especially due to dramatic changes in prices in the following year. See figure </w:t>
      </w:r>
      <w:proofErr w:type="spellStart"/>
      <w:r>
        <w:t>H.1</w:t>
      </w:r>
      <w:proofErr w:type="spellEnd"/>
      <w:r>
        <w:t xml:space="preserve">. </w:t>
      </w:r>
      <w:r>
        <w:rPr>
          <w:rStyle w:val="NoteLabel"/>
        </w:rPr>
        <w:t>b</w:t>
      </w:r>
      <w:r w:rsidR="00851213">
        <w:t xml:space="preserve"> Detailed disaggregation not av</w:t>
      </w:r>
      <w:r w:rsidR="00761228">
        <w:t>a</w:t>
      </w:r>
      <w:r w:rsidR="00851213">
        <w:t>ilable for hours worked and investment.</w:t>
      </w:r>
      <w:r w:rsidR="00610D8E">
        <w:t xml:space="preserve"> </w:t>
      </w:r>
      <w:r w:rsidR="00761228">
        <w:rPr>
          <w:rStyle w:val="NoteLabel"/>
        </w:rPr>
        <w:t>c</w:t>
      </w:r>
      <w:r w:rsidR="00761228">
        <w:t xml:space="preserve"> Private new capital expenditure.</w:t>
      </w:r>
      <w:r w:rsidR="009F3702">
        <w:t xml:space="preserve"> </w:t>
      </w:r>
      <w:r w:rsidR="0010206D" w:rsidRPr="009F3702">
        <w:rPr>
          <w:rStyle w:val="NoteLabel"/>
        </w:rPr>
        <w:t>d</w:t>
      </w:r>
      <w:r w:rsidR="0010206D">
        <w:t xml:space="preserve"> E</w:t>
      </w:r>
      <w:r w:rsidR="0010206D" w:rsidRPr="002B1CDC">
        <w:t>xcept metal structural and</w:t>
      </w:r>
      <w:r w:rsidR="0010206D">
        <w:t xml:space="preserve"> container products.</w:t>
      </w:r>
    </w:p>
    <w:p w:rsidR="0003184E" w:rsidRPr="00724BF0" w:rsidRDefault="0003184E" w:rsidP="0003184E">
      <w:pPr>
        <w:pStyle w:val="Source"/>
      </w:pPr>
      <w:r>
        <w:rPr>
          <w:i/>
        </w:rPr>
        <w:t>Sources</w:t>
      </w:r>
      <w:r>
        <w:t>: ABS (</w:t>
      </w:r>
      <w:r>
        <w:rPr>
          <w:i/>
        </w:rPr>
        <w:t>Experimental Estimates for the Manufacturing Industry</w:t>
      </w:r>
      <w:r w:rsidR="002B3B58">
        <w:rPr>
          <w:i/>
        </w:rPr>
        <w:t>,</w:t>
      </w:r>
      <w:r w:rsidR="007F6F9B" w:rsidRPr="007F6F9B">
        <w:rPr>
          <w:rFonts w:eastAsiaTheme="minorHAnsi" w:cs="Arial"/>
          <w:b/>
          <w:bCs/>
          <w:color w:val="000000"/>
          <w:sz w:val="29"/>
          <w:szCs w:val="29"/>
          <w:shd w:val="clear" w:color="auto" w:fill="FFFFFF"/>
          <w:lang w:eastAsia="en-US"/>
        </w:rPr>
        <w:t xml:space="preserve"> </w:t>
      </w:r>
      <w:r w:rsidR="007F6F9B" w:rsidRPr="007F6F9B">
        <w:rPr>
          <w:bCs/>
          <w:i/>
        </w:rPr>
        <w:t>2006-07 and 2007-08</w:t>
      </w:r>
      <w:r>
        <w:rPr>
          <w:i/>
        </w:rPr>
        <w:t xml:space="preserve">, </w:t>
      </w:r>
      <w:r w:rsidR="002B3B58">
        <w:t>Cat.</w:t>
      </w:r>
      <w:r w:rsidR="002C008F">
        <w:t> </w:t>
      </w:r>
      <w:r w:rsidR="002B3B58">
        <w:t>no.</w:t>
      </w:r>
      <w:r w:rsidR="00CC1584">
        <w:t> </w:t>
      </w:r>
      <w:r w:rsidR="002B3B58">
        <w:t>8159.0</w:t>
      </w:r>
      <w:r>
        <w:t>); ABS (</w:t>
      </w:r>
      <w:r w:rsidR="00C72E65">
        <w:t>unpublished Labour Force Survey data</w:t>
      </w:r>
      <w:r w:rsidRPr="00C72E65">
        <w:t>);</w:t>
      </w:r>
      <w:r>
        <w:rPr>
          <w:i/>
        </w:rPr>
        <w:t xml:space="preserve"> </w:t>
      </w:r>
      <w:r>
        <w:t>ABS (</w:t>
      </w:r>
      <w:r w:rsidRPr="00EC51CD">
        <w:rPr>
          <w:i/>
        </w:rPr>
        <w:t>Private New Capital Expenditure and Expected Expenditure, Australia, June 2011</w:t>
      </w:r>
      <w:r>
        <w:t xml:space="preserve">, Cat. no. 5625.0). </w:t>
      </w:r>
    </w:p>
    <w:p w:rsidR="00892ABA" w:rsidRPr="00200E20" w:rsidRDefault="00892ABA" w:rsidP="009430E4">
      <w:pPr>
        <w:pStyle w:val="Heading3"/>
      </w:pPr>
      <w:r>
        <w:t xml:space="preserve">High </w:t>
      </w:r>
      <w:r w:rsidR="001B6653">
        <w:t>capital</w:t>
      </w:r>
      <w:r>
        <w:t xml:space="preserve"> intensity</w:t>
      </w:r>
    </w:p>
    <w:p w:rsidR="006A6959" w:rsidRPr="001C7AD9" w:rsidRDefault="006B0816" w:rsidP="001C7AD9">
      <w:pPr>
        <w:pStyle w:val="BodyText"/>
      </w:pPr>
      <w:r>
        <w:t>MP</w:t>
      </w:r>
      <w:r w:rsidR="00067A79">
        <w:t xml:space="preserve"> is a more capital intensive</w:t>
      </w:r>
      <w:r w:rsidR="00F42117">
        <w:t xml:space="preserve"> activity</w:t>
      </w:r>
      <w:r w:rsidR="00067A79">
        <w:t xml:space="preserve"> </w:t>
      </w:r>
      <w:r w:rsidR="00104F53">
        <w:t>than</w:t>
      </w:r>
      <w:r w:rsidR="00067A79">
        <w:t xml:space="preserve"> </w:t>
      </w:r>
      <w:r w:rsidR="00104F53">
        <w:t>Manufacturing on ave</w:t>
      </w:r>
      <w:r w:rsidR="001D2F58">
        <w:t>r</w:t>
      </w:r>
      <w:r w:rsidR="00104F53">
        <w:t>age</w:t>
      </w:r>
      <w:r w:rsidR="00F22F04">
        <w:t xml:space="preserve">. MP had a </w:t>
      </w:r>
      <w:r w:rsidR="00067A79">
        <w:t>higher share of</w:t>
      </w:r>
      <w:r w:rsidR="0063200F">
        <w:t xml:space="preserve"> its income from</w:t>
      </w:r>
      <w:r w:rsidR="00C10A38">
        <w:t xml:space="preserve"> </w:t>
      </w:r>
      <w:r w:rsidR="007830E9">
        <w:t>value added</w:t>
      </w:r>
      <w:r w:rsidR="00C10A38">
        <w:t xml:space="preserve"> </w:t>
      </w:r>
      <w:r w:rsidR="00F42117">
        <w:t xml:space="preserve">paid </w:t>
      </w:r>
      <w:r w:rsidR="00067A79">
        <w:t>to capital</w:t>
      </w:r>
      <w:r w:rsidR="0082761E">
        <w:t xml:space="preserve"> than </w:t>
      </w:r>
      <w:r w:rsidR="00AA5587">
        <w:t xml:space="preserve">Manufacturing </w:t>
      </w:r>
      <w:r w:rsidR="00BE08EA">
        <w:t xml:space="preserve">until the </w:t>
      </w:r>
      <w:r w:rsidR="00E0787A">
        <w:t>global financial crisis</w:t>
      </w:r>
      <w:r w:rsidR="00434FDF">
        <w:t xml:space="preserve"> (</w:t>
      </w:r>
      <w:proofErr w:type="spellStart"/>
      <w:r w:rsidR="00434FDF">
        <w:t>GFC</w:t>
      </w:r>
      <w:proofErr w:type="spellEnd"/>
      <w:r w:rsidR="00434FDF">
        <w:t>)</w:t>
      </w:r>
      <w:r w:rsidR="00D27D9C">
        <w:t>.</w:t>
      </w:r>
      <w:r w:rsidR="00E0787A">
        <w:t xml:space="preserve"> </w:t>
      </w:r>
      <w:r w:rsidR="00D27D9C">
        <w:t xml:space="preserve">And the extent to which MP’s </w:t>
      </w:r>
      <w:r w:rsidR="00067A79">
        <w:t>net capital stock per hour worked</w:t>
      </w:r>
      <w:r w:rsidR="00082B6D">
        <w:t xml:space="preserve"> exceeds that of Ma</w:t>
      </w:r>
      <w:r w:rsidR="009B4AFC">
        <w:t>nufacturing has risen over time</w:t>
      </w:r>
      <w:r w:rsidR="00067A79">
        <w:t xml:space="preserve"> (figure </w:t>
      </w:r>
      <w:r w:rsidR="009430E4">
        <w:t>6.1</w:t>
      </w:r>
      <w:r w:rsidR="00067A79">
        <w:t>).</w:t>
      </w:r>
      <w:r w:rsidR="003E4E7D">
        <w:t xml:space="preserve"> </w:t>
      </w:r>
      <w:r w:rsidR="00485673">
        <w:t>Explaining</w:t>
      </w:r>
      <w:r w:rsidR="00C233D0">
        <w:t xml:space="preserve"> this strong growth in capital intensity is </w:t>
      </w:r>
      <w:r w:rsidR="00E72710">
        <w:t>key to understanding th</w:t>
      </w:r>
      <w:r w:rsidR="00813877">
        <w:t>is</w:t>
      </w:r>
      <w:r w:rsidR="00E72710">
        <w:t xml:space="preserve"> subsector’s productivity performance and is discussed in detail later in the chapter.</w:t>
      </w:r>
    </w:p>
    <w:p w:rsidR="00C57AE6" w:rsidRPr="00EC4839" w:rsidRDefault="00C57AE6" w:rsidP="009B2C6B">
      <w:pPr>
        <w:pStyle w:val="FigureTitle"/>
        <w:rPr>
          <w:sz w:val="24"/>
        </w:rPr>
      </w:pPr>
      <w:r w:rsidRPr="00EC4839">
        <w:rPr>
          <w:b w:val="0"/>
          <w:sz w:val="24"/>
        </w:rPr>
        <w:lastRenderedPageBreak/>
        <w:t xml:space="preserve">Figure </w:t>
      </w:r>
      <w:bookmarkStart w:id="6" w:name="OLE_LINK36"/>
      <w:r w:rsidR="00A720E0" w:rsidRPr="00EC4839">
        <w:rPr>
          <w:b w:val="0"/>
          <w:sz w:val="24"/>
        </w:rPr>
        <w:t>6.</w:t>
      </w:r>
      <w:r w:rsidR="00227A34">
        <w:rPr>
          <w:b w:val="0"/>
          <w:noProof/>
          <w:sz w:val="24"/>
        </w:rPr>
        <w:t>1</w:t>
      </w:r>
      <w:bookmarkEnd w:id="6"/>
      <w:r w:rsidRPr="00EC4839">
        <w:rPr>
          <w:sz w:val="24"/>
        </w:rPr>
        <w:tab/>
      </w:r>
      <w:r w:rsidR="009B2C6B" w:rsidRPr="00EC4839">
        <w:rPr>
          <w:sz w:val="24"/>
        </w:rPr>
        <w:t xml:space="preserve">Measures of capital intensity for </w:t>
      </w:r>
      <w:r w:rsidR="00694DB4">
        <w:rPr>
          <w:sz w:val="24"/>
        </w:rPr>
        <w:t>Metal products</w:t>
      </w:r>
      <w:r w:rsidR="00C925DF" w:rsidRPr="00B973C9">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4388"/>
        <w:gridCol w:w="4389"/>
      </w:tblGrid>
      <w:tr w:rsidR="008E2ED2" w:rsidTr="00AF5357">
        <w:tc>
          <w:tcPr>
            <w:tcW w:w="4388" w:type="dxa"/>
          </w:tcPr>
          <w:p w:rsidR="008E2ED2" w:rsidRDefault="008E2ED2" w:rsidP="00AD4FDB">
            <w:pPr>
              <w:pStyle w:val="Figure"/>
              <w:rPr>
                <w:i/>
              </w:rPr>
            </w:pPr>
            <w:r w:rsidRPr="00153074">
              <w:rPr>
                <w:i/>
                <w:sz w:val="22"/>
                <w:szCs w:val="22"/>
              </w:rPr>
              <w:t>Net capital stock per hour worked</w:t>
            </w:r>
            <w:r>
              <w:rPr>
                <w:rStyle w:val="NoteLabel"/>
              </w:rPr>
              <w:t>b</w:t>
            </w:r>
          </w:p>
        </w:tc>
        <w:tc>
          <w:tcPr>
            <w:tcW w:w="4389" w:type="dxa"/>
          </w:tcPr>
          <w:p w:rsidR="008E2ED2" w:rsidRDefault="008E2ED2" w:rsidP="00AD4FDB">
            <w:pPr>
              <w:pStyle w:val="Figure"/>
              <w:rPr>
                <w:i/>
              </w:rPr>
            </w:pPr>
            <w:r w:rsidRPr="00153074">
              <w:rPr>
                <w:i/>
                <w:sz w:val="22"/>
                <w:szCs w:val="22"/>
              </w:rPr>
              <w:t>Capital income share</w:t>
            </w:r>
            <w:r>
              <w:rPr>
                <w:rStyle w:val="NoteLabel"/>
              </w:rPr>
              <w:t>c</w:t>
            </w:r>
          </w:p>
        </w:tc>
      </w:tr>
      <w:tr w:rsidR="00C57AE6" w:rsidTr="00AF5357">
        <w:tc>
          <w:tcPr>
            <w:tcW w:w="4388" w:type="dxa"/>
          </w:tcPr>
          <w:p w:rsidR="00C57AE6" w:rsidRPr="00A86AC7" w:rsidRDefault="00852E6A" w:rsidP="00F85330">
            <w:pPr>
              <w:pStyle w:val="Figure"/>
              <w:spacing w:before="0" w:after="0"/>
            </w:pPr>
            <w:r>
              <w:rPr>
                <w: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This figure comprises of two charts. The chart on the left shows net capital stock per hour worked for MP and Manufacturing in total over the period 1998-99 to 2010-11, with MP rising at a faster rate than Manufacturing., particularly from 2003 04  to 2009 10. The chart on the right shows the capital income share for MP and Manufacturing in total over the same period, with both series rising to a peak in 2007-08 before falling off afterwards — it is the case that MP’s capital income share is higher than Manufacturing’s, until 2009-10, where it declines quickly." style="width:206.8pt;height:198.4pt">
                  <v:imagedata r:id="rId9" o:title=""/>
                </v:shape>
              </w:pict>
            </w:r>
          </w:p>
        </w:tc>
        <w:tc>
          <w:tcPr>
            <w:tcW w:w="4389" w:type="dxa"/>
          </w:tcPr>
          <w:p w:rsidR="008D45D2" w:rsidRPr="008D45D2" w:rsidRDefault="00852E6A" w:rsidP="00F85330">
            <w:pPr>
              <w:pStyle w:val="Figure"/>
              <w:spacing w:before="0" w:after="0"/>
              <w:rPr>
                <w:i/>
              </w:rPr>
            </w:pPr>
            <w:r>
              <w:rPr>
                <w:i/>
              </w:rPr>
              <w:pict>
                <v:shape id="_x0000_i1026" type="#_x0000_t75" alt="This figure comprises of two charts. The chart on the left shows net capital stock per hour worked for MP and Manufacturing in total over the period 1998-99 to 2010-11, with MP rising at a faster rate than Manufacturing., particularly from 2003 04  to 2009 10. The chart on the right shows the capital income share for MP and Manufacturing in total over the same period, with both series rising to a peak in 2007-08 before falling off afterwards — it is the case that MP’s capital income share is higher than Manufacturing’s, until 2009-10, where it declines quickly." style="width:206.8pt;height:198.4pt">
                  <v:imagedata r:id="rId10" o:title=""/>
                </v:shape>
              </w:pict>
            </w:r>
          </w:p>
        </w:tc>
      </w:tr>
    </w:tbl>
    <w:p w:rsidR="009B2C6B" w:rsidRDefault="009B2C6B" w:rsidP="009B2C6B">
      <w:pPr>
        <w:pStyle w:val="Note"/>
      </w:pPr>
      <w:r>
        <w:rPr>
          <w:rStyle w:val="NoteLabel"/>
        </w:rPr>
        <w:t>a</w:t>
      </w:r>
      <w:r>
        <w:t xml:space="preserve"> Aggregate </w:t>
      </w:r>
      <w:r w:rsidR="00C23FA6">
        <w:t>M</w:t>
      </w:r>
      <w:r>
        <w:t xml:space="preserve">anufacturing series presented here </w:t>
      </w:r>
      <w:r w:rsidR="00021C08">
        <w:t>are those</w:t>
      </w:r>
      <w:r>
        <w:t xml:space="preserve"> derived by the authors</w:t>
      </w:r>
      <w:r w:rsidR="003C3C12">
        <w:t xml:space="preserve"> (</w:t>
      </w:r>
      <w:r w:rsidR="00813877">
        <w:t>appendix A</w:t>
      </w:r>
      <w:r w:rsidR="003C3C12">
        <w:t>)</w:t>
      </w:r>
      <w:r>
        <w:t>.</w:t>
      </w:r>
      <w:r w:rsidR="00AD4FDB" w:rsidRPr="00AD4FDB">
        <w:rPr>
          <w:rStyle w:val="NoteLabel"/>
        </w:rPr>
        <w:t xml:space="preserve"> </w:t>
      </w:r>
      <w:r w:rsidR="00AD4FDB">
        <w:rPr>
          <w:rStyle w:val="NoteLabel"/>
        </w:rPr>
        <w:t>b</w:t>
      </w:r>
      <w:r w:rsidR="00AD4FDB">
        <w:t xml:space="preserve"> </w:t>
      </w:r>
      <w:r w:rsidR="008D21D6">
        <w:t>2009-10</w:t>
      </w:r>
      <w:r w:rsidR="00AD4FDB">
        <w:t xml:space="preserve"> dollars. </w:t>
      </w:r>
      <w:r w:rsidR="00AD4FDB">
        <w:rPr>
          <w:rStyle w:val="NoteLabel"/>
        </w:rPr>
        <w:t>c</w:t>
      </w:r>
      <w:r>
        <w:t xml:space="preserve"> On a </w:t>
      </w:r>
      <w:r w:rsidR="007830E9">
        <w:t>value added</w:t>
      </w:r>
      <w:r>
        <w:t xml:space="preserve"> basis and includes some taxes attributable to capital</w:t>
      </w:r>
      <w:r w:rsidR="008B21A8">
        <w:t xml:space="preserve"> (</w:t>
      </w:r>
      <w:r>
        <w:t>appendix A</w:t>
      </w:r>
      <w:r w:rsidR="008B21A8">
        <w:t>).</w:t>
      </w:r>
      <w:r>
        <w:t xml:space="preserve"> </w:t>
      </w:r>
    </w:p>
    <w:p w:rsidR="009B2C6B" w:rsidRDefault="009B2C6B" w:rsidP="009B2C6B">
      <w:pPr>
        <w:pStyle w:val="Source"/>
      </w:pPr>
      <w:r>
        <w:rPr>
          <w:i/>
        </w:rPr>
        <w:t>Data source</w:t>
      </w:r>
      <w:r w:rsidR="009331CE">
        <w:rPr>
          <w:i/>
        </w:rPr>
        <w:t>s</w:t>
      </w:r>
      <w:r w:rsidRPr="00167F06">
        <w:t xml:space="preserve">: </w:t>
      </w:r>
      <w:r>
        <w:t>Authors’ estimates based on ABS (</w:t>
      </w:r>
      <w:r>
        <w:rPr>
          <w:i/>
        </w:rPr>
        <w:t>Australian Industry,</w:t>
      </w:r>
      <w:r w:rsidR="00C578A6">
        <w:rPr>
          <w:i/>
        </w:rPr>
        <w:t xml:space="preserve"> </w:t>
      </w:r>
      <w:r w:rsidR="00C578A6" w:rsidRPr="00C578A6">
        <w:t>various issues</w:t>
      </w:r>
      <w:r w:rsidR="00C578A6">
        <w:rPr>
          <w:i/>
        </w:rPr>
        <w:t>,</w:t>
      </w:r>
      <w:r>
        <w:rPr>
          <w:i/>
        </w:rPr>
        <w:t xml:space="preserve"> </w:t>
      </w:r>
      <w:r>
        <w:t>Cat. no 8155.0)</w:t>
      </w:r>
      <w:r w:rsidR="00CC1584">
        <w:t>;</w:t>
      </w:r>
      <w:r>
        <w:t xml:space="preserve"> ABS</w:t>
      </w:r>
      <w:r w:rsidR="00CC1584">
        <w:t> </w:t>
      </w:r>
      <w:r>
        <w:t>(</w:t>
      </w:r>
      <w:r>
        <w:rPr>
          <w:i/>
        </w:rPr>
        <w:t xml:space="preserve">Australian Manufacturing, </w:t>
      </w:r>
      <w:r w:rsidR="007E5201">
        <w:t xml:space="preserve">various issues, </w:t>
      </w:r>
      <w:r>
        <w:t>Cat. no. 8221.0)</w:t>
      </w:r>
      <w:r w:rsidR="00CC1584">
        <w:t>;</w:t>
      </w:r>
      <w:r>
        <w:t xml:space="preserve"> ABS (</w:t>
      </w:r>
      <w:r>
        <w:rPr>
          <w:i/>
        </w:rPr>
        <w:t xml:space="preserve">Australian System of National Accounts, </w:t>
      </w:r>
      <w:r w:rsidR="00402342">
        <w:rPr>
          <w:i/>
        </w:rPr>
        <w:t xml:space="preserve">2010-11, </w:t>
      </w:r>
      <w:r w:rsidR="00402342">
        <w:t>Cat. no. 5204.0</w:t>
      </w:r>
      <w:r w:rsidR="0037339C">
        <w:t>)</w:t>
      </w:r>
      <w:r w:rsidR="00CC1584">
        <w:t>;</w:t>
      </w:r>
      <w:r w:rsidR="0037339C">
        <w:t xml:space="preserve"> </w:t>
      </w:r>
      <w:r w:rsidR="00991202">
        <w:t xml:space="preserve">and </w:t>
      </w:r>
      <w:r>
        <w:t>ABS (</w:t>
      </w:r>
      <w:r w:rsidR="00460F62">
        <w:t>unpublished Labour Force Survey data</w:t>
      </w:r>
      <w:r w:rsidRPr="008B3FCC">
        <w:t>)</w:t>
      </w:r>
      <w:r>
        <w:t xml:space="preserve">. </w:t>
      </w:r>
    </w:p>
    <w:p w:rsidR="00577157" w:rsidRPr="00482F42" w:rsidRDefault="00E81A84" w:rsidP="00EC4839">
      <w:pPr>
        <w:pStyle w:val="Heading3"/>
      </w:pPr>
      <w:r w:rsidRPr="00482F42">
        <w:t>Growth in R&amp;D intensity</w:t>
      </w:r>
    </w:p>
    <w:p w:rsidR="0009675A" w:rsidRPr="007E168F" w:rsidRDefault="0009675A" w:rsidP="00B551CC">
      <w:pPr>
        <w:pStyle w:val="BodyText"/>
      </w:pPr>
      <w:r w:rsidRPr="007E168F">
        <w:t xml:space="preserve">The R&amp;D intensity of the subsector has been rising since 2000-01, although it remains lower than for Manufacturing as a whole. Within the subsector, the R&amp;D intensity of Primary metals is higher than that of </w:t>
      </w:r>
      <w:r w:rsidR="00E958F3" w:rsidRPr="007E168F">
        <w:t>F</w:t>
      </w:r>
      <w:r w:rsidRPr="007E168F">
        <w:t xml:space="preserve">abricated metals </w:t>
      </w:r>
      <w:r w:rsidR="00241EFC" w:rsidRPr="007E168F">
        <w:t xml:space="preserve">(figure </w:t>
      </w:r>
      <w:r w:rsidR="009430E4" w:rsidRPr="007E168F">
        <w:t>6.2</w:t>
      </w:r>
      <w:r w:rsidR="00241EFC" w:rsidRPr="007E168F">
        <w:t>)</w:t>
      </w:r>
      <w:r w:rsidRPr="007E168F">
        <w:t>.</w:t>
      </w:r>
    </w:p>
    <w:p w:rsidR="00901E20" w:rsidRPr="00B551CC" w:rsidRDefault="00105E27" w:rsidP="0009675A">
      <w:pPr>
        <w:pStyle w:val="BodyText"/>
      </w:pPr>
      <w:r w:rsidRPr="00B551CC">
        <w:t xml:space="preserve">The R&amp;D intensity of </w:t>
      </w:r>
      <w:r w:rsidR="006B0816" w:rsidRPr="00B551CC">
        <w:t>MP</w:t>
      </w:r>
      <w:r w:rsidRPr="00B551CC">
        <w:t xml:space="preserve"> has been rising since the beginning of cycle 4, </w:t>
      </w:r>
      <w:r w:rsidR="002B1F6A" w:rsidRPr="00B551CC">
        <w:t xml:space="preserve">which suggests that changes in R&amp;D activity </w:t>
      </w:r>
      <w:r w:rsidR="005F5EB7" w:rsidRPr="00B551CC">
        <w:t>a</w:t>
      </w:r>
      <w:r w:rsidR="002B1F6A" w:rsidRPr="00B551CC">
        <w:t xml:space="preserve">re not behind the decline in MFP </w:t>
      </w:r>
      <w:r w:rsidR="004304F8" w:rsidRPr="00B551CC">
        <w:t>in MP</w:t>
      </w:r>
      <w:r w:rsidR="002B1F6A" w:rsidRPr="00B551CC">
        <w:t xml:space="preserve"> </w:t>
      </w:r>
      <w:r w:rsidR="00DA5CED" w:rsidRPr="00B551CC">
        <w:t>over</w:t>
      </w:r>
      <w:r w:rsidR="002B1F6A" w:rsidRPr="00B551CC">
        <w:t xml:space="preserve"> </w:t>
      </w:r>
      <w:r w:rsidR="00DA5CED" w:rsidRPr="00B551CC">
        <w:t>cycle 4</w:t>
      </w:r>
      <w:r w:rsidR="002B1F6A" w:rsidRPr="00B551CC">
        <w:t>.</w:t>
      </w:r>
    </w:p>
    <w:p w:rsidR="009D7A74" w:rsidRPr="00EC4839" w:rsidRDefault="009D7A74">
      <w:pPr>
        <w:pStyle w:val="FigureTitle"/>
        <w:rPr>
          <w:sz w:val="24"/>
        </w:rPr>
      </w:pPr>
      <w:r w:rsidRPr="00EC4839">
        <w:rPr>
          <w:b w:val="0"/>
          <w:sz w:val="24"/>
        </w:rPr>
        <w:lastRenderedPageBreak/>
        <w:t xml:space="preserve">Figure </w:t>
      </w:r>
      <w:bookmarkStart w:id="7" w:name="OLE_LINK37"/>
      <w:r w:rsidRPr="00EC4839">
        <w:rPr>
          <w:b w:val="0"/>
          <w:sz w:val="24"/>
        </w:rPr>
        <w:t>6.</w:t>
      </w:r>
      <w:r w:rsidR="00227A34">
        <w:rPr>
          <w:b w:val="0"/>
          <w:noProof/>
          <w:sz w:val="24"/>
        </w:rPr>
        <w:t>2</w:t>
      </w:r>
      <w:bookmarkEnd w:id="7"/>
      <w:r w:rsidRPr="00EC4839">
        <w:rPr>
          <w:sz w:val="24"/>
        </w:rPr>
        <w:tab/>
        <w:t xml:space="preserve">R&amp;D </w:t>
      </w:r>
      <w:r w:rsidR="00F4508E">
        <w:rPr>
          <w:sz w:val="24"/>
        </w:rPr>
        <w:t>intensity</w:t>
      </w:r>
      <w:r w:rsidR="00F4508E" w:rsidRPr="00F4508E">
        <w:rPr>
          <w:rStyle w:val="NoteLabel"/>
          <w:b/>
        </w:rPr>
        <w:t>a</w:t>
      </w:r>
      <w:r w:rsidR="00F4508E">
        <w:rPr>
          <w:sz w:val="24"/>
        </w:rPr>
        <w:t xml:space="preserve"> for </w:t>
      </w:r>
      <w:r w:rsidR="00694DB4">
        <w:rPr>
          <w:sz w:val="24"/>
        </w:rPr>
        <w:t>Metal products</w:t>
      </w:r>
      <w:r w:rsidR="00F4508E" w:rsidRPr="00F4508E">
        <w:rPr>
          <w:rStyle w:val="NoteLabel"/>
        </w:rPr>
        <w:t xml:space="preserve"> </w:t>
      </w:r>
    </w:p>
    <w:p w:rsidR="00C430D0" w:rsidRPr="00C430D0" w:rsidRDefault="00C430D0" w:rsidP="00E455AA">
      <w:pPr>
        <w:pStyle w:val="Subtitle"/>
      </w:pPr>
      <w:r w:rsidRPr="00C430D0">
        <w:t>Per cent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D7A74">
        <w:tc>
          <w:tcPr>
            <w:tcW w:w="8777" w:type="dxa"/>
          </w:tcPr>
          <w:p w:rsidR="009D7A74" w:rsidRDefault="00852E6A" w:rsidP="00FD5832">
            <w:pPr>
              <w:pStyle w:val="Figure"/>
              <w:spacing w:before="60" w:after="60"/>
            </w:pPr>
            <w:r>
              <w:pict>
                <v:shape id="_x0000_i1027" type="#_x0000_t75" alt="This figure shows the R&amp;D intensity of the MP subsector and Manufacturing in total over the period of 1989-90 to 2010-11; and the R&amp;D intensity of the two MP subdivisions — Primary and Fabricated metal products over the period of 2005-06 to 2010-11. The figure shows that MP has a lower R&amp;D intensity than that of total manufacturing, but that the R&amp;D intensity of Primary metals is much higher than that of Fabricated metals." style="width:424.45pt;height:198.4pt">
                  <v:imagedata r:id="rId11" o:title=""/>
                </v:shape>
              </w:pict>
            </w:r>
          </w:p>
        </w:tc>
      </w:tr>
    </w:tbl>
    <w:p w:rsidR="007D0A28" w:rsidRDefault="007D0A28" w:rsidP="007D0A28">
      <w:pPr>
        <w:pStyle w:val="Note"/>
      </w:pPr>
      <w:r>
        <w:rPr>
          <w:rStyle w:val="NoteLabel"/>
        </w:rPr>
        <w:t>a</w:t>
      </w:r>
      <w:r>
        <w:t xml:space="preserve"> Total R&amp;D expenditure (current and capital expenditure) as a percentage of industry value added.</w:t>
      </w:r>
    </w:p>
    <w:p w:rsidR="001B336C" w:rsidRDefault="001B336C" w:rsidP="001B336C">
      <w:pPr>
        <w:pStyle w:val="Source"/>
      </w:pPr>
      <w:r>
        <w:rPr>
          <w:i/>
        </w:rPr>
        <w:t>Data source</w:t>
      </w:r>
      <w:r w:rsidR="009331CE">
        <w:rPr>
          <w:i/>
        </w:rPr>
        <w:t>s</w:t>
      </w:r>
      <w:r w:rsidRPr="00167F06">
        <w:t xml:space="preserve">: </w:t>
      </w:r>
      <w:r w:rsidR="005D730F">
        <w:t>Authors’ estimates based on ABS (</w:t>
      </w:r>
      <w:r w:rsidR="005D730F" w:rsidRPr="00E6763B">
        <w:rPr>
          <w:i/>
        </w:rPr>
        <w:t>Research and Experimental Development, Businesses, Australia, 2010-11</w:t>
      </w:r>
      <w:r w:rsidR="005D730F">
        <w:t>, various issues, Cat. no. 8104.0); ABS (</w:t>
      </w:r>
      <w:r w:rsidR="005D730F">
        <w:rPr>
          <w:i/>
        </w:rPr>
        <w:t>Australian Manufacturing</w:t>
      </w:r>
      <w:r w:rsidR="005D730F">
        <w:t>, various issues</w:t>
      </w:r>
      <w:r w:rsidR="005D730F">
        <w:rPr>
          <w:i/>
        </w:rPr>
        <w:t xml:space="preserve">, </w:t>
      </w:r>
      <w:r w:rsidR="005D730F">
        <w:t>Cat</w:t>
      </w:r>
      <w:r w:rsidR="00547EED">
        <w:t>. </w:t>
      </w:r>
      <w:r w:rsidR="005D730F">
        <w:t>no. 8221.0); and ABS (</w:t>
      </w:r>
      <w:r w:rsidR="005D730F">
        <w:rPr>
          <w:i/>
        </w:rPr>
        <w:t xml:space="preserve">Australian Industry, </w:t>
      </w:r>
      <w:r w:rsidR="005D730F">
        <w:t>various issues, Cat. no</w:t>
      </w:r>
      <w:r w:rsidR="004C715B">
        <w:t>.</w:t>
      </w:r>
      <w:r w:rsidR="005D730F">
        <w:t xml:space="preserve"> 8155.0).</w:t>
      </w:r>
    </w:p>
    <w:p w:rsidR="00D8403B" w:rsidRDefault="0020773D" w:rsidP="00D8403B">
      <w:pPr>
        <w:pStyle w:val="Heading2"/>
      </w:pPr>
      <w:bookmarkStart w:id="8" w:name="OLE_LINK31"/>
      <w:r>
        <w:t>6.</w:t>
      </w:r>
      <w:r w:rsidR="00227A34">
        <w:rPr>
          <w:noProof/>
        </w:rPr>
        <w:t>2</w:t>
      </w:r>
      <w:bookmarkEnd w:id="8"/>
      <w:r w:rsidR="00070414">
        <w:tab/>
      </w:r>
      <w:r w:rsidR="00C57EE9">
        <w:t xml:space="preserve">Operating environment </w:t>
      </w:r>
      <w:r w:rsidR="004A5193">
        <w:t xml:space="preserve">for </w:t>
      </w:r>
      <w:r w:rsidR="00694DB4">
        <w:t>Metal products</w:t>
      </w:r>
    </w:p>
    <w:p w:rsidR="0098565D" w:rsidRDefault="0077703B" w:rsidP="00A5148A">
      <w:pPr>
        <w:pStyle w:val="BodyText"/>
      </w:pPr>
      <w:r>
        <w:t>Demand for b</w:t>
      </w:r>
      <w:r w:rsidR="00BD4B8C">
        <w:t xml:space="preserve">oth primary and fabricated </w:t>
      </w:r>
      <w:r w:rsidR="006B0816">
        <w:t>metal products</w:t>
      </w:r>
      <w:r w:rsidR="00BD4B8C">
        <w:t xml:space="preserve"> </w:t>
      </w:r>
      <w:r w:rsidR="004F703F">
        <w:t>has increased</w:t>
      </w:r>
      <w:r w:rsidR="00BD4B8C">
        <w:t xml:space="preserve"> over the last two productivity cycles. </w:t>
      </w:r>
      <w:r w:rsidR="000D522A">
        <w:t>Increased</w:t>
      </w:r>
      <w:r w:rsidR="00DD753E">
        <w:t xml:space="preserve"> global</w:t>
      </w:r>
      <w:r w:rsidR="000D522A">
        <w:t xml:space="preserve"> demand for base metals </w:t>
      </w:r>
      <w:r w:rsidR="00BB4DEC">
        <w:t xml:space="preserve">led to </w:t>
      </w:r>
      <w:r w:rsidR="000D522A">
        <w:t>higher commodity prices</w:t>
      </w:r>
      <w:r w:rsidR="00BB4DEC">
        <w:t xml:space="preserve">, which in turn influenced </w:t>
      </w:r>
      <w:r w:rsidR="00A5148A">
        <w:t>production and investment decisions</w:t>
      </w:r>
      <w:r w:rsidR="00AF355F">
        <w:t xml:space="preserve"> in Primary metals</w:t>
      </w:r>
      <w:r w:rsidR="00A5148A">
        <w:t>.</w:t>
      </w:r>
      <w:r w:rsidR="000D522A">
        <w:t xml:space="preserve"> </w:t>
      </w:r>
      <w:r w:rsidR="00CB641F">
        <w:t>A</w:t>
      </w:r>
      <w:r w:rsidR="000D522A">
        <w:t xml:space="preserve"> boom in construction activity in Australia boosted demand for Fabricated metals</w:t>
      </w:r>
      <w:r w:rsidR="005D2BA8">
        <w:t>, and indirectly for</w:t>
      </w:r>
      <w:r w:rsidR="006B3104">
        <w:t xml:space="preserve"> some</w:t>
      </w:r>
      <w:r w:rsidR="005D2BA8">
        <w:t xml:space="preserve"> Primary metals</w:t>
      </w:r>
      <w:r w:rsidR="000D522A">
        <w:t>.</w:t>
      </w:r>
    </w:p>
    <w:p w:rsidR="008233E1" w:rsidRDefault="00C620E4" w:rsidP="008233E1">
      <w:pPr>
        <w:pStyle w:val="Heading3"/>
      </w:pPr>
      <w:r>
        <w:t>Primary metal products received higher prices</w:t>
      </w:r>
    </w:p>
    <w:p w:rsidR="00484F1C" w:rsidRDefault="00484F1C" w:rsidP="009430E4">
      <w:pPr>
        <w:pStyle w:val="Heading4"/>
        <w:spacing w:before="240"/>
      </w:pPr>
      <w:r>
        <w:t>Basic non-ferrous metals</w:t>
      </w:r>
    </w:p>
    <w:p w:rsidR="004D2FCE" w:rsidRDefault="003519E1" w:rsidP="00280F6D">
      <w:pPr>
        <w:pStyle w:val="BodyText"/>
      </w:pPr>
      <w:r>
        <w:t>There was s</w:t>
      </w:r>
      <w:r w:rsidR="00FF1AEA">
        <w:t xml:space="preserve">trong growth in </w:t>
      </w:r>
      <w:r w:rsidR="00F46DCE">
        <w:t xml:space="preserve">non-ferrous </w:t>
      </w:r>
      <w:r w:rsidR="00FF1AEA">
        <w:t>metal prices during the last two productivity cycles, particularly in c</w:t>
      </w:r>
      <w:r>
        <w:t xml:space="preserve">ycle 4 (figure </w:t>
      </w:r>
      <w:r w:rsidR="009430E4">
        <w:t>6.3</w:t>
      </w:r>
      <w:r>
        <w:t xml:space="preserve">). </w:t>
      </w:r>
      <w:r w:rsidR="008754BE">
        <w:t xml:space="preserve">This growth in prices was driven by strong demand from Asia over the period </w:t>
      </w:r>
      <w:r w:rsidR="008754BE" w:rsidRPr="00154397">
        <w:t xml:space="preserve">(Syed, Grafton and </w:t>
      </w:r>
      <w:proofErr w:type="spellStart"/>
      <w:r w:rsidR="008754BE" w:rsidRPr="00154397">
        <w:t>Kalirajan</w:t>
      </w:r>
      <w:proofErr w:type="spellEnd"/>
      <w:r w:rsidR="008B21A8">
        <w:t> </w:t>
      </w:r>
      <w:r w:rsidR="008754BE" w:rsidRPr="00154397">
        <w:t>2013</w:t>
      </w:r>
      <w:r w:rsidR="00B04391">
        <w:t>;</w:t>
      </w:r>
      <w:r w:rsidR="00A31B1D" w:rsidRPr="00154397">
        <w:t xml:space="preserve"> </w:t>
      </w:r>
      <w:r w:rsidR="00342AE6" w:rsidRPr="00154397">
        <w:t>Australian Government</w:t>
      </w:r>
      <w:r w:rsidR="00A31B1D" w:rsidRPr="00154397">
        <w:t xml:space="preserve"> 2012</w:t>
      </w:r>
      <w:r w:rsidR="008754BE" w:rsidRPr="00154397">
        <w:t>)</w:t>
      </w:r>
      <w:r w:rsidR="00495C39" w:rsidRPr="00154397">
        <w:t>.</w:t>
      </w:r>
      <w:r w:rsidR="00A31B1D">
        <w:t xml:space="preserve"> </w:t>
      </w:r>
      <w:r w:rsidR="00EE5751">
        <w:t xml:space="preserve">The sustained prices </w:t>
      </w:r>
      <w:r w:rsidR="002B0222">
        <w:t>encouraged</w:t>
      </w:r>
      <w:r w:rsidR="00AA1A14">
        <w:t xml:space="preserve"> investment by </w:t>
      </w:r>
      <w:r w:rsidR="00EB3BC2">
        <w:t xml:space="preserve">the producers of these </w:t>
      </w:r>
      <w:r w:rsidR="00AA1A14">
        <w:t>metal</w:t>
      </w:r>
      <w:r w:rsidR="00EB3BC2">
        <w:t>s</w:t>
      </w:r>
      <w:r w:rsidR="00AA1A14">
        <w:t>, which explains much of the investment growth observed in the subsector</w:t>
      </w:r>
      <w:r w:rsidR="00EB3BC2">
        <w:t xml:space="preserve"> as a whole</w:t>
      </w:r>
      <w:r w:rsidR="00AA1A14">
        <w:t>.</w:t>
      </w:r>
    </w:p>
    <w:p w:rsidR="00280F6D" w:rsidRDefault="00280F6D" w:rsidP="00280F6D">
      <w:pPr>
        <w:pStyle w:val="BodyText"/>
      </w:pPr>
      <w:r>
        <w:lastRenderedPageBreak/>
        <w:t xml:space="preserve">The change in aluminium prices is particularly relevant as Australia is the world’s leading producer of bauxite ore and second largest producer of alumina </w:t>
      </w:r>
      <w:r w:rsidRPr="00154397">
        <w:t>(</w:t>
      </w:r>
      <w:proofErr w:type="spellStart"/>
      <w:r w:rsidR="00F113BC" w:rsidRPr="00154397">
        <w:t>AAC</w:t>
      </w:r>
      <w:proofErr w:type="spellEnd"/>
      <w:r w:rsidR="00F113BC" w:rsidRPr="00154397">
        <w:t> </w:t>
      </w:r>
      <w:r w:rsidRPr="00154397">
        <w:t>201</w:t>
      </w:r>
      <w:r w:rsidR="00F113BC" w:rsidRPr="00154397">
        <w:t>0</w:t>
      </w:r>
      <w:r>
        <w:t>).</w:t>
      </w:r>
      <w:r w:rsidRPr="00CD7043">
        <w:t xml:space="preserve"> </w:t>
      </w:r>
    </w:p>
    <w:p w:rsidR="00834460" w:rsidRPr="00EC4839" w:rsidRDefault="00834460">
      <w:pPr>
        <w:pStyle w:val="FigureTitle"/>
        <w:rPr>
          <w:sz w:val="24"/>
        </w:rPr>
      </w:pPr>
      <w:r w:rsidRPr="00EC4839">
        <w:rPr>
          <w:b w:val="0"/>
          <w:sz w:val="24"/>
        </w:rPr>
        <w:t xml:space="preserve">Figure </w:t>
      </w:r>
      <w:bookmarkStart w:id="9" w:name="OLE_LINK28"/>
      <w:r w:rsidR="00784760" w:rsidRPr="00EC4839">
        <w:rPr>
          <w:b w:val="0"/>
          <w:sz w:val="24"/>
        </w:rPr>
        <w:t>6.</w:t>
      </w:r>
      <w:r w:rsidR="00227A34">
        <w:rPr>
          <w:b w:val="0"/>
          <w:noProof/>
          <w:sz w:val="24"/>
        </w:rPr>
        <w:t>3</w:t>
      </w:r>
      <w:bookmarkEnd w:id="9"/>
      <w:r w:rsidRPr="00EC4839">
        <w:rPr>
          <w:sz w:val="24"/>
        </w:rPr>
        <w:tab/>
      </w:r>
      <w:r w:rsidR="008E01E2" w:rsidRPr="00EC4839">
        <w:rPr>
          <w:sz w:val="24"/>
        </w:rPr>
        <w:t>Changes in</w:t>
      </w:r>
      <w:r w:rsidR="007F61EC" w:rsidRPr="00EC4839">
        <w:rPr>
          <w:sz w:val="24"/>
        </w:rPr>
        <w:t xml:space="preserve"> selected</w:t>
      </w:r>
      <w:r w:rsidR="008E01E2" w:rsidRPr="00EC4839">
        <w:rPr>
          <w:sz w:val="24"/>
        </w:rPr>
        <w:t xml:space="preserve"> </w:t>
      </w:r>
      <w:r w:rsidR="007F61EC" w:rsidRPr="00EC4839">
        <w:rPr>
          <w:sz w:val="24"/>
        </w:rPr>
        <w:t xml:space="preserve">non-ferrous </w:t>
      </w:r>
      <w:r w:rsidR="008E01E2" w:rsidRPr="00EC4839">
        <w:rPr>
          <w:sz w:val="24"/>
        </w:rPr>
        <w:t>metal prices by cycle</w:t>
      </w:r>
      <w:r w:rsidR="00D52E39" w:rsidRPr="00EC4839">
        <w:rPr>
          <w:rStyle w:val="NoteLabel"/>
          <w:b/>
          <w:sz w:val="20"/>
        </w:rPr>
        <w:t>a</w:t>
      </w:r>
    </w:p>
    <w:p w:rsidR="00834460" w:rsidRDefault="004E5A47">
      <w:pPr>
        <w:pStyle w:val="Subtitle"/>
      </w:pPr>
      <w:r>
        <w:t>Average annual growth rate (</w:t>
      </w:r>
      <w:r w:rsidR="00F46505">
        <w:t>per cent</w:t>
      </w:r>
      <w:r>
        <w:t>)</w:t>
      </w:r>
      <w:r w:rsidDel="008E01E2">
        <w:t xml:space="preserve">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34460">
        <w:tc>
          <w:tcPr>
            <w:tcW w:w="8777" w:type="dxa"/>
          </w:tcPr>
          <w:p w:rsidR="00D52E39" w:rsidRDefault="00852E6A" w:rsidP="00FF6DEB">
            <w:pPr>
              <w:pStyle w:val="Figure"/>
              <w:spacing w:after="0"/>
            </w:pPr>
            <w:r>
              <w:pict>
                <v:shape id="_x0000_i1028" type="#_x0000_t75" alt="This figure shows the average annual growth rate of prices for aluminium, copper, gold, lead, nickel and  zinc for each productivity cycle and the incomplete productivity cycle. It shows that growth in the prices for each of these metals was fastest over cycle 4." style="width:424.45pt;height:198.4pt;mso-position-vertical:absolute">
                  <v:imagedata r:id="rId12" o:title=""/>
                </v:shape>
              </w:pict>
            </w:r>
          </w:p>
        </w:tc>
      </w:tr>
    </w:tbl>
    <w:p w:rsidR="00834460" w:rsidRDefault="00834460">
      <w:pPr>
        <w:pStyle w:val="Note"/>
      </w:pPr>
      <w:r>
        <w:rPr>
          <w:rStyle w:val="NoteLabel"/>
        </w:rPr>
        <w:t>a</w:t>
      </w:r>
      <w:r>
        <w:t xml:space="preserve"> </w:t>
      </w:r>
      <w:r w:rsidR="00D52E39">
        <w:t xml:space="preserve">London </w:t>
      </w:r>
      <w:r w:rsidR="00360520">
        <w:t xml:space="preserve">Metals Exchange </w:t>
      </w:r>
      <w:r w:rsidR="00A74359">
        <w:t>spot-market</w:t>
      </w:r>
      <w:r w:rsidR="006111A3">
        <w:t xml:space="preserve"> nominal </w:t>
      </w:r>
      <w:r w:rsidR="00D52E39">
        <w:t>prices.</w:t>
      </w:r>
    </w:p>
    <w:p w:rsidR="00764623" w:rsidRDefault="00834460" w:rsidP="00E455AA">
      <w:pPr>
        <w:pStyle w:val="Source"/>
      </w:pPr>
      <w:r>
        <w:rPr>
          <w:i/>
        </w:rPr>
        <w:t xml:space="preserve">Data </w:t>
      </w:r>
      <w:r w:rsidRPr="00154397">
        <w:rPr>
          <w:i/>
        </w:rPr>
        <w:t>source</w:t>
      </w:r>
      <w:r w:rsidRPr="00154397">
        <w:t xml:space="preserve">: BREE </w:t>
      </w:r>
      <w:r w:rsidR="00D0462A" w:rsidRPr="00154397">
        <w:t>(</w:t>
      </w:r>
      <w:r w:rsidR="00361C12" w:rsidRPr="00154397">
        <w:t>2011</w:t>
      </w:r>
      <w:r w:rsidR="00361C12">
        <w:t xml:space="preserve">). </w:t>
      </w:r>
    </w:p>
    <w:p w:rsidR="00484F1C" w:rsidRDefault="00484F1C" w:rsidP="00484F1C">
      <w:pPr>
        <w:pStyle w:val="Heading4"/>
      </w:pPr>
      <w:r>
        <w:t xml:space="preserve">Basic </w:t>
      </w:r>
      <w:r w:rsidR="000741E3">
        <w:t xml:space="preserve">ferrous </w:t>
      </w:r>
      <w:r>
        <w:t>metals</w:t>
      </w:r>
    </w:p>
    <w:p w:rsidR="00F957E2" w:rsidRDefault="00F32DFC" w:rsidP="00F957E2">
      <w:pPr>
        <w:pStyle w:val="BodyText"/>
      </w:pPr>
      <w:r w:rsidRPr="00B551CC">
        <w:t xml:space="preserve">A major shift in the operating environment </w:t>
      </w:r>
      <w:r w:rsidR="00C807CA" w:rsidRPr="00B551CC">
        <w:t xml:space="preserve">for Australian manufacturers of </w:t>
      </w:r>
      <w:r w:rsidRPr="00B551CC">
        <w:t xml:space="preserve">ferrous metals (iron and steel) is the strong growth of steel output from China in recent years. </w:t>
      </w:r>
      <w:r w:rsidR="00D16F72">
        <w:t xml:space="preserve">During the </w:t>
      </w:r>
      <w:proofErr w:type="spellStart"/>
      <w:r w:rsidR="00D16F72">
        <w:t>2000s</w:t>
      </w:r>
      <w:proofErr w:type="spellEnd"/>
      <w:r w:rsidR="00D16F72">
        <w:t xml:space="preserve">, </w:t>
      </w:r>
      <w:r w:rsidR="0087157B">
        <w:t xml:space="preserve">growth in </w:t>
      </w:r>
      <w:r w:rsidR="00D16F72">
        <w:t>Chinese steel production was close to 20 per cent</w:t>
      </w:r>
      <w:r w:rsidR="004D392E">
        <w:t xml:space="preserve"> a year</w:t>
      </w:r>
      <w:r w:rsidR="00D16F72">
        <w:t xml:space="preserve">, </w:t>
      </w:r>
      <w:r w:rsidR="00A07940">
        <w:t>with China becoming</w:t>
      </w:r>
      <w:r w:rsidR="00D16F72">
        <w:t xml:space="preserve"> a net exporter of steel in 2006 </w:t>
      </w:r>
      <w:r w:rsidR="00D16F72" w:rsidRPr="00154397">
        <w:t xml:space="preserve">(Holloway, Roberts </w:t>
      </w:r>
      <w:r w:rsidR="009430E4" w:rsidRPr="00154397">
        <w:t>and</w:t>
      </w:r>
      <w:r w:rsidR="00F113BC" w:rsidRPr="00154397">
        <w:t xml:space="preserve"> Rush</w:t>
      </w:r>
      <w:r w:rsidR="00D16F72" w:rsidRPr="00154397">
        <w:t xml:space="preserve"> 2010). China not only increased its share of global steel production, but also changed its mix of steel production towards higher value flat products used in </w:t>
      </w:r>
      <w:r w:rsidR="00C23FA6" w:rsidRPr="00154397">
        <w:t>M</w:t>
      </w:r>
      <w:r w:rsidR="00D16F72" w:rsidRPr="00154397">
        <w:t xml:space="preserve">anufacturing (Holloway, Roberts </w:t>
      </w:r>
      <w:r w:rsidR="009430E4" w:rsidRPr="00154397">
        <w:t>and</w:t>
      </w:r>
      <w:r w:rsidR="00D16F72" w:rsidRPr="00154397">
        <w:t xml:space="preserve"> Rush 2010). As shown</w:t>
      </w:r>
      <w:r w:rsidR="00D16F72">
        <w:t xml:space="preserve"> in figure </w:t>
      </w:r>
      <w:r w:rsidR="009430E4">
        <w:t>6.4</w:t>
      </w:r>
      <w:r w:rsidR="00D16F72">
        <w:t xml:space="preserve">, China </w:t>
      </w:r>
      <w:r w:rsidR="00660A82">
        <w:t xml:space="preserve">has recently become the largest producer of </w:t>
      </w:r>
      <w:r w:rsidR="009430E4">
        <w:t xml:space="preserve">these </w:t>
      </w:r>
      <w:r w:rsidR="00660A82">
        <w:t>steel products by a wide margin</w:t>
      </w:r>
      <w:r w:rsidR="00D16F72">
        <w:t xml:space="preserve">. </w:t>
      </w:r>
      <w:r w:rsidR="00F957E2">
        <w:t xml:space="preserve">Despite this increase in world supply, steel prices rose steadily through the </w:t>
      </w:r>
      <w:proofErr w:type="spellStart"/>
      <w:r w:rsidR="00F957E2">
        <w:t>2000s</w:t>
      </w:r>
      <w:proofErr w:type="spellEnd"/>
      <w:r w:rsidR="00F957E2">
        <w:t xml:space="preserve"> (figure </w:t>
      </w:r>
      <w:r w:rsidR="009430E4">
        <w:t>6.5</w:t>
      </w:r>
      <w:r w:rsidR="00F957E2">
        <w:t>).</w:t>
      </w:r>
    </w:p>
    <w:p w:rsidR="00D16F72" w:rsidRPr="00EC4839" w:rsidRDefault="00D16F72" w:rsidP="00D16F72">
      <w:pPr>
        <w:pStyle w:val="FigureTitle"/>
        <w:rPr>
          <w:b w:val="0"/>
          <w:sz w:val="24"/>
          <w:szCs w:val="24"/>
        </w:rPr>
      </w:pPr>
      <w:r w:rsidRPr="00EC4839">
        <w:rPr>
          <w:b w:val="0"/>
          <w:sz w:val="24"/>
          <w:szCs w:val="24"/>
        </w:rPr>
        <w:lastRenderedPageBreak/>
        <w:t>Figure</w:t>
      </w:r>
      <w:bookmarkStart w:id="10" w:name="OLE_LINK15"/>
      <w:r w:rsidRPr="00EC4839">
        <w:rPr>
          <w:b w:val="0"/>
          <w:sz w:val="24"/>
          <w:szCs w:val="24"/>
        </w:rPr>
        <w:t xml:space="preserve"> </w:t>
      </w:r>
      <w:bookmarkStart w:id="11" w:name="OLE_LINK16"/>
      <w:r w:rsidR="00803619" w:rsidRPr="00EC4839">
        <w:rPr>
          <w:b w:val="0"/>
          <w:sz w:val="24"/>
          <w:szCs w:val="24"/>
        </w:rPr>
        <w:t>6.</w:t>
      </w:r>
      <w:r w:rsidR="00227A34">
        <w:rPr>
          <w:b w:val="0"/>
          <w:noProof/>
          <w:sz w:val="24"/>
          <w:szCs w:val="24"/>
        </w:rPr>
        <w:t>4</w:t>
      </w:r>
      <w:bookmarkEnd w:id="10"/>
      <w:bookmarkEnd w:id="11"/>
      <w:r w:rsidRPr="00EC4839">
        <w:rPr>
          <w:sz w:val="24"/>
          <w:szCs w:val="24"/>
        </w:rPr>
        <w:tab/>
        <w:t>Country/region share of world steel production</w:t>
      </w:r>
      <w:r w:rsidR="003055C3" w:rsidRPr="00EC4839">
        <w:rPr>
          <w:rStyle w:val="NoteLabel"/>
          <w:b/>
          <w:sz w:val="20"/>
          <w:szCs w:val="24"/>
        </w:rPr>
        <w:t>a</w:t>
      </w:r>
    </w:p>
    <w:p w:rsidR="00D16F72" w:rsidRPr="00A313EC" w:rsidRDefault="009C502B" w:rsidP="00A313EC">
      <w:pPr>
        <w:pStyle w:val="Subtitle"/>
      </w:pPr>
      <w:r>
        <w:t>‘000</w:t>
      </w:r>
      <w:r w:rsidR="00A313EC">
        <w:t xml:space="preserve"> tonnes</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8E2ED2" w:rsidRPr="00547EED" w:rsidTr="00D16F72">
        <w:trPr>
          <w:trHeight w:val="270"/>
        </w:trPr>
        <w:tc>
          <w:tcPr>
            <w:tcW w:w="4388" w:type="dxa"/>
          </w:tcPr>
          <w:p w:rsidR="008E2ED2" w:rsidRPr="00547EED" w:rsidRDefault="00624908" w:rsidP="00360520">
            <w:pPr>
              <w:pStyle w:val="Figure"/>
              <w:spacing w:after="0"/>
              <w:rPr>
                <w:noProof/>
                <w:sz w:val="22"/>
                <w:szCs w:val="22"/>
              </w:rPr>
            </w:pPr>
            <w:r w:rsidRPr="00547EED">
              <w:rPr>
                <w:i/>
                <w:sz w:val="22"/>
                <w:szCs w:val="22"/>
              </w:rPr>
              <w:t>Hot</w:t>
            </w:r>
            <w:r w:rsidR="00360520">
              <w:rPr>
                <w:i/>
                <w:sz w:val="22"/>
                <w:szCs w:val="22"/>
              </w:rPr>
              <w:t>-</w:t>
            </w:r>
            <w:r w:rsidR="008E2ED2" w:rsidRPr="00547EED">
              <w:rPr>
                <w:i/>
                <w:sz w:val="22"/>
                <w:szCs w:val="22"/>
              </w:rPr>
              <w:t>rolled flat products</w:t>
            </w:r>
            <w:r w:rsidR="008E2ED2" w:rsidRPr="00547EED">
              <w:rPr>
                <w:noProof/>
                <w:sz w:val="22"/>
                <w:szCs w:val="22"/>
              </w:rPr>
              <w:t xml:space="preserve"> </w:t>
            </w:r>
          </w:p>
        </w:tc>
        <w:tc>
          <w:tcPr>
            <w:tcW w:w="4389" w:type="dxa"/>
          </w:tcPr>
          <w:p w:rsidR="008E2ED2" w:rsidRPr="00547EED" w:rsidRDefault="00624908" w:rsidP="00360520">
            <w:pPr>
              <w:pStyle w:val="Figure"/>
              <w:spacing w:after="0"/>
              <w:rPr>
                <w:noProof/>
                <w:sz w:val="22"/>
                <w:szCs w:val="22"/>
              </w:rPr>
            </w:pPr>
            <w:r w:rsidRPr="00547EED">
              <w:rPr>
                <w:i/>
                <w:sz w:val="22"/>
                <w:szCs w:val="22"/>
              </w:rPr>
              <w:t>Hot</w:t>
            </w:r>
            <w:r w:rsidR="00360520">
              <w:rPr>
                <w:i/>
                <w:sz w:val="22"/>
                <w:szCs w:val="22"/>
              </w:rPr>
              <w:t>-</w:t>
            </w:r>
            <w:r w:rsidR="008E2ED2" w:rsidRPr="00547EED">
              <w:rPr>
                <w:i/>
                <w:sz w:val="22"/>
                <w:szCs w:val="22"/>
              </w:rPr>
              <w:t>rolled long products</w:t>
            </w:r>
          </w:p>
        </w:tc>
      </w:tr>
      <w:tr w:rsidR="00D16F72" w:rsidTr="00D16F72">
        <w:trPr>
          <w:trHeight w:val="270"/>
        </w:trPr>
        <w:tc>
          <w:tcPr>
            <w:tcW w:w="4388" w:type="dxa"/>
          </w:tcPr>
          <w:p w:rsidR="00D16F72" w:rsidRPr="0080241B" w:rsidRDefault="00852E6A" w:rsidP="00180E99">
            <w:pPr>
              <w:pStyle w:val="Figure"/>
              <w:rPr>
                <w:i/>
              </w:rPr>
            </w:pPr>
            <w:r>
              <w:rPr>
                <w:i/>
              </w:rPr>
              <w:pict>
                <v:shape id="_x0000_i1029" type="#_x0000_t75" alt="This figure is comprised of two charts, each of which shows the annual production of different steel products by China, Japan, US, EU(15) and Australia over the period of 1999 to 2008. The left chart shows ‘hot rolled flat products’; the right chart shows ‘hot rolled long products’. Both charts show China’s growth in production from around 2000 to be strong, rendering the country the largest producer of both products by a large margin by 2008." style="width:205.95pt;height:182.5pt">
                  <v:imagedata r:id="rId13" o:title=""/>
                </v:shape>
              </w:pict>
            </w:r>
          </w:p>
        </w:tc>
        <w:tc>
          <w:tcPr>
            <w:tcW w:w="4389" w:type="dxa"/>
          </w:tcPr>
          <w:p w:rsidR="00D16F72" w:rsidRPr="0080241B" w:rsidRDefault="00852E6A" w:rsidP="00180E99">
            <w:pPr>
              <w:pStyle w:val="Figure"/>
              <w:rPr>
                <w:i/>
              </w:rPr>
            </w:pPr>
            <w:r>
              <w:rPr>
                <w:i/>
              </w:rPr>
              <w:pict>
                <v:shape id="_x0000_i1030" type="#_x0000_t75" alt="This figure is comprised of two charts, each of which shows the annual production of different steel products by China, Japan, US, EU(15) and Australia over the period of 1999 to 2008. The left chart shows ‘hot rolled flat products’; the right chart shows ‘hot rolled long products’. Both charts show China’s growth in production from around 2000 to be strong, rendering the country the largest producer of both products by a large margin by 2008." style="width:206.8pt;height:182.5pt;mso-position-horizontal:absolute">
                  <v:imagedata r:id="rId14" o:title=""/>
                </v:shape>
              </w:pict>
            </w:r>
          </w:p>
        </w:tc>
      </w:tr>
      <w:tr w:rsidR="00D16F72" w:rsidTr="00D16F72">
        <w:trPr>
          <w:trHeight w:val="270"/>
        </w:trPr>
        <w:tc>
          <w:tcPr>
            <w:tcW w:w="8777" w:type="dxa"/>
            <w:gridSpan w:val="2"/>
          </w:tcPr>
          <w:p w:rsidR="00D16F72" w:rsidRDefault="00852E6A" w:rsidP="00482F42">
            <w:pPr>
              <w:pStyle w:val="Figure"/>
              <w:spacing w:before="0" w:after="0"/>
            </w:pPr>
            <w:r>
              <w:pict>
                <v:shape id="_x0000_i1031" type="#_x0000_t75" alt="This figure is comprised of two charts, each of which shows the annual production of different steel products by China, Japan, US, EU(15) and Australia over the period of 1999 to 2008. The left chart shows ‘hot rolled flat products’; the right chart shows ‘hot rolled long products’. Both charts show China’s growth in production from around 2000 to be strong, rendering the country the largest producer of both products by a large margin by 2008." style="width:418.6pt;height:26.8pt;mso-position-horizontal:absolute">
                  <v:imagedata r:id="rId15" o:title=""/>
                </v:shape>
              </w:pict>
            </w:r>
          </w:p>
        </w:tc>
      </w:tr>
    </w:tbl>
    <w:p w:rsidR="003055C3" w:rsidRDefault="003055C3" w:rsidP="009430E4">
      <w:pPr>
        <w:pStyle w:val="Note"/>
      </w:pPr>
      <w:r>
        <w:rPr>
          <w:rStyle w:val="NoteLabel"/>
        </w:rPr>
        <w:t>a</w:t>
      </w:r>
      <w:r>
        <w:t xml:space="preserve"> </w:t>
      </w:r>
      <w:r w:rsidR="00E37A15">
        <w:t>For selected steel products (hot rolled flat and hot rolled long only)</w:t>
      </w:r>
      <w:r>
        <w:t>.</w:t>
      </w:r>
    </w:p>
    <w:p w:rsidR="00D16F72" w:rsidRDefault="00D16F72" w:rsidP="00D16F72">
      <w:pPr>
        <w:pStyle w:val="Source"/>
      </w:pPr>
      <w:r>
        <w:rPr>
          <w:i/>
        </w:rPr>
        <w:t>Data source</w:t>
      </w:r>
      <w:r w:rsidRPr="00167F06">
        <w:t xml:space="preserve">: </w:t>
      </w:r>
      <w:r w:rsidRPr="00154397">
        <w:t>World Steel Association</w:t>
      </w:r>
      <w:r w:rsidR="00267EE8" w:rsidRPr="00154397">
        <w:t xml:space="preserve"> </w:t>
      </w:r>
      <w:r w:rsidR="00D5288A" w:rsidRPr="00154397">
        <w:t>(2011).</w:t>
      </w:r>
    </w:p>
    <w:p w:rsidR="00F957E2" w:rsidRDefault="00F957E2" w:rsidP="00180E99">
      <w:pPr>
        <w:pStyle w:val="FigureTitle"/>
        <w:spacing w:before="480"/>
      </w:pPr>
      <w:r w:rsidRPr="00EC4839">
        <w:rPr>
          <w:b w:val="0"/>
          <w:sz w:val="24"/>
        </w:rPr>
        <w:t xml:space="preserve">Figure </w:t>
      </w:r>
      <w:bookmarkStart w:id="12" w:name="OLE_LINK39"/>
      <w:r w:rsidR="00803619" w:rsidRPr="00EC4839">
        <w:rPr>
          <w:b w:val="0"/>
          <w:sz w:val="24"/>
        </w:rPr>
        <w:t>6.</w:t>
      </w:r>
      <w:r w:rsidR="00227A34">
        <w:rPr>
          <w:b w:val="0"/>
          <w:noProof/>
          <w:sz w:val="24"/>
        </w:rPr>
        <w:t>5</w:t>
      </w:r>
      <w:bookmarkEnd w:id="12"/>
      <w:r w:rsidRPr="00EC4839">
        <w:rPr>
          <w:sz w:val="24"/>
        </w:rPr>
        <w:tab/>
        <w:t>Steel prices</w:t>
      </w:r>
      <w:r w:rsidRPr="00B37815">
        <w:rPr>
          <w:rStyle w:val="NoteLabel"/>
          <w:b/>
        </w:rPr>
        <w:t>a</w:t>
      </w:r>
    </w:p>
    <w:p w:rsidR="00F957E2" w:rsidRDefault="00F957E2" w:rsidP="00F957E2">
      <w:pPr>
        <w:pStyle w:val="Subtitle"/>
      </w:pPr>
      <w:r>
        <w:t>US</w:t>
      </w:r>
      <w:r w:rsidR="001206CE">
        <w:t>$</w:t>
      </w:r>
      <w:r>
        <w:t>/</w:t>
      </w:r>
      <w:proofErr w:type="spellStart"/>
      <w:r>
        <w:t>mt</w:t>
      </w:r>
      <w:proofErr w:type="spellEnd"/>
      <w:r>
        <w:t xml:space="preserve">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F957E2" w:rsidTr="00394A0E">
        <w:tc>
          <w:tcPr>
            <w:tcW w:w="8777" w:type="dxa"/>
          </w:tcPr>
          <w:p w:rsidR="00F957E2" w:rsidRDefault="00852E6A" w:rsidP="00180E99">
            <w:pPr>
              <w:pStyle w:val="Figure"/>
            </w:pPr>
            <w:r>
              <w:pict>
                <v:shape id="_x0000_i1032" type="#_x0000_t75" alt="This figure shows the price (in US$ per million tonnes) of three different steel products (hot-rolled coilsheet, cold-rolled coilsheet, and steel wire rod), over the period 1988 to 2010. It shows that the prices of each of these goods rose sharply from 2002, and peaked in 2008." style="width:425.3pt;height:198.4pt">
                  <v:imagedata r:id="rId16" o:title=""/>
                </v:shape>
              </w:pict>
            </w:r>
          </w:p>
        </w:tc>
      </w:tr>
    </w:tbl>
    <w:p w:rsidR="00F957E2" w:rsidRDefault="00F957E2" w:rsidP="00F957E2">
      <w:pPr>
        <w:pStyle w:val="Note"/>
      </w:pPr>
      <w:r>
        <w:rPr>
          <w:rStyle w:val="NoteLabel"/>
        </w:rPr>
        <w:t>a</w:t>
      </w:r>
      <w:r>
        <w:t xml:space="preserve"> </w:t>
      </w:r>
      <w:r w:rsidR="00047360">
        <w:t xml:space="preserve">Current prices. </w:t>
      </w:r>
    </w:p>
    <w:p w:rsidR="00F957E2" w:rsidRDefault="00F957E2" w:rsidP="00F957E2">
      <w:pPr>
        <w:pStyle w:val="Source"/>
      </w:pPr>
      <w:r>
        <w:rPr>
          <w:i/>
        </w:rPr>
        <w:t xml:space="preserve">Data </w:t>
      </w:r>
      <w:r w:rsidRPr="00154397">
        <w:rPr>
          <w:i/>
        </w:rPr>
        <w:t>source</w:t>
      </w:r>
      <w:r w:rsidRPr="00154397">
        <w:t xml:space="preserve">: </w:t>
      </w:r>
      <w:r w:rsidR="006E7144" w:rsidRPr="00154397">
        <w:t>World Bank</w:t>
      </w:r>
      <w:r w:rsidRPr="00154397">
        <w:t xml:space="preserve"> (2013)</w:t>
      </w:r>
      <w:r w:rsidR="00AF35AC" w:rsidRPr="00154397">
        <w:t>.</w:t>
      </w:r>
    </w:p>
    <w:p w:rsidR="0000788B" w:rsidRDefault="0000788B">
      <w:pPr>
        <w:rPr>
          <w:rFonts w:ascii="Times New Roman" w:eastAsia="Times New Roman" w:hAnsi="Times New Roman" w:cs="Times New Roman"/>
          <w:i/>
          <w:sz w:val="26"/>
          <w:szCs w:val="20"/>
          <w:lang w:eastAsia="en-AU"/>
        </w:rPr>
      </w:pPr>
      <w:r>
        <w:br w:type="page"/>
      </w:r>
    </w:p>
    <w:p w:rsidR="00683BD4" w:rsidRPr="001206CE" w:rsidRDefault="0037118A" w:rsidP="001206CE">
      <w:pPr>
        <w:pStyle w:val="Heading5"/>
      </w:pPr>
      <w:r>
        <w:lastRenderedPageBreak/>
        <w:t>Responses to g</w:t>
      </w:r>
      <w:r w:rsidR="0083181B" w:rsidRPr="001206CE">
        <w:t>reater imports of steel</w:t>
      </w:r>
    </w:p>
    <w:p w:rsidR="00696621" w:rsidRDefault="00696621" w:rsidP="00952F4B">
      <w:pPr>
        <w:pStyle w:val="BodyText"/>
      </w:pPr>
      <w:r>
        <w:t>The domestic producers of steel faced a higher price for both inputs and outputs</w:t>
      </w:r>
      <w:r w:rsidR="004C4B63">
        <w:t>,</w:t>
      </w:r>
      <w:r>
        <w:t xml:space="preserve"> as well as greater competition in domestic and overseas markets. </w:t>
      </w:r>
      <w:r w:rsidR="009A0463">
        <w:t xml:space="preserve">Responses of the major steelmakers in Australia have varied. </w:t>
      </w:r>
      <w:r w:rsidR="00236392">
        <w:t>For example, BlueScope S</w:t>
      </w:r>
      <w:r>
        <w:t xml:space="preserve">teel responded to the increased competition in the domestic market by becoming more focused on </w:t>
      </w:r>
      <w:r w:rsidR="005A7E01">
        <w:t xml:space="preserve">exports of </w:t>
      </w:r>
      <w:r>
        <w:t xml:space="preserve">higher value products </w:t>
      </w:r>
      <w:r w:rsidRPr="00154397">
        <w:t>(B</w:t>
      </w:r>
      <w:r w:rsidR="00236392">
        <w:t>lueS</w:t>
      </w:r>
      <w:r w:rsidRPr="00154397">
        <w:t>cope</w:t>
      </w:r>
      <w:r w:rsidR="00236392">
        <w:t xml:space="preserve"> Steel</w:t>
      </w:r>
      <w:r w:rsidRPr="00154397">
        <w:t xml:space="preserve"> 2006</w:t>
      </w:r>
      <w:r>
        <w:t xml:space="preserve">). In contrast, </w:t>
      </w:r>
      <w:proofErr w:type="spellStart"/>
      <w:r>
        <w:t>Arrium</w:t>
      </w:r>
      <w:proofErr w:type="spellEnd"/>
      <w:r>
        <w:t xml:space="preserve"> (previously </w:t>
      </w:r>
      <w:proofErr w:type="spellStart"/>
      <w:r>
        <w:t>OneSteel</w:t>
      </w:r>
      <w:proofErr w:type="spellEnd"/>
      <w:r>
        <w:t xml:space="preserve">) responded </w:t>
      </w:r>
      <w:r w:rsidR="000249A8">
        <w:t>through</w:t>
      </w:r>
      <w:r>
        <w:t xml:space="preserve"> diversification — altering its </w:t>
      </w:r>
      <w:r w:rsidR="00CC0823">
        <w:t xml:space="preserve">steel </w:t>
      </w:r>
      <w:r>
        <w:t>production process to use lower-quality iron ore and</w:t>
      </w:r>
      <w:r w:rsidR="00E165BC">
        <w:t xml:space="preserve"> export the higher-quality iron ore from its mines</w:t>
      </w:r>
      <w:r>
        <w:t xml:space="preserve"> (</w:t>
      </w:r>
      <w:proofErr w:type="spellStart"/>
      <w:r w:rsidR="00491DC2" w:rsidRPr="00154397">
        <w:t>Onesteel</w:t>
      </w:r>
      <w:proofErr w:type="spellEnd"/>
      <w:r w:rsidR="00491DC2" w:rsidRPr="00154397">
        <w:t xml:space="preserve"> 2005</w:t>
      </w:r>
      <w:r>
        <w:t>).</w:t>
      </w:r>
      <w:r w:rsidR="00BF6CF9">
        <w:t xml:space="preserve"> Figure </w:t>
      </w:r>
      <w:r w:rsidR="009430E4">
        <w:t>6.6</w:t>
      </w:r>
      <w:r w:rsidR="00BF6CF9">
        <w:t xml:space="preserve"> shows the movements in trade in iron and steel.</w:t>
      </w:r>
      <w:r w:rsidR="00611099">
        <w:rPr>
          <w:rStyle w:val="FootnoteReference"/>
        </w:rPr>
        <w:footnoteReference w:id="2"/>
      </w:r>
    </w:p>
    <w:p w:rsidR="00A62BFE" w:rsidRDefault="00A62BFE">
      <w:pPr>
        <w:pStyle w:val="FigureTitle"/>
      </w:pPr>
      <w:r w:rsidRPr="00EC4839">
        <w:rPr>
          <w:b w:val="0"/>
          <w:sz w:val="24"/>
        </w:rPr>
        <w:t xml:space="preserve">Figure </w:t>
      </w:r>
      <w:bookmarkStart w:id="13" w:name="OLE_LINK38"/>
      <w:r w:rsidR="009430E4" w:rsidRPr="00EC4839">
        <w:rPr>
          <w:b w:val="0"/>
          <w:sz w:val="24"/>
        </w:rPr>
        <w:t>6.</w:t>
      </w:r>
      <w:r w:rsidR="00227A34">
        <w:rPr>
          <w:b w:val="0"/>
          <w:noProof/>
          <w:sz w:val="24"/>
        </w:rPr>
        <w:t>6</w:t>
      </w:r>
      <w:bookmarkEnd w:id="13"/>
      <w:r w:rsidRPr="00EC4839">
        <w:rPr>
          <w:sz w:val="24"/>
        </w:rPr>
        <w:tab/>
        <w:t>Australian trade in Iron and Steel</w:t>
      </w:r>
      <w:r w:rsidRPr="00A62BFE">
        <w:rPr>
          <w:rStyle w:val="NoteLabel"/>
          <w:b/>
        </w:rPr>
        <w:t>a</w:t>
      </w:r>
    </w:p>
    <w:p w:rsidR="00A62BFE" w:rsidRDefault="00C74AF9">
      <w:pPr>
        <w:pStyle w:val="Subtitle"/>
      </w:pPr>
      <w:r>
        <w:t>2009-10</w:t>
      </w:r>
      <w:r w:rsidR="00A62BFE">
        <w:t xml:space="preserve"> $m</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62BFE">
        <w:tc>
          <w:tcPr>
            <w:tcW w:w="8777" w:type="dxa"/>
          </w:tcPr>
          <w:p w:rsidR="00EE1F2A" w:rsidRDefault="00852E6A" w:rsidP="00180E99">
            <w:pPr>
              <w:pStyle w:val="Figure"/>
            </w:pPr>
            <w:r>
              <w:pict>
                <v:shape id="_x0000_i1033" type="#_x0000_t75" alt="This figure shows imports and exports of iron and steel products in real dollar terms over the period 1988-89 to 2011-12. It shows that imports and exports grew together up to about 1998-99, when import growth accelerated and exports declined." style="width:424.45pt;height:198.4pt">
                  <v:imagedata r:id="rId17" o:title=""/>
                </v:shape>
              </w:pict>
            </w:r>
          </w:p>
        </w:tc>
      </w:tr>
    </w:tbl>
    <w:p w:rsidR="00A62BFE" w:rsidRDefault="00A62BFE">
      <w:pPr>
        <w:pStyle w:val="Note"/>
      </w:pPr>
      <w:r>
        <w:rPr>
          <w:rStyle w:val="NoteLabel"/>
        </w:rPr>
        <w:t>a</w:t>
      </w:r>
      <w:r>
        <w:t xml:space="preserve"> Based on </w:t>
      </w:r>
      <w:r w:rsidR="002C008F">
        <w:t>Standard International Trade Classification (</w:t>
      </w:r>
      <w:proofErr w:type="spellStart"/>
      <w:r>
        <w:t>SITC</w:t>
      </w:r>
      <w:proofErr w:type="spellEnd"/>
      <w:r w:rsidR="002C008F">
        <w:t>)</w:t>
      </w:r>
      <w:r>
        <w:t xml:space="preserve"> division 67: Iron and Steel.</w:t>
      </w:r>
    </w:p>
    <w:p w:rsidR="00BF6CF9" w:rsidRDefault="00A62BFE" w:rsidP="00410C23">
      <w:pPr>
        <w:pStyle w:val="Source"/>
      </w:pPr>
      <w:r>
        <w:rPr>
          <w:i/>
        </w:rPr>
        <w:t>Data source</w:t>
      </w:r>
      <w:r w:rsidR="009331CE">
        <w:rPr>
          <w:i/>
        </w:rPr>
        <w:t>s</w:t>
      </w:r>
      <w:r w:rsidRPr="00167F06">
        <w:t xml:space="preserve">: </w:t>
      </w:r>
      <w:r>
        <w:t xml:space="preserve">Authors’ estimates based on ABS </w:t>
      </w:r>
      <w:r w:rsidR="006D3BD2">
        <w:t>(</w:t>
      </w:r>
      <w:r w:rsidR="006D3BD2">
        <w:rPr>
          <w:i/>
        </w:rPr>
        <w:t>International Merchandise Exports</w:t>
      </w:r>
      <w:r w:rsidR="000A0285">
        <w:rPr>
          <w:i/>
        </w:rPr>
        <w:t xml:space="preserve">, </w:t>
      </w:r>
      <w:r w:rsidR="00FA0D66">
        <w:rPr>
          <w:i/>
        </w:rPr>
        <w:t>February</w:t>
      </w:r>
      <w:r w:rsidR="000A0285">
        <w:rPr>
          <w:i/>
        </w:rPr>
        <w:t xml:space="preserve"> 2013</w:t>
      </w:r>
      <w:r w:rsidR="000A0285">
        <w:t>, Cat.</w:t>
      </w:r>
      <w:r w:rsidR="0007675D">
        <w:t> </w:t>
      </w:r>
      <w:r w:rsidR="000A0285">
        <w:t>no.</w:t>
      </w:r>
      <w:r w:rsidR="00044D37">
        <w:t> </w:t>
      </w:r>
      <w:r w:rsidR="000A0285">
        <w:t>5432</w:t>
      </w:r>
      <w:r w:rsidR="006D3BD2">
        <w:t>)</w:t>
      </w:r>
      <w:r w:rsidR="00F113BC">
        <w:t>;</w:t>
      </w:r>
      <w:r w:rsidR="006D3BD2">
        <w:t xml:space="preserve"> ABS (</w:t>
      </w:r>
      <w:r w:rsidR="006D3BD2">
        <w:rPr>
          <w:i/>
        </w:rPr>
        <w:t>International Merchandise Imports</w:t>
      </w:r>
      <w:r w:rsidR="00044D37">
        <w:rPr>
          <w:i/>
        </w:rPr>
        <w:t>,</w:t>
      </w:r>
      <w:r w:rsidR="00200648">
        <w:rPr>
          <w:i/>
        </w:rPr>
        <w:t xml:space="preserve"> </w:t>
      </w:r>
      <w:r w:rsidR="00FA0D66">
        <w:rPr>
          <w:i/>
        </w:rPr>
        <w:t>February</w:t>
      </w:r>
      <w:r w:rsidR="00200648">
        <w:rPr>
          <w:i/>
        </w:rPr>
        <w:t xml:space="preserve"> 2013</w:t>
      </w:r>
      <w:r w:rsidR="006D3BD2">
        <w:rPr>
          <w:i/>
        </w:rPr>
        <w:t>,</w:t>
      </w:r>
      <w:r w:rsidR="00200648">
        <w:t xml:space="preserve"> Cat. no. 5439.0</w:t>
      </w:r>
      <w:r w:rsidR="006D3BD2">
        <w:t>)</w:t>
      </w:r>
      <w:r w:rsidR="00303D3E">
        <w:t>;</w:t>
      </w:r>
      <w:r w:rsidR="006D3BD2">
        <w:t xml:space="preserve"> </w:t>
      </w:r>
      <w:r w:rsidR="009C6C05">
        <w:t>and</w:t>
      </w:r>
      <w:r w:rsidR="006D3BD2">
        <w:t xml:space="preserve"> ABS</w:t>
      </w:r>
      <w:r w:rsidR="0007675D">
        <w:t> </w:t>
      </w:r>
      <w:r w:rsidR="006D3BD2">
        <w:t>(</w:t>
      </w:r>
      <w:r w:rsidR="006D3BD2">
        <w:rPr>
          <w:i/>
        </w:rPr>
        <w:t xml:space="preserve">International Trade Price Indexes, </w:t>
      </w:r>
      <w:r w:rsidR="00FA0D66">
        <w:rPr>
          <w:i/>
        </w:rPr>
        <w:t>March</w:t>
      </w:r>
      <w:r w:rsidR="00200648">
        <w:rPr>
          <w:i/>
        </w:rPr>
        <w:t xml:space="preserve"> 2013, </w:t>
      </w:r>
      <w:r w:rsidR="00200648">
        <w:t>Cat. no. 6457.0</w:t>
      </w:r>
      <w:r w:rsidR="006D3BD2">
        <w:t xml:space="preserve">). </w:t>
      </w:r>
    </w:p>
    <w:p w:rsidR="00AB587C" w:rsidRDefault="00AB587C">
      <w:pPr>
        <w:rPr>
          <w:rFonts w:ascii="Arial" w:eastAsia="Times New Roman" w:hAnsi="Arial" w:cs="Times New Roman"/>
          <w:b/>
          <w:sz w:val="26"/>
          <w:szCs w:val="20"/>
          <w:lang w:eastAsia="en-AU"/>
        </w:rPr>
      </w:pPr>
      <w:r>
        <w:br w:type="page"/>
      </w:r>
    </w:p>
    <w:p w:rsidR="000E41DA" w:rsidRPr="0085325B" w:rsidRDefault="00A45EFA" w:rsidP="00410C23">
      <w:pPr>
        <w:pStyle w:val="Heading3"/>
      </w:pPr>
      <w:r w:rsidRPr="0085325B">
        <w:lastRenderedPageBreak/>
        <w:t xml:space="preserve">Changing use of </w:t>
      </w:r>
      <w:r w:rsidR="00C23FA6" w:rsidRPr="0085325B">
        <w:t>M</w:t>
      </w:r>
      <w:r w:rsidRPr="0085325B">
        <w:t xml:space="preserve">etal products: from </w:t>
      </w:r>
      <w:r w:rsidR="00C23FA6" w:rsidRPr="0085325B">
        <w:t>M</w:t>
      </w:r>
      <w:r w:rsidRPr="0085325B">
        <w:t xml:space="preserve">anufacturing to </w:t>
      </w:r>
      <w:r w:rsidR="00C23FA6" w:rsidRPr="0085325B">
        <w:t>C</w:t>
      </w:r>
      <w:r w:rsidRPr="0085325B">
        <w:t>onstruction</w:t>
      </w:r>
      <w:r w:rsidR="004A25F4" w:rsidRPr="0085325B">
        <w:t xml:space="preserve"> a</w:t>
      </w:r>
      <w:r w:rsidR="003977FE" w:rsidRPr="0085325B">
        <w:t xml:space="preserve">nd </w:t>
      </w:r>
      <w:r w:rsidR="00C23FA6" w:rsidRPr="0085325B">
        <w:t>M</w:t>
      </w:r>
      <w:r w:rsidR="003977FE" w:rsidRPr="0085325B">
        <w:t>ining</w:t>
      </w:r>
      <w:r w:rsidR="00F41220" w:rsidRPr="0085325B">
        <w:t xml:space="preserve"> </w:t>
      </w:r>
    </w:p>
    <w:p w:rsidR="000C2A44" w:rsidRPr="0085325B" w:rsidRDefault="000E22A8" w:rsidP="007D2DE0">
      <w:pPr>
        <w:pStyle w:val="BodyText"/>
      </w:pPr>
      <w:r>
        <w:t xml:space="preserve">Strong growth in </w:t>
      </w:r>
      <w:r w:rsidR="000C2A44" w:rsidRPr="0085325B">
        <w:t xml:space="preserve">construction activity in Australia over </w:t>
      </w:r>
      <w:r w:rsidR="00D14AD9" w:rsidRPr="0085325B">
        <w:t>cycles 3 and 4</w:t>
      </w:r>
      <w:r w:rsidR="000C2A44" w:rsidRPr="0085325B">
        <w:t xml:space="preserve"> meant</w:t>
      </w:r>
      <w:r w:rsidR="00385D73" w:rsidRPr="0085325B">
        <w:t xml:space="preserve"> that</w:t>
      </w:r>
      <w:r w:rsidR="000C2A44" w:rsidRPr="0085325B">
        <w:t xml:space="preserve"> </w:t>
      </w:r>
      <w:r w:rsidR="00385D73" w:rsidRPr="0085325B">
        <w:t xml:space="preserve">there </w:t>
      </w:r>
      <w:r w:rsidR="000C2A44" w:rsidRPr="0085325B">
        <w:t>was additional demand for construction materials</w:t>
      </w:r>
      <w:r>
        <w:t xml:space="preserve"> </w:t>
      </w:r>
      <w:r w:rsidRPr="0085325B">
        <w:t xml:space="preserve">(figure </w:t>
      </w:r>
      <w:r w:rsidR="009F1D83">
        <w:t>6.7</w:t>
      </w:r>
      <w:r w:rsidRPr="0085325B">
        <w:t>)</w:t>
      </w:r>
      <w:r w:rsidR="00975518" w:rsidRPr="0085325B">
        <w:t>.</w:t>
      </w:r>
    </w:p>
    <w:p w:rsidR="00E77177" w:rsidRPr="0085325B" w:rsidRDefault="00E77177">
      <w:pPr>
        <w:pStyle w:val="FigureTitle"/>
        <w:rPr>
          <w:sz w:val="24"/>
          <w:szCs w:val="24"/>
        </w:rPr>
      </w:pPr>
      <w:r w:rsidRPr="0085325B">
        <w:rPr>
          <w:b w:val="0"/>
          <w:sz w:val="24"/>
          <w:szCs w:val="24"/>
        </w:rPr>
        <w:t xml:space="preserve">Figure </w:t>
      </w:r>
      <w:bookmarkStart w:id="14" w:name="OLE_LINK40"/>
      <w:r w:rsidR="005A7B99" w:rsidRPr="0085325B">
        <w:rPr>
          <w:b w:val="0"/>
          <w:sz w:val="24"/>
          <w:szCs w:val="24"/>
        </w:rPr>
        <w:t>6.</w:t>
      </w:r>
      <w:r w:rsidR="00227A34">
        <w:rPr>
          <w:b w:val="0"/>
          <w:noProof/>
          <w:sz w:val="24"/>
          <w:szCs w:val="24"/>
        </w:rPr>
        <w:t>7</w:t>
      </w:r>
      <w:bookmarkEnd w:id="14"/>
      <w:r w:rsidRPr="0085325B">
        <w:rPr>
          <w:sz w:val="24"/>
          <w:szCs w:val="24"/>
        </w:rPr>
        <w:tab/>
      </w:r>
      <w:r w:rsidR="009E1134" w:rsidRPr="0085325B">
        <w:rPr>
          <w:sz w:val="24"/>
          <w:szCs w:val="24"/>
        </w:rPr>
        <w:t xml:space="preserve">Real </w:t>
      </w:r>
      <w:r w:rsidR="00160827" w:rsidRPr="0085325B">
        <w:rPr>
          <w:sz w:val="24"/>
          <w:szCs w:val="24"/>
        </w:rPr>
        <w:t xml:space="preserve">value added of </w:t>
      </w:r>
      <w:r w:rsidR="00442CCF" w:rsidRPr="0085325B">
        <w:rPr>
          <w:sz w:val="24"/>
          <w:szCs w:val="24"/>
        </w:rPr>
        <w:t>Metal products and C</w:t>
      </w:r>
      <w:r w:rsidR="00160827" w:rsidRPr="0085325B">
        <w:rPr>
          <w:sz w:val="24"/>
          <w:szCs w:val="24"/>
        </w:rPr>
        <w:t>onstruction</w:t>
      </w:r>
    </w:p>
    <w:p w:rsidR="00E77177" w:rsidRPr="0085325B" w:rsidRDefault="002E239F">
      <w:pPr>
        <w:pStyle w:val="Subtitle"/>
      </w:pPr>
      <w:r w:rsidRPr="0085325B">
        <w:t>2009-10</w:t>
      </w:r>
      <w:r w:rsidR="009E1134" w:rsidRPr="0085325B">
        <w:t xml:space="preserve"> $m</w:t>
      </w:r>
      <w:r w:rsidR="008C2AAA" w:rsidRPr="0085325B">
        <w:t xml:space="preserve"> (chain volume measure)</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E77177" w:rsidRPr="0085325B" w:rsidTr="00E77177">
        <w:tc>
          <w:tcPr>
            <w:tcW w:w="8777" w:type="dxa"/>
          </w:tcPr>
          <w:p w:rsidR="00E77177" w:rsidRPr="0085325B" w:rsidRDefault="00852E6A" w:rsidP="00F85330">
            <w:pPr>
              <w:pStyle w:val="Figure"/>
              <w:spacing w:before="0" w:after="0"/>
              <w:rPr>
                <w:rFonts w:asciiTheme="minorHAnsi" w:eastAsiaTheme="minorHAnsi" w:hAnsiTheme="minorHAnsi" w:cstheme="minorBidi"/>
                <w:szCs w:val="22"/>
                <w:lang w:eastAsia="en-US"/>
              </w:rPr>
            </w:pPr>
            <w:r>
              <w:rPr>
                <w:rFonts w:asciiTheme="minorHAnsi" w:eastAsiaTheme="minorHAnsi" w:hAnsiTheme="minorHAnsi" w:cstheme="minorBidi"/>
                <w:szCs w:val="22"/>
                <w:lang w:eastAsia="en-US"/>
              </w:rPr>
              <w:pict>
                <v:shape id="_x0000_i1034" type="#_x0000_t75" alt="This figure shows value added in Metal products and Construction in real dollar terms over the period of 1988-89 to 2010-11. The value of Metal products is shown on the left-hand axis; the value of Construction is shown on the right-hand axis. The figure shows that both grew slowly up to around 2000-01, before accelerating thereafter. There is a particularly strong growth in Metal products in 2007 08." style="width:424.45pt;height:198.4pt">
                  <v:imagedata r:id="rId18" o:title=""/>
                </v:shape>
              </w:pict>
            </w:r>
          </w:p>
        </w:tc>
      </w:tr>
    </w:tbl>
    <w:p w:rsidR="00E77177" w:rsidRPr="0085325B" w:rsidRDefault="00E77177">
      <w:pPr>
        <w:pStyle w:val="Source"/>
      </w:pPr>
      <w:r w:rsidRPr="0085325B">
        <w:rPr>
          <w:i/>
        </w:rPr>
        <w:t>Data source</w:t>
      </w:r>
      <w:r w:rsidRPr="0085325B">
        <w:t xml:space="preserve">: </w:t>
      </w:r>
      <w:r w:rsidR="00A41764" w:rsidRPr="0085325B">
        <w:t>ABS (</w:t>
      </w:r>
      <w:r w:rsidR="004F05BC" w:rsidRPr="0085325B">
        <w:rPr>
          <w:i/>
        </w:rPr>
        <w:t>Australian System of National Accounts</w:t>
      </w:r>
      <w:r w:rsidR="009C6C05" w:rsidRPr="0085325B">
        <w:rPr>
          <w:i/>
        </w:rPr>
        <w:t>,</w:t>
      </w:r>
      <w:r w:rsidR="004F05BC" w:rsidRPr="0085325B">
        <w:rPr>
          <w:i/>
        </w:rPr>
        <w:t xml:space="preserve"> </w:t>
      </w:r>
      <w:r w:rsidR="00A36EEC" w:rsidRPr="0085325B">
        <w:rPr>
          <w:i/>
        </w:rPr>
        <w:t>2010-11</w:t>
      </w:r>
      <w:r w:rsidR="004F05BC" w:rsidRPr="0085325B">
        <w:rPr>
          <w:i/>
        </w:rPr>
        <w:t>,</w:t>
      </w:r>
      <w:r w:rsidR="004F05BC" w:rsidRPr="0085325B">
        <w:t xml:space="preserve"> Cat. no. </w:t>
      </w:r>
      <w:r w:rsidR="00A41764" w:rsidRPr="0085325B">
        <w:t>5204.0)</w:t>
      </w:r>
      <w:r w:rsidR="00AC505C" w:rsidRPr="0085325B">
        <w:t>.</w:t>
      </w:r>
      <w:r w:rsidR="00A41764" w:rsidRPr="0085325B">
        <w:t xml:space="preserve"> </w:t>
      </w:r>
    </w:p>
    <w:p w:rsidR="00030AD4" w:rsidRPr="00EE0005" w:rsidRDefault="00030AD4" w:rsidP="00030AD4">
      <w:pPr>
        <w:pStyle w:val="BodyText"/>
      </w:pPr>
      <w:r w:rsidRPr="00EE0005">
        <w:t>Increased non</w:t>
      </w:r>
      <w:r w:rsidRPr="00EE0005">
        <w:noBreakHyphen/>
        <w:t>residential building and engineering construction led to increased demand for steel products over cycle 4. The resources boom also helped encourage greater urban infrastructure development and residential construction in mining regions (</w:t>
      </w:r>
      <w:r w:rsidRPr="00154397">
        <w:t>BlueScope</w:t>
      </w:r>
      <w:r w:rsidR="00236392">
        <w:t xml:space="preserve"> Steel</w:t>
      </w:r>
      <w:r w:rsidRPr="00154397">
        <w:t xml:space="preserve"> 2006</w:t>
      </w:r>
      <w:r w:rsidRPr="00EE0005">
        <w:t xml:space="preserve">). The commissioning of new mining and petroleum projects </w:t>
      </w:r>
      <w:r w:rsidR="00566754">
        <w:t>has</w:t>
      </w:r>
      <w:r w:rsidR="00566754" w:rsidRPr="00EE0005">
        <w:t xml:space="preserve"> </w:t>
      </w:r>
      <w:r w:rsidRPr="00EE0005">
        <w:t>presented opportunities for steel and fabricated metals producers, although the scope of these opportunities may have been more limited since the end of cycle 4.</w:t>
      </w:r>
      <w:r w:rsidRPr="00EE0005">
        <w:rPr>
          <w:rStyle w:val="FootnoteReference"/>
        </w:rPr>
        <w:footnoteReference w:id="3"/>
      </w:r>
    </w:p>
    <w:p w:rsidR="00280634" w:rsidRPr="00A46BFB" w:rsidRDefault="00B94BDB" w:rsidP="00442B84">
      <w:pPr>
        <w:pStyle w:val="BodyText"/>
      </w:pPr>
      <w:r w:rsidRPr="00A46BFB">
        <w:t>The</w:t>
      </w:r>
      <w:r w:rsidR="00C30DF8" w:rsidRPr="00A46BFB">
        <w:t xml:space="preserve"> proportion of </w:t>
      </w:r>
      <w:r w:rsidR="006B0816">
        <w:t>MP</w:t>
      </w:r>
      <w:r w:rsidR="00C30DF8" w:rsidRPr="00A46BFB">
        <w:t xml:space="preserve"> output </w:t>
      </w:r>
      <w:r w:rsidR="00AF6E71">
        <w:t>going as inputs to</w:t>
      </w:r>
      <w:r w:rsidR="00412C9F" w:rsidRPr="00A46BFB">
        <w:t xml:space="preserve"> </w:t>
      </w:r>
      <w:r w:rsidR="00C30DF8" w:rsidRPr="00A46BFB">
        <w:t xml:space="preserve">the </w:t>
      </w:r>
      <w:r w:rsidR="00DC630D" w:rsidRPr="00A46BFB">
        <w:t xml:space="preserve">Construction </w:t>
      </w:r>
      <w:r w:rsidR="00C30DF8" w:rsidRPr="00A46BFB">
        <w:t>and</w:t>
      </w:r>
      <w:r w:rsidR="00075C42" w:rsidRPr="00A46BFB">
        <w:t xml:space="preserve"> </w:t>
      </w:r>
      <w:r w:rsidR="00DC630D" w:rsidRPr="00A46BFB">
        <w:t xml:space="preserve">Mining </w:t>
      </w:r>
      <w:r w:rsidR="00C30DF8" w:rsidRPr="00A46BFB">
        <w:t>industries</w:t>
      </w:r>
      <w:r w:rsidR="00ED6C34" w:rsidRPr="00A46BFB">
        <w:t xml:space="preserve"> increased</w:t>
      </w:r>
      <w:r w:rsidR="00C30DF8" w:rsidRPr="00A46BFB">
        <w:t xml:space="preserve"> </w:t>
      </w:r>
      <w:r w:rsidR="0087501F" w:rsidRPr="00A46BFB">
        <w:t xml:space="preserve">accordingly </w:t>
      </w:r>
      <w:r w:rsidR="00C30DF8" w:rsidRPr="00A46BFB">
        <w:t xml:space="preserve">over the </w:t>
      </w:r>
      <w:proofErr w:type="spellStart"/>
      <w:r w:rsidR="00C30DF8" w:rsidRPr="00A46BFB">
        <w:t>2000s</w:t>
      </w:r>
      <w:proofErr w:type="spellEnd"/>
      <w:r w:rsidR="00C30DF8" w:rsidRPr="00A46BFB">
        <w:t xml:space="preserve"> </w:t>
      </w:r>
      <w:r w:rsidR="008F46B6" w:rsidRPr="00A46BFB">
        <w:t>— particularly</w:t>
      </w:r>
      <w:r w:rsidR="009847BD" w:rsidRPr="00A46BFB">
        <w:t xml:space="preserve"> </w:t>
      </w:r>
      <w:r w:rsidR="00ED6C34" w:rsidRPr="00A46BFB">
        <w:t>f</w:t>
      </w:r>
      <w:r w:rsidR="009847BD" w:rsidRPr="00A46BFB">
        <w:t>abricated metal</w:t>
      </w:r>
      <w:r w:rsidR="00ED6C34" w:rsidRPr="00A46BFB">
        <w:t xml:space="preserve"> products</w:t>
      </w:r>
      <w:r w:rsidR="009847BD" w:rsidRPr="00A46BFB">
        <w:t xml:space="preserve"> and </w:t>
      </w:r>
      <w:r w:rsidR="00ED6C34" w:rsidRPr="00A46BFB">
        <w:t>‘b</w:t>
      </w:r>
      <w:r w:rsidR="009847BD" w:rsidRPr="00A46BFB">
        <w:t>asic ferrous metal and metal products</w:t>
      </w:r>
      <w:r w:rsidR="00ED6C34" w:rsidRPr="00A46BFB">
        <w:t>’</w:t>
      </w:r>
      <w:r w:rsidR="009847BD" w:rsidRPr="00A46BFB">
        <w:t xml:space="preserve"> </w:t>
      </w:r>
      <w:r w:rsidR="00C30DF8" w:rsidRPr="00A46BFB">
        <w:t>(</w:t>
      </w:r>
      <w:r w:rsidR="00CB72D6" w:rsidRPr="00A46BFB">
        <w:t xml:space="preserve">figure </w:t>
      </w:r>
      <w:r w:rsidR="00DC630D" w:rsidRPr="00A46BFB">
        <w:t>6.8</w:t>
      </w:r>
      <w:r w:rsidR="00C30DF8" w:rsidRPr="00A46BFB">
        <w:t>)</w:t>
      </w:r>
      <w:r w:rsidR="00572195" w:rsidRPr="00A46BFB">
        <w:t>.</w:t>
      </w:r>
      <w:r w:rsidR="00B0081D" w:rsidRPr="00A46BFB">
        <w:rPr>
          <w:rStyle w:val="FootnoteReference"/>
        </w:rPr>
        <w:footnoteReference w:id="4"/>
      </w:r>
    </w:p>
    <w:p w:rsidR="00B47600" w:rsidRPr="00F01357" w:rsidRDefault="00B47600" w:rsidP="00B47600">
      <w:pPr>
        <w:pStyle w:val="FigureTitle"/>
      </w:pPr>
      <w:r w:rsidRPr="00F01357">
        <w:rPr>
          <w:b w:val="0"/>
          <w:sz w:val="24"/>
        </w:rPr>
        <w:lastRenderedPageBreak/>
        <w:t xml:space="preserve">Figure </w:t>
      </w:r>
      <w:bookmarkStart w:id="15" w:name="OLE_LINK4"/>
      <w:r w:rsidR="00CB72D6" w:rsidRPr="00F01357">
        <w:rPr>
          <w:b w:val="0"/>
          <w:sz w:val="24"/>
        </w:rPr>
        <w:t>6.</w:t>
      </w:r>
      <w:r w:rsidR="00227A34">
        <w:rPr>
          <w:b w:val="0"/>
          <w:noProof/>
          <w:sz w:val="24"/>
        </w:rPr>
        <w:t>8</w:t>
      </w:r>
      <w:bookmarkEnd w:id="15"/>
      <w:r w:rsidRPr="00F01357">
        <w:rPr>
          <w:sz w:val="24"/>
        </w:rPr>
        <w:tab/>
        <w:t xml:space="preserve">Changing use </w:t>
      </w:r>
      <w:r w:rsidR="00232C0B" w:rsidRPr="00F01357">
        <w:rPr>
          <w:sz w:val="24"/>
        </w:rPr>
        <w:t xml:space="preserve">of the output of </w:t>
      </w:r>
      <w:r w:rsidR="005D45D5" w:rsidRPr="00F01357">
        <w:rPr>
          <w:sz w:val="24"/>
        </w:rPr>
        <w:t>M</w:t>
      </w:r>
      <w:r w:rsidR="00232C0B" w:rsidRPr="00F01357">
        <w:rPr>
          <w:sz w:val="24"/>
        </w:rPr>
        <w:t>etal products</w:t>
      </w:r>
      <w:r w:rsidRPr="00F01357">
        <w:rPr>
          <w:rStyle w:val="NoteLabel"/>
          <w:b/>
        </w:rPr>
        <w:t>a</w:t>
      </w:r>
    </w:p>
    <w:p w:rsidR="00B47600" w:rsidRPr="00F01357" w:rsidRDefault="00B47600" w:rsidP="00B47600">
      <w:pPr>
        <w:pStyle w:val="Subtitle"/>
      </w:pPr>
      <w:r w:rsidRPr="00F01357">
        <w:t>Share of nominal output</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5D45D5" w:rsidRPr="008A42A8" w:rsidTr="005D45D5">
        <w:tc>
          <w:tcPr>
            <w:tcW w:w="8777" w:type="dxa"/>
            <w:gridSpan w:val="2"/>
            <w:tcBorders>
              <w:bottom w:val="nil"/>
            </w:tcBorders>
          </w:tcPr>
          <w:p w:rsidR="005D45D5" w:rsidRPr="008A42A8" w:rsidRDefault="005D45D5" w:rsidP="008A42A8">
            <w:pPr>
              <w:pStyle w:val="Figure"/>
              <w:spacing w:after="0"/>
              <w:rPr>
                <w:i/>
                <w:sz w:val="22"/>
                <w:szCs w:val="22"/>
              </w:rPr>
            </w:pPr>
            <w:r w:rsidRPr="008A42A8">
              <w:rPr>
                <w:i/>
                <w:sz w:val="22"/>
                <w:szCs w:val="22"/>
              </w:rPr>
              <w:t>Fabricated metals</w:t>
            </w:r>
          </w:p>
        </w:tc>
      </w:tr>
      <w:tr w:rsidR="008E2ED2" w:rsidRPr="008A42A8" w:rsidTr="00825434">
        <w:tc>
          <w:tcPr>
            <w:tcW w:w="4388" w:type="dxa"/>
            <w:tcBorders>
              <w:top w:val="nil"/>
              <w:bottom w:val="nil"/>
            </w:tcBorders>
          </w:tcPr>
          <w:p w:rsidR="008E2ED2" w:rsidRPr="008A42A8" w:rsidRDefault="008E2ED2" w:rsidP="00180E99">
            <w:pPr>
              <w:pStyle w:val="Figure"/>
              <w:spacing w:before="0" w:after="0"/>
              <w:rPr>
                <w:noProof/>
                <w:sz w:val="22"/>
                <w:szCs w:val="22"/>
              </w:rPr>
            </w:pPr>
            <w:r w:rsidRPr="008A42A8">
              <w:rPr>
                <w:noProof/>
                <w:sz w:val="22"/>
                <w:szCs w:val="22"/>
              </w:rPr>
              <w:t>2001-02</w:t>
            </w:r>
          </w:p>
        </w:tc>
        <w:tc>
          <w:tcPr>
            <w:tcW w:w="4389" w:type="dxa"/>
            <w:tcBorders>
              <w:top w:val="nil"/>
              <w:bottom w:val="nil"/>
            </w:tcBorders>
          </w:tcPr>
          <w:p w:rsidR="008E2ED2" w:rsidRPr="008A42A8" w:rsidRDefault="008E2ED2" w:rsidP="00180E99">
            <w:pPr>
              <w:pStyle w:val="Figure"/>
              <w:spacing w:before="0" w:after="0"/>
              <w:rPr>
                <w:sz w:val="22"/>
                <w:szCs w:val="22"/>
              </w:rPr>
            </w:pPr>
            <w:r w:rsidRPr="008A42A8">
              <w:rPr>
                <w:sz w:val="22"/>
                <w:szCs w:val="22"/>
              </w:rPr>
              <w:t>2008-09</w:t>
            </w:r>
          </w:p>
        </w:tc>
      </w:tr>
      <w:tr w:rsidR="005D45D5" w:rsidRPr="00F01357" w:rsidTr="00825434">
        <w:tc>
          <w:tcPr>
            <w:tcW w:w="4388" w:type="dxa"/>
            <w:tcBorders>
              <w:top w:val="nil"/>
              <w:bottom w:val="nil"/>
            </w:tcBorders>
          </w:tcPr>
          <w:p w:rsidR="005D45D5" w:rsidRPr="00F01357" w:rsidRDefault="00852E6A" w:rsidP="00825434">
            <w:pPr>
              <w:pStyle w:val="Figure"/>
              <w:spacing w:before="0" w:after="0"/>
              <w:ind w:left="-119" w:right="-104"/>
              <w:rPr>
                <w:i/>
                <w:noProof/>
              </w:rPr>
            </w:pPr>
            <w:r>
              <w:rPr>
                <w:i/>
                <w:noProof/>
              </w:rPr>
              <w:pict>
                <v:shape id="_x0000_i1035" type="#_x0000_t75" alt="This figure includes 4 pie charts. The upper two charts show the proportion of Fabricated metal products’ output used by different industries, with the chart on the left showing the proportions for 2001-02 and the chart on the right showing the proportions for 2008-09.  The lower two charts show the same information, but for Basic ferrous metal and metal products. A description of the change between years is discussed in the text that immediately precedes the figure." style="width:198.4pt;height:198.4pt">
                  <v:imagedata r:id="rId19" o:title=""/>
                </v:shape>
              </w:pict>
            </w:r>
          </w:p>
        </w:tc>
        <w:tc>
          <w:tcPr>
            <w:tcW w:w="4389" w:type="dxa"/>
            <w:tcBorders>
              <w:top w:val="nil"/>
              <w:bottom w:val="nil"/>
            </w:tcBorders>
          </w:tcPr>
          <w:p w:rsidR="005D45D5" w:rsidRPr="00F01357" w:rsidRDefault="00852E6A" w:rsidP="00825434">
            <w:pPr>
              <w:pStyle w:val="Figure"/>
              <w:spacing w:before="0" w:after="0"/>
              <w:ind w:left="-112" w:right="-109"/>
              <w:rPr>
                <w:i/>
              </w:rPr>
            </w:pPr>
            <w:r>
              <w:rPr>
                <w:i/>
              </w:rPr>
              <w:pict>
                <v:shape id="_x0000_i1036" type="#_x0000_t75" alt="This figure includes 4 pie charts. The upper two charts show the proportion of Fabricated metal products’ output used by different industries, with the chart on the left showing the proportions for 2001-02 and the chart on the right showing the proportions for 2008-09.  The lower two charts show the same information, but for Basic ferrous metal and metal products. A description of the change between years is discussed in the text that immediately precedes the figure." style="width:198.4pt;height:198.4pt">
                  <v:imagedata r:id="rId20" o:title=""/>
                </v:shape>
              </w:pict>
            </w:r>
          </w:p>
        </w:tc>
      </w:tr>
      <w:tr w:rsidR="005D45D5" w:rsidRPr="00F01357" w:rsidTr="00825434">
        <w:tc>
          <w:tcPr>
            <w:tcW w:w="8777" w:type="dxa"/>
            <w:gridSpan w:val="2"/>
            <w:tcBorders>
              <w:top w:val="nil"/>
              <w:bottom w:val="nil"/>
            </w:tcBorders>
          </w:tcPr>
          <w:p w:rsidR="005D45D5" w:rsidRPr="00F01357" w:rsidRDefault="005D45D5" w:rsidP="008A42A8">
            <w:pPr>
              <w:pStyle w:val="Figure"/>
              <w:spacing w:after="0"/>
              <w:rPr>
                <w:i/>
              </w:rPr>
            </w:pPr>
            <w:r w:rsidRPr="008A42A8">
              <w:rPr>
                <w:i/>
                <w:sz w:val="22"/>
                <w:szCs w:val="22"/>
              </w:rPr>
              <w:t>Basic ferrous metal and metal products</w:t>
            </w:r>
            <w:r w:rsidR="00116517" w:rsidRPr="00F01357">
              <w:rPr>
                <w:rStyle w:val="NoteLabel"/>
              </w:rPr>
              <w:t>b</w:t>
            </w:r>
          </w:p>
        </w:tc>
      </w:tr>
      <w:tr w:rsidR="008E2ED2" w:rsidRPr="008A42A8" w:rsidTr="00825434">
        <w:tc>
          <w:tcPr>
            <w:tcW w:w="4388" w:type="dxa"/>
            <w:tcBorders>
              <w:top w:val="nil"/>
            </w:tcBorders>
          </w:tcPr>
          <w:p w:rsidR="008E2ED2" w:rsidRPr="008A42A8" w:rsidRDefault="008E2ED2" w:rsidP="008A42A8">
            <w:pPr>
              <w:pStyle w:val="Figure"/>
              <w:spacing w:after="0"/>
              <w:rPr>
                <w:noProof/>
                <w:sz w:val="22"/>
                <w:szCs w:val="22"/>
              </w:rPr>
            </w:pPr>
            <w:r w:rsidRPr="008A42A8">
              <w:rPr>
                <w:noProof/>
                <w:sz w:val="22"/>
                <w:szCs w:val="22"/>
              </w:rPr>
              <w:t>2001-02</w:t>
            </w:r>
          </w:p>
        </w:tc>
        <w:tc>
          <w:tcPr>
            <w:tcW w:w="4389" w:type="dxa"/>
            <w:tcBorders>
              <w:top w:val="nil"/>
            </w:tcBorders>
          </w:tcPr>
          <w:p w:rsidR="008E2ED2" w:rsidRPr="008A42A8" w:rsidRDefault="008E2ED2" w:rsidP="008A42A8">
            <w:pPr>
              <w:pStyle w:val="Figure"/>
              <w:spacing w:after="0"/>
              <w:rPr>
                <w:sz w:val="22"/>
                <w:szCs w:val="22"/>
              </w:rPr>
            </w:pPr>
            <w:r w:rsidRPr="008A42A8">
              <w:rPr>
                <w:sz w:val="22"/>
                <w:szCs w:val="22"/>
              </w:rPr>
              <w:t>2008-09</w:t>
            </w:r>
          </w:p>
        </w:tc>
      </w:tr>
      <w:tr w:rsidR="005D45D5" w:rsidRPr="00F01357" w:rsidTr="005D45D5">
        <w:tc>
          <w:tcPr>
            <w:tcW w:w="4388" w:type="dxa"/>
          </w:tcPr>
          <w:p w:rsidR="005D45D5" w:rsidRPr="00F01357" w:rsidRDefault="00852E6A" w:rsidP="00825434">
            <w:pPr>
              <w:pStyle w:val="Figure"/>
              <w:spacing w:before="0" w:after="0"/>
              <w:ind w:left="-119" w:right="-104"/>
              <w:rPr>
                <w:i/>
                <w:noProof/>
              </w:rPr>
            </w:pPr>
            <w:r>
              <w:rPr>
                <w:i/>
                <w:noProof/>
              </w:rPr>
              <w:pict>
                <v:shape id="_x0000_i1037" type="#_x0000_t75" alt="This figure includes 4 pie charts. The upper two charts show the proportion of Fabricated metal products’ output used by different industries, with the chart on the left showing the proportions for 2001-02 and the chart on the right showing the proportions for 2008-09.  The lower two charts show the same information, but for Basic ferrous metal and metal products. A description of the change between years is discussed in the text that immediately precedes the figure." style="width:198.4pt;height:195.9pt">
                  <v:imagedata r:id="rId21" o:title=""/>
                </v:shape>
              </w:pict>
            </w:r>
          </w:p>
        </w:tc>
        <w:tc>
          <w:tcPr>
            <w:tcW w:w="4389" w:type="dxa"/>
          </w:tcPr>
          <w:p w:rsidR="005D45D5" w:rsidRPr="00F01357" w:rsidRDefault="00852E6A" w:rsidP="00825434">
            <w:pPr>
              <w:pStyle w:val="Figure"/>
              <w:spacing w:before="0" w:after="0"/>
              <w:ind w:left="-112" w:right="-109"/>
              <w:rPr>
                <w:i/>
              </w:rPr>
            </w:pPr>
            <w:r>
              <w:rPr>
                <w:i/>
              </w:rPr>
              <w:pict>
                <v:shape id="_x0000_i1038" type="#_x0000_t75" alt="This figure includes 4 pie charts. The upper two charts show the proportion of Fabricated metal products’ output used by different industries, with the chart on the left showing the proportions for 2001-02 and the chart on the right showing the proportions for 2008-09.  The lower two charts show the same information, but for Basic ferrous metal and metal products. A description of the change between years is discussed in the text that immediately precedes the figure." style="width:198.4pt;height:198.4pt">
                  <v:imagedata r:id="rId22" o:title=""/>
                </v:shape>
              </w:pict>
            </w:r>
          </w:p>
        </w:tc>
      </w:tr>
    </w:tbl>
    <w:p w:rsidR="00B47600" w:rsidRPr="001527CC" w:rsidRDefault="00B47600" w:rsidP="00B47600">
      <w:pPr>
        <w:pStyle w:val="Note"/>
      </w:pPr>
      <w:r w:rsidRPr="001527CC">
        <w:rPr>
          <w:rStyle w:val="NoteLabel"/>
        </w:rPr>
        <w:t>a</w:t>
      </w:r>
      <w:r w:rsidRPr="001527CC">
        <w:t xml:space="preserve"> Total supply is the sum of all final uses (including export) and total industry use. </w:t>
      </w:r>
      <w:r w:rsidR="00075A1B" w:rsidRPr="001527CC">
        <w:t xml:space="preserve">Based on the </w:t>
      </w:r>
      <w:r w:rsidR="000570A9" w:rsidRPr="001527CC">
        <w:t xml:space="preserve">input-output table with </w:t>
      </w:r>
      <w:r w:rsidR="00075A1B" w:rsidRPr="001527CC">
        <w:t>direct allocation</w:t>
      </w:r>
      <w:r w:rsidR="002941CC" w:rsidRPr="001527CC">
        <w:t xml:space="preserve"> of imports</w:t>
      </w:r>
      <w:r w:rsidR="00075A1B" w:rsidRPr="001527CC">
        <w:t>.</w:t>
      </w:r>
      <w:r w:rsidR="00D10689" w:rsidRPr="001527CC">
        <w:t xml:space="preserve"> </w:t>
      </w:r>
      <w:r w:rsidR="00DD4BB0" w:rsidRPr="001527CC">
        <w:t xml:space="preserve">More input-output data </w:t>
      </w:r>
      <w:r w:rsidR="007B5528" w:rsidRPr="001527CC">
        <w:t>are</w:t>
      </w:r>
      <w:r w:rsidR="00DD4BB0" w:rsidRPr="001527CC">
        <w:t xml:space="preserve"> presented in </w:t>
      </w:r>
      <w:r w:rsidR="00DC630D" w:rsidRPr="001527CC">
        <w:t>appendix </w:t>
      </w:r>
      <w:r w:rsidR="00663B1F" w:rsidRPr="001527CC">
        <w:t>H</w:t>
      </w:r>
      <w:r w:rsidRPr="001527CC">
        <w:t xml:space="preserve">. </w:t>
      </w:r>
      <w:r w:rsidRPr="001527CC">
        <w:rPr>
          <w:rStyle w:val="NoteLabel"/>
        </w:rPr>
        <w:t>b</w:t>
      </w:r>
      <w:r w:rsidR="002941CC" w:rsidRPr="001527CC">
        <w:t> </w:t>
      </w:r>
      <w:r w:rsidR="00116517" w:rsidRPr="001527CC">
        <w:t xml:space="preserve">Includes </w:t>
      </w:r>
      <w:proofErr w:type="spellStart"/>
      <w:r w:rsidR="00116517" w:rsidRPr="001527CC">
        <w:t>ANZSIC06</w:t>
      </w:r>
      <w:proofErr w:type="spellEnd"/>
      <w:r w:rsidR="00116517" w:rsidRPr="001527CC">
        <w:t xml:space="preserve"> groups </w:t>
      </w:r>
      <w:r w:rsidR="00BA2EC4" w:rsidRPr="001527CC">
        <w:t>211 and 212</w:t>
      </w:r>
      <w:r w:rsidR="00967A81" w:rsidRPr="001527CC">
        <w:t xml:space="preserve"> </w:t>
      </w:r>
      <w:r w:rsidR="00972565" w:rsidRPr="001527CC">
        <w:t xml:space="preserve">for 2008-09 </w:t>
      </w:r>
      <w:r w:rsidR="00967A81" w:rsidRPr="001527CC">
        <w:t xml:space="preserve">and </w:t>
      </w:r>
      <w:proofErr w:type="spellStart"/>
      <w:r w:rsidR="00967A81" w:rsidRPr="001527CC">
        <w:t>ANZSIC93</w:t>
      </w:r>
      <w:proofErr w:type="spellEnd"/>
      <w:r w:rsidR="00967A81" w:rsidRPr="001527CC">
        <w:t xml:space="preserve"> group 271</w:t>
      </w:r>
      <w:r w:rsidR="00972565" w:rsidRPr="001527CC">
        <w:t xml:space="preserve"> for 2001-02</w:t>
      </w:r>
      <w:r w:rsidR="00967A81" w:rsidRPr="001527CC">
        <w:t>.</w:t>
      </w:r>
      <w:r w:rsidR="000B60BE" w:rsidRPr="001527CC">
        <w:t xml:space="preserve"> Other manufacturing includes all manufacturing uses other than th</w:t>
      </w:r>
      <w:r w:rsidR="00175769" w:rsidRPr="001527CC">
        <w:t>at of Fabricated metal</w:t>
      </w:r>
      <w:r w:rsidR="00573223">
        <w:t>s.</w:t>
      </w:r>
    </w:p>
    <w:p w:rsidR="00B47600" w:rsidRPr="001527CC" w:rsidRDefault="008F472A" w:rsidP="00B47600">
      <w:pPr>
        <w:pStyle w:val="Source"/>
      </w:pPr>
      <w:r>
        <w:rPr>
          <w:i/>
        </w:rPr>
        <w:t>Data s</w:t>
      </w:r>
      <w:r w:rsidR="00EF2F71" w:rsidRPr="001527CC">
        <w:rPr>
          <w:i/>
        </w:rPr>
        <w:t>ource</w:t>
      </w:r>
      <w:r w:rsidR="00B47600" w:rsidRPr="001527CC">
        <w:t xml:space="preserve">: </w:t>
      </w:r>
      <w:r w:rsidR="0060195C" w:rsidRPr="001527CC">
        <w:t>Authors</w:t>
      </w:r>
      <w:r w:rsidR="0006265C" w:rsidRPr="001527CC">
        <w:t>’</w:t>
      </w:r>
      <w:r w:rsidR="0060195C" w:rsidRPr="001527CC">
        <w:t xml:space="preserve"> estimates </w:t>
      </w:r>
      <w:r w:rsidR="001D3907" w:rsidRPr="001527CC">
        <w:t xml:space="preserve">based on </w:t>
      </w:r>
      <w:r w:rsidR="00B47600" w:rsidRPr="001527CC">
        <w:t>ABS (</w:t>
      </w:r>
      <w:r w:rsidR="00554A1E" w:rsidRPr="001527CC">
        <w:rPr>
          <w:bCs/>
          <w:i/>
        </w:rPr>
        <w:t xml:space="preserve">Australian National Accounts: Input-Output Tables, </w:t>
      </w:r>
      <w:r w:rsidR="00554A1E" w:rsidRPr="001527CC">
        <w:rPr>
          <w:bCs/>
        </w:rPr>
        <w:t>various issues</w:t>
      </w:r>
      <w:r w:rsidR="00B47600" w:rsidRPr="001527CC">
        <w:t>, Cat. no. 5209.0.55.001</w:t>
      </w:r>
      <w:r w:rsidR="00D921FD" w:rsidRPr="001527CC">
        <w:t>, table 5</w:t>
      </w:r>
      <w:r w:rsidR="00B47600" w:rsidRPr="001527CC">
        <w:t>)</w:t>
      </w:r>
      <w:r w:rsidR="00EF2F71" w:rsidRPr="001527CC">
        <w:t>.</w:t>
      </w:r>
    </w:p>
    <w:p w:rsidR="004E14FF" w:rsidRPr="00A46BFB" w:rsidRDefault="004E14FF" w:rsidP="004E14FF">
      <w:pPr>
        <w:pStyle w:val="BodyText"/>
      </w:pPr>
      <w:r w:rsidRPr="00A46BFB">
        <w:t>Between 2000-01 and 2008-09</w:t>
      </w:r>
      <w:r w:rsidR="008A42A8">
        <w:t>:</w:t>
      </w:r>
    </w:p>
    <w:p w:rsidR="004E14FF" w:rsidRPr="00A46BFB" w:rsidRDefault="004E14FF" w:rsidP="00180E99">
      <w:pPr>
        <w:pStyle w:val="ListBullet"/>
        <w:spacing w:before="100"/>
      </w:pPr>
      <w:r w:rsidRPr="004E14FF">
        <w:t>the proportion of fabricated metal products output used as inputs by</w:t>
      </w:r>
      <w:r w:rsidRPr="00A46BFB">
        <w:t xml:space="preserve"> Manufacturing fell from 30 to 24 per cent, while the proportions used in Mining and Construction rose (from 3 to 7 per cent, and 25 to 34 per cent, respectively) </w:t>
      </w:r>
    </w:p>
    <w:p w:rsidR="004E14FF" w:rsidRPr="00A46BFB" w:rsidRDefault="004E14FF" w:rsidP="00180E99">
      <w:pPr>
        <w:pStyle w:val="ListBullet"/>
        <w:spacing w:before="100"/>
      </w:pPr>
      <w:r w:rsidRPr="00A46BFB">
        <w:lastRenderedPageBreak/>
        <w:t xml:space="preserve">the proportion of basic ferrous metal and metal products </w:t>
      </w:r>
      <w:r>
        <w:t>output used as inputs by</w:t>
      </w:r>
      <w:r w:rsidRPr="00A46BFB">
        <w:t xml:space="preserve"> Manufacturing (other than Fabricated metals manufacturing) fell from 49 per cent to 40 per cent, while the proportion used by Construction rose from 13 to 20</w:t>
      </w:r>
      <w:r w:rsidR="002952FB">
        <w:t> </w:t>
      </w:r>
      <w:r w:rsidRPr="00A46BFB">
        <w:t xml:space="preserve">per cent. </w:t>
      </w:r>
    </w:p>
    <w:p w:rsidR="00200E20" w:rsidRDefault="00F9282D" w:rsidP="00180E99">
      <w:pPr>
        <w:pStyle w:val="BodyText"/>
        <w:spacing w:before="200"/>
      </w:pPr>
      <w:r w:rsidRPr="00EE0005">
        <w:t xml:space="preserve">Over the period of cycles 3 and 4, the value of Fabricated metals and Basic ferrous metals and products supplied to the </w:t>
      </w:r>
      <w:r w:rsidR="000C24A7" w:rsidRPr="00EE0005">
        <w:t>C</w:t>
      </w:r>
      <w:r w:rsidRPr="00EE0005">
        <w:t xml:space="preserve">onstruction sector rose much more quickly than </w:t>
      </w:r>
      <w:r w:rsidR="00575D52" w:rsidRPr="00EE0005">
        <w:t xml:space="preserve">the value of products supplied to Manufacturing. </w:t>
      </w:r>
      <w:r w:rsidR="00236392">
        <w:t>BlueS</w:t>
      </w:r>
      <w:r w:rsidR="001636C8" w:rsidRPr="00154397">
        <w:t>cope</w:t>
      </w:r>
      <w:r w:rsidR="00236392">
        <w:t xml:space="preserve"> Steel</w:t>
      </w:r>
      <w:r w:rsidR="001636C8" w:rsidRPr="00154397">
        <w:t xml:space="preserve"> (2006</w:t>
      </w:r>
      <w:r w:rsidR="001636C8" w:rsidRPr="00EE0005">
        <w:t>) posited that</w:t>
      </w:r>
      <w:r w:rsidR="000C46B7" w:rsidRPr="00EE0005">
        <w:t xml:space="preserve"> local</w:t>
      </w:r>
      <w:r w:rsidR="001636C8" w:rsidRPr="00EE0005">
        <w:t xml:space="preserve"> s</w:t>
      </w:r>
      <w:r w:rsidR="00B7786B" w:rsidRPr="00EE0005">
        <w:t>teel</w:t>
      </w:r>
      <w:r w:rsidR="008E0F3D" w:rsidRPr="00EE0005">
        <w:t>-</w:t>
      </w:r>
      <w:r w:rsidR="00B7786B" w:rsidRPr="00EE0005">
        <w:t>intensive manufacturing</w:t>
      </w:r>
      <w:r w:rsidR="001636C8" w:rsidRPr="00EE0005">
        <w:t xml:space="preserve">, such as in </w:t>
      </w:r>
      <w:r w:rsidR="000C46B7" w:rsidRPr="00EE0005">
        <w:t>white goods, hardware, appliances and food packing,</w:t>
      </w:r>
      <w:r w:rsidR="00B7786B" w:rsidRPr="00EE0005">
        <w:t xml:space="preserve"> </w:t>
      </w:r>
      <w:r w:rsidR="00E90BA6" w:rsidRPr="00EE0005">
        <w:t>was</w:t>
      </w:r>
      <w:r w:rsidR="001636C8" w:rsidRPr="00EE0005">
        <w:t xml:space="preserve"> contracting. They noted a drop in the volume of sales to downstream manufacturers between 1997-98 </w:t>
      </w:r>
      <w:r w:rsidR="00755D83" w:rsidRPr="00EE0005">
        <w:t xml:space="preserve">and </w:t>
      </w:r>
      <w:r w:rsidR="001636C8" w:rsidRPr="00EE0005">
        <w:t xml:space="preserve">2005-06. </w:t>
      </w:r>
      <w:r w:rsidR="00F46190" w:rsidRPr="00EE0005">
        <w:t>In particular, d</w:t>
      </w:r>
      <w:r w:rsidR="0019023E" w:rsidRPr="00EE0005">
        <w:t>rying up of downstream users</w:t>
      </w:r>
      <w:r w:rsidR="00DE3106" w:rsidRPr="00EE0005">
        <w:t xml:space="preserve"> in </w:t>
      </w:r>
      <w:r w:rsidR="004C307C">
        <w:t>M</w:t>
      </w:r>
      <w:r w:rsidR="004C307C" w:rsidRPr="00EE0005">
        <w:t xml:space="preserve">anufacturing </w:t>
      </w:r>
      <w:r w:rsidR="0019023E" w:rsidRPr="00EE0005">
        <w:t>and import competition had led to</w:t>
      </w:r>
      <w:r w:rsidR="00167B8C" w:rsidRPr="00EE0005">
        <w:t xml:space="preserve"> </w:t>
      </w:r>
      <w:r w:rsidR="0019023E" w:rsidRPr="00EE0005">
        <w:t xml:space="preserve">plant closures </w:t>
      </w:r>
      <w:r w:rsidR="00DE3106" w:rsidRPr="00EE0005">
        <w:t>in</w:t>
      </w:r>
      <w:r w:rsidR="0019023E" w:rsidRPr="00EE0005">
        <w:t xml:space="preserve"> tin plate steel and electrical steel</w:t>
      </w:r>
      <w:r w:rsidR="00167B8C" w:rsidRPr="00EE0005">
        <w:t xml:space="preserve"> (</w:t>
      </w:r>
      <w:r w:rsidR="00167B8C" w:rsidRPr="00154397">
        <w:t>BlueScope</w:t>
      </w:r>
      <w:r w:rsidR="00236392">
        <w:t xml:space="preserve"> Steel</w:t>
      </w:r>
      <w:r w:rsidR="00167B8C" w:rsidRPr="00154397">
        <w:t xml:space="preserve"> 2006</w:t>
      </w:r>
      <w:r w:rsidR="00167B8C" w:rsidRPr="00EE0005">
        <w:t>).</w:t>
      </w:r>
      <w:bookmarkStart w:id="16" w:name="OLE_LINK30"/>
    </w:p>
    <w:p w:rsidR="00180E99" w:rsidRDefault="00180E99" w:rsidP="00180E99">
      <w:pPr>
        <w:pStyle w:val="Heading2"/>
        <w:spacing w:before="480"/>
      </w:pPr>
      <w:r>
        <w:t>6.</w:t>
      </w:r>
      <w:r>
        <w:rPr>
          <w:noProof/>
        </w:rPr>
        <w:t>3</w:t>
      </w:r>
      <w:r>
        <w:tab/>
        <w:t>MFP</w:t>
      </w:r>
      <w:r w:rsidRPr="006D462E">
        <w:t xml:space="preserve"> growth </w:t>
      </w:r>
      <w:r>
        <w:t>and its proximate causes</w:t>
      </w:r>
      <w:r w:rsidRPr="009A0588">
        <w:t xml:space="preserve"> </w:t>
      </w:r>
      <w:r>
        <w:t>in Metal products</w:t>
      </w:r>
      <w:r w:rsidRPr="006D462E">
        <w:t xml:space="preserve"> </w:t>
      </w:r>
    </w:p>
    <w:bookmarkEnd w:id="16"/>
    <w:p w:rsidR="00180E99" w:rsidRDefault="00180E99" w:rsidP="00180E99">
      <w:pPr>
        <w:pStyle w:val="BodyText"/>
        <w:spacing w:before="200"/>
      </w:pPr>
      <w:r>
        <w:t xml:space="preserve">MP’s average MFP growth was 2 per cent a year between 1985-86 and 2010-11. MFP in MP generally had an upward </w:t>
      </w:r>
      <w:r w:rsidRPr="00D61F45">
        <w:t>trend</w:t>
      </w:r>
      <w:r>
        <w:t xml:space="preserve"> up to the early </w:t>
      </w:r>
      <w:proofErr w:type="spellStart"/>
      <w:r>
        <w:t>2000s</w:t>
      </w:r>
      <w:proofErr w:type="spellEnd"/>
      <w:r>
        <w:t>, before declining considerably to the mid-</w:t>
      </w:r>
      <w:proofErr w:type="spellStart"/>
      <w:r>
        <w:t>2000s</w:t>
      </w:r>
      <w:proofErr w:type="spellEnd"/>
      <w:r>
        <w:t>, after which it picked up again</w:t>
      </w:r>
      <w:r w:rsidRPr="00221679">
        <w:t xml:space="preserve"> </w:t>
      </w:r>
      <w:r>
        <w:t xml:space="preserve">(figure 6.9). This </w:t>
      </w:r>
      <w:r w:rsidRPr="00D61F45">
        <w:t>trend</w:t>
      </w:r>
      <w:r>
        <w:t xml:space="preserve"> was fairly similar to that for Manufacturing in total, except for the drop in 2005-06. </w:t>
      </w:r>
    </w:p>
    <w:p w:rsidR="003E7B3D" w:rsidRPr="00EC4839" w:rsidRDefault="003E7B3D" w:rsidP="003E7B3D">
      <w:pPr>
        <w:pStyle w:val="FigureTitle"/>
        <w:rPr>
          <w:sz w:val="24"/>
        </w:rPr>
      </w:pPr>
      <w:r w:rsidRPr="00EC4839">
        <w:rPr>
          <w:b w:val="0"/>
          <w:sz w:val="24"/>
        </w:rPr>
        <w:t xml:space="preserve">Figure </w:t>
      </w:r>
      <w:bookmarkStart w:id="17" w:name="OLE_LINK12"/>
      <w:r w:rsidR="00075531" w:rsidRPr="00EC4839">
        <w:rPr>
          <w:b w:val="0"/>
          <w:sz w:val="24"/>
        </w:rPr>
        <w:t>6.</w:t>
      </w:r>
      <w:r w:rsidR="00227A34">
        <w:rPr>
          <w:b w:val="0"/>
          <w:noProof/>
          <w:sz w:val="24"/>
        </w:rPr>
        <w:t>9</w:t>
      </w:r>
      <w:bookmarkEnd w:id="17"/>
      <w:r w:rsidRPr="00EC4839">
        <w:rPr>
          <w:sz w:val="24"/>
        </w:rPr>
        <w:tab/>
      </w:r>
      <w:bookmarkStart w:id="18" w:name="OLE_LINK9"/>
      <w:r w:rsidR="00F165B4">
        <w:rPr>
          <w:sz w:val="24"/>
        </w:rPr>
        <w:t xml:space="preserve">MFP in </w:t>
      </w:r>
      <w:r w:rsidR="00694DB4">
        <w:rPr>
          <w:sz w:val="24"/>
        </w:rPr>
        <w:t>Metal products</w:t>
      </w:r>
      <w:r w:rsidRPr="00EC4839">
        <w:rPr>
          <w:sz w:val="24"/>
        </w:rPr>
        <w:t xml:space="preserve"> and Manufacturing</w:t>
      </w:r>
      <w:bookmarkEnd w:id="18"/>
    </w:p>
    <w:p w:rsidR="003E7B3D" w:rsidRDefault="003E7B3D" w:rsidP="003E7B3D">
      <w:pPr>
        <w:pStyle w:val="Subtitle"/>
      </w:pPr>
      <w:r>
        <w:t>Index 2009-10 = 100</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E7B3D" w:rsidTr="003E7B3D">
        <w:tc>
          <w:tcPr>
            <w:tcW w:w="8777" w:type="dxa"/>
          </w:tcPr>
          <w:p w:rsidR="003E7B3D" w:rsidRDefault="00852E6A" w:rsidP="003E7B3D">
            <w:pPr>
              <w:pStyle w:val="Figure"/>
              <w:spacing w:before="0" w:after="0"/>
            </w:pPr>
            <w:r>
              <w:pict>
                <v:shape id="_x0000_i1039" type="#_x0000_t75" alt="This figure shows MFP growth for Manufacturing and Metal products over the period of 1985-86 to 2010-11. The series for Metal products is more volatile than that of total manufacturing, but there is a clear and pronounced decline for Metal products after a peak in 2001-02 to 2004-05. MP MFP is lower in 2007-08 than 2003-04." style="width:424.45pt;height:198.4pt">
                  <v:imagedata r:id="rId23" o:title=""/>
                </v:shape>
              </w:pict>
            </w:r>
          </w:p>
        </w:tc>
      </w:tr>
    </w:tbl>
    <w:p w:rsidR="003E7B3D" w:rsidRDefault="003E7B3D" w:rsidP="003E7B3D">
      <w:pPr>
        <w:pStyle w:val="Source"/>
      </w:pPr>
      <w:r>
        <w:rPr>
          <w:i/>
        </w:rPr>
        <w:t>Data source</w:t>
      </w:r>
      <w:r w:rsidR="008E0F3D">
        <w:rPr>
          <w:i/>
        </w:rPr>
        <w:t>s</w:t>
      </w:r>
      <w:r w:rsidRPr="00167F06">
        <w:t xml:space="preserve">: </w:t>
      </w:r>
      <w:r>
        <w:t>Authors’ estimates</w:t>
      </w:r>
      <w:r w:rsidR="008E0F3D">
        <w:t>;</w:t>
      </w:r>
      <w:r>
        <w:t xml:space="preserve"> ABS (</w:t>
      </w:r>
      <w:r w:rsidR="00CB5B65">
        <w:rPr>
          <w:i/>
        </w:rPr>
        <w:t>Experimental Estimates of Industry Multifactor Productivity</w:t>
      </w:r>
      <w:r w:rsidR="0065000A">
        <w:rPr>
          <w:i/>
        </w:rPr>
        <w:t>,</w:t>
      </w:r>
      <w:r w:rsidR="00CB5B65">
        <w:rPr>
          <w:i/>
        </w:rPr>
        <w:t xml:space="preserve"> 2010</w:t>
      </w:r>
      <w:r w:rsidR="008617B9">
        <w:rPr>
          <w:i/>
        </w:rPr>
        <w:noBreakHyphen/>
      </w:r>
      <w:r w:rsidR="00CB5B65">
        <w:rPr>
          <w:i/>
        </w:rPr>
        <w:t xml:space="preserve">11, </w:t>
      </w:r>
      <w:r w:rsidR="00CB5B65">
        <w:t>Cat. no. 5260.0.55.002</w:t>
      </w:r>
      <w:r>
        <w:t>).</w:t>
      </w:r>
    </w:p>
    <w:p w:rsidR="00180E99" w:rsidRDefault="00180E99">
      <w:pPr>
        <w:rPr>
          <w:rFonts w:ascii="Times New Roman" w:eastAsia="Times New Roman" w:hAnsi="Times New Roman" w:cs="Times New Roman"/>
          <w:sz w:val="26"/>
          <w:szCs w:val="20"/>
          <w:lang w:eastAsia="en-AU"/>
        </w:rPr>
      </w:pPr>
    </w:p>
    <w:p w:rsidR="00F4406C" w:rsidRDefault="00820FBE" w:rsidP="00F4406C">
      <w:pPr>
        <w:pStyle w:val="BodyText"/>
      </w:pPr>
      <w:r>
        <w:lastRenderedPageBreak/>
        <w:t xml:space="preserve">For </w:t>
      </w:r>
      <w:r w:rsidR="003E7B3D">
        <w:t xml:space="preserve">the purposes of identifying the contributions of a subsector to </w:t>
      </w:r>
      <w:r w:rsidR="00E97DAD">
        <w:t xml:space="preserve">MFP for Manufacturing </w:t>
      </w:r>
      <w:r w:rsidR="00991DDE">
        <w:t>as a whole</w:t>
      </w:r>
      <w:r w:rsidR="003E7B3D">
        <w:t xml:space="preserve">, the cycles for Manufacturing in aggregate are </w:t>
      </w:r>
      <w:r w:rsidR="00991DDE">
        <w:t>used</w:t>
      </w:r>
      <w:r w:rsidR="003E7B3D">
        <w:t>.</w:t>
      </w:r>
      <w:r w:rsidR="003E7B3D">
        <w:rPr>
          <w:rStyle w:val="FootnoteReference"/>
        </w:rPr>
        <w:footnoteReference w:id="5"/>
      </w:r>
      <w:r w:rsidR="003E7B3D">
        <w:t xml:space="preserve"> </w:t>
      </w:r>
      <w:r w:rsidR="003B025F">
        <w:t xml:space="preserve">Figure </w:t>
      </w:r>
      <w:r w:rsidR="00DC1799">
        <w:t>6.10</w:t>
      </w:r>
      <w:r w:rsidR="003B025F">
        <w:t xml:space="preserve"> presents MFP growth and growth in its proximate causes —</w:t>
      </w:r>
      <w:r w:rsidR="00247472">
        <w:t xml:space="preserve"> the volumes of </w:t>
      </w:r>
      <w:r w:rsidR="007830E9">
        <w:t>value added</w:t>
      </w:r>
      <w:r w:rsidR="003B025F">
        <w:t xml:space="preserve">, hours worked and capital services </w:t>
      </w:r>
      <w:r w:rsidR="00F4406C">
        <w:t xml:space="preserve">— </w:t>
      </w:r>
      <w:r w:rsidR="003B025F">
        <w:t>over the</w:t>
      </w:r>
      <w:r w:rsidR="00F4406C">
        <w:t xml:space="preserve"> </w:t>
      </w:r>
      <w:r w:rsidR="003B025F">
        <w:t>productivity cycles since 1988-89.</w:t>
      </w:r>
      <w:r w:rsidR="0054307C" w:rsidRPr="0054307C">
        <w:rPr>
          <w:rStyle w:val="FootnoteReference"/>
        </w:rPr>
        <w:t xml:space="preserve"> </w:t>
      </w:r>
      <w:r w:rsidR="003B025F">
        <w:t>MP</w:t>
      </w:r>
      <w:r w:rsidR="003E7B3D">
        <w:t xml:space="preserve">’s average MFP growth </w:t>
      </w:r>
      <w:r w:rsidR="003B025F">
        <w:t>was positive and fairly stable in the first three cycles</w:t>
      </w:r>
      <w:r w:rsidR="00F4406C">
        <w:t xml:space="preserve"> — with </w:t>
      </w:r>
      <w:r w:rsidR="001F676F">
        <w:t>value added</w:t>
      </w:r>
      <w:r w:rsidR="00F4406C">
        <w:t xml:space="preserve"> growth exceeding combined growth in capital and labour. </w:t>
      </w:r>
      <w:r w:rsidR="000716E2">
        <w:t xml:space="preserve">The negative MFP growth in cycle </w:t>
      </w:r>
      <w:r w:rsidR="00F4406C">
        <w:t xml:space="preserve">4 (2003-04 to 2007-08) </w:t>
      </w:r>
      <w:r w:rsidR="009425E6">
        <w:t>was exceptional</w:t>
      </w:r>
      <w:r w:rsidR="00F4406C">
        <w:t xml:space="preserve">. Despite very strong growth in </w:t>
      </w:r>
      <w:r w:rsidR="001F676F">
        <w:t>value added</w:t>
      </w:r>
      <w:r w:rsidR="00F4406C">
        <w:t xml:space="preserve">, this was exceeded by even stronger growth in combined inputs, particularly capital. </w:t>
      </w:r>
    </w:p>
    <w:p w:rsidR="003E7B3D" w:rsidRPr="00EC4839" w:rsidRDefault="003E7B3D" w:rsidP="003E7B3D">
      <w:pPr>
        <w:pStyle w:val="FigureTitle"/>
        <w:rPr>
          <w:sz w:val="24"/>
        </w:rPr>
      </w:pPr>
      <w:r w:rsidRPr="00EC4839">
        <w:rPr>
          <w:b w:val="0"/>
          <w:sz w:val="24"/>
        </w:rPr>
        <w:t xml:space="preserve">Figure </w:t>
      </w:r>
      <w:bookmarkStart w:id="19" w:name="OLE_LINK24"/>
      <w:r w:rsidR="006742AD" w:rsidRPr="00EC4839">
        <w:rPr>
          <w:b w:val="0"/>
          <w:sz w:val="24"/>
        </w:rPr>
        <w:t>6.</w:t>
      </w:r>
      <w:r w:rsidR="00227A34">
        <w:rPr>
          <w:b w:val="0"/>
          <w:noProof/>
          <w:sz w:val="24"/>
        </w:rPr>
        <w:t>10</w:t>
      </w:r>
      <w:bookmarkEnd w:id="19"/>
      <w:r w:rsidRPr="00EC4839">
        <w:rPr>
          <w:sz w:val="24"/>
        </w:rPr>
        <w:tab/>
      </w:r>
      <w:r w:rsidR="00F165B4">
        <w:rPr>
          <w:sz w:val="24"/>
        </w:rPr>
        <w:t>MFP g</w:t>
      </w:r>
      <w:r w:rsidR="00293241">
        <w:rPr>
          <w:sz w:val="24"/>
        </w:rPr>
        <w:t xml:space="preserve">rowth </w:t>
      </w:r>
      <w:r w:rsidR="00F62B29">
        <w:rPr>
          <w:sz w:val="24"/>
        </w:rPr>
        <w:t xml:space="preserve">and </w:t>
      </w:r>
      <w:r w:rsidR="00293241">
        <w:rPr>
          <w:sz w:val="24"/>
        </w:rPr>
        <w:t xml:space="preserve">its </w:t>
      </w:r>
      <w:r w:rsidR="00F62B29">
        <w:rPr>
          <w:sz w:val="24"/>
        </w:rPr>
        <w:t>proximate causes</w:t>
      </w:r>
      <w:r w:rsidR="00F62B29" w:rsidRPr="00F62B29">
        <w:rPr>
          <w:rStyle w:val="NoteLabel"/>
          <w:b/>
        </w:rPr>
        <w:t>a</w:t>
      </w:r>
      <w:r w:rsidR="00D16C9E">
        <w:rPr>
          <w:rStyle w:val="NoteLabel"/>
          <w:b/>
        </w:rPr>
        <w:t xml:space="preserve"> </w:t>
      </w:r>
      <w:r w:rsidR="00F165B4">
        <w:rPr>
          <w:sz w:val="24"/>
        </w:rPr>
        <w:t xml:space="preserve">in Metal products </w:t>
      </w:r>
      <w:r w:rsidR="00F62B29">
        <w:rPr>
          <w:sz w:val="24"/>
        </w:rPr>
        <w:t>by cycle</w:t>
      </w:r>
    </w:p>
    <w:p w:rsidR="003E7B3D" w:rsidRDefault="000D2F10" w:rsidP="003E7B3D">
      <w:pPr>
        <w:pStyle w:val="Subtitle"/>
      </w:pPr>
      <w:r>
        <w:t>Average annual growth rate (per cent)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E7B3D" w:rsidTr="003E7B3D">
        <w:tc>
          <w:tcPr>
            <w:tcW w:w="8777" w:type="dxa"/>
          </w:tcPr>
          <w:p w:rsidR="003E7B3D" w:rsidRDefault="00852E6A" w:rsidP="00CE194E">
            <w:pPr>
              <w:pStyle w:val="Figure"/>
              <w:spacing w:before="0" w:after="0"/>
            </w:pPr>
            <w:r>
              <w:pict>
                <v:shape id="_x0000_i1040" type="#_x0000_t75" alt="This figure shows the rate of growth in each of the proximate causes (value added, weighted hours worked and weighted capital services) and resulting rate of growth in Metal products MFP for each productivity cycle, including the incomplete cycle and average over the whole period of 1985-86 to 2010-11. The magnitudes of the changes are discussed in the text immediately following the figure." style="width:424.45pt;height:198.4pt">
                  <v:imagedata r:id="rId24" o:title=""/>
                </v:shape>
              </w:pict>
            </w:r>
          </w:p>
        </w:tc>
      </w:tr>
    </w:tbl>
    <w:p w:rsidR="003E7B3D" w:rsidRDefault="003E7B3D" w:rsidP="003E7B3D">
      <w:pPr>
        <w:pStyle w:val="Note"/>
      </w:pPr>
      <w:r>
        <w:rPr>
          <w:rStyle w:val="NoteLabel"/>
        </w:rPr>
        <w:t>a</w:t>
      </w:r>
      <w:r>
        <w:t xml:space="preserve"> Capital services and hours worked weighted by income shares. </w:t>
      </w:r>
    </w:p>
    <w:p w:rsidR="003E7B3D" w:rsidRDefault="003E7B3D" w:rsidP="003E7B3D">
      <w:pPr>
        <w:pStyle w:val="Source"/>
      </w:pPr>
      <w:r>
        <w:rPr>
          <w:i/>
        </w:rPr>
        <w:t>Data source</w:t>
      </w:r>
      <w:r w:rsidRPr="00167F06">
        <w:t xml:space="preserve">: </w:t>
      </w:r>
      <w:r>
        <w:t>Authors’ estimates.</w:t>
      </w:r>
    </w:p>
    <w:p w:rsidR="00F4406C" w:rsidRDefault="00F4406C" w:rsidP="00F4406C">
      <w:pPr>
        <w:pStyle w:val="BodyText"/>
      </w:pPr>
      <w:r>
        <w:t>Growth of capital services has been consistently positive (up to 1 per cent a year for the first three cycles)</w:t>
      </w:r>
      <w:r w:rsidR="00533999">
        <w:t>,</w:t>
      </w:r>
      <w:r>
        <w:t xml:space="preserve"> but it was particularly strong in cycle 4 (up to 4.6 per cent a year). At the same time, hours worked generally declined</w:t>
      </w:r>
      <w:r w:rsidR="007718C1">
        <w:t xml:space="preserve"> —</w:t>
      </w:r>
      <w:r>
        <w:t xml:space="preserve"> except in cycle 4, where </w:t>
      </w:r>
      <w:r w:rsidR="000542F7">
        <w:t>they</w:t>
      </w:r>
      <w:r>
        <w:t xml:space="preserve"> increased</w:t>
      </w:r>
      <w:r w:rsidR="000542F7">
        <w:t xml:space="preserve">, but not to the same extent as </w:t>
      </w:r>
      <w:r>
        <w:t xml:space="preserve">capital services and </w:t>
      </w:r>
      <w:r w:rsidR="007718C1">
        <w:t>value added</w:t>
      </w:r>
      <w:r>
        <w:t xml:space="preserve">. The growth of capital services relative to hours worked implies an increase in the capital-labour ratio, suggesting that </w:t>
      </w:r>
      <w:r w:rsidR="00A96260">
        <w:t>MP</w:t>
      </w:r>
      <w:r>
        <w:t xml:space="preserve"> has become more capital-intensive (</w:t>
      </w:r>
      <w:r w:rsidR="006D1BC9">
        <w:t xml:space="preserve">as shown in </w:t>
      </w:r>
      <w:r>
        <w:t xml:space="preserve">figure </w:t>
      </w:r>
      <w:r w:rsidR="00DC1799">
        <w:t>6.1</w:t>
      </w:r>
      <w:r>
        <w:t>).</w:t>
      </w:r>
    </w:p>
    <w:p w:rsidR="00FC2713" w:rsidRPr="00EE2E90" w:rsidRDefault="00FC2713" w:rsidP="00FC2713">
      <w:pPr>
        <w:pStyle w:val="BodyText"/>
      </w:pPr>
      <w:r>
        <w:lastRenderedPageBreak/>
        <w:t xml:space="preserve">There has been some improvement in MFP growth in the incomplete cycle. Input growth slowed by more than </w:t>
      </w:r>
      <w:r w:rsidR="001F676F">
        <w:t>value added</w:t>
      </w:r>
      <w:r>
        <w:t xml:space="preserve"> growth — with a return to </w:t>
      </w:r>
      <w:r w:rsidR="00F41976">
        <w:t>reductions in hours worked and a more typical rate of capital services growth</w:t>
      </w:r>
      <w:r>
        <w:t xml:space="preserve">. (However, as noted in chapter 2, some care is needed in the interpretation of the incomplete cycle since it may be influenced by temporary factors, including the </w:t>
      </w:r>
      <w:r w:rsidR="007718C1">
        <w:t>global financial crisis</w:t>
      </w:r>
      <w:r>
        <w:t xml:space="preserve">.) </w:t>
      </w:r>
    </w:p>
    <w:p w:rsidR="00DC1799" w:rsidRDefault="00B065F4" w:rsidP="00DC1799">
      <w:pPr>
        <w:pStyle w:val="BodyText"/>
      </w:pPr>
      <w:r>
        <w:t xml:space="preserve">As discussed in chapter 3, the principal focus of this paper is on explaining the decline in </w:t>
      </w:r>
      <w:r w:rsidR="002E01C5">
        <w:t xml:space="preserve">Manufacturing </w:t>
      </w:r>
      <w:r>
        <w:t xml:space="preserve">MFP growth between cycles 3 and 4 </w:t>
      </w:r>
      <w:r w:rsidR="00AB3F3B">
        <w:t xml:space="preserve">when </w:t>
      </w:r>
      <w:r>
        <w:t xml:space="preserve">MP made a large contribution to this decline. Figure </w:t>
      </w:r>
      <w:r w:rsidR="00DC1799">
        <w:t>6.11</w:t>
      </w:r>
      <w:r>
        <w:t xml:space="preserve"> highlights the extent of </w:t>
      </w:r>
      <w:r w:rsidR="00B90F91">
        <w:t xml:space="preserve">the </w:t>
      </w:r>
      <w:r>
        <w:t>decline in MP’s MFP growth</w:t>
      </w:r>
      <w:r w:rsidR="00A1672C">
        <w:t xml:space="preserve"> </w:t>
      </w:r>
      <w:r>
        <w:t xml:space="preserve">— with the large increase in </w:t>
      </w:r>
      <w:r w:rsidR="001F676F">
        <w:t>value added</w:t>
      </w:r>
      <w:r>
        <w:t xml:space="preserve"> growth </w:t>
      </w:r>
      <w:r w:rsidR="00CF7926">
        <w:t>being</w:t>
      </w:r>
      <w:r>
        <w:t xml:space="preserve"> offset by an even larger increase in input growth, particularly capital services. The remainder of the chapter discusses influences that might underlie these large changes in MP </w:t>
      </w:r>
      <w:r w:rsidR="00B90F91">
        <w:t>between cycles 3 and 4</w:t>
      </w:r>
      <w:r w:rsidR="00E56A90">
        <w:t>.</w:t>
      </w:r>
    </w:p>
    <w:p w:rsidR="003F6669" w:rsidRDefault="003F6669">
      <w:pPr>
        <w:pStyle w:val="FigureTitle"/>
      </w:pPr>
      <w:r w:rsidRPr="00EC4839">
        <w:rPr>
          <w:b w:val="0"/>
          <w:sz w:val="24"/>
          <w:szCs w:val="24"/>
        </w:rPr>
        <w:t xml:space="preserve">Figure </w:t>
      </w:r>
      <w:bookmarkStart w:id="20" w:name="OLE_LINK3"/>
      <w:r w:rsidR="003D66BF" w:rsidRPr="00EC4839">
        <w:rPr>
          <w:b w:val="0"/>
          <w:sz w:val="24"/>
          <w:szCs w:val="24"/>
        </w:rPr>
        <w:t>6.</w:t>
      </w:r>
      <w:r w:rsidR="00227A34">
        <w:rPr>
          <w:b w:val="0"/>
          <w:noProof/>
          <w:sz w:val="24"/>
          <w:szCs w:val="24"/>
        </w:rPr>
        <w:t>11</w:t>
      </w:r>
      <w:bookmarkEnd w:id="20"/>
      <w:r w:rsidRPr="00EC4839">
        <w:rPr>
          <w:sz w:val="24"/>
          <w:szCs w:val="24"/>
        </w:rPr>
        <w:tab/>
      </w:r>
      <w:r w:rsidR="00F165B4">
        <w:rPr>
          <w:sz w:val="24"/>
          <w:szCs w:val="24"/>
        </w:rPr>
        <w:t>MFP g</w:t>
      </w:r>
      <w:r w:rsidR="00293241">
        <w:rPr>
          <w:sz w:val="24"/>
          <w:szCs w:val="24"/>
        </w:rPr>
        <w:t>rowth and its proximate causes</w:t>
      </w:r>
      <w:r w:rsidR="00293241" w:rsidRPr="00904891">
        <w:rPr>
          <w:rStyle w:val="NoteLabel"/>
          <w:b/>
        </w:rPr>
        <w:t>a</w:t>
      </w:r>
      <w:r w:rsidR="005B7326">
        <w:rPr>
          <w:sz w:val="24"/>
          <w:szCs w:val="24"/>
        </w:rPr>
        <w:t xml:space="preserve"> </w:t>
      </w:r>
      <w:r w:rsidR="00F165B4">
        <w:rPr>
          <w:sz w:val="24"/>
          <w:szCs w:val="24"/>
        </w:rPr>
        <w:t>in Metal products,</w:t>
      </w:r>
      <w:r w:rsidR="00F165B4" w:rsidRPr="00EC4839">
        <w:rPr>
          <w:sz w:val="24"/>
          <w:szCs w:val="24"/>
        </w:rPr>
        <w:t xml:space="preserve"> </w:t>
      </w:r>
      <w:r w:rsidR="00904891" w:rsidRPr="00EC4839">
        <w:rPr>
          <w:sz w:val="24"/>
          <w:szCs w:val="24"/>
        </w:rPr>
        <w:t>cycles 3 and 4</w:t>
      </w:r>
    </w:p>
    <w:p w:rsidR="003F6669" w:rsidRDefault="000D2F10">
      <w:pPr>
        <w:pStyle w:val="Subtitle"/>
      </w:pPr>
      <w:r>
        <w:t>Average annual growth rate (per cent)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F6669">
        <w:tc>
          <w:tcPr>
            <w:tcW w:w="8777" w:type="dxa"/>
          </w:tcPr>
          <w:p w:rsidR="003F6669" w:rsidRDefault="00852E6A" w:rsidP="008901C2">
            <w:pPr>
              <w:pStyle w:val="Figure"/>
            </w:pPr>
            <w:r>
              <w:pict>
                <v:shape id="_x0000_i1041" type="#_x0000_t75" alt="This figure shows the rate of growth in each of the proximate causes (value added, weighted hours worked and weighted capital services) and resulting rate of growth in Metal products MFP for cycles 3 and 4, and the difference between these cycles. It shows that the difference the decline in the rate of MFP growth between the cycles was driven by strong growth in capital services (together with some growth in hours worked) in excess of the strong growth in value added." style="width:425.3pt;height:198.4pt;mso-position-vertical:absolute">
                  <v:imagedata r:id="rId25" o:title=""/>
                </v:shape>
              </w:pict>
            </w:r>
          </w:p>
        </w:tc>
      </w:tr>
    </w:tbl>
    <w:p w:rsidR="00904891" w:rsidRDefault="00904891" w:rsidP="00904891">
      <w:pPr>
        <w:pStyle w:val="Note"/>
      </w:pPr>
      <w:r>
        <w:rPr>
          <w:rStyle w:val="NoteLabel"/>
        </w:rPr>
        <w:t>a</w:t>
      </w:r>
      <w:r>
        <w:t xml:space="preserve"> Capital services and hours worked weighted by income shares.</w:t>
      </w:r>
    </w:p>
    <w:p w:rsidR="00BA0A55" w:rsidRDefault="00BA0A55" w:rsidP="00BA0A55">
      <w:pPr>
        <w:pStyle w:val="Source"/>
      </w:pPr>
      <w:r>
        <w:rPr>
          <w:i/>
        </w:rPr>
        <w:t>Data source</w:t>
      </w:r>
      <w:r w:rsidRPr="00167F06">
        <w:t xml:space="preserve">: </w:t>
      </w:r>
      <w:r>
        <w:t>Authors’ estimates.</w:t>
      </w:r>
    </w:p>
    <w:p w:rsidR="008901C2" w:rsidRDefault="008901C2">
      <w:pPr>
        <w:rPr>
          <w:rFonts w:ascii="Arial" w:eastAsia="Times New Roman" w:hAnsi="Arial" w:cs="Times New Roman"/>
          <w:b/>
          <w:sz w:val="32"/>
          <w:szCs w:val="20"/>
          <w:lang w:eastAsia="en-AU"/>
        </w:rPr>
      </w:pPr>
      <w:r>
        <w:br w:type="page"/>
      </w:r>
    </w:p>
    <w:p w:rsidR="00D8403B" w:rsidRDefault="005A2BEB" w:rsidP="00D8403B">
      <w:pPr>
        <w:pStyle w:val="Heading2"/>
        <w:keepNext w:val="0"/>
        <w:widowControl w:val="0"/>
        <w:spacing w:before="560" w:line="320" w:lineRule="exact"/>
        <w:ind w:left="0" w:firstLine="0"/>
      </w:pPr>
      <w:r>
        <w:lastRenderedPageBreak/>
        <w:t>6.</w:t>
      </w:r>
      <w:r w:rsidR="00227A34">
        <w:rPr>
          <w:noProof/>
        </w:rPr>
        <w:t>4</w:t>
      </w:r>
      <w:r w:rsidR="00070414">
        <w:tab/>
      </w:r>
      <w:r w:rsidR="0044758E">
        <w:t xml:space="preserve">Influences on </w:t>
      </w:r>
      <w:r w:rsidR="009A0588">
        <w:t xml:space="preserve">MFP growth in </w:t>
      </w:r>
      <w:r w:rsidR="00F165B4">
        <w:t>Metal products</w:t>
      </w:r>
    </w:p>
    <w:p w:rsidR="00C15A0B" w:rsidRDefault="00850150" w:rsidP="00C15A0B">
      <w:pPr>
        <w:pStyle w:val="BodyText"/>
      </w:pPr>
      <w:r>
        <w:t>F</w:t>
      </w:r>
      <w:r w:rsidR="00272965">
        <w:t>abricated metals appears to</w:t>
      </w:r>
      <w:r w:rsidR="008B5038">
        <w:t xml:space="preserve"> have been</w:t>
      </w:r>
      <w:r w:rsidR="00272965">
        <w:t xml:space="preserve"> driving </w:t>
      </w:r>
      <w:r w:rsidR="006B0816">
        <w:t>MP</w:t>
      </w:r>
      <w:r w:rsidR="00272965">
        <w:t xml:space="preserve"> </w:t>
      </w:r>
      <w:r w:rsidR="001F676F">
        <w:t>value added</w:t>
      </w:r>
      <w:r w:rsidR="00272965">
        <w:t xml:space="preserve"> growth and the bulk of the hours worked</w:t>
      </w:r>
      <w:r w:rsidR="006E2903">
        <w:t xml:space="preserve"> growth</w:t>
      </w:r>
      <w:r w:rsidR="00272965">
        <w:t xml:space="preserve">, </w:t>
      </w:r>
      <w:r w:rsidR="00632EC7">
        <w:t xml:space="preserve">while </w:t>
      </w:r>
      <w:r w:rsidR="00BB3B8D">
        <w:t xml:space="preserve">Primary </w:t>
      </w:r>
      <w:r w:rsidR="00C15A0B">
        <w:t xml:space="preserve">metals appears </w:t>
      </w:r>
      <w:r w:rsidR="00274217">
        <w:t>to have been</w:t>
      </w:r>
      <w:r w:rsidR="00C15A0B">
        <w:t xml:space="preserve"> largely responsible for the rapid growth in capital services</w:t>
      </w:r>
      <w:r w:rsidR="00BB3B8D">
        <w:t>.</w:t>
      </w:r>
    </w:p>
    <w:p w:rsidR="00A40716" w:rsidRDefault="00AC76AC" w:rsidP="00A40716">
      <w:pPr>
        <w:pStyle w:val="Heading3"/>
        <w:keepNext w:val="0"/>
        <w:widowControl w:val="0"/>
      </w:pPr>
      <w:r>
        <w:t xml:space="preserve">Strong </w:t>
      </w:r>
      <w:r w:rsidR="001F676F">
        <w:t>value added</w:t>
      </w:r>
      <w:r>
        <w:t xml:space="preserve"> growth in Fabricated metal</w:t>
      </w:r>
      <w:r w:rsidR="00573223">
        <w:t>s</w:t>
      </w:r>
    </w:p>
    <w:p w:rsidR="00BB3B8D" w:rsidRDefault="007D41B4" w:rsidP="0035338D">
      <w:pPr>
        <w:pStyle w:val="BodyText"/>
      </w:pPr>
      <w:r>
        <w:t xml:space="preserve">Real value added growth for the </w:t>
      </w:r>
      <w:r w:rsidR="006B0816">
        <w:t>MP</w:t>
      </w:r>
      <w:r>
        <w:t xml:space="preserve"> subsector </w:t>
      </w:r>
      <w:r w:rsidR="00F261AC">
        <w:t xml:space="preserve">as a whole </w:t>
      </w:r>
      <w:r>
        <w:t xml:space="preserve">was 4.5 per cent </w:t>
      </w:r>
      <w:r w:rsidR="00904EEA">
        <w:t>a</w:t>
      </w:r>
      <w:r>
        <w:t xml:space="preserve"> year over cycle</w:t>
      </w:r>
      <w:r w:rsidR="00106179">
        <w:t xml:space="preserve"> 4</w:t>
      </w:r>
      <w:r>
        <w:t xml:space="preserve"> </w:t>
      </w:r>
      <w:r w:rsidR="00845AA3">
        <w:t>—</w:t>
      </w:r>
      <w:r>
        <w:t xml:space="preserve"> 3.2 percentage points </w:t>
      </w:r>
      <w:r w:rsidR="00CD2E1D">
        <w:t>higher than</w:t>
      </w:r>
      <w:r w:rsidR="00BB3B8D">
        <w:t xml:space="preserve"> </w:t>
      </w:r>
      <w:r>
        <w:t>the previous cycle</w:t>
      </w:r>
      <w:r w:rsidR="00BB3B8D">
        <w:t xml:space="preserve"> (figure </w:t>
      </w:r>
      <w:r w:rsidR="000B1C73">
        <w:t>6.11</w:t>
      </w:r>
      <w:r w:rsidR="00BB3B8D">
        <w:t>)</w:t>
      </w:r>
      <w:r>
        <w:t xml:space="preserve">. </w:t>
      </w:r>
      <w:r w:rsidR="0035338D">
        <w:t xml:space="preserve">Data for real value added in each of the subdivisions (Primary </w:t>
      </w:r>
      <w:r w:rsidR="009D123A">
        <w:t xml:space="preserve">metals </w:t>
      </w:r>
      <w:r w:rsidR="0035338D">
        <w:t xml:space="preserve">and Fabricated metals) are not available. However, other indicators suggest that Fabricated metals, rather than Primary metals, </w:t>
      </w:r>
      <w:r w:rsidR="00BB1B99">
        <w:t xml:space="preserve">was </w:t>
      </w:r>
      <w:r w:rsidR="0035338D">
        <w:t xml:space="preserve">the source of value added growth in the </w:t>
      </w:r>
      <w:r w:rsidR="006B0816">
        <w:t>MP</w:t>
      </w:r>
      <w:r w:rsidR="0035338D">
        <w:t xml:space="preserve"> subsector.</w:t>
      </w:r>
      <w:r w:rsidR="000472E5">
        <w:rPr>
          <w:rStyle w:val="FootnoteReference"/>
        </w:rPr>
        <w:footnoteReference w:id="6"/>
      </w:r>
    </w:p>
    <w:p w:rsidR="00AE24B8" w:rsidRDefault="00BB2C23" w:rsidP="00E113F2">
      <w:pPr>
        <w:pStyle w:val="BodyText"/>
      </w:pPr>
      <w:r>
        <w:t>One available measure of output volumes (</w:t>
      </w:r>
      <w:r>
        <w:rPr>
          <w:i/>
        </w:rPr>
        <w:t xml:space="preserve">real </w:t>
      </w:r>
      <w:r w:rsidR="004E2A24" w:rsidRPr="009D123A">
        <w:t>‘</w:t>
      </w:r>
      <w:r w:rsidR="004E2A24">
        <w:t>sales and service income’</w:t>
      </w:r>
      <w:r>
        <w:t>) shows an increase for Fabricated metals over cycle 4 and a decline for Primary metals</w:t>
      </w:r>
      <w:r w:rsidR="00B85F2C">
        <w:t xml:space="preserve"> (figure</w:t>
      </w:r>
      <w:r w:rsidR="00921C46">
        <w:t> </w:t>
      </w:r>
      <w:r w:rsidR="00B85F2C">
        <w:t>6.12)</w:t>
      </w:r>
      <w:r>
        <w:t>.</w:t>
      </w:r>
      <w:r w:rsidR="002636DF">
        <w:rPr>
          <w:rStyle w:val="FootnoteReference"/>
        </w:rPr>
        <w:footnoteReference w:id="7"/>
      </w:r>
      <w:r w:rsidR="00405D39">
        <w:t xml:space="preserve"> </w:t>
      </w:r>
      <w:r w:rsidR="0045401F" w:rsidRPr="009D123A">
        <w:rPr>
          <w:i/>
        </w:rPr>
        <w:t>Nominal</w:t>
      </w:r>
      <w:r w:rsidR="0045401F">
        <w:t xml:space="preserve"> sales and service income of Primary metals rose as prices for the subdivision’s output increased in response to greater demand for those products.</w:t>
      </w:r>
      <w:r w:rsidR="00112BD7">
        <w:rPr>
          <w:rStyle w:val="FootnoteReference"/>
        </w:rPr>
        <w:footnoteReference w:id="8"/>
      </w:r>
      <w:r w:rsidR="00AE24B8">
        <w:t xml:space="preserve"> </w:t>
      </w:r>
      <w:r w:rsidR="0045401F">
        <w:t xml:space="preserve">However, </w:t>
      </w:r>
      <w:r w:rsidR="0045401F">
        <w:rPr>
          <w:i/>
        </w:rPr>
        <w:t>real</w:t>
      </w:r>
      <w:r w:rsidR="0045401F">
        <w:t xml:space="preserve"> sales and service income (which nets out this price change) indicates that </w:t>
      </w:r>
      <w:r w:rsidR="009D123A">
        <w:t xml:space="preserve">the </w:t>
      </w:r>
      <w:r w:rsidR="0045401F">
        <w:t>volume of Primary metal</w:t>
      </w:r>
      <w:r w:rsidR="00C15AD3">
        <w:t>s</w:t>
      </w:r>
      <w:r w:rsidR="0045401F">
        <w:t xml:space="preserve"> output fell. </w:t>
      </w:r>
      <w:r w:rsidR="00AE24B8">
        <w:t>Fabricated metal</w:t>
      </w:r>
      <w:r w:rsidR="00D775FA">
        <w:t>s</w:t>
      </w:r>
      <w:r w:rsidR="00103750">
        <w:t xml:space="preserve">, which had real sales growth, was more likely to have contributed to the </w:t>
      </w:r>
      <w:r w:rsidR="00614EEE">
        <w:t>strong</w:t>
      </w:r>
      <w:r w:rsidR="00103750">
        <w:t xml:space="preserve"> </w:t>
      </w:r>
      <w:r w:rsidR="00E633AF">
        <w:t xml:space="preserve">value added </w:t>
      </w:r>
      <w:r w:rsidR="00103750">
        <w:t xml:space="preserve">growth in </w:t>
      </w:r>
      <w:r w:rsidR="006B0816">
        <w:t>MP</w:t>
      </w:r>
      <w:r w:rsidR="00103750">
        <w:t xml:space="preserve"> over cycle</w:t>
      </w:r>
      <w:r w:rsidR="0046245C">
        <w:t> </w:t>
      </w:r>
      <w:r w:rsidR="00103750">
        <w:t>4.</w:t>
      </w:r>
      <w:r w:rsidR="00D2646A" w:rsidRPr="00D2646A">
        <w:rPr>
          <w:rStyle w:val="FootnoteReference"/>
        </w:rPr>
        <w:t xml:space="preserve"> </w:t>
      </w:r>
    </w:p>
    <w:p w:rsidR="00D54F6F" w:rsidRDefault="00D54F6F" w:rsidP="00D54F6F">
      <w:pPr>
        <w:pStyle w:val="BodyText"/>
      </w:pPr>
      <w:r>
        <w:t xml:space="preserve">The remainder of this </w:t>
      </w:r>
      <w:r w:rsidR="00E113F2">
        <w:t>sub</w:t>
      </w:r>
      <w:r>
        <w:t>section examines more disaggregated data from alternative sources to help identify possible drivers of output in each MP subdivision.</w:t>
      </w:r>
      <w:r w:rsidR="00D2646A" w:rsidDel="00D2646A">
        <w:rPr>
          <w:rStyle w:val="FootnoteReference"/>
        </w:rPr>
        <w:t xml:space="preserve"> </w:t>
      </w:r>
    </w:p>
    <w:p w:rsidR="007D41B4" w:rsidRPr="00EC4839" w:rsidRDefault="007D41B4" w:rsidP="00A55F46">
      <w:pPr>
        <w:pStyle w:val="FigureTitle"/>
        <w:spacing w:before="240"/>
        <w:rPr>
          <w:sz w:val="24"/>
        </w:rPr>
      </w:pPr>
      <w:r w:rsidRPr="00EC4839">
        <w:rPr>
          <w:b w:val="0"/>
          <w:sz w:val="24"/>
        </w:rPr>
        <w:lastRenderedPageBreak/>
        <w:t xml:space="preserve">Figure </w:t>
      </w:r>
      <w:bookmarkStart w:id="21" w:name="OLE_LINK18"/>
      <w:r w:rsidR="00592DFB" w:rsidRPr="00EC4839">
        <w:rPr>
          <w:b w:val="0"/>
          <w:sz w:val="24"/>
        </w:rPr>
        <w:t>6.</w:t>
      </w:r>
      <w:r w:rsidR="00227A34">
        <w:rPr>
          <w:b w:val="0"/>
          <w:noProof/>
          <w:sz w:val="24"/>
        </w:rPr>
        <w:t>12</w:t>
      </w:r>
      <w:bookmarkEnd w:id="21"/>
      <w:r w:rsidRPr="00EC4839">
        <w:rPr>
          <w:sz w:val="24"/>
        </w:rPr>
        <w:tab/>
      </w:r>
      <w:r w:rsidR="000451EE" w:rsidRPr="00EC4839">
        <w:rPr>
          <w:sz w:val="24"/>
        </w:rPr>
        <w:t>Sales</w:t>
      </w:r>
      <w:r w:rsidR="00A600F8" w:rsidRPr="009D123A">
        <w:rPr>
          <w:rStyle w:val="NoteLabel"/>
          <w:b/>
        </w:rPr>
        <w:t>a</w:t>
      </w:r>
      <w:r w:rsidR="000451EE" w:rsidRPr="00EC4839">
        <w:rPr>
          <w:sz w:val="24"/>
        </w:rPr>
        <w:t xml:space="preserve"> </w:t>
      </w:r>
      <w:r w:rsidR="00A748E8">
        <w:rPr>
          <w:sz w:val="24"/>
        </w:rPr>
        <w:t>in</w:t>
      </w:r>
      <w:r w:rsidR="000451EE" w:rsidRPr="00EC4839">
        <w:rPr>
          <w:sz w:val="24"/>
        </w:rPr>
        <w:t xml:space="preserve"> Metal product</w:t>
      </w:r>
      <w:r w:rsidR="00C15AD3">
        <w:rPr>
          <w:sz w:val="24"/>
        </w:rPr>
        <w:t>s</w:t>
      </w:r>
      <w:r w:rsidR="000451EE" w:rsidRPr="00EC4839">
        <w:rPr>
          <w:sz w:val="24"/>
        </w:rPr>
        <w:t xml:space="preserve"> subdivisions</w:t>
      </w:r>
    </w:p>
    <w:p w:rsidR="007D41B4" w:rsidRDefault="007D41B4" w:rsidP="007D41B4">
      <w:pPr>
        <w:pStyle w:val="Subtitle"/>
      </w:pPr>
      <w:r>
        <w:t xml:space="preserve">Nominal ($m) and </w:t>
      </w:r>
      <w:r w:rsidR="00BC4D79">
        <w:t>real (</w:t>
      </w:r>
      <w:r>
        <w:t>chain</w:t>
      </w:r>
      <w:r w:rsidR="0035045F">
        <w:t xml:space="preserve"> </w:t>
      </w:r>
      <w:r>
        <w:t xml:space="preserve">volume measure </w:t>
      </w:r>
      <w:r w:rsidR="00E21F45">
        <w:t>2009-10</w:t>
      </w:r>
      <w:r>
        <w:t xml:space="preserve"> $m)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4389"/>
        <w:gridCol w:w="4389"/>
      </w:tblGrid>
      <w:tr w:rsidR="00293241" w:rsidTr="00E34314">
        <w:tc>
          <w:tcPr>
            <w:tcW w:w="4389" w:type="dxa"/>
          </w:tcPr>
          <w:p w:rsidR="00293241" w:rsidRDefault="00852E6A" w:rsidP="00A55F46">
            <w:pPr>
              <w:pStyle w:val="Figure"/>
              <w:spacing w:before="0" w:after="0"/>
            </w:pPr>
            <w:r>
              <w:pict>
                <v:shape id="_x0000_i1042" type="#_x0000_t75" alt="This figure is comprised of two charts, each of which compare sales and service income in real and nominal terms over the period of 1998-99 and 2010-11. The figure on the left shows this comparison for Primary metals, while the figure on the right shows the comparison for Fabricated metals. In the case of Primary metals, nominal growth rises sharply over cycle 4, but real growth declines (on average). In fabricated metals, both the real and nominal series grow in cycle 4. " style="width:206.8pt;height:198.4pt">
                  <v:imagedata r:id="rId26" o:title=""/>
                </v:shape>
              </w:pict>
            </w:r>
          </w:p>
        </w:tc>
        <w:tc>
          <w:tcPr>
            <w:tcW w:w="4389" w:type="dxa"/>
          </w:tcPr>
          <w:p w:rsidR="00293241" w:rsidRDefault="00852E6A" w:rsidP="00A55F46">
            <w:pPr>
              <w:pStyle w:val="Figure"/>
              <w:spacing w:before="0" w:after="0"/>
            </w:pPr>
            <w:r>
              <w:pict>
                <v:shape id="_x0000_i1043" type="#_x0000_t75" alt="This figure is comprised of two charts, each of which compare sales and service income in real and nominal terms over the period of 1998-99 and 2010-11. The figure on the left shows this comparison for Primary metals, while the figure on the right shows the comparison for Fabricated metals. In the case of Primary metals, nominal growth rises sharply over cycle 4, but real growth declines (on average). In fabricated metals, both the real and nominal series grow in cycle 4. " style="width:206.8pt;height:198.4pt">
                  <v:imagedata r:id="rId27" o:title=""/>
                </v:shape>
              </w:pict>
            </w:r>
          </w:p>
        </w:tc>
      </w:tr>
    </w:tbl>
    <w:p w:rsidR="00A600F8" w:rsidRPr="009D123A" w:rsidRDefault="00A600F8" w:rsidP="009D123A">
      <w:pPr>
        <w:pStyle w:val="Note"/>
      </w:pPr>
      <w:r w:rsidRPr="009D123A">
        <w:rPr>
          <w:rStyle w:val="NoteLabel"/>
        </w:rPr>
        <w:t>a</w:t>
      </w:r>
      <w:r w:rsidRPr="00A600F8">
        <w:rPr>
          <w:i/>
        </w:rPr>
        <w:t xml:space="preserve"> </w:t>
      </w:r>
      <w:r>
        <w:t>Sales and service income.</w:t>
      </w:r>
    </w:p>
    <w:p w:rsidR="007D41B4" w:rsidRPr="00AC348C" w:rsidRDefault="007D41B4" w:rsidP="007D41B4">
      <w:pPr>
        <w:pStyle w:val="Source"/>
      </w:pPr>
      <w:r>
        <w:rPr>
          <w:i/>
        </w:rPr>
        <w:t>Data source</w:t>
      </w:r>
      <w:r w:rsidRPr="00167F06">
        <w:t xml:space="preserve">: </w:t>
      </w:r>
      <w:r>
        <w:t>ABS (</w:t>
      </w:r>
      <w:r>
        <w:rPr>
          <w:i/>
        </w:rPr>
        <w:t>Business Indicators</w:t>
      </w:r>
      <w:r>
        <w:t>,</w:t>
      </w:r>
      <w:r w:rsidR="00163C0E">
        <w:t xml:space="preserve"> </w:t>
      </w:r>
      <w:r w:rsidR="000B2033">
        <w:rPr>
          <w:i/>
        </w:rPr>
        <w:t>Sep</w:t>
      </w:r>
      <w:r w:rsidR="00577FAB">
        <w:rPr>
          <w:i/>
        </w:rPr>
        <w:t>tember</w:t>
      </w:r>
      <w:r w:rsidR="000B2033">
        <w:rPr>
          <w:i/>
        </w:rPr>
        <w:t xml:space="preserve"> </w:t>
      </w:r>
      <w:r w:rsidR="00214F00">
        <w:rPr>
          <w:i/>
        </w:rPr>
        <w:t>2</w:t>
      </w:r>
      <w:r w:rsidR="00214F00" w:rsidRPr="008570A1">
        <w:rPr>
          <w:i/>
        </w:rPr>
        <w:t>0</w:t>
      </w:r>
      <w:r w:rsidR="00214F00">
        <w:rPr>
          <w:i/>
        </w:rPr>
        <w:t>12</w:t>
      </w:r>
      <w:r w:rsidR="00163C0E">
        <w:rPr>
          <w:i/>
        </w:rPr>
        <w:t>,</w:t>
      </w:r>
      <w:r w:rsidR="00054DF1">
        <w:t xml:space="preserve"> Cat. no. 5676.0</w:t>
      </w:r>
      <w:r>
        <w:t>)</w:t>
      </w:r>
      <w:r w:rsidR="00911920">
        <w:t>.</w:t>
      </w:r>
    </w:p>
    <w:p w:rsidR="007D41B4" w:rsidRDefault="007D41B4" w:rsidP="007D41B4">
      <w:pPr>
        <w:pStyle w:val="Heading4"/>
      </w:pPr>
      <w:r>
        <w:t xml:space="preserve">Primary metal products </w:t>
      </w:r>
    </w:p>
    <w:p w:rsidR="00B11266" w:rsidRDefault="007D41B4" w:rsidP="007D41B4">
      <w:pPr>
        <w:pStyle w:val="BodyText"/>
      </w:pPr>
      <w:r>
        <w:t>Output data published by the Bureau of Resource and Energy Economics (BREE) confirm</w:t>
      </w:r>
      <w:r w:rsidR="0037051C">
        <w:t>s</w:t>
      </w:r>
      <w:r>
        <w:t xml:space="preserve"> that the physical volume of output </w:t>
      </w:r>
      <w:r w:rsidR="00070F71">
        <w:t xml:space="preserve">of </w:t>
      </w:r>
      <w:r>
        <w:t xml:space="preserve">most </w:t>
      </w:r>
      <w:r w:rsidR="0069319B">
        <w:t xml:space="preserve">primary </w:t>
      </w:r>
      <w:r>
        <w:t>metal products did not grow</w:t>
      </w:r>
      <w:r w:rsidR="00B11266">
        <w:t xml:space="preserve"> faster</w:t>
      </w:r>
      <w:r>
        <w:t xml:space="preserve"> in cycle 4 </w:t>
      </w:r>
      <w:r w:rsidR="00B11266">
        <w:t xml:space="preserve">than </w:t>
      </w:r>
      <w:r>
        <w:t>cycle 3</w:t>
      </w:r>
      <w:r w:rsidR="00B11266">
        <w:t xml:space="preserve"> (table </w:t>
      </w:r>
      <w:r w:rsidR="00445FD5">
        <w:t>6.3</w:t>
      </w:r>
      <w:r w:rsidR="00B11266">
        <w:t>)</w:t>
      </w:r>
      <w:r w:rsidR="009674EB">
        <w:t>.</w:t>
      </w:r>
      <w:r w:rsidR="00A76F6A">
        <w:rPr>
          <w:rStyle w:val="FootnoteReference"/>
        </w:rPr>
        <w:footnoteReference w:id="9"/>
      </w:r>
    </w:p>
    <w:p w:rsidR="004125B1" w:rsidRDefault="004125B1" w:rsidP="004125B1">
      <w:pPr>
        <w:pStyle w:val="BodyText"/>
      </w:pPr>
      <w:r>
        <w:t xml:space="preserve">Volumes for most </w:t>
      </w:r>
      <w:r w:rsidR="00A51ED1">
        <w:t xml:space="preserve">primary </w:t>
      </w:r>
      <w:r>
        <w:t xml:space="preserve">metal products declined during cycle 4 with a total decline of -0.2 per cent </w:t>
      </w:r>
      <w:r w:rsidR="00904EEA">
        <w:t>a</w:t>
      </w:r>
      <w:r>
        <w:t xml:space="preserve"> year</w:t>
      </w:r>
      <w:r w:rsidR="0037051C">
        <w:t>, which was</w:t>
      </w:r>
      <w:r>
        <w:t xml:space="preserve"> 2.8 percentage points lower than the cycle</w:t>
      </w:r>
      <w:r w:rsidR="00DE1D3A">
        <w:t> </w:t>
      </w:r>
      <w:r>
        <w:t xml:space="preserve">3 growth rate of 2.6 per cent </w:t>
      </w:r>
      <w:r w:rsidR="00904EEA">
        <w:t>a</w:t>
      </w:r>
      <w:r>
        <w:t xml:space="preserve"> year. </w:t>
      </w:r>
      <w:r w:rsidR="0087715B">
        <w:t>Product</w:t>
      </w:r>
      <w:r w:rsidR="0087715B">
        <w:noBreakHyphen/>
      </w:r>
      <w:r>
        <w:t>specific factors were at play in explaining many of the declines in output volume</w:t>
      </w:r>
      <w:r w:rsidR="0009501C">
        <w:t>s</w:t>
      </w:r>
      <w:r>
        <w:t xml:space="preserve">. For example, refined gold output fell in line with declining mine output. </w:t>
      </w:r>
      <w:r w:rsidR="0056627E">
        <w:t>Iron</w:t>
      </w:r>
      <w:r>
        <w:t xml:space="preserve"> and steel </w:t>
      </w:r>
      <w:r w:rsidR="0056627E">
        <w:t>output</w:t>
      </w:r>
      <w:r>
        <w:t xml:space="preserve"> dropped due to the closure of the </w:t>
      </w:r>
      <w:proofErr w:type="spellStart"/>
      <w:r>
        <w:t>Boodarie</w:t>
      </w:r>
      <w:proofErr w:type="spellEnd"/>
      <w:r>
        <w:t xml:space="preserve"> iron bri</w:t>
      </w:r>
      <w:r w:rsidR="00F82B83">
        <w:t>quette plant (</w:t>
      </w:r>
      <w:r w:rsidR="00F82B83" w:rsidRPr="00154397">
        <w:t>BHP Billiton 2005</w:t>
      </w:r>
      <w:r w:rsidR="006B2C4B">
        <w:t>;</w:t>
      </w:r>
      <w:r w:rsidRPr="00154397">
        <w:t xml:space="preserve"> </w:t>
      </w:r>
      <w:proofErr w:type="spellStart"/>
      <w:r w:rsidRPr="00154397">
        <w:t>ABARE</w:t>
      </w:r>
      <w:proofErr w:type="spellEnd"/>
      <w:r w:rsidRPr="00154397">
        <w:t xml:space="preserve"> </w:t>
      </w:r>
      <w:proofErr w:type="spellStart"/>
      <w:r w:rsidRPr="00154397">
        <w:t>2004</w:t>
      </w:r>
      <w:r w:rsidR="0093497A" w:rsidRPr="00154397">
        <w:t>b</w:t>
      </w:r>
      <w:proofErr w:type="spellEnd"/>
      <w:r w:rsidRPr="00154397">
        <w:t>, p. 447).</w:t>
      </w:r>
      <w:r>
        <w:t xml:space="preserve"> </w:t>
      </w:r>
    </w:p>
    <w:p w:rsidR="007D41B4" w:rsidRPr="00EC4839" w:rsidRDefault="007D41B4" w:rsidP="00E455AA">
      <w:pPr>
        <w:pStyle w:val="TableTitle"/>
        <w:rPr>
          <w:sz w:val="24"/>
        </w:rPr>
      </w:pPr>
      <w:r w:rsidRPr="00EC4839">
        <w:rPr>
          <w:b w:val="0"/>
          <w:sz w:val="24"/>
        </w:rPr>
        <w:lastRenderedPageBreak/>
        <w:t xml:space="preserve">Table </w:t>
      </w:r>
      <w:bookmarkStart w:id="22" w:name="OLE_LINK21"/>
      <w:r w:rsidR="00592DFB" w:rsidRPr="00EC4839">
        <w:rPr>
          <w:b w:val="0"/>
          <w:sz w:val="24"/>
        </w:rPr>
        <w:t>6.</w:t>
      </w:r>
      <w:r w:rsidR="00227A34">
        <w:rPr>
          <w:b w:val="0"/>
          <w:noProof/>
          <w:sz w:val="24"/>
        </w:rPr>
        <w:t>3</w:t>
      </w:r>
      <w:bookmarkEnd w:id="22"/>
      <w:r w:rsidRPr="00EC4839">
        <w:rPr>
          <w:sz w:val="24"/>
        </w:rPr>
        <w:tab/>
        <w:t xml:space="preserve">Estimated </w:t>
      </w:r>
      <w:r w:rsidR="009236CE">
        <w:rPr>
          <w:sz w:val="24"/>
        </w:rPr>
        <w:t xml:space="preserve">growth in output volumes of </w:t>
      </w:r>
      <w:r w:rsidR="00126BFF">
        <w:rPr>
          <w:sz w:val="24"/>
        </w:rPr>
        <w:t>primary metal products</w:t>
      </w:r>
    </w:p>
    <w:tbl>
      <w:tblPr>
        <w:tblW w:w="5000" w:type="pct"/>
        <w:tblLayout w:type="fixed"/>
        <w:tblCellMar>
          <w:left w:w="0" w:type="dxa"/>
          <w:right w:w="0" w:type="dxa"/>
        </w:tblCellMar>
        <w:tblLook w:val="0000" w:firstRow="0" w:lastRow="0" w:firstColumn="0" w:lastColumn="0" w:noHBand="0" w:noVBand="0"/>
      </w:tblPr>
      <w:tblGrid>
        <w:gridCol w:w="1435"/>
        <w:gridCol w:w="1176"/>
        <w:gridCol w:w="1178"/>
        <w:gridCol w:w="144"/>
        <w:gridCol w:w="1178"/>
        <w:gridCol w:w="1178"/>
        <w:gridCol w:w="144"/>
        <w:gridCol w:w="1178"/>
        <w:gridCol w:w="1178"/>
      </w:tblGrid>
      <w:tr w:rsidR="004120C3" w:rsidTr="004120C3">
        <w:tc>
          <w:tcPr>
            <w:tcW w:w="816" w:type="pct"/>
            <w:tcBorders>
              <w:top w:val="single" w:sz="6" w:space="0" w:color="auto"/>
            </w:tcBorders>
            <w:shd w:val="clear" w:color="auto" w:fill="auto"/>
          </w:tcPr>
          <w:p w:rsidR="004120C3" w:rsidRDefault="004120C3" w:rsidP="0067665F">
            <w:pPr>
              <w:pStyle w:val="TableColumnHeading"/>
              <w:jc w:val="left"/>
            </w:pPr>
          </w:p>
        </w:tc>
        <w:tc>
          <w:tcPr>
            <w:tcW w:w="1339" w:type="pct"/>
            <w:gridSpan w:val="2"/>
            <w:tcBorders>
              <w:top w:val="single" w:sz="6" w:space="0" w:color="auto"/>
              <w:bottom w:val="single" w:sz="6" w:space="0" w:color="auto"/>
            </w:tcBorders>
            <w:shd w:val="clear" w:color="auto" w:fill="auto"/>
          </w:tcPr>
          <w:p w:rsidR="004120C3" w:rsidRDefault="004120C3" w:rsidP="003A05C5">
            <w:pPr>
              <w:pStyle w:val="TableColumnHeading"/>
              <w:jc w:val="center"/>
            </w:pPr>
            <w:r>
              <w:t>Cycle 3:</w:t>
            </w:r>
            <w:r>
              <w:br/>
              <w:t>1998-99 to 2003-04</w:t>
            </w:r>
          </w:p>
        </w:tc>
        <w:tc>
          <w:tcPr>
            <w:tcW w:w="82" w:type="pct"/>
            <w:tcBorders>
              <w:top w:val="single" w:sz="6" w:space="0" w:color="auto"/>
            </w:tcBorders>
            <w:shd w:val="clear" w:color="auto" w:fill="auto"/>
          </w:tcPr>
          <w:p w:rsidR="004120C3" w:rsidRDefault="004120C3" w:rsidP="003A05C5">
            <w:pPr>
              <w:pStyle w:val="TableColumnHeading"/>
              <w:jc w:val="center"/>
            </w:pPr>
          </w:p>
        </w:tc>
        <w:tc>
          <w:tcPr>
            <w:tcW w:w="1340" w:type="pct"/>
            <w:gridSpan w:val="2"/>
            <w:tcBorders>
              <w:top w:val="single" w:sz="6" w:space="0" w:color="auto"/>
              <w:bottom w:val="single" w:sz="6" w:space="0" w:color="auto"/>
            </w:tcBorders>
            <w:shd w:val="clear" w:color="auto" w:fill="auto"/>
          </w:tcPr>
          <w:p w:rsidR="004120C3" w:rsidRDefault="004120C3" w:rsidP="003A05C5">
            <w:pPr>
              <w:pStyle w:val="TableColumnHeading"/>
              <w:jc w:val="center"/>
            </w:pPr>
            <w:r>
              <w:t>Cycle 4:</w:t>
            </w:r>
            <w:r>
              <w:br/>
              <w:t>2003-04 to 2007-08</w:t>
            </w:r>
          </w:p>
        </w:tc>
        <w:tc>
          <w:tcPr>
            <w:tcW w:w="82" w:type="pct"/>
            <w:tcBorders>
              <w:top w:val="single" w:sz="6" w:space="0" w:color="auto"/>
            </w:tcBorders>
            <w:shd w:val="clear" w:color="auto" w:fill="auto"/>
          </w:tcPr>
          <w:p w:rsidR="004120C3" w:rsidRDefault="004120C3" w:rsidP="003A05C5">
            <w:pPr>
              <w:pStyle w:val="TableColumnHeading"/>
              <w:ind w:right="28"/>
              <w:jc w:val="center"/>
            </w:pPr>
          </w:p>
        </w:tc>
        <w:tc>
          <w:tcPr>
            <w:tcW w:w="1340" w:type="pct"/>
            <w:gridSpan w:val="2"/>
            <w:tcBorders>
              <w:top w:val="single" w:sz="6" w:space="0" w:color="auto"/>
              <w:bottom w:val="single" w:sz="6" w:space="0" w:color="auto"/>
            </w:tcBorders>
            <w:shd w:val="clear" w:color="auto" w:fill="auto"/>
          </w:tcPr>
          <w:p w:rsidR="004120C3" w:rsidRDefault="004120C3" w:rsidP="003A05C5">
            <w:pPr>
              <w:pStyle w:val="TableColumnHeading"/>
              <w:ind w:right="28"/>
              <w:jc w:val="center"/>
            </w:pPr>
            <w:r>
              <w:t xml:space="preserve">Difference between </w:t>
            </w:r>
            <w:r>
              <w:br/>
              <w:t>the cycles</w:t>
            </w:r>
          </w:p>
        </w:tc>
      </w:tr>
      <w:tr w:rsidR="004120C3" w:rsidRPr="00DE1D3A" w:rsidTr="004120C3">
        <w:tc>
          <w:tcPr>
            <w:tcW w:w="816" w:type="pct"/>
            <w:tcBorders>
              <w:bottom w:val="single" w:sz="4" w:space="0" w:color="auto"/>
            </w:tcBorders>
          </w:tcPr>
          <w:p w:rsidR="00892337" w:rsidRPr="00DE1D3A" w:rsidRDefault="00892337" w:rsidP="0067665F">
            <w:pPr>
              <w:pStyle w:val="TableUnitsRow"/>
              <w:jc w:val="left"/>
              <w:rPr>
                <w:i/>
              </w:rPr>
            </w:pPr>
          </w:p>
        </w:tc>
        <w:tc>
          <w:tcPr>
            <w:tcW w:w="669" w:type="pct"/>
            <w:tcBorders>
              <w:top w:val="single" w:sz="6" w:space="0" w:color="auto"/>
              <w:bottom w:val="single" w:sz="6" w:space="0" w:color="auto"/>
            </w:tcBorders>
          </w:tcPr>
          <w:p w:rsidR="00892337" w:rsidRPr="00DE1D3A" w:rsidRDefault="00892337" w:rsidP="0067665F">
            <w:pPr>
              <w:pStyle w:val="TableUnitsRow"/>
              <w:rPr>
                <w:i/>
              </w:rPr>
            </w:pPr>
            <w:r w:rsidRPr="00DE1D3A">
              <w:rPr>
                <w:i/>
              </w:rPr>
              <w:t>Change in volume</w:t>
            </w:r>
            <w:r w:rsidRPr="00DE1D3A">
              <w:rPr>
                <w:rStyle w:val="NoteLabel"/>
              </w:rPr>
              <w:t>a</w:t>
            </w:r>
          </w:p>
        </w:tc>
        <w:tc>
          <w:tcPr>
            <w:tcW w:w="670" w:type="pct"/>
            <w:tcBorders>
              <w:top w:val="single" w:sz="6" w:space="0" w:color="auto"/>
              <w:bottom w:val="single" w:sz="6" w:space="0" w:color="auto"/>
            </w:tcBorders>
          </w:tcPr>
          <w:p w:rsidR="00892337" w:rsidRPr="00DE1D3A" w:rsidRDefault="00892337" w:rsidP="00892337">
            <w:pPr>
              <w:pStyle w:val="TableUnitsRow"/>
              <w:ind w:right="26"/>
              <w:rPr>
                <w:i/>
              </w:rPr>
            </w:pPr>
            <w:r w:rsidRPr="00DE1D3A">
              <w:rPr>
                <w:i/>
              </w:rPr>
              <w:t>Contribution to total</w:t>
            </w:r>
            <w:r w:rsidRPr="00DE1D3A">
              <w:rPr>
                <w:rStyle w:val="NoteLabel"/>
              </w:rPr>
              <w:t>b</w:t>
            </w:r>
          </w:p>
        </w:tc>
        <w:tc>
          <w:tcPr>
            <w:tcW w:w="82" w:type="pct"/>
            <w:tcBorders>
              <w:bottom w:val="single" w:sz="4" w:space="0" w:color="auto"/>
            </w:tcBorders>
          </w:tcPr>
          <w:p w:rsidR="00892337" w:rsidRPr="00DE1D3A" w:rsidRDefault="00892337" w:rsidP="0067665F">
            <w:pPr>
              <w:pStyle w:val="TableUnitsRow"/>
              <w:rPr>
                <w:i/>
              </w:rPr>
            </w:pPr>
          </w:p>
        </w:tc>
        <w:tc>
          <w:tcPr>
            <w:tcW w:w="670" w:type="pct"/>
            <w:tcBorders>
              <w:top w:val="single" w:sz="6" w:space="0" w:color="auto"/>
              <w:bottom w:val="single" w:sz="6" w:space="0" w:color="auto"/>
            </w:tcBorders>
          </w:tcPr>
          <w:p w:rsidR="00892337" w:rsidRPr="00DE1D3A" w:rsidRDefault="00892337" w:rsidP="00153074">
            <w:pPr>
              <w:pStyle w:val="TableUnitsRow"/>
              <w:rPr>
                <w:i/>
              </w:rPr>
            </w:pPr>
            <w:r w:rsidRPr="00DE1D3A">
              <w:rPr>
                <w:i/>
              </w:rPr>
              <w:t>Change in volume</w:t>
            </w:r>
            <w:r w:rsidRPr="00DE1D3A">
              <w:rPr>
                <w:rStyle w:val="NoteLabel"/>
              </w:rPr>
              <w:t>a</w:t>
            </w:r>
          </w:p>
        </w:tc>
        <w:tc>
          <w:tcPr>
            <w:tcW w:w="670" w:type="pct"/>
            <w:tcBorders>
              <w:top w:val="single" w:sz="6" w:space="0" w:color="auto"/>
              <w:bottom w:val="single" w:sz="6" w:space="0" w:color="auto"/>
            </w:tcBorders>
          </w:tcPr>
          <w:p w:rsidR="00892337" w:rsidRPr="00DE1D3A" w:rsidRDefault="00892337" w:rsidP="00892337">
            <w:pPr>
              <w:pStyle w:val="TableUnitsRow"/>
              <w:ind w:right="32"/>
              <w:rPr>
                <w:i/>
              </w:rPr>
            </w:pPr>
            <w:r w:rsidRPr="00DE1D3A">
              <w:rPr>
                <w:i/>
              </w:rPr>
              <w:t>Contribution to total</w:t>
            </w:r>
            <w:r w:rsidRPr="00DE1D3A">
              <w:rPr>
                <w:rStyle w:val="NoteLabel"/>
              </w:rPr>
              <w:t>b</w:t>
            </w:r>
          </w:p>
        </w:tc>
        <w:tc>
          <w:tcPr>
            <w:tcW w:w="82" w:type="pct"/>
            <w:tcBorders>
              <w:bottom w:val="single" w:sz="4" w:space="0" w:color="auto"/>
            </w:tcBorders>
          </w:tcPr>
          <w:p w:rsidR="00892337" w:rsidRPr="00DE1D3A" w:rsidRDefault="00892337" w:rsidP="0067665F">
            <w:pPr>
              <w:pStyle w:val="TableUnitsRow"/>
              <w:rPr>
                <w:i/>
              </w:rPr>
            </w:pPr>
          </w:p>
        </w:tc>
        <w:tc>
          <w:tcPr>
            <w:tcW w:w="670" w:type="pct"/>
            <w:tcBorders>
              <w:top w:val="single" w:sz="6" w:space="0" w:color="auto"/>
              <w:bottom w:val="single" w:sz="6" w:space="0" w:color="auto"/>
            </w:tcBorders>
          </w:tcPr>
          <w:p w:rsidR="00892337" w:rsidRPr="00DE1D3A" w:rsidRDefault="00892337" w:rsidP="00153074">
            <w:pPr>
              <w:pStyle w:val="TableUnitsRow"/>
              <w:rPr>
                <w:i/>
              </w:rPr>
            </w:pPr>
            <w:r w:rsidRPr="00DE1D3A">
              <w:rPr>
                <w:i/>
              </w:rPr>
              <w:t>Change in volume</w:t>
            </w:r>
            <w:r w:rsidRPr="00DE1D3A">
              <w:rPr>
                <w:rStyle w:val="NoteLabel"/>
              </w:rPr>
              <w:t>a</w:t>
            </w:r>
          </w:p>
        </w:tc>
        <w:tc>
          <w:tcPr>
            <w:tcW w:w="670" w:type="pct"/>
            <w:tcBorders>
              <w:top w:val="single" w:sz="6" w:space="0" w:color="auto"/>
              <w:bottom w:val="single" w:sz="6" w:space="0" w:color="auto"/>
            </w:tcBorders>
          </w:tcPr>
          <w:p w:rsidR="00892337" w:rsidRPr="00DE1D3A" w:rsidRDefault="00892337" w:rsidP="00892337">
            <w:pPr>
              <w:pStyle w:val="TableUnitsRow"/>
              <w:ind w:right="0"/>
              <w:rPr>
                <w:i/>
              </w:rPr>
            </w:pPr>
            <w:r w:rsidRPr="00DE1D3A">
              <w:rPr>
                <w:i/>
              </w:rPr>
              <w:t>Contribution to total</w:t>
            </w:r>
            <w:r w:rsidRPr="00DE1D3A">
              <w:rPr>
                <w:rStyle w:val="NoteLabel"/>
              </w:rPr>
              <w:t>b</w:t>
            </w:r>
          </w:p>
        </w:tc>
      </w:tr>
      <w:tr w:rsidR="004120C3" w:rsidTr="004120C3">
        <w:tc>
          <w:tcPr>
            <w:tcW w:w="816" w:type="pct"/>
            <w:tcBorders>
              <w:top w:val="single" w:sz="4" w:space="0" w:color="auto"/>
            </w:tcBorders>
          </w:tcPr>
          <w:p w:rsidR="00892337" w:rsidRPr="000F4A62" w:rsidRDefault="00892337" w:rsidP="00CF37C5">
            <w:pPr>
              <w:pStyle w:val="TableUnitsRow"/>
            </w:pPr>
          </w:p>
        </w:tc>
        <w:tc>
          <w:tcPr>
            <w:tcW w:w="669" w:type="pct"/>
            <w:tcBorders>
              <w:top w:val="single" w:sz="6" w:space="0" w:color="auto"/>
            </w:tcBorders>
            <w:vAlign w:val="bottom"/>
          </w:tcPr>
          <w:p w:rsidR="00892337" w:rsidRDefault="00892337" w:rsidP="00CF37C5">
            <w:pPr>
              <w:pStyle w:val="TableUnitsRow"/>
            </w:pPr>
            <w:r>
              <w:t xml:space="preserve">% </w:t>
            </w:r>
            <w:proofErr w:type="spellStart"/>
            <w:r>
              <w:t>py</w:t>
            </w:r>
            <w:proofErr w:type="spellEnd"/>
          </w:p>
        </w:tc>
        <w:tc>
          <w:tcPr>
            <w:tcW w:w="670" w:type="pct"/>
            <w:tcBorders>
              <w:top w:val="single" w:sz="4" w:space="0" w:color="auto"/>
            </w:tcBorders>
            <w:vAlign w:val="bottom"/>
          </w:tcPr>
          <w:p w:rsidR="00892337" w:rsidRDefault="00892337" w:rsidP="00CF37C5">
            <w:pPr>
              <w:pStyle w:val="TableUnitsRow"/>
            </w:pPr>
            <w:r>
              <w:t xml:space="preserve">% </w:t>
            </w:r>
            <w:proofErr w:type="spellStart"/>
            <w:r>
              <w:t>pts</w:t>
            </w:r>
            <w:proofErr w:type="spellEnd"/>
          </w:p>
        </w:tc>
        <w:tc>
          <w:tcPr>
            <w:tcW w:w="82" w:type="pct"/>
            <w:tcBorders>
              <w:top w:val="single" w:sz="4" w:space="0" w:color="auto"/>
            </w:tcBorders>
            <w:vAlign w:val="bottom"/>
          </w:tcPr>
          <w:p w:rsidR="00892337" w:rsidRDefault="00892337" w:rsidP="00CF37C5">
            <w:pPr>
              <w:pStyle w:val="TableUnitsRow"/>
            </w:pPr>
          </w:p>
        </w:tc>
        <w:tc>
          <w:tcPr>
            <w:tcW w:w="670" w:type="pct"/>
            <w:tcBorders>
              <w:top w:val="single" w:sz="4" w:space="0" w:color="auto"/>
            </w:tcBorders>
            <w:vAlign w:val="bottom"/>
          </w:tcPr>
          <w:p w:rsidR="00892337" w:rsidRDefault="00892337" w:rsidP="00153074">
            <w:pPr>
              <w:pStyle w:val="TableUnitsRow"/>
            </w:pPr>
            <w:r>
              <w:t xml:space="preserve">% </w:t>
            </w:r>
            <w:proofErr w:type="spellStart"/>
            <w:r>
              <w:t>py</w:t>
            </w:r>
            <w:proofErr w:type="spellEnd"/>
          </w:p>
        </w:tc>
        <w:tc>
          <w:tcPr>
            <w:tcW w:w="670" w:type="pct"/>
            <w:tcBorders>
              <w:top w:val="single" w:sz="4" w:space="0" w:color="auto"/>
            </w:tcBorders>
            <w:vAlign w:val="bottom"/>
          </w:tcPr>
          <w:p w:rsidR="00892337" w:rsidRDefault="00892337" w:rsidP="00CF37C5">
            <w:pPr>
              <w:pStyle w:val="TableUnitsRow"/>
            </w:pPr>
            <w:r>
              <w:t xml:space="preserve">% </w:t>
            </w:r>
            <w:proofErr w:type="spellStart"/>
            <w:r>
              <w:t>pts</w:t>
            </w:r>
            <w:proofErr w:type="spellEnd"/>
          </w:p>
        </w:tc>
        <w:tc>
          <w:tcPr>
            <w:tcW w:w="82" w:type="pct"/>
            <w:tcBorders>
              <w:top w:val="single" w:sz="4" w:space="0" w:color="auto"/>
            </w:tcBorders>
            <w:vAlign w:val="bottom"/>
          </w:tcPr>
          <w:p w:rsidR="00892337" w:rsidRDefault="00892337" w:rsidP="00CF37C5">
            <w:pPr>
              <w:pStyle w:val="TableUnitsRow"/>
            </w:pPr>
          </w:p>
        </w:tc>
        <w:tc>
          <w:tcPr>
            <w:tcW w:w="670" w:type="pct"/>
            <w:tcBorders>
              <w:top w:val="single" w:sz="6" w:space="0" w:color="auto"/>
            </w:tcBorders>
            <w:vAlign w:val="bottom"/>
          </w:tcPr>
          <w:p w:rsidR="00892337" w:rsidRDefault="00892337" w:rsidP="00153074">
            <w:pPr>
              <w:pStyle w:val="TableUnitsRow"/>
            </w:pPr>
            <w:r>
              <w:t xml:space="preserve">% </w:t>
            </w:r>
            <w:proofErr w:type="spellStart"/>
            <w:r>
              <w:t>py</w:t>
            </w:r>
            <w:proofErr w:type="spellEnd"/>
          </w:p>
        </w:tc>
        <w:tc>
          <w:tcPr>
            <w:tcW w:w="670" w:type="pct"/>
            <w:tcBorders>
              <w:top w:val="single" w:sz="6" w:space="0" w:color="auto"/>
            </w:tcBorders>
            <w:vAlign w:val="bottom"/>
          </w:tcPr>
          <w:p w:rsidR="00892337" w:rsidRDefault="00892337" w:rsidP="00CF37C5">
            <w:pPr>
              <w:pStyle w:val="TableUnitsRow"/>
            </w:pPr>
            <w:r>
              <w:t xml:space="preserve">% </w:t>
            </w:r>
            <w:proofErr w:type="spellStart"/>
            <w:r>
              <w:t>pts</w:t>
            </w:r>
            <w:proofErr w:type="spellEnd"/>
          </w:p>
        </w:tc>
      </w:tr>
      <w:tr w:rsidR="004120C3" w:rsidTr="000F54D6">
        <w:tc>
          <w:tcPr>
            <w:tcW w:w="816" w:type="pct"/>
            <w:shd w:val="clear" w:color="auto" w:fill="D9D9D9" w:themeFill="background1" w:themeFillShade="D9"/>
            <w:vAlign w:val="bottom"/>
          </w:tcPr>
          <w:p w:rsidR="00892337" w:rsidRPr="000F4A62" w:rsidRDefault="00892337" w:rsidP="000F54D6">
            <w:pPr>
              <w:pStyle w:val="TableBodyText"/>
              <w:jc w:val="left"/>
            </w:pPr>
            <w:r w:rsidRPr="000F4A62">
              <w:t>Alumina</w:t>
            </w:r>
          </w:p>
        </w:tc>
        <w:tc>
          <w:tcPr>
            <w:tcW w:w="669" w:type="pct"/>
            <w:shd w:val="clear" w:color="auto" w:fill="D9D9D9" w:themeFill="background1" w:themeFillShade="D9"/>
            <w:vAlign w:val="bottom"/>
          </w:tcPr>
          <w:p w:rsidR="00892337" w:rsidRDefault="00892337" w:rsidP="000F54D6">
            <w:pPr>
              <w:pStyle w:val="TableBodyText"/>
            </w:pPr>
            <w:r>
              <w:t>3.3</w:t>
            </w:r>
          </w:p>
        </w:tc>
        <w:tc>
          <w:tcPr>
            <w:tcW w:w="670" w:type="pct"/>
            <w:shd w:val="clear" w:color="auto" w:fill="D9D9D9" w:themeFill="background1" w:themeFillShade="D9"/>
            <w:vAlign w:val="bottom"/>
          </w:tcPr>
          <w:p w:rsidR="00892337" w:rsidRDefault="00892337" w:rsidP="000F54D6">
            <w:pPr>
              <w:pStyle w:val="TableBodyText"/>
            </w:pPr>
            <w:r>
              <w:t>0.6</w:t>
            </w:r>
          </w:p>
        </w:tc>
        <w:tc>
          <w:tcPr>
            <w:tcW w:w="82" w:type="pct"/>
            <w:shd w:val="clear" w:color="auto" w:fill="D9D9D9" w:themeFill="background1" w:themeFillShade="D9"/>
            <w:vAlign w:val="bottom"/>
          </w:tcPr>
          <w:p w:rsidR="00892337" w:rsidRDefault="00892337" w:rsidP="000F54D6">
            <w:pPr>
              <w:pStyle w:val="TableBodyText"/>
            </w:pPr>
          </w:p>
        </w:tc>
        <w:tc>
          <w:tcPr>
            <w:tcW w:w="670" w:type="pct"/>
            <w:shd w:val="clear" w:color="auto" w:fill="D9D9D9" w:themeFill="background1" w:themeFillShade="D9"/>
            <w:vAlign w:val="bottom"/>
          </w:tcPr>
          <w:p w:rsidR="00892337" w:rsidRDefault="00892337" w:rsidP="000F54D6">
            <w:pPr>
              <w:pStyle w:val="TableBodyText"/>
            </w:pPr>
            <w:r>
              <w:t>3.8</w:t>
            </w:r>
          </w:p>
        </w:tc>
        <w:tc>
          <w:tcPr>
            <w:tcW w:w="670" w:type="pct"/>
            <w:shd w:val="clear" w:color="auto" w:fill="D9D9D9" w:themeFill="background1" w:themeFillShade="D9"/>
            <w:vAlign w:val="bottom"/>
          </w:tcPr>
          <w:p w:rsidR="00892337" w:rsidRDefault="00892337" w:rsidP="000F54D6">
            <w:pPr>
              <w:pStyle w:val="TableBodyText"/>
            </w:pPr>
            <w:r>
              <w:t>0.7</w:t>
            </w:r>
          </w:p>
        </w:tc>
        <w:tc>
          <w:tcPr>
            <w:tcW w:w="82" w:type="pct"/>
            <w:shd w:val="clear" w:color="auto" w:fill="D9D9D9" w:themeFill="background1" w:themeFillShade="D9"/>
            <w:vAlign w:val="bottom"/>
          </w:tcPr>
          <w:p w:rsidR="00892337" w:rsidRDefault="00892337" w:rsidP="000F54D6">
            <w:pPr>
              <w:pStyle w:val="TableBodyText"/>
            </w:pPr>
          </w:p>
        </w:tc>
        <w:tc>
          <w:tcPr>
            <w:tcW w:w="670" w:type="pct"/>
            <w:shd w:val="clear" w:color="auto" w:fill="D9D9D9" w:themeFill="background1" w:themeFillShade="D9"/>
            <w:vAlign w:val="bottom"/>
          </w:tcPr>
          <w:p w:rsidR="00892337" w:rsidRDefault="00892337" w:rsidP="000F54D6">
            <w:pPr>
              <w:pStyle w:val="TableBodyText"/>
            </w:pPr>
            <w:r>
              <w:t>0.5</w:t>
            </w:r>
          </w:p>
        </w:tc>
        <w:tc>
          <w:tcPr>
            <w:tcW w:w="670" w:type="pct"/>
            <w:shd w:val="clear" w:color="auto" w:fill="D9D9D9" w:themeFill="background1" w:themeFillShade="D9"/>
            <w:vAlign w:val="bottom"/>
          </w:tcPr>
          <w:p w:rsidR="00892337" w:rsidRDefault="00892337" w:rsidP="000F54D6">
            <w:pPr>
              <w:pStyle w:val="TableBodyText"/>
            </w:pPr>
            <w:r>
              <w:t>0.1</w:t>
            </w:r>
          </w:p>
        </w:tc>
      </w:tr>
      <w:tr w:rsidR="004120C3" w:rsidTr="000F54D6">
        <w:tc>
          <w:tcPr>
            <w:tcW w:w="816" w:type="pct"/>
            <w:vAlign w:val="bottom"/>
          </w:tcPr>
          <w:p w:rsidR="00892337" w:rsidRPr="000F4A62" w:rsidRDefault="00892337" w:rsidP="000F54D6">
            <w:pPr>
              <w:pStyle w:val="TableBodyText"/>
              <w:jc w:val="left"/>
            </w:pPr>
            <w:r w:rsidRPr="000F4A62">
              <w:t>Tin</w:t>
            </w:r>
          </w:p>
        </w:tc>
        <w:tc>
          <w:tcPr>
            <w:tcW w:w="669" w:type="pct"/>
            <w:vAlign w:val="bottom"/>
          </w:tcPr>
          <w:p w:rsidR="00892337" w:rsidRDefault="00892337" w:rsidP="000F54D6">
            <w:pPr>
              <w:pStyle w:val="TableBodyText"/>
            </w:pPr>
            <w:r>
              <w:t>-1.5</w:t>
            </w:r>
          </w:p>
        </w:tc>
        <w:tc>
          <w:tcPr>
            <w:tcW w:w="670" w:type="pct"/>
            <w:vAlign w:val="bottom"/>
          </w:tcPr>
          <w:p w:rsidR="00892337" w:rsidRDefault="00892337" w:rsidP="000F54D6">
            <w:pPr>
              <w:pStyle w:val="TableBodyText"/>
            </w:pPr>
            <w:r>
              <w:t>0.0</w:t>
            </w:r>
          </w:p>
        </w:tc>
        <w:tc>
          <w:tcPr>
            <w:tcW w:w="82" w:type="pct"/>
            <w:vAlign w:val="bottom"/>
          </w:tcPr>
          <w:p w:rsidR="00892337" w:rsidRDefault="00892337" w:rsidP="000F54D6">
            <w:pPr>
              <w:pStyle w:val="TableBodyText"/>
            </w:pPr>
          </w:p>
        </w:tc>
        <w:tc>
          <w:tcPr>
            <w:tcW w:w="670" w:type="pct"/>
            <w:vAlign w:val="bottom"/>
          </w:tcPr>
          <w:p w:rsidR="00892337" w:rsidRDefault="00892337" w:rsidP="000F54D6">
            <w:pPr>
              <w:pStyle w:val="TableBodyText"/>
            </w:pPr>
            <w:r>
              <w:t>-16.6</w:t>
            </w:r>
          </w:p>
        </w:tc>
        <w:tc>
          <w:tcPr>
            <w:tcW w:w="670" w:type="pct"/>
            <w:vAlign w:val="bottom"/>
          </w:tcPr>
          <w:p w:rsidR="00892337" w:rsidRDefault="00892337" w:rsidP="000F54D6">
            <w:pPr>
              <w:pStyle w:val="TableBodyText"/>
            </w:pPr>
            <w:r>
              <w:t>0.0</w:t>
            </w:r>
          </w:p>
        </w:tc>
        <w:tc>
          <w:tcPr>
            <w:tcW w:w="82" w:type="pct"/>
            <w:vAlign w:val="bottom"/>
          </w:tcPr>
          <w:p w:rsidR="00892337" w:rsidRDefault="00892337" w:rsidP="000F54D6">
            <w:pPr>
              <w:pStyle w:val="TableBodyText"/>
            </w:pPr>
          </w:p>
        </w:tc>
        <w:tc>
          <w:tcPr>
            <w:tcW w:w="670" w:type="pct"/>
            <w:vAlign w:val="bottom"/>
          </w:tcPr>
          <w:p w:rsidR="00892337" w:rsidRDefault="00892337" w:rsidP="000F54D6">
            <w:pPr>
              <w:pStyle w:val="TableBodyText"/>
            </w:pPr>
            <w:r>
              <w:t>-15.1</w:t>
            </w:r>
          </w:p>
        </w:tc>
        <w:tc>
          <w:tcPr>
            <w:tcW w:w="670" w:type="pct"/>
            <w:vAlign w:val="bottom"/>
          </w:tcPr>
          <w:p w:rsidR="00892337" w:rsidRDefault="00892337" w:rsidP="000F54D6">
            <w:pPr>
              <w:pStyle w:val="TableBodyText"/>
            </w:pPr>
            <w:r>
              <w:t>-0.0</w:t>
            </w:r>
          </w:p>
        </w:tc>
      </w:tr>
      <w:tr w:rsidR="004120C3" w:rsidTr="000F54D6">
        <w:tc>
          <w:tcPr>
            <w:tcW w:w="816" w:type="pct"/>
            <w:shd w:val="clear" w:color="auto" w:fill="D9D9D9" w:themeFill="background1" w:themeFillShade="D9"/>
            <w:vAlign w:val="bottom"/>
          </w:tcPr>
          <w:p w:rsidR="00892337" w:rsidRPr="000F4A62" w:rsidRDefault="00892337" w:rsidP="000F54D6">
            <w:pPr>
              <w:pStyle w:val="TableBodyText"/>
              <w:jc w:val="left"/>
            </w:pPr>
            <w:r w:rsidRPr="000F4A62">
              <w:t>Silver</w:t>
            </w:r>
          </w:p>
        </w:tc>
        <w:tc>
          <w:tcPr>
            <w:tcW w:w="669" w:type="pct"/>
            <w:shd w:val="clear" w:color="auto" w:fill="D9D9D9" w:themeFill="background1" w:themeFillShade="D9"/>
            <w:vAlign w:val="bottom"/>
          </w:tcPr>
          <w:p w:rsidR="00892337" w:rsidRDefault="00892337" w:rsidP="000F54D6">
            <w:pPr>
              <w:pStyle w:val="TableBodyText"/>
            </w:pPr>
            <w:r>
              <w:t>8.6</w:t>
            </w:r>
          </w:p>
        </w:tc>
        <w:tc>
          <w:tcPr>
            <w:tcW w:w="670" w:type="pct"/>
            <w:shd w:val="clear" w:color="auto" w:fill="D9D9D9" w:themeFill="background1" w:themeFillShade="D9"/>
            <w:vAlign w:val="bottom"/>
          </w:tcPr>
          <w:p w:rsidR="00892337" w:rsidRDefault="00892337" w:rsidP="000F54D6">
            <w:pPr>
              <w:pStyle w:val="TableBodyText"/>
            </w:pPr>
            <w:r>
              <w:t>0.1</w:t>
            </w:r>
          </w:p>
        </w:tc>
        <w:tc>
          <w:tcPr>
            <w:tcW w:w="82" w:type="pct"/>
            <w:shd w:val="clear" w:color="auto" w:fill="D9D9D9" w:themeFill="background1" w:themeFillShade="D9"/>
            <w:vAlign w:val="bottom"/>
          </w:tcPr>
          <w:p w:rsidR="00892337" w:rsidRDefault="00892337" w:rsidP="000F54D6">
            <w:pPr>
              <w:pStyle w:val="TableBodyText"/>
            </w:pPr>
          </w:p>
        </w:tc>
        <w:tc>
          <w:tcPr>
            <w:tcW w:w="670" w:type="pct"/>
            <w:shd w:val="clear" w:color="auto" w:fill="D9D9D9" w:themeFill="background1" w:themeFillShade="D9"/>
            <w:vAlign w:val="bottom"/>
          </w:tcPr>
          <w:p w:rsidR="00892337" w:rsidRDefault="00892337" w:rsidP="000F54D6">
            <w:pPr>
              <w:pStyle w:val="TableBodyText"/>
            </w:pPr>
            <w:r>
              <w:t>-0.6</w:t>
            </w:r>
          </w:p>
        </w:tc>
        <w:tc>
          <w:tcPr>
            <w:tcW w:w="670" w:type="pct"/>
            <w:shd w:val="clear" w:color="auto" w:fill="D9D9D9" w:themeFill="background1" w:themeFillShade="D9"/>
            <w:vAlign w:val="bottom"/>
          </w:tcPr>
          <w:p w:rsidR="00892337" w:rsidRDefault="00892337" w:rsidP="000F54D6">
            <w:pPr>
              <w:pStyle w:val="TableBodyText"/>
            </w:pPr>
            <w:r>
              <w:t>0.0</w:t>
            </w:r>
          </w:p>
        </w:tc>
        <w:tc>
          <w:tcPr>
            <w:tcW w:w="82" w:type="pct"/>
            <w:shd w:val="clear" w:color="auto" w:fill="D9D9D9" w:themeFill="background1" w:themeFillShade="D9"/>
            <w:vAlign w:val="bottom"/>
          </w:tcPr>
          <w:p w:rsidR="00892337" w:rsidRDefault="00892337" w:rsidP="000F54D6">
            <w:pPr>
              <w:pStyle w:val="TableBodyText"/>
            </w:pPr>
          </w:p>
        </w:tc>
        <w:tc>
          <w:tcPr>
            <w:tcW w:w="670" w:type="pct"/>
            <w:shd w:val="clear" w:color="auto" w:fill="D9D9D9" w:themeFill="background1" w:themeFillShade="D9"/>
            <w:vAlign w:val="bottom"/>
          </w:tcPr>
          <w:p w:rsidR="00892337" w:rsidRDefault="00892337" w:rsidP="000F54D6">
            <w:pPr>
              <w:pStyle w:val="TableBodyText"/>
            </w:pPr>
            <w:r>
              <w:t>-9.1</w:t>
            </w:r>
          </w:p>
        </w:tc>
        <w:tc>
          <w:tcPr>
            <w:tcW w:w="670" w:type="pct"/>
            <w:shd w:val="clear" w:color="auto" w:fill="D9D9D9" w:themeFill="background1" w:themeFillShade="D9"/>
            <w:vAlign w:val="bottom"/>
          </w:tcPr>
          <w:p w:rsidR="00892337" w:rsidRDefault="00892337" w:rsidP="000F54D6">
            <w:pPr>
              <w:pStyle w:val="TableBodyText"/>
            </w:pPr>
            <w:r>
              <w:t>-0.1</w:t>
            </w:r>
          </w:p>
        </w:tc>
      </w:tr>
      <w:tr w:rsidR="004120C3" w:rsidTr="000F54D6">
        <w:tc>
          <w:tcPr>
            <w:tcW w:w="816" w:type="pct"/>
            <w:vAlign w:val="bottom"/>
          </w:tcPr>
          <w:p w:rsidR="00892337" w:rsidRPr="000F4A62" w:rsidRDefault="00892337" w:rsidP="000F54D6">
            <w:pPr>
              <w:pStyle w:val="TableBodyText"/>
              <w:jc w:val="left"/>
            </w:pPr>
            <w:r w:rsidRPr="000F4A62">
              <w:t>Lead</w:t>
            </w:r>
          </w:p>
        </w:tc>
        <w:tc>
          <w:tcPr>
            <w:tcW w:w="669" w:type="pct"/>
            <w:vAlign w:val="bottom"/>
          </w:tcPr>
          <w:p w:rsidR="00892337" w:rsidRDefault="00892337" w:rsidP="000F54D6">
            <w:pPr>
              <w:pStyle w:val="TableBodyText"/>
            </w:pPr>
            <w:r>
              <w:t>1.8</w:t>
            </w:r>
          </w:p>
        </w:tc>
        <w:tc>
          <w:tcPr>
            <w:tcW w:w="670" w:type="pct"/>
            <w:vAlign w:val="bottom"/>
          </w:tcPr>
          <w:p w:rsidR="00892337" w:rsidRDefault="00892337" w:rsidP="000F54D6">
            <w:pPr>
              <w:pStyle w:val="TableBodyText"/>
            </w:pPr>
            <w:r>
              <w:t>0.0</w:t>
            </w:r>
          </w:p>
        </w:tc>
        <w:tc>
          <w:tcPr>
            <w:tcW w:w="82" w:type="pct"/>
            <w:vAlign w:val="bottom"/>
          </w:tcPr>
          <w:p w:rsidR="00892337" w:rsidRDefault="00892337" w:rsidP="000F54D6">
            <w:pPr>
              <w:pStyle w:val="TableBodyText"/>
            </w:pPr>
          </w:p>
        </w:tc>
        <w:tc>
          <w:tcPr>
            <w:tcW w:w="670" w:type="pct"/>
            <w:vAlign w:val="bottom"/>
          </w:tcPr>
          <w:p w:rsidR="00892337" w:rsidRDefault="00892337" w:rsidP="000F54D6">
            <w:pPr>
              <w:pStyle w:val="TableBodyText"/>
            </w:pPr>
            <w:r>
              <w:t>-5.4</w:t>
            </w:r>
          </w:p>
        </w:tc>
        <w:tc>
          <w:tcPr>
            <w:tcW w:w="670" w:type="pct"/>
            <w:vAlign w:val="bottom"/>
          </w:tcPr>
          <w:p w:rsidR="00892337" w:rsidRDefault="00892337" w:rsidP="000F54D6">
            <w:pPr>
              <w:pStyle w:val="TableBodyText"/>
            </w:pPr>
            <w:r>
              <w:t>-0.1</w:t>
            </w:r>
          </w:p>
        </w:tc>
        <w:tc>
          <w:tcPr>
            <w:tcW w:w="82" w:type="pct"/>
            <w:vAlign w:val="bottom"/>
          </w:tcPr>
          <w:p w:rsidR="00892337" w:rsidRDefault="00892337" w:rsidP="000F54D6">
            <w:pPr>
              <w:pStyle w:val="TableBodyText"/>
            </w:pPr>
          </w:p>
        </w:tc>
        <w:tc>
          <w:tcPr>
            <w:tcW w:w="670" w:type="pct"/>
            <w:vAlign w:val="bottom"/>
          </w:tcPr>
          <w:p w:rsidR="00892337" w:rsidRDefault="00892337" w:rsidP="000F54D6">
            <w:pPr>
              <w:pStyle w:val="TableBodyText"/>
            </w:pPr>
            <w:r>
              <w:t>-7.2</w:t>
            </w:r>
          </w:p>
        </w:tc>
        <w:tc>
          <w:tcPr>
            <w:tcW w:w="670" w:type="pct"/>
            <w:vAlign w:val="bottom"/>
          </w:tcPr>
          <w:p w:rsidR="00892337" w:rsidRDefault="00892337" w:rsidP="000F54D6">
            <w:pPr>
              <w:pStyle w:val="TableBodyText"/>
            </w:pPr>
            <w:r>
              <w:t>-0.1</w:t>
            </w:r>
          </w:p>
        </w:tc>
      </w:tr>
      <w:tr w:rsidR="004120C3" w:rsidTr="000F54D6">
        <w:tc>
          <w:tcPr>
            <w:tcW w:w="816" w:type="pct"/>
            <w:shd w:val="clear" w:color="auto" w:fill="D9D9D9" w:themeFill="background1" w:themeFillShade="D9"/>
            <w:vAlign w:val="bottom"/>
          </w:tcPr>
          <w:p w:rsidR="00892337" w:rsidRPr="000F4A62" w:rsidRDefault="00892337" w:rsidP="000F54D6">
            <w:pPr>
              <w:pStyle w:val="TableBodyText"/>
              <w:jc w:val="left"/>
            </w:pPr>
            <w:r w:rsidRPr="000F4A62">
              <w:t>Aluminium</w:t>
            </w:r>
          </w:p>
        </w:tc>
        <w:tc>
          <w:tcPr>
            <w:tcW w:w="669" w:type="pct"/>
            <w:shd w:val="clear" w:color="auto" w:fill="D9D9D9" w:themeFill="background1" w:themeFillShade="D9"/>
            <w:vAlign w:val="bottom"/>
          </w:tcPr>
          <w:p w:rsidR="00892337" w:rsidRDefault="00892337" w:rsidP="000F54D6">
            <w:pPr>
              <w:pStyle w:val="TableBodyText"/>
            </w:pPr>
            <w:r>
              <w:t>2.2</w:t>
            </w:r>
          </w:p>
        </w:tc>
        <w:tc>
          <w:tcPr>
            <w:tcW w:w="670" w:type="pct"/>
            <w:shd w:val="clear" w:color="auto" w:fill="D9D9D9" w:themeFill="background1" w:themeFillShade="D9"/>
            <w:vAlign w:val="bottom"/>
          </w:tcPr>
          <w:p w:rsidR="00892337" w:rsidRDefault="00892337" w:rsidP="000F54D6">
            <w:pPr>
              <w:pStyle w:val="TableBodyText"/>
            </w:pPr>
            <w:r>
              <w:t>0.4</w:t>
            </w:r>
          </w:p>
        </w:tc>
        <w:tc>
          <w:tcPr>
            <w:tcW w:w="82" w:type="pct"/>
            <w:shd w:val="clear" w:color="auto" w:fill="D9D9D9" w:themeFill="background1" w:themeFillShade="D9"/>
            <w:vAlign w:val="bottom"/>
          </w:tcPr>
          <w:p w:rsidR="00892337" w:rsidRDefault="00892337" w:rsidP="000F54D6">
            <w:pPr>
              <w:pStyle w:val="TableBodyText"/>
            </w:pPr>
          </w:p>
        </w:tc>
        <w:tc>
          <w:tcPr>
            <w:tcW w:w="670" w:type="pct"/>
            <w:shd w:val="clear" w:color="auto" w:fill="D9D9D9" w:themeFill="background1" w:themeFillShade="D9"/>
            <w:vAlign w:val="bottom"/>
          </w:tcPr>
          <w:p w:rsidR="00892337" w:rsidRDefault="00892337" w:rsidP="000F54D6">
            <w:pPr>
              <w:pStyle w:val="TableBodyText"/>
            </w:pPr>
            <w:r>
              <w:t>1.1</w:t>
            </w:r>
          </w:p>
        </w:tc>
        <w:tc>
          <w:tcPr>
            <w:tcW w:w="670" w:type="pct"/>
            <w:shd w:val="clear" w:color="auto" w:fill="D9D9D9" w:themeFill="background1" w:themeFillShade="D9"/>
            <w:vAlign w:val="bottom"/>
          </w:tcPr>
          <w:p w:rsidR="00892337" w:rsidRDefault="00892337" w:rsidP="000F54D6">
            <w:pPr>
              <w:pStyle w:val="TableBodyText"/>
            </w:pPr>
            <w:r>
              <w:t>0.2</w:t>
            </w:r>
          </w:p>
        </w:tc>
        <w:tc>
          <w:tcPr>
            <w:tcW w:w="82" w:type="pct"/>
            <w:shd w:val="clear" w:color="auto" w:fill="D9D9D9" w:themeFill="background1" w:themeFillShade="D9"/>
            <w:vAlign w:val="bottom"/>
          </w:tcPr>
          <w:p w:rsidR="00892337" w:rsidRDefault="00892337" w:rsidP="000F54D6">
            <w:pPr>
              <w:pStyle w:val="TableBodyText"/>
            </w:pPr>
          </w:p>
        </w:tc>
        <w:tc>
          <w:tcPr>
            <w:tcW w:w="670" w:type="pct"/>
            <w:shd w:val="clear" w:color="auto" w:fill="D9D9D9" w:themeFill="background1" w:themeFillShade="D9"/>
            <w:vAlign w:val="bottom"/>
          </w:tcPr>
          <w:p w:rsidR="00892337" w:rsidRDefault="00892337" w:rsidP="000F54D6">
            <w:pPr>
              <w:pStyle w:val="TableBodyText"/>
            </w:pPr>
            <w:r>
              <w:t>-1.0</w:t>
            </w:r>
          </w:p>
        </w:tc>
        <w:tc>
          <w:tcPr>
            <w:tcW w:w="670" w:type="pct"/>
            <w:shd w:val="clear" w:color="auto" w:fill="D9D9D9" w:themeFill="background1" w:themeFillShade="D9"/>
            <w:vAlign w:val="bottom"/>
          </w:tcPr>
          <w:p w:rsidR="00892337" w:rsidRDefault="00892337" w:rsidP="000F54D6">
            <w:pPr>
              <w:pStyle w:val="TableBodyText"/>
            </w:pPr>
            <w:r>
              <w:t>-0.2</w:t>
            </w:r>
          </w:p>
        </w:tc>
      </w:tr>
      <w:tr w:rsidR="004120C3" w:rsidTr="000F54D6">
        <w:tc>
          <w:tcPr>
            <w:tcW w:w="816" w:type="pct"/>
            <w:vAlign w:val="bottom"/>
          </w:tcPr>
          <w:p w:rsidR="00892337" w:rsidRPr="000F4A62" w:rsidRDefault="00892337" w:rsidP="000F54D6">
            <w:pPr>
              <w:pStyle w:val="TableBodyText"/>
              <w:jc w:val="left"/>
            </w:pPr>
            <w:r w:rsidRPr="000F4A62">
              <w:t>Gold</w:t>
            </w:r>
          </w:p>
        </w:tc>
        <w:tc>
          <w:tcPr>
            <w:tcW w:w="669" w:type="pct"/>
            <w:vAlign w:val="bottom"/>
          </w:tcPr>
          <w:p w:rsidR="00892337" w:rsidRDefault="00892337" w:rsidP="000F54D6">
            <w:pPr>
              <w:pStyle w:val="TableBodyText"/>
            </w:pPr>
            <w:r>
              <w:t>-1.1</w:t>
            </w:r>
          </w:p>
        </w:tc>
        <w:tc>
          <w:tcPr>
            <w:tcW w:w="670" w:type="pct"/>
            <w:vAlign w:val="bottom"/>
          </w:tcPr>
          <w:p w:rsidR="00892337" w:rsidRDefault="00892337" w:rsidP="000F54D6">
            <w:pPr>
              <w:pStyle w:val="TableBodyText"/>
            </w:pPr>
            <w:r>
              <w:t>-0.3</w:t>
            </w:r>
          </w:p>
        </w:tc>
        <w:tc>
          <w:tcPr>
            <w:tcW w:w="82" w:type="pct"/>
            <w:vAlign w:val="bottom"/>
          </w:tcPr>
          <w:p w:rsidR="00892337" w:rsidRDefault="00892337" w:rsidP="000F54D6">
            <w:pPr>
              <w:pStyle w:val="TableBodyText"/>
            </w:pPr>
          </w:p>
        </w:tc>
        <w:tc>
          <w:tcPr>
            <w:tcW w:w="670" w:type="pct"/>
            <w:vAlign w:val="bottom"/>
          </w:tcPr>
          <w:p w:rsidR="00892337" w:rsidRDefault="00892337" w:rsidP="000F54D6">
            <w:pPr>
              <w:pStyle w:val="TableBodyText"/>
            </w:pPr>
            <w:r>
              <w:t>-2.1</w:t>
            </w:r>
          </w:p>
        </w:tc>
        <w:tc>
          <w:tcPr>
            <w:tcW w:w="670" w:type="pct"/>
            <w:vAlign w:val="bottom"/>
          </w:tcPr>
          <w:p w:rsidR="00892337" w:rsidRDefault="00892337" w:rsidP="000F54D6">
            <w:pPr>
              <w:pStyle w:val="TableBodyText"/>
            </w:pPr>
            <w:r>
              <w:t>-0.5</w:t>
            </w:r>
          </w:p>
        </w:tc>
        <w:tc>
          <w:tcPr>
            <w:tcW w:w="82" w:type="pct"/>
            <w:vAlign w:val="bottom"/>
          </w:tcPr>
          <w:p w:rsidR="00892337" w:rsidRDefault="00892337" w:rsidP="000F54D6">
            <w:pPr>
              <w:pStyle w:val="TableBodyText"/>
            </w:pPr>
          </w:p>
        </w:tc>
        <w:tc>
          <w:tcPr>
            <w:tcW w:w="670" w:type="pct"/>
            <w:vAlign w:val="bottom"/>
          </w:tcPr>
          <w:p w:rsidR="00892337" w:rsidRDefault="00892337" w:rsidP="000F54D6">
            <w:pPr>
              <w:pStyle w:val="TableBodyText"/>
            </w:pPr>
            <w:r>
              <w:t>-1.1</w:t>
            </w:r>
          </w:p>
        </w:tc>
        <w:tc>
          <w:tcPr>
            <w:tcW w:w="670" w:type="pct"/>
            <w:vAlign w:val="bottom"/>
          </w:tcPr>
          <w:p w:rsidR="00892337" w:rsidRDefault="00892337" w:rsidP="000F54D6">
            <w:pPr>
              <w:pStyle w:val="TableBodyText"/>
            </w:pPr>
            <w:r>
              <w:t>-0.2</w:t>
            </w:r>
          </w:p>
        </w:tc>
      </w:tr>
      <w:tr w:rsidR="004120C3" w:rsidTr="000F54D6">
        <w:tc>
          <w:tcPr>
            <w:tcW w:w="816" w:type="pct"/>
            <w:shd w:val="clear" w:color="auto" w:fill="D9D9D9" w:themeFill="background1" w:themeFillShade="D9"/>
            <w:vAlign w:val="bottom"/>
          </w:tcPr>
          <w:p w:rsidR="00892337" w:rsidRPr="000F4A62" w:rsidRDefault="00892337" w:rsidP="000F54D6">
            <w:pPr>
              <w:pStyle w:val="TableBodyText"/>
              <w:jc w:val="left"/>
            </w:pPr>
            <w:r w:rsidRPr="000F4A62">
              <w:t>Zinc</w:t>
            </w:r>
          </w:p>
        </w:tc>
        <w:tc>
          <w:tcPr>
            <w:tcW w:w="669" w:type="pct"/>
            <w:shd w:val="clear" w:color="auto" w:fill="D9D9D9" w:themeFill="background1" w:themeFillShade="D9"/>
            <w:vAlign w:val="bottom"/>
          </w:tcPr>
          <w:p w:rsidR="00892337" w:rsidRDefault="00892337" w:rsidP="000F54D6">
            <w:pPr>
              <w:pStyle w:val="TableBodyText"/>
            </w:pPr>
            <w:r>
              <w:t>6.6</w:t>
            </w:r>
          </w:p>
        </w:tc>
        <w:tc>
          <w:tcPr>
            <w:tcW w:w="670" w:type="pct"/>
            <w:shd w:val="clear" w:color="auto" w:fill="D9D9D9" w:themeFill="background1" w:themeFillShade="D9"/>
            <w:vAlign w:val="bottom"/>
          </w:tcPr>
          <w:p w:rsidR="00892337" w:rsidRDefault="00892337" w:rsidP="000F54D6">
            <w:pPr>
              <w:pStyle w:val="TableBodyText"/>
            </w:pPr>
            <w:r>
              <w:t>0.2</w:t>
            </w:r>
          </w:p>
        </w:tc>
        <w:tc>
          <w:tcPr>
            <w:tcW w:w="82" w:type="pct"/>
            <w:shd w:val="clear" w:color="auto" w:fill="D9D9D9" w:themeFill="background1" w:themeFillShade="D9"/>
            <w:vAlign w:val="bottom"/>
          </w:tcPr>
          <w:p w:rsidR="00892337" w:rsidRDefault="00892337" w:rsidP="000F54D6">
            <w:pPr>
              <w:pStyle w:val="TableBodyText"/>
            </w:pPr>
          </w:p>
        </w:tc>
        <w:tc>
          <w:tcPr>
            <w:tcW w:w="670" w:type="pct"/>
            <w:shd w:val="clear" w:color="auto" w:fill="D9D9D9" w:themeFill="background1" w:themeFillShade="D9"/>
            <w:vAlign w:val="bottom"/>
          </w:tcPr>
          <w:p w:rsidR="00892337" w:rsidRDefault="00892337" w:rsidP="000F54D6">
            <w:pPr>
              <w:pStyle w:val="TableBodyText"/>
            </w:pPr>
            <w:r>
              <w:t>0.4</w:t>
            </w:r>
          </w:p>
        </w:tc>
        <w:tc>
          <w:tcPr>
            <w:tcW w:w="670" w:type="pct"/>
            <w:shd w:val="clear" w:color="auto" w:fill="D9D9D9" w:themeFill="background1" w:themeFillShade="D9"/>
            <w:vAlign w:val="bottom"/>
          </w:tcPr>
          <w:p w:rsidR="00892337" w:rsidRDefault="00892337" w:rsidP="000F54D6">
            <w:pPr>
              <w:pStyle w:val="TableBodyText"/>
            </w:pPr>
            <w:r>
              <w:t>0.0</w:t>
            </w:r>
          </w:p>
        </w:tc>
        <w:tc>
          <w:tcPr>
            <w:tcW w:w="82" w:type="pct"/>
            <w:shd w:val="clear" w:color="auto" w:fill="D9D9D9" w:themeFill="background1" w:themeFillShade="D9"/>
            <w:vAlign w:val="bottom"/>
          </w:tcPr>
          <w:p w:rsidR="00892337" w:rsidRDefault="00892337" w:rsidP="000F54D6">
            <w:pPr>
              <w:pStyle w:val="TableBodyText"/>
            </w:pPr>
          </w:p>
        </w:tc>
        <w:tc>
          <w:tcPr>
            <w:tcW w:w="670" w:type="pct"/>
            <w:shd w:val="clear" w:color="auto" w:fill="D9D9D9" w:themeFill="background1" w:themeFillShade="D9"/>
            <w:vAlign w:val="bottom"/>
          </w:tcPr>
          <w:p w:rsidR="00892337" w:rsidRDefault="00892337" w:rsidP="000F54D6">
            <w:pPr>
              <w:pStyle w:val="TableBodyText"/>
            </w:pPr>
            <w:r>
              <w:t>-6.2</w:t>
            </w:r>
          </w:p>
        </w:tc>
        <w:tc>
          <w:tcPr>
            <w:tcW w:w="670" w:type="pct"/>
            <w:shd w:val="clear" w:color="auto" w:fill="D9D9D9" w:themeFill="background1" w:themeFillShade="D9"/>
            <w:vAlign w:val="bottom"/>
          </w:tcPr>
          <w:p w:rsidR="00892337" w:rsidRDefault="00892337" w:rsidP="000F54D6">
            <w:pPr>
              <w:pStyle w:val="TableBodyText"/>
            </w:pPr>
            <w:r>
              <w:t>-0.2</w:t>
            </w:r>
          </w:p>
        </w:tc>
      </w:tr>
      <w:tr w:rsidR="004120C3" w:rsidTr="000F54D6">
        <w:tc>
          <w:tcPr>
            <w:tcW w:w="816" w:type="pct"/>
            <w:vAlign w:val="bottom"/>
          </w:tcPr>
          <w:p w:rsidR="00892337" w:rsidRPr="000F4A62" w:rsidRDefault="00892337" w:rsidP="000F54D6">
            <w:pPr>
              <w:pStyle w:val="TableBodyText"/>
              <w:jc w:val="left"/>
            </w:pPr>
            <w:r w:rsidRPr="000F4A62">
              <w:t>Copper</w:t>
            </w:r>
          </w:p>
        </w:tc>
        <w:tc>
          <w:tcPr>
            <w:tcW w:w="669" w:type="pct"/>
            <w:vAlign w:val="bottom"/>
          </w:tcPr>
          <w:p w:rsidR="00892337" w:rsidRDefault="00892337" w:rsidP="000F54D6">
            <w:pPr>
              <w:pStyle w:val="TableBodyText"/>
            </w:pPr>
            <w:r>
              <w:t>8.4</w:t>
            </w:r>
          </w:p>
        </w:tc>
        <w:tc>
          <w:tcPr>
            <w:tcW w:w="670" w:type="pct"/>
            <w:vAlign w:val="bottom"/>
          </w:tcPr>
          <w:p w:rsidR="00892337" w:rsidRDefault="00892337" w:rsidP="000F54D6">
            <w:pPr>
              <w:pStyle w:val="TableBodyText"/>
            </w:pPr>
            <w:r>
              <w:t>0.5</w:t>
            </w:r>
          </w:p>
        </w:tc>
        <w:tc>
          <w:tcPr>
            <w:tcW w:w="82" w:type="pct"/>
            <w:vAlign w:val="bottom"/>
          </w:tcPr>
          <w:p w:rsidR="00892337" w:rsidRDefault="00892337" w:rsidP="000F54D6">
            <w:pPr>
              <w:pStyle w:val="TableBodyText"/>
            </w:pPr>
          </w:p>
        </w:tc>
        <w:tc>
          <w:tcPr>
            <w:tcW w:w="670" w:type="pct"/>
            <w:vAlign w:val="bottom"/>
          </w:tcPr>
          <w:p w:rsidR="00892337" w:rsidRDefault="00892337" w:rsidP="000F54D6">
            <w:pPr>
              <w:pStyle w:val="TableBodyText"/>
            </w:pPr>
            <w:r>
              <w:t>-0.7</w:t>
            </w:r>
          </w:p>
        </w:tc>
        <w:tc>
          <w:tcPr>
            <w:tcW w:w="670" w:type="pct"/>
            <w:vAlign w:val="bottom"/>
          </w:tcPr>
          <w:p w:rsidR="00892337" w:rsidRDefault="00892337" w:rsidP="000F54D6">
            <w:pPr>
              <w:pStyle w:val="TableBodyText"/>
            </w:pPr>
            <w:r>
              <w:t>-0.1</w:t>
            </w:r>
          </w:p>
        </w:tc>
        <w:tc>
          <w:tcPr>
            <w:tcW w:w="82" w:type="pct"/>
            <w:vAlign w:val="bottom"/>
          </w:tcPr>
          <w:p w:rsidR="00892337" w:rsidRDefault="00892337" w:rsidP="000F54D6">
            <w:pPr>
              <w:pStyle w:val="TableBodyText"/>
            </w:pPr>
          </w:p>
        </w:tc>
        <w:tc>
          <w:tcPr>
            <w:tcW w:w="670" w:type="pct"/>
            <w:vAlign w:val="bottom"/>
          </w:tcPr>
          <w:p w:rsidR="00892337" w:rsidRDefault="00892337" w:rsidP="000F54D6">
            <w:pPr>
              <w:pStyle w:val="TableBodyText"/>
            </w:pPr>
            <w:r>
              <w:t>-9.1</w:t>
            </w:r>
          </w:p>
        </w:tc>
        <w:tc>
          <w:tcPr>
            <w:tcW w:w="670" w:type="pct"/>
            <w:vAlign w:val="bottom"/>
          </w:tcPr>
          <w:p w:rsidR="00892337" w:rsidRDefault="00892337" w:rsidP="000F54D6">
            <w:pPr>
              <w:pStyle w:val="TableBodyText"/>
            </w:pPr>
            <w:r>
              <w:t>-0.5</w:t>
            </w:r>
          </w:p>
        </w:tc>
      </w:tr>
      <w:tr w:rsidR="004120C3" w:rsidTr="000F54D6">
        <w:tc>
          <w:tcPr>
            <w:tcW w:w="816" w:type="pct"/>
            <w:shd w:val="clear" w:color="auto" w:fill="D9D9D9" w:themeFill="background1" w:themeFillShade="D9"/>
            <w:vAlign w:val="bottom"/>
          </w:tcPr>
          <w:p w:rsidR="00892337" w:rsidRPr="000F4A62" w:rsidRDefault="00892337" w:rsidP="000F54D6">
            <w:pPr>
              <w:pStyle w:val="TableBodyText"/>
              <w:jc w:val="left"/>
            </w:pPr>
            <w:r w:rsidRPr="000F4A62">
              <w:t xml:space="preserve">Iron and </w:t>
            </w:r>
            <w:r>
              <w:t>s</w:t>
            </w:r>
            <w:r w:rsidRPr="000F4A62">
              <w:t>teel</w:t>
            </w:r>
            <w:r>
              <w:rPr>
                <w:rStyle w:val="NoteLabel"/>
              </w:rPr>
              <w:t>c</w:t>
            </w:r>
          </w:p>
        </w:tc>
        <w:tc>
          <w:tcPr>
            <w:tcW w:w="669" w:type="pct"/>
            <w:shd w:val="clear" w:color="auto" w:fill="D9D9D9" w:themeFill="background1" w:themeFillShade="D9"/>
            <w:vAlign w:val="bottom"/>
          </w:tcPr>
          <w:p w:rsidR="00892337" w:rsidRDefault="00892337" w:rsidP="000F54D6">
            <w:pPr>
              <w:pStyle w:val="TableBodyText"/>
            </w:pPr>
            <w:r>
              <w:t>2.0</w:t>
            </w:r>
          </w:p>
        </w:tc>
        <w:tc>
          <w:tcPr>
            <w:tcW w:w="670" w:type="pct"/>
            <w:shd w:val="clear" w:color="auto" w:fill="D9D9D9" w:themeFill="background1" w:themeFillShade="D9"/>
            <w:vAlign w:val="bottom"/>
          </w:tcPr>
          <w:p w:rsidR="00892337" w:rsidRDefault="00892337" w:rsidP="000F54D6">
            <w:pPr>
              <w:pStyle w:val="TableBodyText"/>
            </w:pPr>
            <w:r>
              <w:t>0.4</w:t>
            </w:r>
          </w:p>
        </w:tc>
        <w:tc>
          <w:tcPr>
            <w:tcW w:w="82" w:type="pct"/>
            <w:shd w:val="clear" w:color="auto" w:fill="D9D9D9" w:themeFill="background1" w:themeFillShade="D9"/>
            <w:vAlign w:val="bottom"/>
          </w:tcPr>
          <w:p w:rsidR="00892337" w:rsidRDefault="00892337" w:rsidP="000F54D6">
            <w:pPr>
              <w:pStyle w:val="TableBodyText"/>
            </w:pPr>
          </w:p>
        </w:tc>
        <w:tc>
          <w:tcPr>
            <w:tcW w:w="670" w:type="pct"/>
            <w:shd w:val="clear" w:color="auto" w:fill="D9D9D9" w:themeFill="background1" w:themeFillShade="D9"/>
            <w:vAlign w:val="bottom"/>
          </w:tcPr>
          <w:p w:rsidR="00892337" w:rsidRDefault="00892337" w:rsidP="000F54D6">
            <w:pPr>
              <w:pStyle w:val="TableBodyText"/>
            </w:pPr>
            <w:r>
              <w:t>-3.6</w:t>
            </w:r>
          </w:p>
        </w:tc>
        <w:tc>
          <w:tcPr>
            <w:tcW w:w="670" w:type="pct"/>
            <w:shd w:val="clear" w:color="auto" w:fill="D9D9D9" w:themeFill="background1" w:themeFillShade="D9"/>
            <w:vAlign w:val="bottom"/>
          </w:tcPr>
          <w:p w:rsidR="00892337" w:rsidRDefault="00892337" w:rsidP="000F54D6">
            <w:pPr>
              <w:pStyle w:val="TableBodyText"/>
            </w:pPr>
            <w:r>
              <w:t>-0.4</w:t>
            </w:r>
          </w:p>
        </w:tc>
        <w:tc>
          <w:tcPr>
            <w:tcW w:w="82" w:type="pct"/>
            <w:shd w:val="clear" w:color="auto" w:fill="D9D9D9" w:themeFill="background1" w:themeFillShade="D9"/>
            <w:vAlign w:val="bottom"/>
          </w:tcPr>
          <w:p w:rsidR="00892337" w:rsidRDefault="00892337" w:rsidP="000F54D6">
            <w:pPr>
              <w:pStyle w:val="TableBodyText"/>
            </w:pPr>
          </w:p>
        </w:tc>
        <w:tc>
          <w:tcPr>
            <w:tcW w:w="670" w:type="pct"/>
            <w:shd w:val="clear" w:color="auto" w:fill="D9D9D9" w:themeFill="background1" w:themeFillShade="D9"/>
            <w:vAlign w:val="bottom"/>
          </w:tcPr>
          <w:p w:rsidR="00892337" w:rsidRDefault="00892337" w:rsidP="000F54D6">
            <w:pPr>
              <w:pStyle w:val="TableBodyText"/>
            </w:pPr>
            <w:r>
              <w:t>-5.6</w:t>
            </w:r>
          </w:p>
        </w:tc>
        <w:tc>
          <w:tcPr>
            <w:tcW w:w="670" w:type="pct"/>
            <w:shd w:val="clear" w:color="auto" w:fill="D9D9D9" w:themeFill="background1" w:themeFillShade="D9"/>
            <w:vAlign w:val="bottom"/>
          </w:tcPr>
          <w:p w:rsidR="00892337" w:rsidRDefault="00892337" w:rsidP="000F54D6">
            <w:pPr>
              <w:pStyle w:val="TableBodyText"/>
            </w:pPr>
            <w:r>
              <w:t>-0.8</w:t>
            </w:r>
          </w:p>
        </w:tc>
      </w:tr>
      <w:tr w:rsidR="004120C3" w:rsidTr="000F54D6">
        <w:tc>
          <w:tcPr>
            <w:tcW w:w="816" w:type="pct"/>
            <w:vAlign w:val="bottom"/>
          </w:tcPr>
          <w:p w:rsidR="00892337" w:rsidRDefault="00892337" w:rsidP="000F54D6">
            <w:pPr>
              <w:pStyle w:val="TableBodyText"/>
              <w:jc w:val="left"/>
            </w:pPr>
            <w:r w:rsidRPr="000F4A62">
              <w:t>Nickel</w:t>
            </w:r>
            <w:r>
              <w:rPr>
                <w:rStyle w:val="NoteLabel"/>
              </w:rPr>
              <w:t>d</w:t>
            </w:r>
          </w:p>
        </w:tc>
        <w:tc>
          <w:tcPr>
            <w:tcW w:w="669" w:type="pct"/>
            <w:vAlign w:val="bottom"/>
          </w:tcPr>
          <w:p w:rsidR="00892337" w:rsidRDefault="00892337" w:rsidP="000F54D6">
            <w:pPr>
              <w:pStyle w:val="TableBodyText"/>
            </w:pPr>
            <w:r>
              <w:t>9.8</w:t>
            </w:r>
          </w:p>
        </w:tc>
        <w:tc>
          <w:tcPr>
            <w:tcW w:w="670" w:type="pct"/>
            <w:vAlign w:val="bottom"/>
          </w:tcPr>
          <w:p w:rsidR="00892337" w:rsidRDefault="00892337" w:rsidP="000F54D6">
            <w:pPr>
              <w:pStyle w:val="TableBodyText"/>
            </w:pPr>
            <w:r>
              <w:t>0.8</w:t>
            </w:r>
          </w:p>
        </w:tc>
        <w:tc>
          <w:tcPr>
            <w:tcW w:w="82" w:type="pct"/>
            <w:vAlign w:val="bottom"/>
          </w:tcPr>
          <w:p w:rsidR="00892337" w:rsidRDefault="00892337" w:rsidP="000F54D6">
            <w:pPr>
              <w:pStyle w:val="TableBodyText"/>
            </w:pPr>
          </w:p>
        </w:tc>
        <w:tc>
          <w:tcPr>
            <w:tcW w:w="670" w:type="pct"/>
            <w:vAlign w:val="bottom"/>
          </w:tcPr>
          <w:p w:rsidR="00892337" w:rsidRDefault="00892337" w:rsidP="000F54D6">
            <w:pPr>
              <w:pStyle w:val="TableBodyText"/>
            </w:pPr>
            <w:r>
              <w:t>-0.5</w:t>
            </w:r>
          </w:p>
        </w:tc>
        <w:tc>
          <w:tcPr>
            <w:tcW w:w="670" w:type="pct"/>
            <w:vAlign w:val="bottom"/>
          </w:tcPr>
          <w:p w:rsidR="00892337" w:rsidRDefault="00892337" w:rsidP="000F54D6">
            <w:pPr>
              <w:pStyle w:val="TableBodyText"/>
            </w:pPr>
            <w:r>
              <w:t>-0.1</w:t>
            </w:r>
          </w:p>
        </w:tc>
        <w:tc>
          <w:tcPr>
            <w:tcW w:w="82" w:type="pct"/>
            <w:vAlign w:val="bottom"/>
          </w:tcPr>
          <w:p w:rsidR="00892337" w:rsidRDefault="00892337" w:rsidP="000F54D6">
            <w:pPr>
              <w:pStyle w:val="TableBodyText"/>
            </w:pPr>
          </w:p>
        </w:tc>
        <w:tc>
          <w:tcPr>
            <w:tcW w:w="670" w:type="pct"/>
            <w:vAlign w:val="bottom"/>
          </w:tcPr>
          <w:p w:rsidR="00892337" w:rsidRDefault="00892337" w:rsidP="000F54D6">
            <w:pPr>
              <w:pStyle w:val="TableBodyText"/>
            </w:pPr>
            <w:r>
              <w:t>-10.4</w:t>
            </w:r>
          </w:p>
        </w:tc>
        <w:tc>
          <w:tcPr>
            <w:tcW w:w="670" w:type="pct"/>
            <w:vAlign w:val="bottom"/>
          </w:tcPr>
          <w:p w:rsidR="00892337" w:rsidRDefault="00892337" w:rsidP="000F54D6">
            <w:pPr>
              <w:pStyle w:val="TableBodyText"/>
            </w:pPr>
            <w:r>
              <w:t>-0.9</w:t>
            </w:r>
          </w:p>
        </w:tc>
      </w:tr>
      <w:tr w:rsidR="004120C3" w:rsidTr="000F54D6">
        <w:tc>
          <w:tcPr>
            <w:tcW w:w="816" w:type="pct"/>
            <w:tcBorders>
              <w:bottom w:val="single" w:sz="6" w:space="0" w:color="auto"/>
            </w:tcBorders>
            <w:shd w:val="clear" w:color="auto" w:fill="D9D9D9" w:themeFill="background1" w:themeFillShade="D9"/>
            <w:vAlign w:val="bottom"/>
          </w:tcPr>
          <w:p w:rsidR="00892337" w:rsidRPr="00047DA8" w:rsidRDefault="00892337" w:rsidP="000F54D6">
            <w:pPr>
              <w:pStyle w:val="TableBodyText"/>
              <w:jc w:val="left"/>
              <w:rPr>
                <w:b/>
              </w:rPr>
            </w:pPr>
            <w:r>
              <w:rPr>
                <w:b/>
              </w:rPr>
              <w:t>Total</w:t>
            </w:r>
          </w:p>
        </w:tc>
        <w:tc>
          <w:tcPr>
            <w:tcW w:w="669" w:type="pct"/>
            <w:tcBorders>
              <w:bottom w:val="single" w:sz="6" w:space="0" w:color="auto"/>
            </w:tcBorders>
            <w:shd w:val="clear" w:color="auto" w:fill="D9D9D9" w:themeFill="background1" w:themeFillShade="D9"/>
            <w:vAlign w:val="bottom"/>
          </w:tcPr>
          <w:p w:rsidR="00892337" w:rsidRPr="00047DA8" w:rsidRDefault="00892337" w:rsidP="000F54D6">
            <w:pPr>
              <w:pStyle w:val="TableBodyText"/>
              <w:rPr>
                <w:b/>
              </w:rPr>
            </w:pPr>
          </w:p>
        </w:tc>
        <w:tc>
          <w:tcPr>
            <w:tcW w:w="670" w:type="pct"/>
            <w:tcBorders>
              <w:bottom w:val="single" w:sz="6" w:space="0" w:color="auto"/>
            </w:tcBorders>
            <w:shd w:val="clear" w:color="auto" w:fill="D9D9D9" w:themeFill="background1" w:themeFillShade="D9"/>
            <w:vAlign w:val="bottom"/>
          </w:tcPr>
          <w:p w:rsidR="00892337" w:rsidRPr="00047DA8" w:rsidRDefault="00892337" w:rsidP="000F54D6">
            <w:pPr>
              <w:pStyle w:val="TableBodyText"/>
              <w:rPr>
                <w:b/>
              </w:rPr>
            </w:pPr>
            <w:r w:rsidRPr="00047DA8">
              <w:rPr>
                <w:b/>
              </w:rPr>
              <w:t>2.6</w:t>
            </w:r>
          </w:p>
        </w:tc>
        <w:tc>
          <w:tcPr>
            <w:tcW w:w="82" w:type="pct"/>
            <w:tcBorders>
              <w:bottom w:val="single" w:sz="6" w:space="0" w:color="auto"/>
            </w:tcBorders>
            <w:shd w:val="clear" w:color="auto" w:fill="D9D9D9" w:themeFill="background1" w:themeFillShade="D9"/>
            <w:vAlign w:val="bottom"/>
          </w:tcPr>
          <w:p w:rsidR="00892337" w:rsidRPr="00047DA8" w:rsidRDefault="00892337" w:rsidP="000F54D6">
            <w:pPr>
              <w:pStyle w:val="TableBodyText"/>
              <w:rPr>
                <w:b/>
              </w:rPr>
            </w:pPr>
          </w:p>
        </w:tc>
        <w:tc>
          <w:tcPr>
            <w:tcW w:w="670" w:type="pct"/>
            <w:tcBorders>
              <w:bottom w:val="single" w:sz="6" w:space="0" w:color="auto"/>
            </w:tcBorders>
            <w:shd w:val="clear" w:color="auto" w:fill="D9D9D9" w:themeFill="background1" w:themeFillShade="D9"/>
            <w:vAlign w:val="bottom"/>
          </w:tcPr>
          <w:p w:rsidR="00892337" w:rsidRPr="00047DA8" w:rsidRDefault="00892337" w:rsidP="000F54D6">
            <w:pPr>
              <w:pStyle w:val="TableBodyText"/>
              <w:rPr>
                <w:b/>
              </w:rPr>
            </w:pPr>
          </w:p>
        </w:tc>
        <w:tc>
          <w:tcPr>
            <w:tcW w:w="670" w:type="pct"/>
            <w:tcBorders>
              <w:bottom w:val="single" w:sz="6" w:space="0" w:color="auto"/>
            </w:tcBorders>
            <w:shd w:val="clear" w:color="auto" w:fill="D9D9D9" w:themeFill="background1" w:themeFillShade="D9"/>
            <w:vAlign w:val="bottom"/>
          </w:tcPr>
          <w:p w:rsidR="00892337" w:rsidRPr="00047DA8" w:rsidRDefault="00892337" w:rsidP="000F54D6">
            <w:pPr>
              <w:pStyle w:val="TableBodyText"/>
              <w:rPr>
                <w:b/>
              </w:rPr>
            </w:pPr>
            <w:r w:rsidRPr="00047DA8">
              <w:rPr>
                <w:b/>
              </w:rPr>
              <w:t>-0.2</w:t>
            </w:r>
          </w:p>
        </w:tc>
        <w:tc>
          <w:tcPr>
            <w:tcW w:w="82" w:type="pct"/>
            <w:tcBorders>
              <w:bottom w:val="single" w:sz="6" w:space="0" w:color="auto"/>
            </w:tcBorders>
            <w:shd w:val="clear" w:color="auto" w:fill="D9D9D9" w:themeFill="background1" w:themeFillShade="D9"/>
            <w:vAlign w:val="bottom"/>
          </w:tcPr>
          <w:p w:rsidR="00892337" w:rsidRPr="00047DA8" w:rsidRDefault="00892337" w:rsidP="000F54D6">
            <w:pPr>
              <w:pStyle w:val="TableBodyText"/>
              <w:rPr>
                <w:b/>
              </w:rPr>
            </w:pPr>
          </w:p>
        </w:tc>
        <w:tc>
          <w:tcPr>
            <w:tcW w:w="670" w:type="pct"/>
            <w:tcBorders>
              <w:bottom w:val="single" w:sz="6" w:space="0" w:color="auto"/>
            </w:tcBorders>
            <w:shd w:val="clear" w:color="auto" w:fill="D9D9D9" w:themeFill="background1" w:themeFillShade="D9"/>
            <w:vAlign w:val="bottom"/>
          </w:tcPr>
          <w:p w:rsidR="00892337" w:rsidRPr="00047DA8" w:rsidRDefault="00892337" w:rsidP="000F54D6">
            <w:pPr>
              <w:pStyle w:val="TableBodyText"/>
              <w:rPr>
                <w:b/>
              </w:rPr>
            </w:pPr>
          </w:p>
        </w:tc>
        <w:tc>
          <w:tcPr>
            <w:tcW w:w="670" w:type="pct"/>
            <w:tcBorders>
              <w:bottom w:val="single" w:sz="6" w:space="0" w:color="auto"/>
            </w:tcBorders>
            <w:shd w:val="clear" w:color="auto" w:fill="D9D9D9" w:themeFill="background1" w:themeFillShade="D9"/>
            <w:vAlign w:val="bottom"/>
          </w:tcPr>
          <w:p w:rsidR="00892337" w:rsidRPr="00047DA8" w:rsidRDefault="00892337" w:rsidP="000F54D6">
            <w:pPr>
              <w:pStyle w:val="TableBodyText"/>
              <w:rPr>
                <w:b/>
              </w:rPr>
            </w:pPr>
            <w:r w:rsidRPr="00047DA8">
              <w:rPr>
                <w:b/>
              </w:rPr>
              <w:t>-2.8</w:t>
            </w:r>
          </w:p>
        </w:tc>
      </w:tr>
    </w:tbl>
    <w:p w:rsidR="007D41B4" w:rsidRPr="006A2C2F" w:rsidRDefault="007D41B4" w:rsidP="007D41B4">
      <w:pPr>
        <w:pStyle w:val="Note"/>
      </w:pPr>
      <w:r w:rsidRPr="009323D7">
        <w:rPr>
          <w:rStyle w:val="NoteLabel"/>
        </w:rPr>
        <w:t>a</w:t>
      </w:r>
      <w:r>
        <w:t xml:space="preserve"> Production volumes </w:t>
      </w:r>
      <w:r w:rsidR="00A22816">
        <w:t>—</w:t>
      </w:r>
      <w:r>
        <w:t xml:space="preserve"> average annual growth rates. </w:t>
      </w:r>
      <w:r w:rsidRPr="006A2C2F">
        <w:rPr>
          <w:rStyle w:val="NoteLabel"/>
        </w:rPr>
        <w:t>b</w:t>
      </w:r>
      <w:r>
        <w:rPr>
          <w:rStyle w:val="NoteLabel"/>
        </w:rPr>
        <w:t xml:space="preserve"> </w:t>
      </w:r>
      <w:r w:rsidR="00F82B83">
        <w:t>Size times growth</w:t>
      </w:r>
      <w:r w:rsidR="0020404D" w:rsidRPr="0020404D">
        <w:t>.</w:t>
      </w:r>
      <w:r w:rsidR="0020404D">
        <w:rPr>
          <w:rStyle w:val="NoteLabel"/>
        </w:rPr>
        <w:t xml:space="preserve"> </w:t>
      </w:r>
      <w:r w:rsidR="00DF2AF7">
        <w:t xml:space="preserve">Estimated relative contributions to growth of all of the BREE-listed metal products commodities. </w:t>
      </w:r>
      <w:r>
        <w:t>Contribution based on value weights, calculated from export price or L</w:t>
      </w:r>
      <w:r w:rsidR="0009501C">
        <w:t xml:space="preserve">ondon </w:t>
      </w:r>
      <w:r>
        <w:t>M</w:t>
      </w:r>
      <w:r w:rsidR="0009501C">
        <w:t xml:space="preserve">etal </w:t>
      </w:r>
      <w:r>
        <w:t>E</w:t>
      </w:r>
      <w:r w:rsidR="0009501C">
        <w:t>xchange</w:t>
      </w:r>
      <w:r>
        <w:t xml:space="preserve"> </w:t>
      </w:r>
      <w:r w:rsidR="000D59BF">
        <w:t>price</w:t>
      </w:r>
      <w:r>
        <w:t xml:space="preserve">. </w:t>
      </w:r>
      <w:r>
        <w:rPr>
          <w:rStyle w:val="NoteLabel"/>
        </w:rPr>
        <w:t xml:space="preserve">c </w:t>
      </w:r>
      <w:r w:rsidRPr="00047DA8">
        <w:t>Consists of manufactured ferrous products.</w:t>
      </w:r>
      <w:r>
        <w:t xml:space="preserve"> </w:t>
      </w:r>
      <w:r w:rsidR="00D3175C">
        <w:rPr>
          <w:rStyle w:val="NoteLabel"/>
        </w:rPr>
        <w:t>d</w:t>
      </w:r>
      <w:r w:rsidR="00D3175C">
        <w:t xml:space="preserve"> </w:t>
      </w:r>
      <w:r>
        <w:t>Nickel is the sum of class I and II products.</w:t>
      </w:r>
      <w:r w:rsidR="00DF2AF7">
        <w:t xml:space="preserve"> </w:t>
      </w:r>
    </w:p>
    <w:p w:rsidR="007D41B4" w:rsidRPr="00E455AA" w:rsidRDefault="007D41B4" w:rsidP="007D41B4">
      <w:pPr>
        <w:pStyle w:val="Source"/>
        <w:rPr>
          <w:i/>
        </w:rPr>
      </w:pPr>
      <w:r>
        <w:rPr>
          <w:i/>
        </w:rPr>
        <w:t>Source</w:t>
      </w:r>
      <w:r w:rsidR="00B27766" w:rsidRPr="00B551CC">
        <w:t>:</w:t>
      </w:r>
      <w:r>
        <w:t xml:space="preserve"> </w:t>
      </w:r>
      <w:r w:rsidR="00076798">
        <w:t xml:space="preserve">Authors’ estimates based on </w:t>
      </w:r>
      <w:proofErr w:type="spellStart"/>
      <w:r w:rsidR="00076798" w:rsidRPr="00154397">
        <w:t>BREE</w:t>
      </w:r>
      <w:proofErr w:type="spellEnd"/>
      <w:r w:rsidR="00076798" w:rsidRPr="00154397">
        <w:t xml:space="preserve"> (</w:t>
      </w:r>
      <w:proofErr w:type="spellStart"/>
      <w:r w:rsidR="00076798" w:rsidRPr="00154397">
        <w:t>2012</w:t>
      </w:r>
      <w:r w:rsidR="00FC6606">
        <w:t>b</w:t>
      </w:r>
      <w:proofErr w:type="spellEnd"/>
      <w:r w:rsidR="00E108F2" w:rsidRPr="00154397">
        <w:t>).</w:t>
      </w:r>
    </w:p>
    <w:p w:rsidR="007B07FE" w:rsidRDefault="007B07FE" w:rsidP="007D41B4">
      <w:pPr>
        <w:pStyle w:val="BodyText"/>
      </w:pPr>
      <w:r>
        <w:t xml:space="preserve">The primary metal products that experienced </w:t>
      </w:r>
      <w:r w:rsidR="007043D5">
        <w:t xml:space="preserve">positive </w:t>
      </w:r>
      <w:r>
        <w:t xml:space="preserve">growth </w:t>
      </w:r>
      <w:r w:rsidR="00887602">
        <w:t>in cycle 4</w:t>
      </w:r>
      <w:r w:rsidR="000B2580">
        <w:t xml:space="preserve"> </w:t>
      </w:r>
      <w:r>
        <w:t xml:space="preserve">were alumina (3.8 per cent </w:t>
      </w:r>
      <w:r w:rsidR="00904EEA">
        <w:t>a</w:t>
      </w:r>
      <w:r>
        <w:t xml:space="preserve"> year), aluminium (1.1 per cent </w:t>
      </w:r>
      <w:r w:rsidR="00904EEA">
        <w:t>a</w:t>
      </w:r>
      <w:r>
        <w:t xml:space="preserve"> year) and zinc (0.4 per cent </w:t>
      </w:r>
      <w:r w:rsidR="00904EEA">
        <w:t>a</w:t>
      </w:r>
      <w:r>
        <w:t xml:space="preserve"> year). Of these,</w:t>
      </w:r>
      <w:r w:rsidR="006B2C4B">
        <w:t xml:space="preserve"> only</w:t>
      </w:r>
      <w:r>
        <w:t xml:space="preserve"> alumina </w:t>
      </w:r>
      <w:r w:rsidR="003B5EF1">
        <w:t xml:space="preserve">output </w:t>
      </w:r>
      <w:r w:rsidR="00110AD9">
        <w:t>grew</w:t>
      </w:r>
      <w:r>
        <w:t xml:space="preserve"> at a rate faster than in cycle 3. </w:t>
      </w:r>
    </w:p>
    <w:p w:rsidR="007D41B4" w:rsidRDefault="006F352E" w:rsidP="007D41B4">
      <w:pPr>
        <w:pStyle w:val="BodyText"/>
      </w:pPr>
      <w:r>
        <w:t>Growth</w:t>
      </w:r>
      <w:r w:rsidR="007D41B4">
        <w:t xml:space="preserve"> in </w:t>
      </w:r>
      <w:r w:rsidR="00EF7D97">
        <w:t xml:space="preserve">the volume of </w:t>
      </w:r>
      <w:r w:rsidR="007D41B4">
        <w:t xml:space="preserve">output </w:t>
      </w:r>
      <w:r w:rsidR="00EF7D97">
        <w:t xml:space="preserve">of </w:t>
      </w:r>
      <w:r w:rsidR="007D41B4">
        <w:t>alumina</w:t>
      </w:r>
      <w:r w:rsidR="005C4FEE">
        <w:t>,</w:t>
      </w:r>
      <w:r w:rsidR="007D41B4">
        <w:t xml:space="preserve"> aluminium</w:t>
      </w:r>
      <w:r w:rsidR="005C4FEE">
        <w:t xml:space="preserve"> and zinc</w:t>
      </w:r>
      <w:r w:rsidR="008B0023">
        <w:t xml:space="preserve"> </w:t>
      </w:r>
      <w:r w:rsidR="007D41B4">
        <w:t xml:space="preserve">does not seem to be sufficient to explain the </w:t>
      </w:r>
      <w:r w:rsidR="00EF7D97">
        <w:t xml:space="preserve">strong </w:t>
      </w:r>
      <w:r w:rsidR="007D41B4">
        <w:t xml:space="preserve">growth in </w:t>
      </w:r>
      <w:r w:rsidR="007830E9">
        <w:t>value added</w:t>
      </w:r>
      <w:r w:rsidR="005C4FEE">
        <w:t xml:space="preserve"> </w:t>
      </w:r>
      <w:r w:rsidR="007D41B4">
        <w:t xml:space="preserve">for the </w:t>
      </w:r>
      <w:r w:rsidR="006B0816">
        <w:t>MP</w:t>
      </w:r>
      <w:r w:rsidR="007D41B4">
        <w:t xml:space="preserve"> subsector as a whole.</w:t>
      </w:r>
    </w:p>
    <w:p w:rsidR="007D41B4" w:rsidRDefault="007D41B4" w:rsidP="004125B1">
      <w:pPr>
        <w:pStyle w:val="Heading4"/>
        <w:keepNext w:val="0"/>
        <w:widowControl w:val="0"/>
      </w:pPr>
      <w:r>
        <w:t>Fabricated metal</w:t>
      </w:r>
      <w:r w:rsidR="00573223">
        <w:t>s</w:t>
      </w:r>
    </w:p>
    <w:p w:rsidR="00D27B8A" w:rsidRDefault="000D0A55" w:rsidP="004125B1">
      <w:pPr>
        <w:pStyle w:val="BodyText"/>
        <w:widowControl w:val="0"/>
      </w:pPr>
      <w:r>
        <w:t>Practically all</w:t>
      </w:r>
      <w:r w:rsidR="00516499">
        <w:t xml:space="preserve"> of the </w:t>
      </w:r>
      <w:r w:rsidR="001F676F">
        <w:t>value added</w:t>
      </w:r>
      <w:r w:rsidR="006034E4">
        <w:t xml:space="preserve"> growth</w:t>
      </w:r>
      <w:r w:rsidR="00516499">
        <w:t xml:space="preserve"> in Fabricated metal</w:t>
      </w:r>
      <w:r w:rsidR="00573223">
        <w:t>s</w:t>
      </w:r>
      <w:r w:rsidR="00516499">
        <w:t xml:space="preserve"> seems to </w:t>
      </w:r>
      <w:r w:rsidR="00BB28DD">
        <w:t>have occurred</w:t>
      </w:r>
      <w:r w:rsidR="00516499">
        <w:t xml:space="preserve"> in construction-related products</w:t>
      </w:r>
      <w:r w:rsidR="008C4D89">
        <w:t>, which</w:t>
      </w:r>
      <w:r w:rsidR="00516499">
        <w:t xml:space="preserve"> tallies</w:t>
      </w:r>
      <w:r w:rsidR="00821385">
        <w:t xml:space="preserve"> well</w:t>
      </w:r>
      <w:r w:rsidR="00516499">
        <w:t xml:space="preserve"> with the changes in the operating environment</w:t>
      </w:r>
      <w:r w:rsidR="00C81ADD">
        <w:t>.</w:t>
      </w:r>
      <w:r w:rsidR="00516499">
        <w:t xml:space="preserve"> </w:t>
      </w:r>
    </w:p>
    <w:p w:rsidR="004125B1" w:rsidRDefault="0019419E" w:rsidP="00F842B4">
      <w:pPr>
        <w:pStyle w:val="BodyText"/>
      </w:pPr>
      <w:r>
        <w:t xml:space="preserve">While there are some difficulties in calculating </w:t>
      </w:r>
      <w:r w:rsidR="00AE3450">
        <w:t xml:space="preserve">real value added </w:t>
      </w:r>
      <w:r w:rsidR="00A7783B">
        <w:t xml:space="preserve">(box </w:t>
      </w:r>
      <w:r w:rsidR="00BF28CB">
        <w:t>6.1)</w:t>
      </w:r>
      <w:r>
        <w:t xml:space="preserve">, there is strong evidence to indicate that those parts </w:t>
      </w:r>
      <w:r w:rsidR="00730447">
        <w:t xml:space="preserve">of the </w:t>
      </w:r>
      <w:r w:rsidR="00B92D88">
        <w:t xml:space="preserve">subdivision </w:t>
      </w:r>
      <w:r>
        <w:t xml:space="preserve">associated with construction — particularly structural steel manufacturing — </w:t>
      </w:r>
      <w:r w:rsidR="00290BA8">
        <w:t>were</w:t>
      </w:r>
      <w:r>
        <w:t xml:space="preserve"> responsible for the bulk of </w:t>
      </w:r>
      <w:r w:rsidR="00DF71E4">
        <w:t xml:space="preserve">nominal </w:t>
      </w:r>
      <w:r w:rsidR="001F676F">
        <w:t>value added</w:t>
      </w:r>
      <w:r w:rsidR="00C60468">
        <w:t xml:space="preserve"> </w:t>
      </w:r>
      <w:r>
        <w:t xml:space="preserve">growth in </w:t>
      </w:r>
      <w:r w:rsidR="006B0816">
        <w:t>MP</w:t>
      </w:r>
      <w:r>
        <w:t>, between cycles 3 and 4.</w:t>
      </w:r>
      <w:r w:rsidR="00F842B4">
        <w:t xml:space="preserve"> </w:t>
      </w:r>
    </w:p>
    <w:p w:rsidR="00180E99" w:rsidRDefault="00180E99">
      <w:pPr>
        <w:rPr>
          <w:rFonts w:ascii="Times New Roman" w:eastAsia="Times New Roman" w:hAnsi="Times New Roman" w:cs="Times New Roman"/>
          <w:sz w:val="26"/>
          <w:szCs w:val="20"/>
          <w:lang w:eastAsia="en-AU"/>
        </w:rPr>
      </w:pPr>
    </w:p>
    <w:p w:rsidR="00180E99" w:rsidRDefault="00180E99" w:rsidP="00180E9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80E99" w:rsidTr="00180E99">
        <w:tc>
          <w:tcPr>
            <w:tcW w:w="8771" w:type="dxa"/>
            <w:tcBorders>
              <w:top w:val="single" w:sz="6" w:space="0" w:color="auto"/>
              <w:bottom w:val="nil"/>
            </w:tcBorders>
          </w:tcPr>
          <w:p w:rsidR="00180E99" w:rsidRPr="00633C47" w:rsidRDefault="00180E99" w:rsidP="00180E99">
            <w:pPr>
              <w:pStyle w:val="BoxTitle"/>
              <w:rPr>
                <w:sz w:val="24"/>
                <w:szCs w:val="24"/>
              </w:rPr>
            </w:pPr>
            <w:r w:rsidRPr="00633C47">
              <w:rPr>
                <w:b w:val="0"/>
                <w:sz w:val="24"/>
                <w:szCs w:val="24"/>
              </w:rPr>
              <w:t xml:space="preserve">Box </w:t>
            </w:r>
            <w:bookmarkStart w:id="23" w:name="OLE_LINK11"/>
            <w:r w:rsidRPr="00633C47">
              <w:rPr>
                <w:b w:val="0"/>
                <w:sz w:val="24"/>
                <w:szCs w:val="24"/>
              </w:rPr>
              <w:t>6.</w:t>
            </w:r>
            <w:r>
              <w:rPr>
                <w:b w:val="0"/>
                <w:noProof/>
                <w:sz w:val="24"/>
                <w:szCs w:val="24"/>
              </w:rPr>
              <w:t>1</w:t>
            </w:r>
            <w:bookmarkEnd w:id="23"/>
            <w:r w:rsidRPr="00633C47">
              <w:rPr>
                <w:sz w:val="24"/>
                <w:szCs w:val="24"/>
              </w:rPr>
              <w:tab/>
            </w:r>
            <w:r w:rsidRPr="00C538EA">
              <w:rPr>
                <w:sz w:val="24"/>
                <w:szCs w:val="24"/>
              </w:rPr>
              <w:t>Difficulties in measuring value added in Fabricated metal</w:t>
            </w:r>
            <w:r w:rsidRPr="005C5E8A">
              <w:rPr>
                <w:sz w:val="24"/>
                <w:szCs w:val="24"/>
              </w:rPr>
              <w:t>s</w:t>
            </w:r>
          </w:p>
        </w:tc>
      </w:tr>
      <w:tr w:rsidR="00180E99" w:rsidTr="00180E99">
        <w:trPr>
          <w:cantSplit/>
        </w:trPr>
        <w:tc>
          <w:tcPr>
            <w:tcW w:w="8771" w:type="dxa"/>
            <w:tcBorders>
              <w:top w:val="nil"/>
              <w:left w:val="single" w:sz="6" w:space="0" w:color="auto"/>
              <w:bottom w:val="nil"/>
              <w:right w:val="single" w:sz="6" w:space="0" w:color="auto"/>
            </w:tcBorders>
          </w:tcPr>
          <w:p w:rsidR="00180E99" w:rsidRDefault="00180E99" w:rsidP="00180E99">
            <w:pPr>
              <w:pStyle w:val="Box"/>
            </w:pPr>
            <w:r>
              <w:t xml:space="preserve">Value added data are available only in nominal terms for </w:t>
            </w:r>
            <w:proofErr w:type="spellStart"/>
            <w:r>
              <w:t>ANZSIC</w:t>
            </w:r>
            <w:proofErr w:type="spellEnd"/>
            <w:r>
              <w:t xml:space="preserve"> groups within the MP subsector. Because changes in nominal value added reflect both price and volume changes, at best they provide a broad indication of the relative growth the volume of value added in different parts of Fabricated metals manufacturing.</w:t>
            </w:r>
            <w:r w:rsidRPr="00516499">
              <w:t xml:space="preserve"> </w:t>
            </w:r>
            <w:r>
              <w:t>T</w:t>
            </w:r>
            <w:r w:rsidRPr="00516499">
              <w:t xml:space="preserve">here is no source of data analogous to that used for Primary metal </w:t>
            </w:r>
            <w:r>
              <w:t>manufacturing</w:t>
            </w:r>
            <w:r w:rsidRPr="00516499">
              <w:t xml:space="preserve"> to look at </w:t>
            </w:r>
            <w:r>
              <w:t xml:space="preserve">physical </w:t>
            </w:r>
            <w:r w:rsidRPr="00516499">
              <w:t>volumes of production.</w:t>
            </w:r>
          </w:p>
          <w:p w:rsidR="00180E99" w:rsidRDefault="00180E99" w:rsidP="00180E99">
            <w:pPr>
              <w:pStyle w:val="BoxHeading2"/>
            </w:pPr>
            <w:proofErr w:type="spellStart"/>
            <w:r>
              <w:t>ANZSIC</w:t>
            </w:r>
            <w:proofErr w:type="spellEnd"/>
            <w:r>
              <w:t xml:space="preserve"> changes</w:t>
            </w:r>
          </w:p>
          <w:p w:rsidR="00180E99" w:rsidRDefault="00180E99" w:rsidP="00180E99">
            <w:pPr>
              <w:pStyle w:val="Box"/>
            </w:pPr>
            <w:r>
              <w:t xml:space="preserve">There are also several differences in the definition of Fabricated metal products manufacturing between the 1993 and 2006 editions of </w:t>
            </w:r>
            <w:proofErr w:type="spellStart"/>
            <w:r>
              <w:t>ANZSIC</w:t>
            </w:r>
            <w:proofErr w:type="spellEnd"/>
            <w:r>
              <w:t xml:space="preserve">. This makes it difficult to construct a long enough time series to fully describe movement within the subdivision over cycles 3 and 4. The main problem is that parts of several </w:t>
            </w:r>
            <w:proofErr w:type="spellStart"/>
            <w:r>
              <w:t>ANZSIC93</w:t>
            </w:r>
            <w:proofErr w:type="spellEnd"/>
            <w:r>
              <w:t xml:space="preserve"> classes were divided up into a greater number of overlapping </w:t>
            </w:r>
            <w:proofErr w:type="spellStart"/>
            <w:r>
              <w:t>ANZSIC06</w:t>
            </w:r>
            <w:proofErr w:type="spellEnd"/>
            <w:r>
              <w:t xml:space="preserve"> classes and some activities were moved from the MP manufacturing subsector to other parts of Manufacturing (for example, Machinery and equipment manufacturing and Other manufacturing) or to Construction.</w:t>
            </w:r>
          </w:p>
          <w:p w:rsidR="00180E99" w:rsidRDefault="00180E99" w:rsidP="00180E99">
            <w:pPr>
              <w:pStyle w:val="Box"/>
            </w:pPr>
            <w:r>
              <w:t xml:space="preserve">There are, however, a handful of classes that concord exactly from </w:t>
            </w:r>
            <w:proofErr w:type="spellStart"/>
            <w:r>
              <w:t>ANZSIC93</w:t>
            </w:r>
            <w:proofErr w:type="spellEnd"/>
            <w:r>
              <w:t xml:space="preserve"> to </w:t>
            </w:r>
            <w:proofErr w:type="spellStart"/>
            <w:r>
              <w:t>ANZSIC06</w:t>
            </w:r>
            <w:proofErr w:type="spellEnd"/>
            <w:r>
              <w:t xml:space="preserve"> (by </w:t>
            </w:r>
            <w:proofErr w:type="spellStart"/>
            <w:r>
              <w:t>ANZSIC06</w:t>
            </w:r>
            <w:proofErr w:type="spellEnd"/>
            <w:r>
              <w:t xml:space="preserve"> code):</w:t>
            </w:r>
          </w:p>
          <w:p w:rsidR="00180E99" w:rsidRPr="00854416" w:rsidRDefault="00180E99" w:rsidP="00180E99">
            <w:pPr>
              <w:pStyle w:val="BoxListBullet"/>
            </w:pPr>
            <w:r>
              <w:t xml:space="preserve">2221 </w:t>
            </w:r>
            <w:r>
              <w:rPr>
                <w:i/>
              </w:rPr>
              <w:t xml:space="preserve">Structural steel fabricating </w:t>
            </w:r>
            <w:r w:rsidRPr="00C52CC7">
              <w:t>(23 per cent of Fabricated metal</w:t>
            </w:r>
            <w:r>
              <w:t>s</w:t>
            </w:r>
            <w:r w:rsidRPr="00C52CC7">
              <w:t xml:space="preserve"> </w:t>
            </w:r>
            <w:r>
              <w:t>value added</w:t>
            </w:r>
            <w:r w:rsidRPr="00C52CC7">
              <w:t xml:space="preserve"> in 2007-08)</w:t>
            </w:r>
          </w:p>
          <w:p w:rsidR="00180E99" w:rsidRPr="00854416" w:rsidRDefault="00180E99" w:rsidP="00180E99">
            <w:pPr>
              <w:pStyle w:val="BoxListBullet"/>
            </w:pPr>
            <w:r>
              <w:t xml:space="preserve">2229 </w:t>
            </w:r>
            <w:r>
              <w:rPr>
                <w:i/>
              </w:rPr>
              <w:t xml:space="preserve">Other structural metal product manufacturing </w:t>
            </w:r>
            <w:r w:rsidRPr="00C52CC7">
              <w:t>(13</w:t>
            </w:r>
            <w:r>
              <w:t xml:space="preserve"> per cent</w:t>
            </w:r>
            <w:r w:rsidRPr="00C52CC7">
              <w:t>)</w:t>
            </w:r>
          </w:p>
          <w:p w:rsidR="00180E99" w:rsidRPr="00854416" w:rsidRDefault="00180E99" w:rsidP="00180E99">
            <w:pPr>
              <w:pStyle w:val="BoxListBullet"/>
            </w:pPr>
            <w:r>
              <w:t xml:space="preserve">2291 </w:t>
            </w:r>
            <w:r>
              <w:rPr>
                <w:i/>
              </w:rPr>
              <w:t xml:space="preserve">Spring and wire product manufacturing </w:t>
            </w:r>
            <w:r w:rsidRPr="00C52CC7">
              <w:t>(7</w:t>
            </w:r>
            <w:r>
              <w:t xml:space="preserve"> per cent</w:t>
            </w:r>
            <w:r w:rsidRPr="00C52CC7">
              <w:t>)</w:t>
            </w:r>
          </w:p>
          <w:p w:rsidR="00180E99" w:rsidRPr="00854416" w:rsidRDefault="00180E99" w:rsidP="00180E99">
            <w:pPr>
              <w:pStyle w:val="BoxListBullet"/>
            </w:pPr>
            <w:r>
              <w:t xml:space="preserve">2292 </w:t>
            </w:r>
            <w:r>
              <w:rPr>
                <w:i/>
              </w:rPr>
              <w:t xml:space="preserve">Nut, bolt, screw and rivet manufacturing </w:t>
            </w:r>
            <w:r w:rsidRPr="00C52CC7">
              <w:t>(4</w:t>
            </w:r>
            <w:r>
              <w:t xml:space="preserve"> per cent</w:t>
            </w:r>
            <w:r w:rsidRPr="00C52CC7">
              <w:t>)</w:t>
            </w:r>
          </w:p>
          <w:p w:rsidR="00180E99" w:rsidRPr="00854416" w:rsidRDefault="00180E99" w:rsidP="00180E99">
            <w:pPr>
              <w:pStyle w:val="BoxListBullet"/>
            </w:pPr>
            <w:r>
              <w:t xml:space="preserve">2293 </w:t>
            </w:r>
            <w:r>
              <w:rPr>
                <w:i/>
              </w:rPr>
              <w:t xml:space="preserve">Metal coating and finishing </w:t>
            </w:r>
            <w:r w:rsidRPr="00C52CC7">
              <w:t>(2</w:t>
            </w:r>
            <w:r>
              <w:t xml:space="preserve"> per cent</w:t>
            </w:r>
            <w:r w:rsidRPr="00C52CC7">
              <w:t>)</w:t>
            </w:r>
          </w:p>
          <w:p w:rsidR="00180E99" w:rsidRDefault="00180E99" w:rsidP="00180E99">
            <w:pPr>
              <w:pStyle w:val="Box"/>
            </w:pPr>
            <w:r>
              <w:t xml:space="preserve">In addition, there is another category that concords closely, based on the descriptions given in both editions of the relevant </w:t>
            </w:r>
            <w:proofErr w:type="spellStart"/>
            <w:r>
              <w:t>ANZSIC</w:t>
            </w:r>
            <w:proofErr w:type="spellEnd"/>
            <w:r>
              <w:t xml:space="preserve"> manual:</w:t>
            </w:r>
          </w:p>
          <w:p w:rsidR="00180E99" w:rsidRPr="00854416" w:rsidRDefault="00180E99" w:rsidP="00180E99">
            <w:pPr>
              <w:pStyle w:val="BoxListBullet"/>
            </w:pPr>
            <w:r>
              <w:t xml:space="preserve">2223 </w:t>
            </w:r>
            <w:r>
              <w:rPr>
                <w:i/>
              </w:rPr>
              <w:t xml:space="preserve">Architectural aluminium product manufacturing </w:t>
            </w:r>
            <w:r w:rsidRPr="00C52CC7">
              <w:t>(8</w:t>
            </w:r>
            <w:r>
              <w:t xml:space="preserve"> per cent</w:t>
            </w:r>
            <w:r w:rsidRPr="00C52CC7">
              <w:t>)</w:t>
            </w:r>
          </w:p>
          <w:p w:rsidR="00180E99" w:rsidRPr="00D27B8A" w:rsidRDefault="00180E99" w:rsidP="00180E99">
            <w:pPr>
              <w:pStyle w:val="Box"/>
            </w:pPr>
            <w:r>
              <w:t>Thus, it is possible to examine movements in the above series (which comprise around 57 per cent of the subdivision value added, and almost three-quarters of the growth, in cycle 4) as well as an amalgamated group of all other fabricated metal products activities that comprise the remainder of the subdivision.</w:t>
            </w:r>
          </w:p>
        </w:tc>
      </w:tr>
      <w:tr w:rsidR="00180E99" w:rsidTr="00180E99">
        <w:trPr>
          <w:cantSplit/>
        </w:trPr>
        <w:tc>
          <w:tcPr>
            <w:tcW w:w="8771" w:type="dxa"/>
            <w:tcBorders>
              <w:top w:val="nil"/>
              <w:left w:val="single" w:sz="6" w:space="0" w:color="auto"/>
              <w:bottom w:val="nil"/>
              <w:right w:val="single" w:sz="6" w:space="0" w:color="auto"/>
            </w:tcBorders>
          </w:tcPr>
          <w:p w:rsidR="00180E99" w:rsidRPr="0067062E" w:rsidRDefault="00180E99" w:rsidP="00180E99">
            <w:pPr>
              <w:pStyle w:val="BoxSource"/>
            </w:pPr>
            <w:r>
              <w:rPr>
                <w:i/>
              </w:rPr>
              <w:t>Sources</w:t>
            </w:r>
            <w:r w:rsidRPr="00B551CC">
              <w:t>:</w:t>
            </w:r>
            <w:r w:rsidRPr="00167F06">
              <w:t xml:space="preserve"> </w:t>
            </w:r>
            <w:r>
              <w:t>ABS (</w:t>
            </w:r>
            <w:r w:rsidRPr="00C87A74">
              <w:rPr>
                <w:i/>
              </w:rPr>
              <w:t>Australian and New Zealand Standard Industria</w:t>
            </w:r>
            <w:r>
              <w:rPr>
                <w:i/>
              </w:rPr>
              <w:t>l Classification, 2006,</w:t>
            </w:r>
            <w:r>
              <w:t xml:space="preserve"> Cat. no. 1292.0); authors estimates’ based on ABS (</w:t>
            </w:r>
            <w:r w:rsidRPr="004154FF">
              <w:rPr>
                <w:i/>
              </w:rPr>
              <w:t>Experimental Estimates for the Manufacturing Industry, 2006-07 and 2007-08,</w:t>
            </w:r>
            <w:r>
              <w:t xml:space="preserve"> Cat. no. 8159.0).</w:t>
            </w:r>
          </w:p>
        </w:tc>
      </w:tr>
      <w:tr w:rsidR="00180E99" w:rsidTr="00180E99">
        <w:trPr>
          <w:cantSplit/>
        </w:trPr>
        <w:tc>
          <w:tcPr>
            <w:tcW w:w="8771" w:type="dxa"/>
            <w:tcBorders>
              <w:top w:val="nil"/>
              <w:left w:val="single" w:sz="6" w:space="0" w:color="auto"/>
              <w:bottom w:val="single" w:sz="6" w:space="0" w:color="auto"/>
              <w:right w:val="single" w:sz="6" w:space="0" w:color="auto"/>
            </w:tcBorders>
          </w:tcPr>
          <w:p w:rsidR="00180E99" w:rsidRDefault="00180E99" w:rsidP="00180E99">
            <w:pPr>
              <w:pStyle w:val="Box"/>
              <w:spacing w:before="0" w:line="120" w:lineRule="exact"/>
            </w:pPr>
          </w:p>
        </w:tc>
      </w:tr>
      <w:tr w:rsidR="00180E99" w:rsidRPr="000863A5" w:rsidTr="00180E99">
        <w:tc>
          <w:tcPr>
            <w:tcW w:w="8771" w:type="dxa"/>
            <w:tcBorders>
              <w:top w:val="nil"/>
              <w:left w:val="nil"/>
              <w:bottom w:val="nil"/>
              <w:right w:val="nil"/>
            </w:tcBorders>
          </w:tcPr>
          <w:p w:rsidR="00180E99" w:rsidRPr="00626D32" w:rsidRDefault="00180E99" w:rsidP="00180E99">
            <w:pPr>
              <w:pStyle w:val="BoxSpaceBelow"/>
            </w:pPr>
          </w:p>
        </w:tc>
      </w:tr>
    </w:tbl>
    <w:p w:rsidR="00180E99" w:rsidRDefault="00180E99" w:rsidP="00B74769">
      <w:pPr>
        <w:pStyle w:val="BodyText"/>
      </w:pPr>
    </w:p>
    <w:p w:rsidR="00180E99" w:rsidRDefault="00180E99" w:rsidP="00180E99">
      <w:pPr>
        <w:pStyle w:val="BodyText"/>
      </w:pPr>
      <w:r>
        <w:br w:type="page"/>
      </w:r>
    </w:p>
    <w:p w:rsidR="00B74769" w:rsidRDefault="00B74769" w:rsidP="00B74769">
      <w:pPr>
        <w:pStyle w:val="BodyText"/>
      </w:pPr>
      <w:r>
        <w:lastRenderedPageBreak/>
        <w:t>Table 6.4 details the growth in selected industry classes within the Fabricated metal</w:t>
      </w:r>
      <w:r w:rsidR="00573223">
        <w:t xml:space="preserve">s </w:t>
      </w:r>
      <w:r>
        <w:t xml:space="preserve">subdivision, together with a ‘catch-all’ category for the part of the subdivision that cannot be easily tracked over time due to industry classification changes. </w:t>
      </w:r>
    </w:p>
    <w:p w:rsidR="00844A37" w:rsidRPr="00EC4839" w:rsidRDefault="00844A37" w:rsidP="00844A37">
      <w:pPr>
        <w:pStyle w:val="TableTitle"/>
        <w:rPr>
          <w:sz w:val="24"/>
        </w:rPr>
      </w:pPr>
      <w:bookmarkStart w:id="24" w:name="OLE_LINK1"/>
      <w:r w:rsidRPr="00EC4839">
        <w:rPr>
          <w:b w:val="0"/>
          <w:sz w:val="24"/>
        </w:rPr>
        <w:t xml:space="preserve">Table </w:t>
      </w:r>
      <w:bookmarkStart w:id="25" w:name="OLE_LINK20"/>
      <w:r w:rsidRPr="00EC4839">
        <w:rPr>
          <w:b w:val="0"/>
          <w:sz w:val="24"/>
        </w:rPr>
        <w:t>6.</w:t>
      </w:r>
      <w:r w:rsidR="00227A34">
        <w:rPr>
          <w:b w:val="0"/>
          <w:noProof/>
          <w:sz w:val="24"/>
        </w:rPr>
        <w:t>4</w:t>
      </w:r>
      <w:bookmarkEnd w:id="24"/>
      <w:bookmarkEnd w:id="25"/>
      <w:r w:rsidRPr="00EC4839">
        <w:rPr>
          <w:sz w:val="24"/>
        </w:rPr>
        <w:tab/>
      </w:r>
      <w:r>
        <w:rPr>
          <w:sz w:val="24"/>
        </w:rPr>
        <w:t>Estimated contributions to growth in nominal value added of Fabricated metals</w:t>
      </w:r>
    </w:p>
    <w:tbl>
      <w:tblPr>
        <w:tblW w:w="5000" w:type="pct"/>
        <w:tblLayout w:type="fixed"/>
        <w:tblCellMar>
          <w:left w:w="0" w:type="dxa"/>
          <w:right w:w="0" w:type="dxa"/>
        </w:tblCellMar>
        <w:tblLook w:val="0000" w:firstRow="0" w:lastRow="0" w:firstColumn="0" w:lastColumn="0" w:noHBand="0" w:noVBand="0"/>
      </w:tblPr>
      <w:tblGrid>
        <w:gridCol w:w="2980"/>
        <w:gridCol w:w="921"/>
        <w:gridCol w:w="921"/>
        <w:gridCol w:w="142"/>
        <w:gridCol w:w="921"/>
        <w:gridCol w:w="923"/>
        <w:gridCol w:w="139"/>
        <w:gridCol w:w="923"/>
        <w:gridCol w:w="919"/>
      </w:tblGrid>
      <w:tr w:rsidR="00844A37" w:rsidTr="00153074">
        <w:tc>
          <w:tcPr>
            <w:tcW w:w="1695" w:type="pct"/>
            <w:tcBorders>
              <w:top w:val="single" w:sz="6" w:space="0" w:color="auto"/>
            </w:tcBorders>
            <w:shd w:val="clear" w:color="auto" w:fill="auto"/>
          </w:tcPr>
          <w:p w:rsidR="00844A37" w:rsidRDefault="00844A37" w:rsidP="00BD7518">
            <w:pPr>
              <w:pStyle w:val="TableColumnHeading"/>
              <w:spacing w:before="40" w:after="40"/>
              <w:ind w:right="0"/>
              <w:jc w:val="center"/>
              <w:rPr>
                <w:rFonts w:eastAsiaTheme="minorHAnsi" w:cstheme="minorBidi"/>
                <w:szCs w:val="22"/>
                <w:lang w:eastAsia="en-US"/>
              </w:rPr>
            </w:pPr>
          </w:p>
        </w:tc>
        <w:tc>
          <w:tcPr>
            <w:tcW w:w="1048" w:type="pct"/>
            <w:gridSpan w:val="2"/>
            <w:tcBorders>
              <w:top w:val="single" w:sz="6" w:space="0" w:color="auto"/>
              <w:bottom w:val="single" w:sz="6" w:space="0" w:color="auto"/>
            </w:tcBorders>
          </w:tcPr>
          <w:p w:rsidR="00844A37" w:rsidRDefault="00844A37" w:rsidP="00633C47">
            <w:pPr>
              <w:pStyle w:val="TableColumnHeading"/>
              <w:spacing w:before="40" w:after="40"/>
              <w:ind w:right="0"/>
              <w:jc w:val="center"/>
            </w:pPr>
            <w:r>
              <w:t>Cycle 3:</w:t>
            </w:r>
            <w:r>
              <w:br/>
              <w:t>1998-99 to 2003-04</w:t>
            </w:r>
          </w:p>
        </w:tc>
        <w:tc>
          <w:tcPr>
            <w:tcW w:w="81" w:type="pct"/>
            <w:tcBorders>
              <w:top w:val="single" w:sz="6" w:space="0" w:color="auto"/>
            </w:tcBorders>
          </w:tcPr>
          <w:p w:rsidR="00844A37" w:rsidRDefault="00844A37" w:rsidP="00633C47">
            <w:pPr>
              <w:pStyle w:val="TableColumnHeading"/>
              <w:spacing w:before="40" w:after="40"/>
              <w:ind w:right="1"/>
              <w:jc w:val="center"/>
              <w:rPr>
                <w:rFonts w:eastAsiaTheme="minorHAnsi" w:cstheme="minorBidi"/>
                <w:szCs w:val="22"/>
                <w:lang w:eastAsia="en-US"/>
              </w:rPr>
            </w:pPr>
          </w:p>
        </w:tc>
        <w:tc>
          <w:tcPr>
            <w:tcW w:w="1049" w:type="pct"/>
            <w:gridSpan w:val="2"/>
            <w:tcBorders>
              <w:top w:val="single" w:sz="6" w:space="0" w:color="auto"/>
              <w:bottom w:val="single" w:sz="6" w:space="0" w:color="auto"/>
            </w:tcBorders>
            <w:shd w:val="clear" w:color="auto" w:fill="auto"/>
          </w:tcPr>
          <w:p w:rsidR="00844A37" w:rsidRDefault="00844A37" w:rsidP="00633C47">
            <w:pPr>
              <w:pStyle w:val="TableColumnHeading"/>
              <w:spacing w:before="40" w:after="40"/>
              <w:ind w:right="1"/>
              <w:jc w:val="center"/>
            </w:pPr>
            <w:r>
              <w:t>Cycle 4:</w:t>
            </w:r>
            <w:r>
              <w:br/>
              <w:t>2003-04 to 2007-08</w:t>
            </w:r>
          </w:p>
        </w:tc>
        <w:tc>
          <w:tcPr>
            <w:tcW w:w="79" w:type="pct"/>
            <w:tcBorders>
              <w:top w:val="single" w:sz="6" w:space="0" w:color="auto"/>
            </w:tcBorders>
          </w:tcPr>
          <w:p w:rsidR="00844A37" w:rsidRDefault="00844A37" w:rsidP="00633C47">
            <w:pPr>
              <w:pStyle w:val="TableColumnHeading"/>
              <w:spacing w:before="40" w:after="40"/>
              <w:ind w:right="28"/>
              <w:jc w:val="center"/>
              <w:rPr>
                <w:rFonts w:eastAsiaTheme="minorHAnsi" w:cstheme="minorBidi"/>
                <w:szCs w:val="22"/>
                <w:lang w:eastAsia="en-US"/>
              </w:rPr>
            </w:pPr>
          </w:p>
        </w:tc>
        <w:tc>
          <w:tcPr>
            <w:tcW w:w="1048" w:type="pct"/>
            <w:gridSpan w:val="2"/>
            <w:tcBorders>
              <w:top w:val="single" w:sz="6" w:space="0" w:color="auto"/>
              <w:bottom w:val="single" w:sz="6" w:space="0" w:color="auto"/>
            </w:tcBorders>
            <w:shd w:val="clear" w:color="auto" w:fill="auto"/>
          </w:tcPr>
          <w:p w:rsidR="00844A37" w:rsidRDefault="00844A37" w:rsidP="00633C47">
            <w:pPr>
              <w:pStyle w:val="TableColumnHeading"/>
              <w:spacing w:before="40" w:after="40"/>
              <w:ind w:right="28"/>
              <w:jc w:val="center"/>
            </w:pPr>
            <w:r>
              <w:t xml:space="preserve">Difference </w:t>
            </w:r>
            <w:r>
              <w:br/>
              <w:t>between the cycles</w:t>
            </w:r>
          </w:p>
        </w:tc>
      </w:tr>
      <w:tr w:rsidR="00844A37" w:rsidRPr="00DE1D3A" w:rsidTr="00633C47">
        <w:tc>
          <w:tcPr>
            <w:tcW w:w="1695" w:type="pct"/>
            <w:tcBorders>
              <w:bottom w:val="single" w:sz="6" w:space="0" w:color="auto"/>
            </w:tcBorders>
            <w:shd w:val="clear" w:color="auto" w:fill="auto"/>
            <w:vAlign w:val="bottom"/>
          </w:tcPr>
          <w:p w:rsidR="00844A37" w:rsidRPr="00DE1D3A" w:rsidRDefault="00844A37" w:rsidP="00BD7518">
            <w:pPr>
              <w:pStyle w:val="TableUnitsRow"/>
              <w:spacing w:before="40" w:after="40"/>
              <w:ind w:right="0"/>
              <w:jc w:val="left"/>
              <w:rPr>
                <w:rFonts w:eastAsiaTheme="minorHAnsi" w:cstheme="minorBidi"/>
                <w:i/>
                <w:szCs w:val="22"/>
                <w:lang w:eastAsia="en-US"/>
              </w:rPr>
            </w:pPr>
          </w:p>
        </w:tc>
        <w:tc>
          <w:tcPr>
            <w:tcW w:w="524" w:type="pct"/>
            <w:tcBorders>
              <w:top w:val="single" w:sz="6" w:space="0" w:color="auto"/>
              <w:bottom w:val="single" w:sz="6" w:space="0" w:color="auto"/>
            </w:tcBorders>
            <w:vAlign w:val="bottom"/>
          </w:tcPr>
          <w:p w:rsidR="00844A37" w:rsidRPr="00DE1D3A" w:rsidRDefault="00844A37" w:rsidP="00633C47">
            <w:pPr>
              <w:pStyle w:val="TableUnitsRow"/>
              <w:spacing w:before="40" w:after="40"/>
              <w:ind w:right="72"/>
              <w:rPr>
                <w:i/>
              </w:rPr>
            </w:pPr>
            <w:r w:rsidRPr="00DE1D3A">
              <w:rPr>
                <w:i/>
              </w:rPr>
              <w:t>Change</w:t>
            </w:r>
          </w:p>
        </w:tc>
        <w:tc>
          <w:tcPr>
            <w:tcW w:w="524" w:type="pct"/>
            <w:tcBorders>
              <w:top w:val="single" w:sz="6" w:space="0" w:color="auto"/>
              <w:bottom w:val="single" w:sz="6" w:space="0" w:color="auto"/>
            </w:tcBorders>
            <w:vAlign w:val="bottom"/>
          </w:tcPr>
          <w:p w:rsidR="00844A37" w:rsidRPr="00DE1D3A" w:rsidRDefault="00844A37" w:rsidP="00633C47">
            <w:pPr>
              <w:pStyle w:val="TableUnitsRow"/>
              <w:spacing w:before="40" w:after="40"/>
              <w:ind w:right="95"/>
              <w:rPr>
                <w:i/>
              </w:rPr>
            </w:pPr>
            <w:r w:rsidRPr="00DE1D3A">
              <w:rPr>
                <w:i/>
              </w:rPr>
              <w:t xml:space="preserve">Share of growth </w:t>
            </w:r>
          </w:p>
        </w:tc>
        <w:tc>
          <w:tcPr>
            <w:tcW w:w="81" w:type="pct"/>
            <w:tcBorders>
              <w:bottom w:val="single" w:sz="6" w:space="0" w:color="auto"/>
            </w:tcBorders>
          </w:tcPr>
          <w:p w:rsidR="00844A37" w:rsidRPr="00DE1D3A" w:rsidRDefault="00844A37" w:rsidP="00633C47">
            <w:pPr>
              <w:pStyle w:val="TableUnitsRow"/>
              <w:spacing w:before="40" w:after="40"/>
              <w:rPr>
                <w:rFonts w:eastAsiaTheme="minorHAnsi" w:cstheme="minorBidi"/>
                <w:i/>
                <w:szCs w:val="22"/>
                <w:lang w:eastAsia="en-US"/>
              </w:rPr>
            </w:pPr>
          </w:p>
        </w:tc>
        <w:tc>
          <w:tcPr>
            <w:tcW w:w="524" w:type="pct"/>
            <w:tcBorders>
              <w:top w:val="single" w:sz="6" w:space="0" w:color="auto"/>
              <w:bottom w:val="single" w:sz="6" w:space="0" w:color="auto"/>
            </w:tcBorders>
            <w:shd w:val="clear" w:color="auto" w:fill="auto"/>
            <w:vAlign w:val="bottom"/>
          </w:tcPr>
          <w:p w:rsidR="00844A37" w:rsidRPr="00DE1D3A" w:rsidRDefault="00844A37" w:rsidP="00633C47">
            <w:pPr>
              <w:pStyle w:val="TableUnitsRow"/>
              <w:spacing w:before="40" w:after="40"/>
              <w:rPr>
                <w:i/>
              </w:rPr>
            </w:pPr>
            <w:r w:rsidRPr="00DE1D3A">
              <w:rPr>
                <w:i/>
              </w:rPr>
              <w:t>Change</w:t>
            </w:r>
          </w:p>
        </w:tc>
        <w:tc>
          <w:tcPr>
            <w:tcW w:w="525" w:type="pct"/>
            <w:tcBorders>
              <w:top w:val="single" w:sz="6" w:space="0" w:color="auto"/>
              <w:bottom w:val="single" w:sz="6" w:space="0" w:color="auto"/>
            </w:tcBorders>
            <w:shd w:val="clear" w:color="auto" w:fill="auto"/>
            <w:vAlign w:val="bottom"/>
          </w:tcPr>
          <w:p w:rsidR="00844A37" w:rsidRPr="00DE1D3A" w:rsidRDefault="00844A37" w:rsidP="00633C47">
            <w:pPr>
              <w:pStyle w:val="TableUnitsRow"/>
              <w:spacing w:before="40" w:after="40"/>
              <w:rPr>
                <w:i/>
              </w:rPr>
            </w:pPr>
            <w:r w:rsidRPr="00DE1D3A">
              <w:rPr>
                <w:i/>
              </w:rPr>
              <w:t>Share of growth</w:t>
            </w:r>
          </w:p>
        </w:tc>
        <w:tc>
          <w:tcPr>
            <w:tcW w:w="79" w:type="pct"/>
            <w:tcBorders>
              <w:bottom w:val="single" w:sz="6" w:space="0" w:color="auto"/>
            </w:tcBorders>
          </w:tcPr>
          <w:p w:rsidR="00844A37" w:rsidRPr="00DE1D3A" w:rsidRDefault="00844A37" w:rsidP="00633C47">
            <w:pPr>
              <w:pStyle w:val="TableUnitsRow"/>
              <w:spacing w:before="40" w:after="40"/>
              <w:rPr>
                <w:rFonts w:eastAsiaTheme="minorHAnsi" w:cstheme="minorBidi"/>
                <w:i/>
                <w:szCs w:val="22"/>
                <w:lang w:eastAsia="en-US"/>
              </w:rPr>
            </w:pPr>
          </w:p>
        </w:tc>
        <w:tc>
          <w:tcPr>
            <w:tcW w:w="525" w:type="pct"/>
            <w:tcBorders>
              <w:top w:val="single" w:sz="6" w:space="0" w:color="auto"/>
              <w:bottom w:val="single" w:sz="6" w:space="0" w:color="auto"/>
            </w:tcBorders>
            <w:shd w:val="clear" w:color="auto" w:fill="auto"/>
            <w:vAlign w:val="bottom"/>
          </w:tcPr>
          <w:p w:rsidR="00844A37" w:rsidRPr="00DE1D3A" w:rsidRDefault="00844A37" w:rsidP="00633C47">
            <w:pPr>
              <w:pStyle w:val="TableUnitsRow"/>
              <w:spacing w:before="40" w:after="40"/>
              <w:rPr>
                <w:i/>
              </w:rPr>
            </w:pPr>
            <w:r w:rsidRPr="00DE1D3A">
              <w:rPr>
                <w:i/>
              </w:rPr>
              <w:t>Change</w:t>
            </w:r>
          </w:p>
        </w:tc>
        <w:tc>
          <w:tcPr>
            <w:tcW w:w="523" w:type="pct"/>
            <w:tcBorders>
              <w:top w:val="single" w:sz="6" w:space="0" w:color="auto"/>
              <w:bottom w:val="single" w:sz="6" w:space="0" w:color="auto"/>
            </w:tcBorders>
            <w:shd w:val="clear" w:color="auto" w:fill="auto"/>
            <w:vAlign w:val="bottom"/>
          </w:tcPr>
          <w:p w:rsidR="00844A37" w:rsidRPr="00DE1D3A" w:rsidRDefault="00844A37" w:rsidP="00633C47">
            <w:pPr>
              <w:pStyle w:val="TableUnitsRow"/>
              <w:spacing w:before="40" w:after="40"/>
              <w:rPr>
                <w:i/>
              </w:rPr>
            </w:pPr>
            <w:r w:rsidRPr="00DE1D3A">
              <w:rPr>
                <w:i/>
              </w:rPr>
              <w:t>Share of growth</w:t>
            </w:r>
          </w:p>
        </w:tc>
      </w:tr>
      <w:tr w:rsidR="00844A37" w:rsidTr="00633C47">
        <w:tc>
          <w:tcPr>
            <w:tcW w:w="1695" w:type="pct"/>
            <w:tcBorders>
              <w:top w:val="single" w:sz="6" w:space="0" w:color="auto"/>
            </w:tcBorders>
            <w:shd w:val="clear" w:color="auto" w:fill="auto"/>
            <w:vAlign w:val="bottom"/>
          </w:tcPr>
          <w:p w:rsidR="00844A37" w:rsidRPr="00FD02A6" w:rsidRDefault="00844A37" w:rsidP="00BD7518">
            <w:pPr>
              <w:pStyle w:val="TableBodyText"/>
              <w:ind w:right="0"/>
              <w:jc w:val="left"/>
            </w:pPr>
          </w:p>
        </w:tc>
        <w:tc>
          <w:tcPr>
            <w:tcW w:w="524" w:type="pct"/>
            <w:tcBorders>
              <w:top w:val="single" w:sz="6" w:space="0" w:color="auto"/>
            </w:tcBorders>
            <w:vAlign w:val="bottom"/>
          </w:tcPr>
          <w:p w:rsidR="00844A37" w:rsidRDefault="00844A37" w:rsidP="00153074">
            <w:pPr>
              <w:pStyle w:val="TableBodyText"/>
              <w:ind w:right="72"/>
            </w:pPr>
            <w:r>
              <w:t>$m</w:t>
            </w:r>
          </w:p>
        </w:tc>
        <w:tc>
          <w:tcPr>
            <w:tcW w:w="524" w:type="pct"/>
            <w:tcBorders>
              <w:top w:val="single" w:sz="6" w:space="0" w:color="auto"/>
            </w:tcBorders>
            <w:vAlign w:val="bottom"/>
          </w:tcPr>
          <w:p w:rsidR="00844A37" w:rsidRDefault="00844A37" w:rsidP="00153074">
            <w:pPr>
              <w:pStyle w:val="TableBodyText"/>
              <w:ind w:right="95"/>
            </w:pPr>
            <w:r>
              <w:t>%</w:t>
            </w:r>
          </w:p>
        </w:tc>
        <w:tc>
          <w:tcPr>
            <w:tcW w:w="81" w:type="pct"/>
            <w:tcBorders>
              <w:top w:val="single" w:sz="6" w:space="0" w:color="auto"/>
            </w:tcBorders>
          </w:tcPr>
          <w:p w:rsidR="00844A37" w:rsidRDefault="00844A37" w:rsidP="00153074">
            <w:pPr>
              <w:pStyle w:val="TableBodyText"/>
            </w:pPr>
          </w:p>
        </w:tc>
        <w:tc>
          <w:tcPr>
            <w:tcW w:w="524" w:type="pct"/>
            <w:tcBorders>
              <w:top w:val="single" w:sz="6" w:space="0" w:color="auto"/>
            </w:tcBorders>
            <w:shd w:val="clear" w:color="auto" w:fill="auto"/>
            <w:vAlign w:val="bottom"/>
          </w:tcPr>
          <w:p w:rsidR="00844A37" w:rsidRDefault="00844A37" w:rsidP="00153074">
            <w:pPr>
              <w:pStyle w:val="TableBodyText"/>
            </w:pPr>
            <w:r>
              <w:t>$m</w:t>
            </w:r>
          </w:p>
        </w:tc>
        <w:tc>
          <w:tcPr>
            <w:tcW w:w="525" w:type="pct"/>
            <w:tcBorders>
              <w:top w:val="single" w:sz="6" w:space="0" w:color="auto"/>
            </w:tcBorders>
            <w:shd w:val="clear" w:color="auto" w:fill="auto"/>
            <w:vAlign w:val="bottom"/>
          </w:tcPr>
          <w:p w:rsidR="00844A37" w:rsidRDefault="00844A37" w:rsidP="00153074">
            <w:pPr>
              <w:pStyle w:val="TableBodyText"/>
            </w:pPr>
            <w:r>
              <w:t>%</w:t>
            </w:r>
          </w:p>
        </w:tc>
        <w:tc>
          <w:tcPr>
            <w:tcW w:w="79" w:type="pct"/>
            <w:tcBorders>
              <w:top w:val="single" w:sz="6" w:space="0" w:color="auto"/>
            </w:tcBorders>
          </w:tcPr>
          <w:p w:rsidR="00844A37" w:rsidRDefault="00844A37" w:rsidP="00153074">
            <w:pPr>
              <w:pStyle w:val="TableBodyText"/>
            </w:pPr>
          </w:p>
        </w:tc>
        <w:tc>
          <w:tcPr>
            <w:tcW w:w="525" w:type="pct"/>
            <w:tcBorders>
              <w:top w:val="single" w:sz="6" w:space="0" w:color="auto"/>
            </w:tcBorders>
            <w:shd w:val="clear" w:color="auto" w:fill="auto"/>
            <w:vAlign w:val="bottom"/>
          </w:tcPr>
          <w:p w:rsidR="00844A37" w:rsidRPr="00854416" w:rsidRDefault="00844A37" w:rsidP="00153074">
            <w:pPr>
              <w:pStyle w:val="TableBodyText"/>
            </w:pPr>
            <w:r>
              <w:t>$m</w:t>
            </w:r>
          </w:p>
        </w:tc>
        <w:tc>
          <w:tcPr>
            <w:tcW w:w="523" w:type="pct"/>
            <w:tcBorders>
              <w:top w:val="single" w:sz="6" w:space="0" w:color="auto"/>
            </w:tcBorders>
            <w:shd w:val="clear" w:color="auto" w:fill="auto"/>
            <w:vAlign w:val="bottom"/>
          </w:tcPr>
          <w:p w:rsidR="00844A37" w:rsidRPr="00852980" w:rsidRDefault="00844A37" w:rsidP="00153074">
            <w:pPr>
              <w:pStyle w:val="TableBodyText"/>
            </w:pPr>
            <w:r>
              <w:t>%</w:t>
            </w:r>
          </w:p>
        </w:tc>
      </w:tr>
      <w:tr w:rsidR="00844A37" w:rsidTr="00633C47">
        <w:tc>
          <w:tcPr>
            <w:tcW w:w="1695" w:type="pct"/>
            <w:shd w:val="clear" w:color="auto" w:fill="D9D9D9" w:themeFill="background1" w:themeFillShade="D9"/>
            <w:vAlign w:val="bottom"/>
          </w:tcPr>
          <w:p w:rsidR="00844A37" w:rsidRPr="00A31E1D" w:rsidRDefault="00844A37" w:rsidP="00BD7518">
            <w:pPr>
              <w:pStyle w:val="TableBodyText"/>
              <w:ind w:left="851" w:right="0" w:hanging="567"/>
              <w:jc w:val="left"/>
            </w:pPr>
            <w:r w:rsidRPr="00FD02A6">
              <w:t xml:space="preserve">2221 </w:t>
            </w:r>
            <w:r w:rsidR="00BD7518">
              <w:tab/>
            </w:r>
            <w:r w:rsidRPr="00FD02A6">
              <w:t>Structural steel fabricating</w:t>
            </w:r>
          </w:p>
        </w:tc>
        <w:tc>
          <w:tcPr>
            <w:tcW w:w="524" w:type="pct"/>
            <w:shd w:val="clear" w:color="auto" w:fill="D9D9D9" w:themeFill="background1" w:themeFillShade="D9"/>
            <w:vAlign w:val="bottom"/>
          </w:tcPr>
          <w:p w:rsidR="00844A37" w:rsidRDefault="00844A37" w:rsidP="00153074">
            <w:pPr>
              <w:pStyle w:val="TableBodyText"/>
              <w:ind w:right="72"/>
            </w:pPr>
            <w:r>
              <w:t>-142</w:t>
            </w:r>
          </w:p>
        </w:tc>
        <w:tc>
          <w:tcPr>
            <w:tcW w:w="524" w:type="pct"/>
            <w:shd w:val="clear" w:color="auto" w:fill="D9D9D9" w:themeFill="background1" w:themeFillShade="D9"/>
            <w:vAlign w:val="bottom"/>
          </w:tcPr>
          <w:p w:rsidR="00844A37" w:rsidRDefault="00844A37" w:rsidP="00153074">
            <w:pPr>
              <w:pStyle w:val="TableBodyText"/>
              <w:ind w:right="95"/>
            </w:pPr>
            <w:r>
              <w:t>-8.3</w:t>
            </w:r>
          </w:p>
        </w:tc>
        <w:tc>
          <w:tcPr>
            <w:tcW w:w="81" w:type="pct"/>
            <w:shd w:val="clear" w:color="auto" w:fill="D9D9D9" w:themeFill="background1" w:themeFillShade="D9"/>
          </w:tcPr>
          <w:p w:rsidR="00844A37" w:rsidRDefault="00844A37" w:rsidP="00153074">
            <w:pPr>
              <w:pStyle w:val="TableBodyText"/>
            </w:pPr>
          </w:p>
        </w:tc>
        <w:tc>
          <w:tcPr>
            <w:tcW w:w="524" w:type="pct"/>
            <w:shd w:val="clear" w:color="auto" w:fill="D9D9D9" w:themeFill="background1" w:themeFillShade="D9"/>
            <w:vAlign w:val="bottom"/>
          </w:tcPr>
          <w:p w:rsidR="00844A37" w:rsidRDefault="00844A37" w:rsidP="00153074">
            <w:pPr>
              <w:pStyle w:val="TableBodyText"/>
            </w:pPr>
            <w:r>
              <w:t>1 151</w:t>
            </w:r>
          </w:p>
        </w:tc>
        <w:tc>
          <w:tcPr>
            <w:tcW w:w="525" w:type="pct"/>
            <w:shd w:val="clear" w:color="auto" w:fill="D9D9D9" w:themeFill="background1" w:themeFillShade="D9"/>
            <w:vAlign w:val="bottom"/>
          </w:tcPr>
          <w:p w:rsidR="00844A37" w:rsidRDefault="00844A37" w:rsidP="00153074">
            <w:pPr>
              <w:pStyle w:val="TableBodyText"/>
            </w:pPr>
            <w:r>
              <w:t>40.5</w:t>
            </w:r>
          </w:p>
        </w:tc>
        <w:tc>
          <w:tcPr>
            <w:tcW w:w="79" w:type="pct"/>
            <w:shd w:val="clear" w:color="auto" w:fill="D9D9D9" w:themeFill="background1" w:themeFillShade="D9"/>
          </w:tcPr>
          <w:p w:rsidR="00844A37" w:rsidRPr="00854416" w:rsidRDefault="00844A37" w:rsidP="00153074">
            <w:pPr>
              <w:pStyle w:val="TableBodyText"/>
            </w:pPr>
          </w:p>
        </w:tc>
        <w:tc>
          <w:tcPr>
            <w:tcW w:w="525" w:type="pct"/>
            <w:shd w:val="clear" w:color="auto" w:fill="D9D9D9" w:themeFill="background1" w:themeFillShade="D9"/>
            <w:vAlign w:val="bottom"/>
          </w:tcPr>
          <w:p w:rsidR="00844A37" w:rsidRPr="00852980" w:rsidRDefault="00844A37" w:rsidP="00153074">
            <w:pPr>
              <w:pStyle w:val="TableBodyText"/>
            </w:pPr>
            <w:r w:rsidRPr="00854416">
              <w:t>1</w:t>
            </w:r>
            <w:r>
              <w:t xml:space="preserve"> </w:t>
            </w:r>
            <w:r w:rsidRPr="00854416">
              <w:t>293</w:t>
            </w:r>
          </w:p>
        </w:tc>
        <w:tc>
          <w:tcPr>
            <w:tcW w:w="523" w:type="pct"/>
            <w:shd w:val="clear" w:color="auto" w:fill="D9D9D9" w:themeFill="background1" w:themeFillShade="D9"/>
            <w:vAlign w:val="bottom"/>
          </w:tcPr>
          <w:p w:rsidR="00844A37" w:rsidRPr="00FB1B85" w:rsidRDefault="00844A37" w:rsidP="00153074">
            <w:pPr>
              <w:pStyle w:val="TableBodyText"/>
            </w:pPr>
            <w:r w:rsidRPr="00852980">
              <w:t>115.1</w:t>
            </w:r>
          </w:p>
        </w:tc>
      </w:tr>
      <w:tr w:rsidR="00844A37" w:rsidTr="00633C47">
        <w:tc>
          <w:tcPr>
            <w:tcW w:w="1695" w:type="pct"/>
            <w:shd w:val="clear" w:color="auto" w:fill="auto"/>
            <w:vAlign w:val="bottom"/>
          </w:tcPr>
          <w:p w:rsidR="00844A37" w:rsidRPr="00A31E1D" w:rsidRDefault="00844A37" w:rsidP="00BD7518">
            <w:pPr>
              <w:pStyle w:val="TableBodyText"/>
              <w:ind w:left="851" w:right="0" w:hanging="567"/>
              <w:jc w:val="left"/>
            </w:pPr>
            <w:r w:rsidRPr="00FD02A6">
              <w:t xml:space="preserve">2223 </w:t>
            </w:r>
            <w:r w:rsidR="00BD7518">
              <w:tab/>
            </w:r>
            <w:r w:rsidRPr="00FD02A6">
              <w:t xml:space="preserve">Architectural aluminium product </w:t>
            </w:r>
            <w:proofErr w:type="spellStart"/>
            <w:r w:rsidR="00BD7518">
              <w:t>mfg</w:t>
            </w:r>
            <w:proofErr w:type="spellEnd"/>
          </w:p>
        </w:tc>
        <w:tc>
          <w:tcPr>
            <w:tcW w:w="524" w:type="pct"/>
            <w:shd w:val="clear" w:color="auto" w:fill="auto"/>
            <w:vAlign w:val="bottom"/>
          </w:tcPr>
          <w:p w:rsidR="00844A37" w:rsidRPr="00B350A3" w:rsidRDefault="00844A37" w:rsidP="00153074">
            <w:pPr>
              <w:pStyle w:val="TableBodyText"/>
              <w:ind w:right="72"/>
            </w:pPr>
            <w:r w:rsidRPr="00B350A3">
              <w:t>270</w:t>
            </w:r>
          </w:p>
        </w:tc>
        <w:tc>
          <w:tcPr>
            <w:tcW w:w="524" w:type="pct"/>
            <w:shd w:val="clear" w:color="auto" w:fill="auto"/>
            <w:vAlign w:val="bottom"/>
          </w:tcPr>
          <w:p w:rsidR="00844A37" w:rsidRPr="00B350A3" w:rsidRDefault="00844A37" w:rsidP="00153074">
            <w:pPr>
              <w:pStyle w:val="TableBodyText"/>
              <w:ind w:right="95"/>
            </w:pPr>
            <w:r w:rsidRPr="00B350A3">
              <w:t>15.7</w:t>
            </w:r>
          </w:p>
        </w:tc>
        <w:tc>
          <w:tcPr>
            <w:tcW w:w="81" w:type="pct"/>
            <w:shd w:val="clear" w:color="auto" w:fill="auto"/>
          </w:tcPr>
          <w:p w:rsidR="00844A37" w:rsidRDefault="00844A37" w:rsidP="00153074">
            <w:pPr>
              <w:pStyle w:val="TableBodyText"/>
            </w:pPr>
          </w:p>
        </w:tc>
        <w:tc>
          <w:tcPr>
            <w:tcW w:w="524" w:type="pct"/>
            <w:shd w:val="clear" w:color="auto" w:fill="auto"/>
            <w:vAlign w:val="bottom"/>
          </w:tcPr>
          <w:p w:rsidR="00844A37" w:rsidRPr="00B350A3" w:rsidRDefault="00844A37" w:rsidP="00153074">
            <w:pPr>
              <w:pStyle w:val="TableBodyText"/>
            </w:pPr>
            <w:r>
              <w:t>356</w:t>
            </w:r>
          </w:p>
        </w:tc>
        <w:tc>
          <w:tcPr>
            <w:tcW w:w="525" w:type="pct"/>
            <w:shd w:val="clear" w:color="auto" w:fill="auto"/>
            <w:vAlign w:val="bottom"/>
          </w:tcPr>
          <w:p w:rsidR="00844A37" w:rsidRPr="00B350A3" w:rsidRDefault="00844A37" w:rsidP="00153074">
            <w:pPr>
              <w:pStyle w:val="TableBodyText"/>
            </w:pPr>
            <w:r>
              <w:t>12.5</w:t>
            </w:r>
          </w:p>
        </w:tc>
        <w:tc>
          <w:tcPr>
            <w:tcW w:w="79" w:type="pct"/>
            <w:shd w:val="clear" w:color="auto" w:fill="auto"/>
          </w:tcPr>
          <w:p w:rsidR="00844A37" w:rsidRPr="00854416" w:rsidRDefault="00844A37" w:rsidP="00153074">
            <w:pPr>
              <w:pStyle w:val="TableBodyText"/>
            </w:pPr>
          </w:p>
        </w:tc>
        <w:tc>
          <w:tcPr>
            <w:tcW w:w="525" w:type="pct"/>
            <w:shd w:val="clear" w:color="auto" w:fill="auto"/>
            <w:vAlign w:val="bottom"/>
          </w:tcPr>
          <w:p w:rsidR="00844A37" w:rsidRPr="00852980" w:rsidRDefault="00844A37" w:rsidP="00153074">
            <w:pPr>
              <w:pStyle w:val="TableBodyText"/>
            </w:pPr>
            <w:r w:rsidRPr="00854416">
              <w:t>86</w:t>
            </w:r>
          </w:p>
        </w:tc>
        <w:tc>
          <w:tcPr>
            <w:tcW w:w="523" w:type="pct"/>
            <w:shd w:val="clear" w:color="auto" w:fill="auto"/>
            <w:vAlign w:val="bottom"/>
          </w:tcPr>
          <w:p w:rsidR="00844A37" w:rsidRPr="00FB1B85" w:rsidRDefault="00844A37" w:rsidP="00153074">
            <w:pPr>
              <w:pStyle w:val="TableBodyText"/>
            </w:pPr>
            <w:r w:rsidRPr="00852980">
              <w:t>7.6</w:t>
            </w:r>
          </w:p>
        </w:tc>
      </w:tr>
      <w:tr w:rsidR="00844A37" w:rsidTr="00633C47">
        <w:tc>
          <w:tcPr>
            <w:tcW w:w="1695" w:type="pct"/>
            <w:shd w:val="clear" w:color="auto" w:fill="D9D9D9" w:themeFill="background1" w:themeFillShade="D9"/>
            <w:vAlign w:val="bottom"/>
          </w:tcPr>
          <w:p w:rsidR="00844A37" w:rsidRPr="00A31E1D" w:rsidRDefault="00844A37" w:rsidP="00A20464">
            <w:pPr>
              <w:pStyle w:val="TableBodyText"/>
              <w:ind w:left="851" w:right="0" w:hanging="567"/>
              <w:jc w:val="left"/>
            </w:pPr>
            <w:r w:rsidRPr="00FD02A6">
              <w:t xml:space="preserve">2229 </w:t>
            </w:r>
            <w:r w:rsidR="00BD7518">
              <w:tab/>
            </w:r>
            <w:r w:rsidRPr="00FD02A6">
              <w:t xml:space="preserve">Other structural metal product </w:t>
            </w:r>
            <w:proofErr w:type="spellStart"/>
            <w:r w:rsidR="00A20464">
              <w:t>mfg</w:t>
            </w:r>
            <w:proofErr w:type="spellEnd"/>
          </w:p>
        </w:tc>
        <w:tc>
          <w:tcPr>
            <w:tcW w:w="524" w:type="pct"/>
            <w:shd w:val="clear" w:color="auto" w:fill="D9D9D9" w:themeFill="background1" w:themeFillShade="D9"/>
            <w:vAlign w:val="bottom"/>
          </w:tcPr>
          <w:p w:rsidR="00844A37" w:rsidRDefault="00844A37" w:rsidP="00153074">
            <w:pPr>
              <w:pStyle w:val="TableBodyText"/>
              <w:ind w:right="72"/>
            </w:pPr>
            <w:r>
              <w:t>128</w:t>
            </w:r>
          </w:p>
        </w:tc>
        <w:tc>
          <w:tcPr>
            <w:tcW w:w="524" w:type="pct"/>
            <w:shd w:val="clear" w:color="auto" w:fill="D9D9D9" w:themeFill="background1" w:themeFillShade="D9"/>
            <w:vAlign w:val="bottom"/>
          </w:tcPr>
          <w:p w:rsidR="00844A37" w:rsidRDefault="00844A37" w:rsidP="00153074">
            <w:pPr>
              <w:pStyle w:val="TableBodyText"/>
              <w:ind w:right="95"/>
            </w:pPr>
            <w:r>
              <w:t>7.4</w:t>
            </w:r>
          </w:p>
        </w:tc>
        <w:tc>
          <w:tcPr>
            <w:tcW w:w="81" w:type="pct"/>
            <w:shd w:val="clear" w:color="auto" w:fill="D9D9D9" w:themeFill="background1" w:themeFillShade="D9"/>
          </w:tcPr>
          <w:p w:rsidR="00844A37" w:rsidRDefault="00844A37" w:rsidP="00153074">
            <w:pPr>
              <w:pStyle w:val="TableBodyText"/>
            </w:pPr>
          </w:p>
        </w:tc>
        <w:tc>
          <w:tcPr>
            <w:tcW w:w="524" w:type="pct"/>
            <w:shd w:val="clear" w:color="auto" w:fill="D9D9D9" w:themeFill="background1" w:themeFillShade="D9"/>
            <w:vAlign w:val="bottom"/>
          </w:tcPr>
          <w:p w:rsidR="00844A37" w:rsidRDefault="00844A37" w:rsidP="00153074">
            <w:pPr>
              <w:pStyle w:val="TableBodyText"/>
            </w:pPr>
            <w:r>
              <w:t>279</w:t>
            </w:r>
          </w:p>
        </w:tc>
        <w:tc>
          <w:tcPr>
            <w:tcW w:w="525" w:type="pct"/>
            <w:shd w:val="clear" w:color="auto" w:fill="D9D9D9" w:themeFill="background1" w:themeFillShade="D9"/>
            <w:vAlign w:val="bottom"/>
          </w:tcPr>
          <w:p w:rsidR="00844A37" w:rsidRDefault="00844A37" w:rsidP="00153074">
            <w:pPr>
              <w:pStyle w:val="TableBodyText"/>
            </w:pPr>
            <w:r>
              <w:t>9.8</w:t>
            </w:r>
          </w:p>
        </w:tc>
        <w:tc>
          <w:tcPr>
            <w:tcW w:w="79" w:type="pct"/>
            <w:shd w:val="clear" w:color="auto" w:fill="D9D9D9" w:themeFill="background1" w:themeFillShade="D9"/>
          </w:tcPr>
          <w:p w:rsidR="00844A37" w:rsidRPr="00854416" w:rsidRDefault="00844A37" w:rsidP="00153074">
            <w:pPr>
              <w:pStyle w:val="TableBodyText"/>
            </w:pPr>
          </w:p>
        </w:tc>
        <w:tc>
          <w:tcPr>
            <w:tcW w:w="525" w:type="pct"/>
            <w:shd w:val="clear" w:color="auto" w:fill="D9D9D9" w:themeFill="background1" w:themeFillShade="D9"/>
            <w:vAlign w:val="bottom"/>
          </w:tcPr>
          <w:p w:rsidR="00844A37" w:rsidRPr="00852980" w:rsidRDefault="00844A37" w:rsidP="00153074">
            <w:pPr>
              <w:pStyle w:val="TableBodyText"/>
            </w:pPr>
            <w:r w:rsidRPr="00854416">
              <w:t>152</w:t>
            </w:r>
          </w:p>
        </w:tc>
        <w:tc>
          <w:tcPr>
            <w:tcW w:w="523" w:type="pct"/>
            <w:shd w:val="clear" w:color="auto" w:fill="D9D9D9" w:themeFill="background1" w:themeFillShade="D9"/>
            <w:vAlign w:val="bottom"/>
          </w:tcPr>
          <w:p w:rsidR="00844A37" w:rsidRPr="00FB1B85" w:rsidRDefault="00844A37" w:rsidP="00153074">
            <w:pPr>
              <w:pStyle w:val="TableBodyText"/>
            </w:pPr>
            <w:r w:rsidRPr="00852980">
              <w:t>13.5</w:t>
            </w:r>
          </w:p>
        </w:tc>
      </w:tr>
      <w:tr w:rsidR="00844A37" w:rsidTr="00633C47">
        <w:tc>
          <w:tcPr>
            <w:tcW w:w="1695" w:type="pct"/>
            <w:shd w:val="clear" w:color="auto" w:fill="auto"/>
            <w:vAlign w:val="bottom"/>
          </w:tcPr>
          <w:p w:rsidR="00844A37" w:rsidRPr="00A31E1D" w:rsidRDefault="00844A37" w:rsidP="00A20464">
            <w:pPr>
              <w:pStyle w:val="TableBodyText"/>
              <w:ind w:left="851" w:right="0" w:hanging="567"/>
              <w:jc w:val="left"/>
            </w:pPr>
            <w:r w:rsidRPr="00FD02A6">
              <w:t xml:space="preserve">2291 </w:t>
            </w:r>
            <w:r w:rsidR="00BD7518">
              <w:tab/>
            </w:r>
            <w:r w:rsidRPr="00FD02A6">
              <w:t xml:space="preserve">Spring and wire product </w:t>
            </w:r>
            <w:proofErr w:type="spellStart"/>
            <w:r w:rsidR="00A20464">
              <w:t>mfg</w:t>
            </w:r>
            <w:proofErr w:type="spellEnd"/>
          </w:p>
        </w:tc>
        <w:tc>
          <w:tcPr>
            <w:tcW w:w="524" w:type="pct"/>
            <w:shd w:val="clear" w:color="auto" w:fill="auto"/>
            <w:vAlign w:val="bottom"/>
          </w:tcPr>
          <w:p w:rsidR="00844A37" w:rsidRDefault="00844A37" w:rsidP="00153074">
            <w:pPr>
              <w:pStyle w:val="TableBodyText"/>
              <w:ind w:right="72"/>
            </w:pPr>
            <w:r>
              <w:t>4</w:t>
            </w:r>
          </w:p>
        </w:tc>
        <w:tc>
          <w:tcPr>
            <w:tcW w:w="524" w:type="pct"/>
            <w:shd w:val="clear" w:color="auto" w:fill="auto"/>
            <w:vAlign w:val="bottom"/>
          </w:tcPr>
          <w:p w:rsidR="00844A37" w:rsidRDefault="00844A37" w:rsidP="00153074">
            <w:pPr>
              <w:pStyle w:val="TableBodyText"/>
              <w:ind w:right="95"/>
            </w:pPr>
            <w:r>
              <w:t>0.2</w:t>
            </w:r>
          </w:p>
        </w:tc>
        <w:tc>
          <w:tcPr>
            <w:tcW w:w="81" w:type="pct"/>
            <w:shd w:val="clear" w:color="auto" w:fill="auto"/>
          </w:tcPr>
          <w:p w:rsidR="00844A37" w:rsidRDefault="00844A37" w:rsidP="00153074">
            <w:pPr>
              <w:pStyle w:val="TableBodyText"/>
            </w:pPr>
          </w:p>
        </w:tc>
        <w:tc>
          <w:tcPr>
            <w:tcW w:w="524" w:type="pct"/>
            <w:shd w:val="clear" w:color="auto" w:fill="auto"/>
            <w:vAlign w:val="bottom"/>
          </w:tcPr>
          <w:p w:rsidR="00844A37" w:rsidRDefault="00844A37" w:rsidP="00153074">
            <w:pPr>
              <w:pStyle w:val="TableBodyText"/>
            </w:pPr>
            <w:r>
              <w:t>20</w:t>
            </w:r>
          </w:p>
        </w:tc>
        <w:tc>
          <w:tcPr>
            <w:tcW w:w="525" w:type="pct"/>
            <w:shd w:val="clear" w:color="auto" w:fill="auto"/>
            <w:vAlign w:val="bottom"/>
          </w:tcPr>
          <w:p w:rsidR="00844A37" w:rsidRDefault="00844A37" w:rsidP="00153074">
            <w:pPr>
              <w:pStyle w:val="TableBodyText"/>
            </w:pPr>
            <w:r>
              <w:t>0.7</w:t>
            </w:r>
          </w:p>
        </w:tc>
        <w:tc>
          <w:tcPr>
            <w:tcW w:w="79" w:type="pct"/>
            <w:shd w:val="clear" w:color="auto" w:fill="auto"/>
          </w:tcPr>
          <w:p w:rsidR="00844A37" w:rsidRPr="00854416" w:rsidRDefault="00844A37" w:rsidP="00153074">
            <w:pPr>
              <w:pStyle w:val="TableBodyText"/>
            </w:pPr>
          </w:p>
        </w:tc>
        <w:tc>
          <w:tcPr>
            <w:tcW w:w="525" w:type="pct"/>
            <w:shd w:val="clear" w:color="auto" w:fill="auto"/>
            <w:vAlign w:val="bottom"/>
          </w:tcPr>
          <w:p w:rsidR="00844A37" w:rsidRPr="00852980" w:rsidRDefault="00844A37" w:rsidP="00153074">
            <w:pPr>
              <w:pStyle w:val="TableBodyText"/>
            </w:pPr>
            <w:r w:rsidRPr="00854416">
              <w:t>16</w:t>
            </w:r>
          </w:p>
        </w:tc>
        <w:tc>
          <w:tcPr>
            <w:tcW w:w="523" w:type="pct"/>
            <w:shd w:val="clear" w:color="auto" w:fill="auto"/>
            <w:vAlign w:val="bottom"/>
          </w:tcPr>
          <w:p w:rsidR="00844A37" w:rsidRPr="00FB1B85" w:rsidRDefault="00844A37" w:rsidP="00153074">
            <w:pPr>
              <w:pStyle w:val="TableBodyText"/>
            </w:pPr>
            <w:r w:rsidRPr="00852980">
              <w:t>1.4</w:t>
            </w:r>
          </w:p>
        </w:tc>
      </w:tr>
      <w:tr w:rsidR="00844A37" w:rsidTr="00633C47">
        <w:tc>
          <w:tcPr>
            <w:tcW w:w="1695" w:type="pct"/>
            <w:shd w:val="clear" w:color="auto" w:fill="D9D9D9" w:themeFill="background1" w:themeFillShade="D9"/>
            <w:vAlign w:val="bottom"/>
          </w:tcPr>
          <w:p w:rsidR="00844A37" w:rsidRPr="00A31E1D" w:rsidRDefault="00844A37" w:rsidP="00A20464">
            <w:pPr>
              <w:pStyle w:val="TableBodyText"/>
              <w:ind w:left="851" w:right="0" w:hanging="567"/>
              <w:jc w:val="left"/>
            </w:pPr>
            <w:r w:rsidRPr="00FD02A6">
              <w:t xml:space="preserve">2292 </w:t>
            </w:r>
            <w:r w:rsidR="00BD7518">
              <w:tab/>
            </w:r>
            <w:r w:rsidRPr="00FD02A6">
              <w:t xml:space="preserve">Nut, bolt, screw and rivet </w:t>
            </w:r>
            <w:proofErr w:type="spellStart"/>
            <w:r w:rsidR="00A20464">
              <w:t>mfg</w:t>
            </w:r>
            <w:proofErr w:type="spellEnd"/>
          </w:p>
        </w:tc>
        <w:tc>
          <w:tcPr>
            <w:tcW w:w="524" w:type="pct"/>
            <w:shd w:val="clear" w:color="auto" w:fill="D9D9D9" w:themeFill="background1" w:themeFillShade="D9"/>
            <w:vAlign w:val="bottom"/>
          </w:tcPr>
          <w:p w:rsidR="00844A37" w:rsidRDefault="00844A37" w:rsidP="00153074">
            <w:pPr>
              <w:pStyle w:val="TableBodyText"/>
              <w:ind w:right="72"/>
            </w:pPr>
            <w:r>
              <w:t>62</w:t>
            </w:r>
          </w:p>
        </w:tc>
        <w:tc>
          <w:tcPr>
            <w:tcW w:w="524" w:type="pct"/>
            <w:shd w:val="clear" w:color="auto" w:fill="D9D9D9" w:themeFill="background1" w:themeFillShade="D9"/>
            <w:vAlign w:val="bottom"/>
          </w:tcPr>
          <w:p w:rsidR="00844A37" w:rsidRDefault="00844A37" w:rsidP="00153074">
            <w:pPr>
              <w:pStyle w:val="TableBodyText"/>
              <w:ind w:right="95"/>
            </w:pPr>
            <w:r>
              <w:t>3.6</w:t>
            </w:r>
          </w:p>
        </w:tc>
        <w:tc>
          <w:tcPr>
            <w:tcW w:w="81" w:type="pct"/>
            <w:shd w:val="clear" w:color="auto" w:fill="D9D9D9" w:themeFill="background1" w:themeFillShade="D9"/>
          </w:tcPr>
          <w:p w:rsidR="00844A37" w:rsidRDefault="00844A37" w:rsidP="00153074">
            <w:pPr>
              <w:pStyle w:val="TableBodyText"/>
            </w:pPr>
          </w:p>
        </w:tc>
        <w:tc>
          <w:tcPr>
            <w:tcW w:w="524" w:type="pct"/>
            <w:shd w:val="clear" w:color="auto" w:fill="D9D9D9" w:themeFill="background1" w:themeFillShade="D9"/>
            <w:vAlign w:val="bottom"/>
          </w:tcPr>
          <w:p w:rsidR="00844A37" w:rsidRDefault="00844A37" w:rsidP="00153074">
            <w:pPr>
              <w:pStyle w:val="TableBodyText"/>
            </w:pPr>
            <w:r>
              <w:t>32</w:t>
            </w:r>
          </w:p>
        </w:tc>
        <w:tc>
          <w:tcPr>
            <w:tcW w:w="525" w:type="pct"/>
            <w:shd w:val="clear" w:color="auto" w:fill="D9D9D9" w:themeFill="background1" w:themeFillShade="D9"/>
            <w:vAlign w:val="bottom"/>
          </w:tcPr>
          <w:p w:rsidR="00844A37" w:rsidRDefault="00844A37" w:rsidP="00153074">
            <w:pPr>
              <w:pStyle w:val="TableBodyText"/>
            </w:pPr>
            <w:r>
              <w:t>1.1</w:t>
            </w:r>
          </w:p>
        </w:tc>
        <w:tc>
          <w:tcPr>
            <w:tcW w:w="79" w:type="pct"/>
            <w:shd w:val="clear" w:color="auto" w:fill="D9D9D9" w:themeFill="background1" w:themeFillShade="D9"/>
          </w:tcPr>
          <w:p w:rsidR="00844A37" w:rsidRPr="00854416" w:rsidRDefault="00844A37" w:rsidP="00153074">
            <w:pPr>
              <w:pStyle w:val="TableBodyText"/>
            </w:pPr>
          </w:p>
        </w:tc>
        <w:tc>
          <w:tcPr>
            <w:tcW w:w="525" w:type="pct"/>
            <w:shd w:val="clear" w:color="auto" w:fill="D9D9D9" w:themeFill="background1" w:themeFillShade="D9"/>
            <w:vAlign w:val="bottom"/>
          </w:tcPr>
          <w:p w:rsidR="00844A37" w:rsidRPr="00852980" w:rsidRDefault="00844A37" w:rsidP="00153074">
            <w:pPr>
              <w:pStyle w:val="TableBodyText"/>
            </w:pPr>
            <w:r w:rsidRPr="00854416">
              <w:t>-30</w:t>
            </w:r>
          </w:p>
        </w:tc>
        <w:tc>
          <w:tcPr>
            <w:tcW w:w="523" w:type="pct"/>
            <w:shd w:val="clear" w:color="auto" w:fill="D9D9D9" w:themeFill="background1" w:themeFillShade="D9"/>
            <w:vAlign w:val="bottom"/>
          </w:tcPr>
          <w:p w:rsidR="00844A37" w:rsidRPr="00FB1B85" w:rsidRDefault="00844A37" w:rsidP="00153074">
            <w:pPr>
              <w:pStyle w:val="TableBodyText"/>
            </w:pPr>
            <w:r w:rsidRPr="00852980">
              <w:t>-2.6</w:t>
            </w:r>
          </w:p>
        </w:tc>
      </w:tr>
      <w:tr w:rsidR="00844A37" w:rsidTr="00633C47">
        <w:tc>
          <w:tcPr>
            <w:tcW w:w="1695" w:type="pct"/>
            <w:shd w:val="clear" w:color="auto" w:fill="auto"/>
            <w:vAlign w:val="bottom"/>
          </w:tcPr>
          <w:p w:rsidR="00844A37" w:rsidRPr="00A31E1D" w:rsidRDefault="00844A37" w:rsidP="00BD7518">
            <w:pPr>
              <w:pStyle w:val="TableBodyText"/>
              <w:ind w:left="851" w:right="0" w:hanging="567"/>
              <w:jc w:val="left"/>
            </w:pPr>
            <w:r w:rsidRPr="00FD02A6">
              <w:t xml:space="preserve">2293 </w:t>
            </w:r>
            <w:r w:rsidR="00BD7518">
              <w:tab/>
            </w:r>
            <w:r w:rsidRPr="00FD02A6">
              <w:t>Metal coating and finishing</w:t>
            </w:r>
          </w:p>
        </w:tc>
        <w:tc>
          <w:tcPr>
            <w:tcW w:w="524" w:type="pct"/>
            <w:shd w:val="clear" w:color="auto" w:fill="auto"/>
            <w:vAlign w:val="bottom"/>
          </w:tcPr>
          <w:p w:rsidR="00844A37" w:rsidRDefault="00844A37" w:rsidP="00153074">
            <w:pPr>
              <w:pStyle w:val="TableBodyText"/>
              <w:ind w:right="72"/>
            </w:pPr>
            <w:r>
              <w:t>112</w:t>
            </w:r>
          </w:p>
        </w:tc>
        <w:tc>
          <w:tcPr>
            <w:tcW w:w="524" w:type="pct"/>
            <w:shd w:val="clear" w:color="auto" w:fill="auto"/>
            <w:vAlign w:val="bottom"/>
          </w:tcPr>
          <w:p w:rsidR="00844A37" w:rsidRDefault="00844A37" w:rsidP="00153074">
            <w:pPr>
              <w:pStyle w:val="TableBodyText"/>
              <w:ind w:right="95"/>
            </w:pPr>
            <w:r>
              <w:t>6.5</w:t>
            </w:r>
          </w:p>
        </w:tc>
        <w:tc>
          <w:tcPr>
            <w:tcW w:w="81" w:type="pct"/>
            <w:shd w:val="clear" w:color="auto" w:fill="auto"/>
          </w:tcPr>
          <w:p w:rsidR="00844A37" w:rsidRDefault="00844A37" w:rsidP="00153074">
            <w:pPr>
              <w:pStyle w:val="TableBodyText"/>
            </w:pPr>
          </w:p>
        </w:tc>
        <w:tc>
          <w:tcPr>
            <w:tcW w:w="524" w:type="pct"/>
            <w:shd w:val="clear" w:color="auto" w:fill="auto"/>
            <w:vAlign w:val="bottom"/>
          </w:tcPr>
          <w:p w:rsidR="00844A37" w:rsidRDefault="00844A37" w:rsidP="00153074">
            <w:pPr>
              <w:pStyle w:val="TableBodyText"/>
            </w:pPr>
            <w:r>
              <w:t>284</w:t>
            </w:r>
          </w:p>
        </w:tc>
        <w:tc>
          <w:tcPr>
            <w:tcW w:w="525" w:type="pct"/>
            <w:shd w:val="clear" w:color="auto" w:fill="auto"/>
            <w:vAlign w:val="bottom"/>
          </w:tcPr>
          <w:p w:rsidR="00844A37" w:rsidRDefault="00844A37" w:rsidP="00153074">
            <w:pPr>
              <w:pStyle w:val="TableBodyText"/>
            </w:pPr>
            <w:r>
              <w:t>10.0</w:t>
            </w:r>
          </w:p>
        </w:tc>
        <w:tc>
          <w:tcPr>
            <w:tcW w:w="79" w:type="pct"/>
            <w:shd w:val="clear" w:color="auto" w:fill="auto"/>
          </w:tcPr>
          <w:p w:rsidR="00844A37" w:rsidRPr="00854416" w:rsidRDefault="00844A37" w:rsidP="00153074">
            <w:pPr>
              <w:pStyle w:val="TableBodyText"/>
            </w:pPr>
          </w:p>
        </w:tc>
        <w:tc>
          <w:tcPr>
            <w:tcW w:w="525" w:type="pct"/>
            <w:shd w:val="clear" w:color="auto" w:fill="auto"/>
            <w:vAlign w:val="bottom"/>
          </w:tcPr>
          <w:p w:rsidR="00844A37" w:rsidRPr="00852980" w:rsidRDefault="00844A37" w:rsidP="00153074">
            <w:pPr>
              <w:pStyle w:val="TableBodyText"/>
            </w:pPr>
            <w:r w:rsidRPr="00854416">
              <w:t>172</w:t>
            </w:r>
          </w:p>
        </w:tc>
        <w:tc>
          <w:tcPr>
            <w:tcW w:w="523" w:type="pct"/>
            <w:shd w:val="clear" w:color="auto" w:fill="auto"/>
            <w:vAlign w:val="bottom"/>
          </w:tcPr>
          <w:p w:rsidR="00844A37" w:rsidRPr="00FB1B85" w:rsidRDefault="00844A37" w:rsidP="00153074">
            <w:pPr>
              <w:pStyle w:val="TableBodyText"/>
            </w:pPr>
            <w:r w:rsidRPr="00852980">
              <w:t>15.3</w:t>
            </w:r>
          </w:p>
        </w:tc>
      </w:tr>
      <w:tr w:rsidR="00844A37" w:rsidRPr="00B350A3" w:rsidTr="00633C47">
        <w:tc>
          <w:tcPr>
            <w:tcW w:w="1695" w:type="pct"/>
            <w:shd w:val="clear" w:color="auto" w:fill="D9D9D9" w:themeFill="background1" w:themeFillShade="D9"/>
          </w:tcPr>
          <w:p w:rsidR="00844A37" w:rsidRPr="00B350A3" w:rsidRDefault="00844A37" w:rsidP="00BD7518">
            <w:pPr>
              <w:pStyle w:val="TableBodyText"/>
              <w:ind w:right="0"/>
              <w:jc w:val="left"/>
              <w:rPr>
                <w:i/>
              </w:rPr>
            </w:pPr>
            <w:r>
              <w:rPr>
                <w:i/>
              </w:rPr>
              <w:t>Selected</w:t>
            </w:r>
            <w:r w:rsidRPr="00B350A3">
              <w:rPr>
                <w:i/>
              </w:rPr>
              <w:t xml:space="preserve"> classes</w:t>
            </w:r>
            <w:r>
              <w:rPr>
                <w:rStyle w:val="NoteLabel"/>
              </w:rPr>
              <w:t>a</w:t>
            </w:r>
          </w:p>
        </w:tc>
        <w:tc>
          <w:tcPr>
            <w:tcW w:w="524" w:type="pct"/>
            <w:shd w:val="clear" w:color="auto" w:fill="D9D9D9" w:themeFill="background1" w:themeFillShade="D9"/>
            <w:vAlign w:val="bottom"/>
          </w:tcPr>
          <w:p w:rsidR="00844A37" w:rsidRPr="00475B47" w:rsidRDefault="00844A37" w:rsidP="00153074">
            <w:pPr>
              <w:pStyle w:val="TableBodyText"/>
              <w:ind w:right="72"/>
              <w:rPr>
                <w:i/>
              </w:rPr>
            </w:pPr>
            <w:r>
              <w:rPr>
                <w:i/>
              </w:rPr>
              <w:t>434</w:t>
            </w:r>
          </w:p>
        </w:tc>
        <w:tc>
          <w:tcPr>
            <w:tcW w:w="524" w:type="pct"/>
            <w:shd w:val="clear" w:color="auto" w:fill="D9D9D9" w:themeFill="background1" w:themeFillShade="D9"/>
            <w:vAlign w:val="bottom"/>
          </w:tcPr>
          <w:p w:rsidR="00844A37" w:rsidRPr="00475B47" w:rsidRDefault="00844A37" w:rsidP="00153074">
            <w:pPr>
              <w:pStyle w:val="TableBodyText"/>
              <w:ind w:right="95"/>
              <w:rPr>
                <w:i/>
              </w:rPr>
            </w:pPr>
            <w:r>
              <w:rPr>
                <w:i/>
              </w:rPr>
              <w:t>25.2</w:t>
            </w:r>
          </w:p>
        </w:tc>
        <w:tc>
          <w:tcPr>
            <w:tcW w:w="81" w:type="pct"/>
            <w:shd w:val="clear" w:color="auto" w:fill="D9D9D9" w:themeFill="background1" w:themeFillShade="D9"/>
          </w:tcPr>
          <w:p w:rsidR="00844A37" w:rsidRPr="00B350A3" w:rsidRDefault="00844A37" w:rsidP="00153074">
            <w:pPr>
              <w:pStyle w:val="TableBodyText"/>
              <w:rPr>
                <w:i/>
              </w:rPr>
            </w:pPr>
          </w:p>
        </w:tc>
        <w:tc>
          <w:tcPr>
            <w:tcW w:w="524" w:type="pct"/>
            <w:shd w:val="clear" w:color="auto" w:fill="D9D9D9" w:themeFill="background1" w:themeFillShade="D9"/>
            <w:vAlign w:val="bottom"/>
          </w:tcPr>
          <w:p w:rsidR="00844A37" w:rsidRPr="00B350A3" w:rsidRDefault="00844A37" w:rsidP="00153074">
            <w:pPr>
              <w:pStyle w:val="TableBodyText"/>
              <w:rPr>
                <w:i/>
              </w:rPr>
            </w:pPr>
            <w:r w:rsidRPr="00B350A3">
              <w:rPr>
                <w:i/>
              </w:rPr>
              <w:t>2</w:t>
            </w:r>
            <w:r>
              <w:rPr>
                <w:i/>
              </w:rPr>
              <w:t xml:space="preserve"> </w:t>
            </w:r>
            <w:r w:rsidRPr="00B350A3">
              <w:rPr>
                <w:i/>
              </w:rPr>
              <w:t>122</w:t>
            </w:r>
          </w:p>
        </w:tc>
        <w:tc>
          <w:tcPr>
            <w:tcW w:w="525" w:type="pct"/>
            <w:shd w:val="clear" w:color="auto" w:fill="D9D9D9" w:themeFill="background1" w:themeFillShade="D9"/>
            <w:vAlign w:val="bottom"/>
          </w:tcPr>
          <w:p w:rsidR="00844A37" w:rsidRPr="00B350A3" w:rsidRDefault="00844A37" w:rsidP="00153074">
            <w:pPr>
              <w:pStyle w:val="TableBodyText"/>
              <w:rPr>
                <w:i/>
              </w:rPr>
            </w:pPr>
            <w:r w:rsidRPr="00B350A3">
              <w:rPr>
                <w:i/>
              </w:rPr>
              <w:t>74.6</w:t>
            </w:r>
          </w:p>
        </w:tc>
        <w:tc>
          <w:tcPr>
            <w:tcW w:w="79" w:type="pct"/>
            <w:shd w:val="clear" w:color="auto" w:fill="D9D9D9" w:themeFill="background1" w:themeFillShade="D9"/>
          </w:tcPr>
          <w:p w:rsidR="00844A37" w:rsidRPr="00852980" w:rsidRDefault="00844A37" w:rsidP="00153074">
            <w:pPr>
              <w:pStyle w:val="TableBodyText"/>
              <w:rPr>
                <w:i/>
              </w:rPr>
            </w:pPr>
          </w:p>
        </w:tc>
        <w:tc>
          <w:tcPr>
            <w:tcW w:w="525" w:type="pct"/>
            <w:shd w:val="clear" w:color="auto" w:fill="D9D9D9" w:themeFill="background1" w:themeFillShade="D9"/>
            <w:vAlign w:val="bottom"/>
          </w:tcPr>
          <w:p w:rsidR="00844A37" w:rsidRPr="00852980" w:rsidRDefault="00844A37" w:rsidP="00153074">
            <w:pPr>
              <w:pStyle w:val="TableBodyText"/>
              <w:rPr>
                <w:i/>
              </w:rPr>
            </w:pPr>
            <w:r w:rsidRPr="00852980">
              <w:rPr>
                <w:i/>
              </w:rPr>
              <w:t>1</w:t>
            </w:r>
            <w:r>
              <w:rPr>
                <w:i/>
              </w:rPr>
              <w:t xml:space="preserve"> </w:t>
            </w:r>
            <w:r w:rsidRPr="00852980">
              <w:rPr>
                <w:i/>
              </w:rPr>
              <w:t>688</w:t>
            </w:r>
          </w:p>
        </w:tc>
        <w:tc>
          <w:tcPr>
            <w:tcW w:w="523" w:type="pct"/>
            <w:shd w:val="clear" w:color="auto" w:fill="D9D9D9" w:themeFill="background1" w:themeFillShade="D9"/>
            <w:vAlign w:val="bottom"/>
          </w:tcPr>
          <w:p w:rsidR="00844A37" w:rsidRPr="0069383B" w:rsidRDefault="00844A37" w:rsidP="00153074">
            <w:pPr>
              <w:pStyle w:val="TableBodyText"/>
              <w:rPr>
                <w:i/>
              </w:rPr>
            </w:pPr>
            <w:r w:rsidRPr="00852980">
              <w:rPr>
                <w:i/>
              </w:rPr>
              <w:t>150.3</w:t>
            </w:r>
          </w:p>
        </w:tc>
      </w:tr>
      <w:tr w:rsidR="00844A37" w:rsidRPr="00B350A3" w:rsidTr="00633C47">
        <w:tc>
          <w:tcPr>
            <w:tcW w:w="1695" w:type="pct"/>
            <w:shd w:val="clear" w:color="auto" w:fill="auto"/>
          </w:tcPr>
          <w:p w:rsidR="00844A37" w:rsidRPr="00B350A3" w:rsidRDefault="00844A37" w:rsidP="00BD7518">
            <w:pPr>
              <w:pStyle w:val="TableBodyText"/>
              <w:ind w:right="0"/>
              <w:jc w:val="left"/>
              <w:rPr>
                <w:i/>
              </w:rPr>
            </w:pPr>
            <w:r w:rsidRPr="00B350A3">
              <w:rPr>
                <w:i/>
              </w:rPr>
              <w:t xml:space="preserve">All other </w:t>
            </w:r>
            <w:r>
              <w:rPr>
                <w:i/>
              </w:rPr>
              <w:t>f</w:t>
            </w:r>
            <w:r w:rsidRPr="00B350A3">
              <w:rPr>
                <w:i/>
              </w:rPr>
              <w:t>abricated metal</w:t>
            </w:r>
            <w:r>
              <w:rPr>
                <w:i/>
              </w:rPr>
              <w:t xml:space="preserve"> prod.</w:t>
            </w:r>
            <w:r w:rsidR="00BD7518" w:rsidRPr="00BD7518">
              <w:rPr>
                <w:rStyle w:val="NoteLabel"/>
              </w:rPr>
              <w:t>b</w:t>
            </w:r>
            <w:r>
              <w:rPr>
                <w:i/>
              </w:rPr>
              <w:t xml:space="preserve"> </w:t>
            </w:r>
          </w:p>
        </w:tc>
        <w:tc>
          <w:tcPr>
            <w:tcW w:w="524" w:type="pct"/>
            <w:shd w:val="clear" w:color="auto" w:fill="auto"/>
            <w:vAlign w:val="bottom"/>
          </w:tcPr>
          <w:p w:rsidR="00844A37" w:rsidRPr="00B350A3" w:rsidRDefault="00844A37" w:rsidP="00153074">
            <w:pPr>
              <w:pStyle w:val="TableBodyText"/>
              <w:ind w:right="72"/>
              <w:rPr>
                <w:i/>
              </w:rPr>
            </w:pPr>
            <w:r w:rsidRPr="00B350A3">
              <w:rPr>
                <w:i/>
              </w:rPr>
              <w:t>1</w:t>
            </w:r>
            <w:r>
              <w:rPr>
                <w:i/>
              </w:rPr>
              <w:t xml:space="preserve"> </w:t>
            </w:r>
            <w:r w:rsidRPr="00B350A3">
              <w:rPr>
                <w:i/>
              </w:rPr>
              <w:t>286</w:t>
            </w:r>
          </w:p>
        </w:tc>
        <w:tc>
          <w:tcPr>
            <w:tcW w:w="524" w:type="pct"/>
            <w:shd w:val="clear" w:color="auto" w:fill="auto"/>
            <w:vAlign w:val="bottom"/>
          </w:tcPr>
          <w:p w:rsidR="00844A37" w:rsidRPr="00B350A3" w:rsidRDefault="00844A37" w:rsidP="00153074">
            <w:pPr>
              <w:pStyle w:val="TableBodyText"/>
              <w:ind w:right="95"/>
              <w:rPr>
                <w:i/>
              </w:rPr>
            </w:pPr>
            <w:r w:rsidRPr="00B350A3">
              <w:rPr>
                <w:i/>
              </w:rPr>
              <w:t>74.8</w:t>
            </w:r>
          </w:p>
        </w:tc>
        <w:tc>
          <w:tcPr>
            <w:tcW w:w="81" w:type="pct"/>
            <w:shd w:val="clear" w:color="auto" w:fill="auto"/>
          </w:tcPr>
          <w:p w:rsidR="00844A37" w:rsidRPr="00B350A3" w:rsidRDefault="00844A37" w:rsidP="00153074">
            <w:pPr>
              <w:pStyle w:val="TableBodyText"/>
              <w:rPr>
                <w:i/>
              </w:rPr>
            </w:pPr>
          </w:p>
        </w:tc>
        <w:tc>
          <w:tcPr>
            <w:tcW w:w="524" w:type="pct"/>
            <w:shd w:val="clear" w:color="auto" w:fill="auto"/>
            <w:vAlign w:val="bottom"/>
          </w:tcPr>
          <w:p w:rsidR="00844A37" w:rsidRPr="00B350A3" w:rsidRDefault="00844A37" w:rsidP="00153074">
            <w:pPr>
              <w:pStyle w:val="TableBodyText"/>
              <w:rPr>
                <w:i/>
              </w:rPr>
            </w:pPr>
            <w:r w:rsidRPr="00B350A3">
              <w:rPr>
                <w:i/>
              </w:rPr>
              <w:t>721</w:t>
            </w:r>
          </w:p>
        </w:tc>
        <w:tc>
          <w:tcPr>
            <w:tcW w:w="525" w:type="pct"/>
            <w:shd w:val="clear" w:color="auto" w:fill="auto"/>
            <w:vAlign w:val="bottom"/>
          </w:tcPr>
          <w:p w:rsidR="00844A37" w:rsidRPr="00B350A3" w:rsidRDefault="00844A37" w:rsidP="00153074">
            <w:pPr>
              <w:pStyle w:val="TableBodyText"/>
              <w:rPr>
                <w:i/>
              </w:rPr>
            </w:pPr>
            <w:r w:rsidRPr="00B350A3">
              <w:rPr>
                <w:i/>
              </w:rPr>
              <w:t>25.4</w:t>
            </w:r>
          </w:p>
        </w:tc>
        <w:tc>
          <w:tcPr>
            <w:tcW w:w="79" w:type="pct"/>
            <w:shd w:val="clear" w:color="auto" w:fill="auto"/>
          </w:tcPr>
          <w:p w:rsidR="00844A37" w:rsidRPr="00852980" w:rsidRDefault="00844A37" w:rsidP="00153074">
            <w:pPr>
              <w:pStyle w:val="TableBodyText"/>
              <w:rPr>
                <w:i/>
              </w:rPr>
            </w:pPr>
          </w:p>
        </w:tc>
        <w:tc>
          <w:tcPr>
            <w:tcW w:w="525" w:type="pct"/>
            <w:shd w:val="clear" w:color="auto" w:fill="auto"/>
            <w:vAlign w:val="bottom"/>
          </w:tcPr>
          <w:p w:rsidR="00844A37" w:rsidRPr="00423EE9" w:rsidRDefault="00844A37" w:rsidP="00153074">
            <w:pPr>
              <w:pStyle w:val="TableBodyText"/>
              <w:rPr>
                <w:i/>
              </w:rPr>
            </w:pPr>
            <w:r w:rsidRPr="00852980">
              <w:rPr>
                <w:i/>
              </w:rPr>
              <w:t>-565</w:t>
            </w:r>
          </w:p>
        </w:tc>
        <w:tc>
          <w:tcPr>
            <w:tcW w:w="523" w:type="pct"/>
            <w:shd w:val="clear" w:color="auto" w:fill="auto"/>
            <w:vAlign w:val="bottom"/>
          </w:tcPr>
          <w:p w:rsidR="00844A37" w:rsidRPr="0069383B" w:rsidRDefault="00844A37" w:rsidP="00153074">
            <w:pPr>
              <w:pStyle w:val="TableBodyText"/>
              <w:rPr>
                <w:i/>
              </w:rPr>
            </w:pPr>
            <w:r w:rsidRPr="00852980">
              <w:rPr>
                <w:i/>
              </w:rPr>
              <w:t>-50.3</w:t>
            </w:r>
          </w:p>
        </w:tc>
      </w:tr>
      <w:tr w:rsidR="00844A37" w:rsidRPr="00B350A3" w:rsidTr="00633C47">
        <w:tc>
          <w:tcPr>
            <w:tcW w:w="1695" w:type="pct"/>
            <w:tcBorders>
              <w:bottom w:val="single" w:sz="4" w:space="0" w:color="auto"/>
            </w:tcBorders>
            <w:shd w:val="clear" w:color="auto" w:fill="D9D9D9" w:themeFill="background1" w:themeFillShade="D9"/>
          </w:tcPr>
          <w:p w:rsidR="00844A37" w:rsidRPr="00B350A3" w:rsidRDefault="00844A37" w:rsidP="00BD7518">
            <w:pPr>
              <w:pStyle w:val="TableBodyText"/>
              <w:ind w:right="0"/>
              <w:jc w:val="left"/>
              <w:rPr>
                <w:b/>
              </w:rPr>
            </w:pPr>
            <w:r w:rsidRPr="00B350A3">
              <w:rPr>
                <w:b/>
              </w:rPr>
              <w:t>22 Fabricated metal</w:t>
            </w:r>
            <w:r>
              <w:rPr>
                <w:b/>
              </w:rPr>
              <w:t>s</w:t>
            </w:r>
          </w:p>
        </w:tc>
        <w:tc>
          <w:tcPr>
            <w:tcW w:w="524" w:type="pct"/>
            <w:tcBorders>
              <w:bottom w:val="single" w:sz="4" w:space="0" w:color="auto"/>
            </w:tcBorders>
            <w:shd w:val="clear" w:color="auto" w:fill="D9D9D9" w:themeFill="background1" w:themeFillShade="D9"/>
            <w:vAlign w:val="bottom"/>
          </w:tcPr>
          <w:p w:rsidR="00844A37" w:rsidRPr="00B350A3" w:rsidRDefault="00844A37" w:rsidP="00153074">
            <w:pPr>
              <w:pStyle w:val="TableBodyText"/>
              <w:ind w:right="72"/>
              <w:rPr>
                <w:b/>
              </w:rPr>
            </w:pPr>
            <w:r w:rsidRPr="00B350A3">
              <w:rPr>
                <w:b/>
              </w:rPr>
              <w:t>1</w:t>
            </w:r>
            <w:r>
              <w:rPr>
                <w:b/>
              </w:rPr>
              <w:t xml:space="preserve"> </w:t>
            </w:r>
            <w:r w:rsidRPr="00B350A3">
              <w:rPr>
                <w:b/>
              </w:rPr>
              <w:t>720</w:t>
            </w:r>
          </w:p>
        </w:tc>
        <w:tc>
          <w:tcPr>
            <w:tcW w:w="524" w:type="pct"/>
            <w:tcBorders>
              <w:bottom w:val="single" w:sz="4" w:space="0" w:color="auto"/>
            </w:tcBorders>
            <w:shd w:val="clear" w:color="auto" w:fill="D9D9D9" w:themeFill="background1" w:themeFillShade="D9"/>
            <w:vAlign w:val="bottom"/>
          </w:tcPr>
          <w:p w:rsidR="00844A37" w:rsidRPr="00B350A3" w:rsidRDefault="00844A37" w:rsidP="00153074">
            <w:pPr>
              <w:pStyle w:val="TableBodyText"/>
              <w:ind w:right="95"/>
              <w:rPr>
                <w:b/>
              </w:rPr>
            </w:pPr>
            <w:r w:rsidRPr="00B350A3">
              <w:rPr>
                <w:b/>
              </w:rPr>
              <w:t>100.0</w:t>
            </w:r>
          </w:p>
        </w:tc>
        <w:tc>
          <w:tcPr>
            <w:tcW w:w="81" w:type="pct"/>
            <w:tcBorders>
              <w:bottom w:val="single" w:sz="4" w:space="0" w:color="auto"/>
            </w:tcBorders>
            <w:shd w:val="clear" w:color="auto" w:fill="D9D9D9" w:themeFill="background1" w:themeFillShade="D9"/>
          </w:tcPr>
          <w:p w:rsidR="00844A37" w:rsidRPr="00B350A3" w:rsidRDefault="00844A37" w:rsidP="00153074">
            <w:pPr>
              <w:pStyle w:val="TableBodyText"/>
              <w:rPr>
                <w:b/>
              </w:rPr>
            </w:pPr>
          </w:p>
        </w:tc>
        <w:tc>
          <w:tcPr>
            <w:tcW w:w="524" w:type="pct"/>
            <w:tcBorders>
              <w:bottom w:val="single" w:sz="4" w:space="0" w:color="auto"/>
            </w:tcBorders>
            <w:shd w:val="clear" w:color="auto" w:fill="D9D9D9" w:themeFill="background1" w:themeFillShade="D9"/>
            <w:vAlign w:val="bottom"/>
          </w:tcPr>
          <w:p w:rsidR="00844A37" w:rsidRPr="00B350A3" w:rsidRDefault="00844A37" w:rsidP="00153074">
            <w:pPr>
              <w:pStyle w:val="TableBodyText"/>
              <w:rPr>
                <w:b/>
              </w:rPr>
            </w:pPr>
            <w:r w:rsidRPr="00B350A3">
              <w:rPr>
                <w:b/>
              </w:rPr>
              <w:t>2</w:t>
            </w:r>
            <w:r>
              <w:rPr>
                <w:b/>
              </w:rPr>
              <w:t xml:space="preserve"> </w:t>
            </w:r>
            <w:r w:rsidRPr="00B350A3">
              <w:rPr>
                <w:b/>
              </w:rPr>
              <w:t>843</w:t>
            </w:r>
          </w:p>
        </w:tc>
        <w:tc>
          <w:tcPr>
            <w:tcW w:w="525" w:type="pct"/>
            <w:tcBorders>
              <w:bottom w:val="single" w:sz="4" w:space="0" w:color="auto"/>
            </w:tcBorders>
            <w:shd w:val="clear" w:color="auto" w:fill="D9D9D9" w:themeFill="background1" w:themeFillShade="D9"/>
            <w:vAlign w:val="bottom"/>
          </w:tcPr>
          <w:p w:rsidR="00844A37" w:rsidRPr="00B350A3" w:rsidRDefault="00844A37" w:rsidP="00153074">
            <w:pPr>
              <w:pStyle w:val="TableBodyText"/>
              <w:rPr>
                <w:b/>
              </w:rPr>
            </w:pPr>
            <w:r w:rsidRPr="00B350A3">
              <w:rPr>
                <w:b/>
              </w:rPr>
              <w:t>100.0</w:t>
            </w:r>
          </w:p>
        </w:tc>
        <w:tc>
          <w:tcPr>
            <w:tcW w:w="79" w:type="pct"/>
            <w:tcBorders>
              <w:bottom w:val="single" w:sz="4" w:space="0" w:color="auto"/>
            </w:tcBorders>
            <w:shd w:val="clear" w:color="auto" w:fill="D9D9D9" w:themeFill="background1" w:themeFillShade="D9"/>
          </w:tcPr>
          <w:p w:rsidR="00844A37" w:rsidRPr="00852980" w:rsidRDefault="00844A37" w:rsidP="00153074">
            <w:pPr>
              <w:pStyle w:val="TableBodyText"/>
              <w:rPr>
                <w:b/>
              </w:rPr>
            </w:pPr>
          </w:p>
        </w:tc>
        <w:tc>
          <w:tcPr>
            <w:tcW w:w="525" w:type="pct"/>
            <w:tcBorders>
              <w:bottom w:val="single" w:sz="4" w:space="0" w:color="auto"/>
            </w:tcBorders>
            <w:shd w:val="clear" w:color="auto" w:fill="D9D9D9" w:themeFill="background1" w:themeFillShade="D9"/>
            <w:vAlign w:val="bottom"/>
          </w:tcPr>
          <w:p w:rsidR="00844A37" w:rsidRPr="00423EE9" w:rsidRDefault="00844A37" w:rsidP="00153074">
            <w:pPr>
              <w:pStyle w:val="TableBodyText"/>
              <w:rPr>
                <w:b/>
              </w:rPr>
            </w:pPr>
            <w:r w:rsidRPr="00852980">
              <w:rPr>
                <w:b/>
              </w:rPr>
              <w:t>1</w:t>
            </w:r>
            <w:r>
              <w:rPr>
                <w:b/>
              </w:rPr>
              <w:t xml:space="preserve"> </w:t>
            </w:r>
            <w:r w:rsidRPr="00852980">
              <w:rPr>
                <w:b/>
              </w:rPr>
              <w:t>123</w:t>
            </w:r>
          </w:p>
        </w:tc>
        <w:tc>
          <w:tcPr>
            <w:tcW w:w="523" w:type="pct"/>
            <w:tcBorders>
              <w:bottom w:val="single" w:sz="4" w:space="0" w:color="auto"/>
            </w:tcBorders>
            <w:shd w:val="clear" w:color="auto" w:fill="D9D9D9" w:themeFill="background1" w:themeFillShade="D9"/>
            <w:vAlign w:val="bottom"/>
          </w:tcPr>
          <w:p w:rsidR="00844A37" w:rsidRPr="00FB1B85" w:rsidRDefault="00844A37" w:rsidP="00153074">
            <w:pPr>
              <w:pStyle w:val="TableBodyText"/>
              <w:rPr>
                <w:b/>
              </w:rPr>
            </w:pPr>
            <w:r w:rsidRPr="00852980">
              <w:rPr>
                <w:b/>
              </w:rPr>
              <w:t>100.0</w:t>
            </w:r>
          </w:p>
        </w:tc>
      </w:tr>
    </w:tbl>
    <w:p w:rsidR="00844A37" w:rsidRPr="00200E20" w:rsidRDefault="00844A37" w:rsidP="00844A37">
      <w:pPr>
        <w:pStyle w:val="Note"/>
      </w:pPr>
      <w:proofErr w:type="spellStart"/>
      <w:r>
        <w:rPr>
          <w:rStyle w:val="NoteLabel"/>
        </w:rPr>
        <w:t>a</w:t>
      </w:r>
      <w:proofErr w:type="spellEnd"/>
      <w:r>
        <w:rPr>
          <w:rStyle w:val="NoteLabel"/>
        </w:rPr>
        <w:t xml:space="preserve"> </w:t>
      </w:r>
      <w:r w:rsidR="00BD7518">
        <w:t xml:space="preserve">Includes </w:t>
      </w:r>
      <w:proofErr w:type="spellStart"/>
      <w:r w:rsidR="00BD7518">
        <w:t>ANZSIC</w:t>
      </w:r>
      <w:proofErr w:type="spellEnd"/>
      <w:r w:rsidR="00BD7518">
        <w:t xml:space="preserve"> classes listed above</w:t>
      </w:r>
      <w:r w:rsidRPr="00200E20">
        <w:t>.</w:t>
      </w:r>
      <w:r w:rsidR="00A20464">
        <w:rPr>
          <w:rStyle w:val="NoteLabel"/>
        </w:rPr>
        <w:t xml:space="preserve"> </w:t>
      </w:r>
      <w:r w:rsidR="00BD7518">
        <w:rPr>
          <w:rStyle w:val="NoteLabel"/>
        </w:rPr>
        <w:t xml:space="preserve">b </w:t>
      </w:r>
      <w:r w:rsidR="00BD7518" w:rsidRPr="00200E20">
        <w:t xml:space="preserve">See box </w:t>
      </w:r>
      <w:r w:rsidR="00BD7518">
        <w:t>6.1</w:t>
      </w:r>
      <w:r w:rsidR="00BD7518" w:rsidRPr="00200E20">
        <w:t xml:space="preserve"> for definition.</w:t>
      </w:r>
    </w:p>
    <w:p w:rsidR="00844A37" w:rsidRPr="00854416" w:rsidRDefault="00844A37" w:rsidP="00844A37">
      <w:pPr>
        <w:pStyle w:val="Source"/>
        <w:rPr>
          <w:u w:val="single"/>
        </w:rPr>
      </w:pPr>
      <w:r>
        <w:rPr>
          <w:i/>
        </w:rPr>
        <w:t>Source</w:t>
      </w:r>
      <w:r w:rsidR="00364830">
        <w:rPr>
          <w:i/>
        </w:rPr>
        <w:t>s</w:t>
      </w:r>
      <w:r>
        <w:t>: Authors’ estimates based on ABS (</w:t>
      </w:r>
      <w:r>
        <w:rPr>
          <w:i/>
        </w:rPr>
        <w:t>Australian Manufacturing</w:t>
      </w:r>
      <w:r>
        <w:t>, various issues, Cat. no, 8221.0); ABS</w:t>
      </w:r>
      <w:r w:rsidR="0007675D">
        <w:t> </w:t>
      </w:r>
      <w:r>
        <w:t>(</w:t>
      </w:r>
      <w:r w:rsidRPr="006A1600">
        <w:rPr>
          <w:i/>
        </w:rPr>
        <w:t>Australian Industry</w:t>
      </w:r>
      <w:r>
        <w:t>,</w:t>
      </w:r>
      <w:r w:rsidRPr="006A1600">
        <w:t xml:space="preserve"> </w:t>
      </w:r>
      <w:r>
        <w:t xml:space="preserve">various issues, </w:t>
      </w:r>
      <w:r w:rsidRPr="006A1600">
        <w:t>Cat. no. 8155.0)</w:t>
      </w:r>
      <w:r>
        <w:t>;</w:t>
      </w:r>
      <w:r w:rsidRPr="006A1600">
        <w:t xml:space="preserve"> </w:t>
      </w:r>
      <w:r>
        <w:t>and</w:t>
      </w:r>
      <w:r w:rsidRPr="006A1600">
        <w:t xml:space="preserve"> ABS </w:t>
      </w:r>
      <w:r w:rsidRPr="006A1600">
        <w:rPr>
          <w:i/>
        </w:rPr>
        <w:t xml:space="preserve">(Experimental Estimates for the Manufacturing Industry, </w:t>
      </w:r>
      <w:r>
        <w:t>various issues,</w:t>
      </w:r>
      <w:r w:rsidRPr="006A1600">
        <w:t xml:space="preserve"> Cat. no. 8159.0).</w:t>
      </w:r>
      <w:r>
        <w:rPr>
          <w:u w:val="single"/>
        </w:rPr>
        <w:t xml:space="preserve"> </w:t>
      </w:r>
    </w:p>
    <w:p w:rsidR="00592DFB" w:rsidRDefault="000D299F" w:rsidP="00592DFB">
      <w:pPr>
        <w:pStyle w:val="BodyText"/>
      </w:pPr>
      <w:r w:rsidRPr="00D46503">
        <w:t>Much of the growth over cycle 3</w:t>
      </w:r>
      <w:r w:rsidR="00F842B4" w:rsidRPr="00D46503">
        <w:t xml:space="preserve"> </w:t>
      </w:r>
      <w:r w:rsidR="00952F35" w:rsidRPr="00D46503">
        <w:t>was contributed by</w:t>
      </w:r>
      <w:r w:rsidR="00F842B4" w:rsidRPr="00D46503">
        <w:t xml:space="preserve"> this catch-all category</w:t>
      </w:r>
      <w:r w:rsidRPr="00D46503">
        <w:t>, but the classes responsible for growth in cycle 4 are more easily identified. N</w:t>
      </w:r>
      <w:r w:rsidR="00592DFB" w:rsidRPr="00D46503">
        <w:t>early three-quarters of the growth</w:t>
      </w:r>
      <w:r w:rsidRPr="00D46503">
        <w:t xml:space="preserve"> in cycle 4</w:t>
      </w:r>
      <w:r w:rsidR="00592DFB" w:rsidRPr="00D46503">
        <w:t xml:space="preserve"> in </w:t>
      </w:r>
      <w:r w:rsidR="00D46503" w:rsidRPr="00D46503">
        <w:t xml:space="preserve">the nominal value added of </w:t>
      </w:r>
      <w:r w:rsidR="00232585" w:rsidRPr="00D46503">
        <w:t>F</w:t>
      </w:r>
      <w:r w:rsidR="00592DFB" w:rsidRPr="00D46503">
        <w:t>abricated metals</w:t>
      </w:r>
      <w:r w:rsidR="00232585" w:rsidRPr="00D46503">
        <w:t xml:space="preserve"> </w:t>
      </w:r>
      <w:r w:rsidR="002A5AA7" w:rsidRPr="00D46503">
        <w:t>was</w:t>
      </w:r>
      <w:r w:rsidR="00592DFB" w:rsidRPr="00D46503">
        <w:t xml:space="preserve"> in </w:t>
      </w:r>
      <w:r w:rsidR="00EC4BC1" w:rsidRPr="00D46503">
        <w:t>‘Structural steel fabricating’</w:t>
      </w:r>
      <w:r w:rsidR="00605C7B" w:rsidRPr="00D46503">
        <w:t xml:space="preserve"> </w:t>
      </w:r>
      <w:r w:rsidR="00592DFB" w:rsidRPr="00D46503">
        <w:t>(over 40 per cent)</w:t>
      </w:r>
      <w:r w:rsidR="00D46503" w:rsidRPr="00D46503">
        <w:t>,</w:t>
      </w:r>
      <w:r w:rsidR="00592DFB" w:rsidRPr="00D46503">
        <w:t xml:space="preserve"> ‘Architectural aluminium product manufacturing’ (12.5 per cent), ‘Metal coating and finishing’ (10 per cent) and ‘Other structural metal product manufacturing’ (9.8 per cent). </w:t>
      </w:r>
    </w:p>
    <w:p w:rsidR="00592DFB" w:rsidRDefault="00592DFB" w:rsidP="00592DFB">
      <w:pPr>
        <w:pStyle w:val="BodyText"/>
      </w:pPr>
      <w:r>
        <w:t>Structural steel products</w:t>
      </w:r>
      <w:r w:rsidR="009C48C9">
        <w:t>,</w:t>
      </w:r>
      <w:r w:rsidR="00BC6278">
        <w:t xml:space="preserve"> therefore</w:t>
      </w:r>
      <w:r w:rsidR="00AE78E1">
        <w:t>,</w:t>
      </w:r>
      <w:r>
        <w:t xml:space="preserve"> more than accounts for the </w:t>
      </w:r>
      <w:r w:rsidR="002025C0">
        <w:t xml:space="preserve">total increase in </w:t>
      </w:r>
      <w:r>
        <w:t xml:space="preserve">nominal value added growth in Fabricated metals </w:t>
      </w:r>
      <w:r w:rsidRPr="004125B1">
        <w:rPr>
          <w:i/>
        </w:rPr>
        <w:t>between</w:t>
      </w:r>
      <w:r>
        <w:t xml:space="preserve"> cycles 3 and 4. This was partially offset by a decline in the value added of the other Fabricated metals category. Metal coating and finishing </w:t>
      </w:r>
      <w:r w:rsidRPr="009A2DA0">
        <w:t>a</w:t>
      </w:r>
      <w:r>
        <w:t xml:space="preserve">nd Other structural metal product manufacturing also </w:t>
      </w:r>
      <w:r w:rsidR="00995F8C">
        <w:t>registered</w:t>
      </w:r>
      <w:r>
        <w:t xml:space="preserve"> strong growth between the cycles.</w:t>
      </w:r>
    </w:p>
    <w:p w:rsidR="007D41B4" w:rsidRDefault="007D41B4" w:rsidP="007D41B4">
      <w:pPr>
        <w:pStyle w:val="Heading4"/>
      </w:pPr>
      <w:r>
        <w:lastRenderedPageBreak/>
        <w:t>Summary</w:t>
      </w:r>
      <w:r w:rsidR="00BE432B">
        <w:t xml:space="preserve"> of </w:t>
      </w:r>
      <w:r w:rsidR="001F676F">
        <w:t>value added</w:t>
      </w:r>
      <w:r w:rsidR="00896D07">
        <w:t xml:space="preserve"> </w:t>
      </w:r>
      <w:r w:rsidR="00BE432B" w:rsidRPr="00D61F45">
        <w:t>trends</w:t>
      </w:r>
    </w:p>
    <w:p w:rsidR="007D41B4" w:rsidRPr="0043221D" w:rsidRDefault="00A34BA7" w:rsidP="007D41B4">
      <w:pPr>
        <w:pStyle w:val="BodyText"/>
      </w:pPr>
      <w:r>
        <w:t xml:space="preserve">While data </w:t>
      </w:r>
      <w:r w:rsidR="006C5C49">
        <w:t>are</w:t>
      </w:r>
      <w:r>
        <w:t xml:space="preserve"> limited at more disaggregated levels </w:t>
      </w:r>
      <w:r w:rsidR="003574BB">
        <w:t xml:space="preserve">within </w:t>
      </w:r>
      <w:r w:rsidR="006B0816">
        <w:t>MP</w:t>
      </w:r>
      <w:r>
        <w:t xml:space="preserve"> manufacturing, all the </w:t>
      </w:r>
      <w:r w:rsidR="0028080E">
        <w:t xml:space="preserve">available </w:t>
      </w:r>
      <w:r>
        <w:t xml:space="preserve">evidence indicates that the majority of growth observed between cycles 3 and 4 occurred in </w:t>
      </w:r>
      <w:r w:rsidR="00951659">
        <w:t>s</w:t>
      </w:r>
      <w:r w:rsidR="00FA65A9">
        <w:t>tructural steel products</w:t>
      </w:r>
      <w:r w:rsidR="007D41B4">
        <w:t xml:space="preserve">. Much of </w:t>
      </w:r>
      <w:r w:rsidR="006C5C49">
        <w:t>that</w:t>
      </w:r>
      <w:r w:rsidR="007D41B4">
        <w:t xml:space="preserve"> growth appears related to activities associated with construction </w:t>
      </w:r>
      <w:r w:rsidR="00C94652">
        <w:t xml:space="preserve">— </w:t>
      </w:r>
      <w:r w:rsidR="007D41B4">
        <w:t xml:space="preserve">which suggests that the construction ‘boom’ in the lead-up to the </w:t>
      </w:r>
      <w:r w:rsidR="00A1672C">
        <w:t>global financial crisis</w:t>
      </w:r>
      <w:r w:rsidR="007D41B4">
        <w:t xml:space="preserve"> may have benefited Fabricated metals and explains the growth in nominal value added for the subdivision over the period</w:t>
      </w:r>
      <w:r w:rsidR="00205623">
        <w:t xml:space="preserve"> (appendix H)</w:t>
      </w:r>
      <w:r w:rsidR="007D41B4">
        <w:t>.</w:t>
      </w:r>
      <w:r w:rsidR="003513E3">
        <w:t xml:space="preserve"> </w:t>
      </w:r>
    </w:p>
    <w:p w:rsidR="00D8403B" w:rsidRDefault="00D8403B" w:rsidP="00D8403B">
      <w:pPr>
        <w:pStyle w:val="Heading3"/>
        <w:keepNext w:val="0"/>
        <w:widowControl w:val="0"/>
      </w:pPr>
      <w:r>
        <w:t>Capital</w:t>
      </w:r>
    </w:p>
    <w:p w:rsidR="001A2B61" w:rsidRDefault="00E74CEF" w:rsidP="00E74CEF">
      <w:pPr>
        <w:pStyle w:val="BodyText"/>
      </w:pPr>
      <w:r w:rsidRPr="00D46503">
        <w:t xml:space="preserve">Much of the decline in MFP for </w:t>
      </w:r>
      <w:r w:rsidR="00755E20">
        <w:t>MP</w:t>
      </w:r>
      <w:r w:rsidRPr="00D46503">
        <w:t xml:space="preserve"> between the last two complete productivity cycles </w:t>
      </w:r>
      <w:r w:rsidR="002137EF" w:rsidRPr="00D46503">
        <w:t>was</w:t>
      </w:r>
      <w:r w:rsidRPr="00D46503">
        <w:t xml:space="preserve"> driven by the strong capital services growth of the subsector.</w:t>
      </w:r>
      <w:r w:rsidR="001A2B61" w:rsidRPr="00D46503">
        <w:t xml:space="preserve"> </w:t>
      </w:r>
      <w:r w:rsidR="004F384C" w:rsidRPr="00D46503">
        <w:t xml:space="preserve">There was a rapid rise in capital investment by </w:t>
      </w:r>
      <w:r w:rsidR="00216FE6">
        <w:t>MP</w:t>
      </w:r>
      <w:r w:rsidR="004F384C" w:rsidRPr="00D46503">
        <w:t xml:space="preserve"> in cycle</w:t>
      </w:r>
      <w:r w:rsidR="000077F7" w:rsidRPr="00D46503">
        <w:t> </w:t>
      </w:r>
      <w:r w:rsidR="004F384C" w:rsidRPr="00D46503">
        <w:t>4,</w:t>
      </w:r>
      <w:r w:rsidR="009A2DA0" w:rsidRPr="00D46503">
        <w:t xml:space="preserve"> during which the subsector</w:t>
      </w:r>
      <w:r w:rsidR="001A2B61" w:rsidRPr="00D46503">
        <w:t xml:space="preserve"> contributed </w:t>
      </w:r>
      <w:r w:rsidR="00951659">
        <w:t>about</w:t>
      </w:r>
      <w:r w:rsidR="00DE5961" w:rsidRPr="00D46503">
        <w:t xml:space="preserve"> 40 per cent</w:t>
      </w:r>
      <w:r w:rsidR="00DE5961">
        <w:t xml:space="preserve"> </w:t>
      </w:r>
      <w:r w:rsidR="008577F9">
        <w:t>of</w:t>
      </w:r>
      <w:r w:rsidR="008577F9" w:rsidRPr="00D46503">
        <w:t xml:space="preserve"> </w:t>
      </w:r>
      <w:r w:rsidR="001A2B61" w:rsidRPr="00D46503">
        <w:t xml:space="preserve">the capital </w:t>
      </w:r>
      <w:r w:rsidR="00951659">
        <w:t>services</w:t>
      </w:r>
      <w:r w:rsidR="00951659" w:rsidRPr="00D46503">
        <w:t xml:space="preserve"> </w:t>
      </w:r>
      <w:r w:rsidR="001A2B61" w:rsidRPr="00D46503">
        <w:t>growth in Manufacturing</w:t>
      </w:r>
      <w:r w:rsidR="00951659">
        <w:t xml:space="preserve"> as</w:t>
      </w:r>
      <w:r w:rsidR="0031760F">
        <w:t xml:space="preserve"> a</w:t>
      </w:r>
      <w:r w:rsidR="00951659">
        <w:t xml:space="preserve"> whole</w:t>
      </w:r>
      <w:r w:rsidR="00EE3041" w:rsidRPr="00D46503">
        <w:t xml:space="preserve">. </w:t>
      </w:r>
    </w:p>
    <w:p w:rsidR="00E74CEF" w:rsidRPr="006A1600" w:rsidRDefault="00663D20" w:rsidP="00E74CEF">
      <w:pPr>
        <w:pStyle w:val="BodyText"/>
      </w:pPr>
      <w:r>
        <w:t>C</w:t>
      </w:r>
      <w:r w:rsidR="009C48C9">
        <w:t>apital services growth</w:t>
      </w:r>
      <w:r>
        <w:t xml:space="preserve"> in </w:t>
      </w:r>
      <w:r w:rsidR="006B0816">
        <w:t>MP</w:t>
      </w:r>
      <w:r>
        <w:t xml:space="preserve"> was</w:t>
      </w:r>
      <w:r w:rsidR="00E74CEF">
        <w:t xml:space="preserve"> driven by </w:t>
      </w:r>
      <w:r w:rsidR="009C48C9">
        <w:t xml:space="preserve">the </w:t>
      </w:r>
      <w:r w:rsidR="00E74CEF">
        <w:t>strong investment</w:t>
      </w:r>
      <w:r>
        <w:t xml:space="preserve"> </w:t>
      </w:r>
      <w:r w:rsidR="00E74CEF">
        <w:t>in Primary metal</w:t>
      </w:r>
      <w:r w:rsidR="00D775FA">
        <w:t>s</w:t>
      </w:r>
      <w:r w:rsidR="00E74CEF">
        <w:t xml:space="preserve">, particularly in projects designed to increase the capacity (and in some cases efficiency) of alumina refining. There were also some smaller investments made in nickel refining and copper smelting. </w:t>
      </w:r>
      <w:r w:rsidR="000948CE">
        <w:t>Investments</w:t>
      </w:r>
      <w:r w:rsidR="00E74CEF">
        <w:t xml:space="preserve"> </w:t>
      </w:r>
      <w:r w:rsidR="00275B72">
        <w:t xml:space="preserve">were also </w:t>
      </w:r>
      <w:r w:rsidR="00E74CEF">
        <w:t>made in Fabricated metal production, but on a much smaller scale</w:t>
      </w:r>
      <w:r w:rsidR="00263CF5">
        <w:t>.</w:t>
      </w:r>
      <w:r w:rsidR="00E74CEF">
        <w:t xml:space="preserve"> </w:t>
      </w:r>
    </w:p>
    <w:p w:rsidR="003E4621" w:rsidRDefault="003E4621" w:rsidP="003E4621">
      <w:pPr>
        <w:pStyle w:val="Heading4"/>
      </w:pPr>
      <w:r>
        <w:t>Investment by asset and industry</w:t>
      </w:r>
    </w:p>
    <w:p w:rsidR="00784D4D" w:rsidRDefault="00B90A01" w:rsidP="00E455AA">
      <w:pPr>
        <w:pStyle w:val="BodyText"/>
      </w:pPr>
      <w:r>
        <w:t>Growth in capital services for MP more than qua</w:t>
      </w:r>
      <w:r w:rsidR="008A6845">
        <w:t xml:space="preserve">drupled </w:t>
      </w:r>
      <w:r w:rsidR="00065FBC">
        <w:t>in cycle 4 relative to cycle</w:t>
      </w:r>
      <w:r w:rsidR="00DA629C">
        <w:t> </w:t>
      </w:r>
      <w:r w:rsidR="00065FBC">
        <w:t>3</w:t>
      </w:r>
      <w:r w:rsidR="00D35D7D">
        <w:t>.</w:t>
      </w:r>
      <w:r w:rsidR="00160A5B">
        <w:t xml:space="preserve"> </w:t>
      </w:r>
      <w:r w:rsidR="0052657B">
        <w:t>A starting point for examining the reasons for the increase in capital services is to look at the type of investment undertaken.</w:t>
      </w:r>
    </w:p>
    <w:p w:rsidR="0052657B" w:rsidRDefault="0052657B" w:rsidP="00E455AA">
      <w:pPr>
        <w:pStyle w:val="BodyText"/>
      </w:pPr>
      <w:r>
        <w:t xml:space="preserve">Figure </w:t>
      </w:r>
      <w:r w:rsidR="00DA629C">
        <w:t>6.13</w:t>
      </w:r>
      <w:r>
        <w:t xml:space="preserve"> shows the real value of</w:t>
      </w:r>
      <w:r w:rsidR="00D0003E">
        <w:t xml:space="preserve"> MP </w:t>
      </w:r>
      <w:r>
        <w:t>investment by asset type</w:t>
      </w:r>
      <w:r w:rsidR="003A32C1">
        <w:t xml:space="preserve"> </w:t>
      </w:r>
      <w:r>
        <w:t xml:space="preserve">— namely machinery </w:t>
      </w:r>
      <w:r w:rsidR="0044553F">
        <w:t xml:space="preserve">and </w:t>
      </w:r>
      <w:r>
        <w:t xml:space="preserve">equipment, non-dwelling construction, research &amp; development and software. </w:t>
      </w:r>
      <w:r w:rsidR="00002EB5">
        <w:t xml:space="preserve">Machinery </w:t>
      </w:r>
      <w:r w:rsidR="00CE4C67">
        <w:t>and</w:t>
      </w:r>
      <w:r w:rsidR="00D14B0F">
        <w:t xml:space="preserve"> </w:t>
      </w:r>
      <w:r w:rsidR="00002EB5">
        <w:t xml:space="preserve">equipment and non-dwelling construction </w:t>
      </w:r>
      <w:r w:rsidR="008B6BD0">
        <w:t>were</w:t>
      </w:r>
      <w:r w:rsidR="00002EB5">
        <w:t xml:space="preserve"> the largest components of investment, with very strong growth in non-dwelling construction in cycle 4.</w:t>
      </w:r>
      <w:r w:rsidR="00802C53" w:rsidRPr="00802C53">
        <w:t xml:space="preserve"> </w:t>
      </w:r>
      <w:r w:rsidR="00802C53">
        <w:t>While</w:t>
      </w:r>
      <w:r w:rsidR="00643F59">
        <w:t xml:space="preserve"> the level of R&amp;D investment is </w:t>
      </w:r>
      <w:r w:rsidR="00802C53">
        <w:t>much smaller</w:t>
      </w:r>
      <w:r w:rsidR="007D3E1D">
        <w:t>,</w:t>
      </w:r>
      <w:r w:rsidR="009A6B09">
        <w:t xml:space="preserve"> it also grew substantially </w:t>
      </w:r>
      <w:r w:rsidR="00802C53">
        <w:t>over cycle</w:t>
      </w:r>
      <w:r w:rsidR="00EA72EF">
        <w:t xml:space="preserve"> 4</w:t>
      </w:r>
      <w:r w:rsidR="00802C53">
        <w:t xml:space="preserve"> in MP, although </w:t>
      </w:r>
      <w:r w:rsidR="00651800">
        <w:t>there</w:t>
      </w:r>
      <w:r w:rsidR="00802C53">
        <w:t xml:space="preserve"> has now</w:t>
      </w:r>
      <w:r w:rsidR="00471744">
        <w:t xml:space="preserve"> </w:t>
      </w:r>
      <w:r w:rsidR="00651800">
        <w:t xml:space="preserve">been some </w:t>
      </w:r>
      <w:r w:rsidR="00340832">
        <w:t>decline over the incomplete cycle</w:t>
      </w:r>
      <w:r w:rsidR="00802C53">
        <w:t>.</w:t>
      </w:r>
    </w:p>
    <w:p w:rsidR="003E4621" w:rsidRPr="00EC4839" w:rsidRDefault="003E4621">
      <w:pPr>
        <w:pStyle w:val="FigureTitle"/>
        <w:rPr>
          <w:sz w:val="24"/>
        </w:rPr>
      </w:pPr>
      <w:r w:rsidRPr="00EC4839">
        <w:rPr>
          <w:b w:val="0"/>
          <w:sz w:val="24"/>
        </w:rPr>
        <w:lastRenderedPageBreak/>
        <w:t xml:space="preserve">Figure </w:t>
      </w:r>
      <w:bookmarkStart w:id="26" w:name="OLE_LINK44"/>
      <w:r w:rsidR="00DA629C" w:rsidRPr="00EC4839">
        <w:rPr>
          <w:b w:val="0"/>
          <w:sz w:val="24"/>
        </w:rPr>
        <w:t>6.</w:t>
      </w:r>
      <w:r w:rsidR="00227A34">
        <w:rPr>
          <w:b w:val="0"/>
          <w:noProof/>
          <w:sz w:val="24"/>
        </w:rPr>
        <w:t>13</w:t>
      </w:r>
      <w:bookmarkEnd w:id="26"/>
      <w:r w:rsidRPr="00EC4839">
        <w:rPr>
          <w:sz w:val="24"/>
        </w:rPr>
        <w:tab/>
      </w:r>
      <w:r w:rsidR="009A0588">
        <w:rPr>
          <w:sz w:val="24"/>
        </w:rPr>
        <w:t>Metal products</w:t>
      </w:r>
      <w:r w:rsidRPr="00EC4839">
        <w:rPr>
          <w:sz w:val="24"/>
        </w:rPr>
        <w:t xml:space="preserve"> </w:t>
      </w:r>
      <w:r w:rsidR="00DB008F">
        <w:rPr>
          <w:sz w:val="24"/>
        </w:rPr>
        <w:t>gross fixed capital formation</w:t>
      </w:r>
      <w:r w:rsidRPr="00EC4839">
        <w:rPr>
          <w:sz w:val="24"/>
        </w:rPr>
        <w:t xml:space="preserve"> by asset</w:t>
      </w:r>
      <w:r w:rsidR="00FE5CBF">
        <w:rPr>
          <w:sz w:val="24"/>
        </w:rPr>
        <w:t xml:space="preserve"> type</w:t>
      </w:r>
      <w:r w:rsidR="00862057" w:rsidRPr="00862057">
        <w:rPr>
          <w:rStyle w:val="NoteLabel"/>
          <w:b/>
        </w:rPr>
        <w:t>a</w:t>
      </w:r>
    </w:p>
    <w:p w:rsidR="003E4621" w:rsidRDefault="003E4621" w:rsidP="003E4621">
      <w:pPr>
        <w:pStyle w:val="Subtitle"/>
      </w:pPr>
      <w:r>
        <w:t>2009-10 $m</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3E4621" w:rsidTr="006B0B72">
        <w:tc>
          <w:tcPr>
            <w:tcW w:w="8777" w:type="dxa"/>
          </w:tcPr>
          <w:p w:rsidR="003E4621" w:rsidRDefault="00852E6A" w:rsidP="00180E99">
            <w:pPr>
              <w:pStyle w:val="Figure"/>
            </w:pPr>
            <w:r>
              <w:rPr>
                <w:noProof/>
              </w:rPr>
              <w:pict>
                <v:shape id="_x0000_i1044" type="#_x0000_t75" alt="This figure shows the real dollar value of investment in Metal products for four different asset types over the period 1988-89 to 2010-11. The asset types are ‘machinery and equipment’, ‘non-dwelling construction’, R&amp;D and software.  A description of the trends can be found in the text that immediately precedes the figure." style="width:424.45pt;height:240.3pt;mso-position-vertical:absolute">
                  <v:imagedata r:id="rId28" o:title=""/>
                </v:shape>
              </w:pict>
            </w:r>
          </w:p>
        </w:tc>
      </w:tr>
    </w:tbl>
    <w:p w:rsidR="00862057" w:rsidRDefault="00862057" w:rsidP="007D3E1D">
      <w:pPr>
        <w:pStyle w:val="Note"/>
        <w:rPr>
          <w:i/>
        </w:rPr>
      </w:pPr>
      <w:r>
        <w:rPr>
          <w:rStyle w:val="NoteLabel"/>
        </w:rPr>
        <w:t>a</w:t>
      </w:r>
      <w:r>
        <w:t xml:space="preserve"> The estimation of capital services for each subsector of Manufacturing (as discussed in chapter 3), involved apportioning Manufacturing investment (gross fixed capital formation from the ABS National Accounts) across the different subsectors. This allowed for the construction of a time series for </w:t>
      </w:r>
      <w:r w:rsidR="00CA2122">
        <w:t>MP</w:t>
      </w:r>
      <w:r>
        <w:t xml:space="preserve"> investment in different capital asset types (see appendix A for details).</w:t>
      </w:r>
    </w:p>
    <w:p w:rsidR="007B3D77" w:rsidRDefault="003E4621" w:rsidP="00DA629C">
      <w:pPr>
        <w:pStyle w:val="Source"/>
      </w:pPr>
      <w:r w:rsidRPr="00DA629C">
        <w:rPr>
          <w:i/>
        </w:rPr>
        <w:t>Data source</w:t>
      </w:r>
      <w:r w:rsidR="00C501D5">
        <w:rPr>
          <w:i/>
        </w:rPr>
        <w:t>s</w:t>
      </w:r>
      <w:r w:rsidRPr="00167F06">
        <w:t xml:space="preserve">: </w:t>
      </w:r>
      <w:r>
        <w:t>Authors’ estimates based on ABS (</w:t>
      </w:r>
      <w:r w:rsidRPr="00A27E53">
        <w:rPr>
          <w:i/>
        </w:rPr>
        <w:t xml:space="preserve">Australian System of National Accounts, </w:t>
      </w:r>
      <w:r w:rsidR="00A27E53" w:rsidRPr="00A27E53">
        <w:rPr>
          <w:i/>
        </w:rPr>
        <w:t>2010-11</w:t>
      </w:r>
      <w:r w:rsidR="00A27E53">
        <w:t>, Cat</w:t>
      </w:r>
      <w:r w:rsidR="004B424D">
        <w:t>. </w:t>
      </w:r>
      <w:r w:rsidR="00A27E53">
        <w:t>no</w:t>
      </w:r>
      <w:r w:rsidR="00A643EC">
        <w:t>. </w:t>
      </w:r>
      <w:r w:rsidR="00A27E53">
        <w:t>5204.0</w:t>
      </w:r>
      <w:r w:rsidR="00E9054F">
        <w:t>)</w:t>
      </w:r>
      <w:r w:rsidR="00153654">
        <w:t>;</w:t>
      </w:r>
      <w:r>
        <w:t xml:space="preserve"> ABS (</w:t>
      </w:r>
      <w:r w:rsidR="003313ED">
        <w:t>unpublished</w:t>
      </w:r>
      <w:r w:rsidR="00E20FB9">
        <w:t xml:space="preserve"> Survey</w:t>
      </w:r>
      <w:r w:rsidR="00637317">
        <w:t xml:space="preserve"> of New Capital Expenditure</w:t>
      </w:r>
      <w:r w:rsidR="008724A9">
        <w:t xml:space="preserve"> data)</w:t>
      </w:r>
      <w:r w:rsidR="00153654">
        <w:t>;</w:t>
      </w:r>
      <w:r w:rsidR="008724A9">
        <w:t xml:space="preserve"> and ABS (</w:t>
      </w:r>
      <w:r w:rsidR="008724A9" w:rsidRPr="00E6763B">
        <w:rPr>
          <w:i/>
        </w:rPr>
        <w:t xml:space="preserve">Research and Experimental Development, Businesses, Australia, </w:t>
      </w:r>
      <w:r w:rsidR="00CE71D3" w:rsidRPr="00CE71D3">
        <w:t>various issues</w:t>
      </w:r>
      <w:r w:rsidR="008724A9">
        <w:t>, Cat. no. 8104.0)</w:t>
      </w:r>
      <w:r w:rsidR="006627B4">
        <w:t>.</w:t>
      </w:r>
    </w:p>
    <w:p w:rsidR="001E6FAA" w:rsidRPr="001E6FAA" w:rsidRDefault="0012754C" w:rsidP="00180E99">
      <w:pPr>
        <w:pStyle w:val="BodyText"/>
        <w:spacing w:before="360"/>
      </w:pPr>
      <w:r>
        <w:t>N</w:t>
      </w:r>
      <w:r w:rsidR="00693017">
        <w:t xml:space="preserve">early all of the growth in </w:t>
      </w:r>
      <w:r w:rsidR="002E412A">
        <w:t xml:space="preserve">MP </w:t>
      </w:r>
      <w:r w:rsidR="00693017">
        <w:t>investment over cycle</w:t>
      </w:r>
      <w:r w:rsidR="00FC0920">
        <w:t xml:space="preserve"> 4</w:t>
      </w:r>
      <w:r w:rsidR="00693017">
        <w:t xml:space="preserve"> was driven by Primary metal</w:t>
      </w:r>
      <w:r w:rsidR="00D775FA">
        <w:t>s</w:t>
      </w:r>
      <w:r w:rsidR="00693017">
        <w:t xml:space="preserve"> </w:t>
      </w:r>
      <w:r w:rsidR="00575ED7">
        <w:t xml:space="preserve">(figure </w:t>
      </w:r>
      <w:r w:rsidR="00DA629C">
        <w:t>6.14</w:t>
      </w:r>
      <w:r w:rsidR="00575ED7">
        <w:t>).</w:t>
      </w:r>
    </w:p>
    <w:p w:rsidR="001002FD" w:rsidRDefault="001002FD" w:rsidP="001002FD">
      <w:pPr>
        <w:pStyle w:val="FigureTitle"/>
      </w:pPr>
      <w:r w:rsidRPr="00EC4839">
        <w:rPr>
          <w:b w:val="0"/>
          <w:sz w:val="24"/>
        </w:rPr>
        <w:lastRenderedPageBreak/>
        <w:t xml:space="preserve">Figure </w:t>
      </w:r>
      <w:bookmarkStart w:id="27" w:name="OLE_LINK45"/>
      <w:r w:rsidR="00FC0920" w:rsidRPr="00EC4839">
        <w:rPr>
          <w:b w:val="0"/>
          <w:sz w:val="24"/>
        </w:rPr>
        <w:t>6.</w:t>
      </w:r>
      <w:r w:rsidR="00227A34">
        <w:rPr>
          <w:b w:val="0"/>
          <w:noProof/>
          <w:sz w:val="24"/>
        </w:rPr>
        <w:t>14</w:t>
      </w:r>
      <w:bookmarkEnd w:id="27"/>
      <w:r w:rsidRPr="00EC4839">
        <w:rPr>
          <w:sz w:val="24"/>
        </w:rPr>
        <w:tab/>
      </w:r>
      <w:r w:rsidR="0088333D">
        <w:rPr>
          <w:sz w:val="24"/>
        </w:rPr>
        <w:t>M</w:t>
      </w:r>
      <w:r w:rsidR="00042B49">
        <w:rPr>
          <w:sz w:val="24"/>
        </w:rPr>
        <w:t>etal products</w:t>
      </w:r>
      <w:r w:rsidRPr="00EC4839">
        <w:rPr>
          <w:sz w:val="24"/>
        </w:rPr>
        <w:t xml:space="preserve"> gross fixed capital formation by</w:t>
      </w:r>
      <w:r w:rsidR="0088333D">
        <w:rPr>
          <w:sz w:val="24"/>
        </w:rPr>
        <w:t xml:space="preserve"> subdivision and asset type</w:t>
      </w:r>
    </w:p>
    <w:p w:rsidR="00904E35" w:rsidRDefault="00904E35" w:rsidP="00904E35">
      <w:pPr>
        <w:pStyle w:val="Subtitle"/>
      </w:pPr>
      <w:r>
        <w:t>2009-10 $m</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61648" w:rsidRPr="00320C0C" w:rsidTr="00817F0C">
        <w:tc>
          <w:tcPr>
            <w:tcW w:w="8777" w:type="dxa"/>
          </w:tcPr>
          <w:p w:rsidR="00361648" w:rsidRPr="00320C0C" w:rsidRDefault="00361648" w:rsidP="00320C0C">
            <w:pPr>
              <w:pStyle w:val="Figure"/>
              <w:spacing w:after="0"/>
              <w:rPr>
                <w:i/>
                <w:sz w:val="22"/>
                <w:szCs w:val="22"/>
              </w:rPr>
            </w:pPr>
            <w:r w:rsidRPr="00320C0C">
              <w:rPr>
                <w:i/>
                <w:sz w:val="22"/>
                <w:szCs w:val="22"/>
              </w:rPr>
              <w:t>Machinery &amp; equipment</w:t>
            </w:r>
          </w:p>
        </w:tc>
      </w:tr>
      <w:tr w:rsidR="00361648" w:rsidTr="00817F0C">
        <w:tc>
          <w:tcPr>
            <w:tcW w:w="8777" w:type="dxa"/>
          </w:tcPr>
          <w:p w:rsidR="00361648" w:rsidRPr="00E455AA" w:rsidRDefault="00852E6A" w:rsidP="00F85330">
            <w:pPr>
              <w:pStyle w:val="Figure"/>
              <w:spacing w:before="0" w:after="0"/>
              <w:rPr>
                <w:i/>
              </w:rPr>
            </w:pPr>
            <w:r>
              <w:rPr>
                <w:i/>
              </w:rPr>
              <w:pict>
                <v:shape id="_x0000_i1045" type="#_x0000_t75" alt="This figure shows the real dollar value of investment for different asset types by subdivision of investment, and comprises of two charts. The top chart shows investment in machinery and equipment, and indicates strong growth in cycle 4. The bottom chart shows investment in non-dwelling construction, and indicates a very large peak of investment in the middle of cycle 4, with practically all the growth occurring in primary metal products.." style="width:424.45pt;height:198.4pt">
                  <v:imagedata r:id="rId29" o:title=""/>
                </v:shape>
              </w:pict>
            </w:r>
          </w:p>
        </w:tc>
      </w:tr>
      <w:tr w:rsidR="001002FD" w:rsidRPr="00320C0C" w:rsidTr="00817F0C">
        <w:tc>
          <w:tcPr>
            <w:tcW w:w="8777" w:type="dxa"/>
          </w:tcPr>
          <w:p w:rsidR="001002FD" w:rsidRPr="00320C0C" w:rsidRDefault="00361648" w:rsidP="00180E99">
            <w:pPr>
              <w:pStyle w:val="Figure"/>
              <w:spacing w:before="240" w:after="0"/>
              <w:rPr>
                <w:i/>
                <w:sz w:val="22"/>
                <w:szCs w:val="22"/>
              </w:rPr>
            </w:pPr>
            <w:r w:rsidRPr="00320C0C">
              <w:rPr>
                <w:i/>
                <w:sz w:val="22"/>
                <w:szCs w:val="22"/>
              </w:rPr>
              <w:t>Non-dwelling construction</w:t>
            </w:r>
          </w:p>
        </w:tc>
      </w:tr>
      <w:tr w:rsidR="001002FD" w:rsidTr="00817F0C">
        <w:tc>
          <w:tcPr>
            <w:tcW w:w="8777" w:type="dxa"/>
          </w:tcPr>
          <w:p w:rsidR="001002FD" w:rsidRDefault="00852E6A" w:rsidP="00F85330">
            <w:pPr>
              <w:pStyle w:val="Figure"/>
              <w:spacing w:before="0" w:after="0"/>
            </w:pPr>
            <w:r>
              <w:pict>
                <v:shape id="_x0000_i1046" type="#_x0000_t75" alt="This figure shows the real dollar value of investment for different asset types by subdivision of investment, and comprises of two charts. The top chart shows investment in machinery and equipment, and indicates strong growth in cycle 4. The bottom chart shows investment in non-dwelling construction, and indicates a very large peak of investment in the middle of cycle 4, with practically all the growth occurring in primary metal products.." style="width:424.45pt;height:198.4pt">
                  <v:imagedata r:id="rId30" o:title=""/>
                </v:shape>
              </w:pict>
            </w:r>
          </w:p>
        </w:tc>
      </w:tr>
      <w:tr w:rsidR="00A439AC" w:rsidTr="00817F0C">
        <w:tc>
          <w:tcPr>
            <w:tcW w:w="8777" w:type="dxa"/>
          </w:tcPr>
          <w:p w:rsidR="00A439AC" w:rsidRDefault="00852E6A" w:rsidP="00F85330">
            <w:pPr>
              <w:pStyle w:val="Figure"/>
              <w:spacing w:before="0" w:after="0"/>
              <w:rPr>
                <w:noProof/>
              </w:rPr>
            </w:pPr>
            <w:r>
              <w:rPr>
                <w:noProof/>
              </w:rPr>
              <w:pict>
                <v:shape id="_x0000_i1047" type="#_x0000_t75" alt="This figure shows the real dollar value of investment for different asset types by subdivision of investment, and comprises of two charts. The top chart shows investment in machinery and equipment, and indicates strong growth in cycle 4. The bottom chart shows investment in non-dwelling construction, and indicates a very large peak of investment in the middle of cycle 4, with practically all the growth occurring in primary metal products.." style="width:424.45pt;height:28.45pt">
                  <v:imagedata r:id="rId31" o:title=""/>
                </v:shape>
              </w:pict>
            </w:r>
          </w:p>
        </w:tc>
      </w:tr>
    </w:tbl>
    <w:p w:rsidR="000E3CAD" w:rsidRDefault="000E3CAD" w:rsidP="000E3CAD">
      <w:pPr>
        <w:pStyle w:val="Source"/>
      </w:pPr>
      <w:r>
        <w:rPr>
          <w:i/>
        </w:rPr>
        <w:t>Data source</w:t>
      </w:r>
      <w:r w:rsidR="00DF65B2">
        <w:rPr>
          <w:i/>
        </w:rPr>
        <w:t>s</w:t>
      </w:r>
      <w:r w:rsidRPr="00167F06">
        <w:t xml:space="preserve">: </w:t>
      </w:r>
      <w:r>
        <w:t>Authors’ estimates based on ABS (</w:t>
      </w:r>
      <w:r>
        <w:rPr>
          <w:i/>
        </w:rPr>
        <w:t>Australian System of National Accounts</w:t>
      </w:r>
      <w:r w:rsidR="009C6C05">
        <w:rPr>
          <w:i/>
        </w:rPr>
        <w:t>, 2010-11</w:t>
      </w:r>
      <w:r>
        <w:rPr>
          <w:i/>
        </w:rPr>
        <w:t xml:space="preserve">, </w:t>
      </w:r>
      <w:r w:rsidR="009C6C05">
        <w:t>Cat</w:t>
      </w:r>
      <w:r w:rsidR="00E409DB">
        <w:t>. </w:t>
      </w:r>
      <w:r w:rsidR="009C6C05">
        <w:t>no</w:t>
      </w:r>
      <w:r w:rsidR="00E409DB">
        <w:t>. </w:t>
      </w:r>
      <w:r w:rsidR="009C6C05">
        <w:t>5204.0</w:t>
      </w:r>
      <w:r>
        <w:t>)</w:t>
      </w:r>
      <w:r w:rsidR="00F8069B">
        <w:t>;</w:t>
      </w:r>
      <w:r w:rsidR="00A60A26">
        <w:t xml:space="preserve"> and</w:t>
      </w:r>
      <w:r>
        <w:t xml:space="preserve"> ABS (</w:t>
      </w:r>
      <w:r w:rsidR="00A60A26">
        <w:t xml:space="preserve">unpublished </w:t>
      </w:r>
      <w:r w:rsidR="009065A3">
        <w:t xml:space="preserve">Survey of </w:t>
      </w:r>
      <w:r w:rsidRPr="00A60A26">
        <w:t xml:space="preserve">New Capital Expenditure </w:t>
      </w:r>
      <w:r w:rsidR="00A60A26">
        <w:t>data</w:t>
      </w:r>
      <w:r>
        <w:t>).</w:t>
      </w:r>
    </w:p>
    <w:p w:rsidR="00180E99" w:rsidRDefault="00180E99">
      <w:pPr>
        <w:rPr>
          <w:rFonts w:ascii="Arial" w:eastAsia="Times New Roman" w:hAnsi="Arial" w:cs="Times New Roman"/>
          <w:i/>
          <w:sz w:val="24"/>
          <w:szCs w:val="20"/>
          <w:lang w:eastAsia="en-AU"/>
        </w:rPr>
      </w:pPr>
      <w:r>
        <w:br w:type="page"/>
      </w:r>
    </w:p>
    <w:p w:rsidR="00386FFB" w:rsidRPr="00B551CC" w:rsidRDefault="008D7B32" w:rsidP="00C9692A">
      <w:pPr>
        <w:pStyle w:val="Heading4"/>
      </w:pPr>
      <w:r w:rsidRPr="00B551CC">
        <w:lastRenderedPageBreak/>
        <w:t>P</w:t>
      </w:r>
      <w:r w:rsidR="00F33DAC" w:rsidRPr="00B551CC">
        <w:t>rimary metals</w:t>
      </w:r>
    </w:p>
    <w:p w:rsidR="000E0D79" w:rsidRDefault="000E0D79" w:rsidP="00F33DAC">
      <w:pPr>
        <w:pStyle w:val="BodyText"/>
      </w:pPr>
      <w:r>
        <w:t>As discussed in section</w:t>
      </w:r>
      <w:r w:rsidR="00105AE1">
        <w:t xml:space="preserve"> 6.2</w:t>
      </w:r>
      <w:r>
        <w:t xml:space="preserve">, </w:t>
      </w:r>
      <w:r w:rsidR="000F52C3">
        <w:t xml:space="preserve">capital expenditure to expand production capacity in mining and in metals processing is likely to be in response to </w:t>
      </w:r>
      <w:r>
        <w:t>rising commodity prices throughout cycles 3 and 4</w:t>
      </w:r>
      <w:r w:rsidR="00C51119">
        <w:t>.</w:t>
      </w:r>
      <w:r>
        <w:t xml:space="preserve"> </w:t>
      </w:r>
      <w:r w:rsidR="00BE5094">
        <w:t>M</w:t>
      </w:r>
      <w:r w:rsidR="000135B3">
        <w:t xml:space="preserve">ost of the investment in </w:t>
      </w:r>
      <w:r w:rsidR="006B0816">
        <w:t>MP</w:t>
      </w:r>
      <w:r w:rsidR="000135B3">
        <w:t xml:space="preserve"> between the last two complete productivity cycles occ</w:t>
      </w:r>
      <w:r w:rsidR="00AC41CE">
        <w:t>urred in Primary metals</w:t>
      </w:r>
      <w:r w:rsidR="000135B3">
        <w:t xml:space="preserve"> and</w:t>
      </w:r>
      <w:r w:rsidR="00AC41CE">
        <w:t>,</w:t>
      </w:r>
      <w:r w:rsidR="000135B3">
        <w:t xml:space="preserve"> of that, most occurred in expanding alumina production capacity.</w:t>
      </w:r>
    </w:p>
    <w:p w:rsidR="00EE18E6" w:rsidRDefault="000E0D79" w:rsidP="001613FF">
      <w:pPr>
        <w:pStyle w:val="BodyText"/>
      </w:pPr>
      <w:r>
        <w:t>T</w:t>
      </w:r>
      <w:r w:rsidR="00EE18E6">
        <w:t>able</w:t>
      </w:r>
      <w:r w:rsidR="000A08B3">
        <w:t xml:space="preserve"> </w:t>
      </w:r>
      <w:r w:rsidR="00C9448C">
        <w:t>6.5</w:t>
      </w:r>
      <w:r>
        <w:t xml:space="preserve"> shows the</w:t>
      </w:r>
      <w:r w:rsidR="001D12BD">
        <w:t xml:space="preserve"> growth in</w:t>
      </w:r>
      <w:r w:rsidR="00EE18E6">
        <w:t xml:space="preserve"> </w:t>
      </w:r>
      <w:r>
        <w:t xml:space="preserve">net capital expenditure </w:t>
      </w:r>
      <w:r w:rsidR="001D12BD">
        <w:t>between 2001-02 and 2006</w:t>
      </w:r>
      <w:r w:rsidR="00DC5098">
        <w:noBreakHyphen/>
      </w:r>
      <w:r w:rsidR="001D12BD">
        <w:t xml:space="preserve">07 </w:t>
      </w:r>
      <w:r>
        <w:t xml:space="preserve">by </w:t>
      </w:r>
      <w:r w:rsidR="00A923F4">
        <w:t xml:space="preserve">selected </w:t>
      </w:r>
      <w:r>
        <w:t xml:space="preserve">groups and classes in </w:t>
      </w:r>
      <w:r w:rsidR="00A82623">
        <w:t>Primary metals</w:t>
      </w:r>
      <w:r>
        <w:t>.</w:t>
      </w:r>
      <w:r w:rsidR="00CB24A7">
        <w:rPr>
          <w:rStyle w:val="FootnoteReference"/>
        </w:rPr>
        <w:footnoteReference w:id="10"/>
      </w:r>
      <w:r w:rsidR="00A82623">
        <w:t xml:space="preserve"> It indicates that Primary metals contributed around 88 per cent of the growth in net capital expenditure</w:t>
      </w:r>
      <w:r w:rsidR="00633437">
        <w:t xml:space="preserve"> for </w:t>
      </w:r>
      <w:r w:rsidR="006B0816">
        <w:t>MP</w:t>
      </w:r>
      <w:r w:rsidR="00633437">
        <w:t xml:space="preserve"> as a whole (or 11.3 percentage points of the 12.8 per cent a year).</w:t>
      </w:r>
      <w:r w:rsidR="0089399E">
        <w:t xml:space="preserve"> </w:t>
      </w:r>
      <w:r w:rsidR="00971DAF">
        <w:t xml:space="preserve">Of this, most occurred in </w:t>
      </w:r>
      <w:r w:rsidR="00434FDF">
        <w:t>a</w:t>
      </w:r>
      <w:r w:rsidR="00971DAF">
        <w:t xml:space="preserve">lumina refining </w:t>
      </w:r>
      <w:r w:rsidR="00E3461C">
        <w:t xml:space="preserve">(8.5 percentage points) </w:t>
      </w:r>
      <w:r w:rsidR="00971DAF">
        <w:t xml:space="preserve">and </w:t>
      </w:r>
      <w:r w:rsidR="00434FDF">
        <w:t>o</w:t>
      </w:r>
      <w:r w:rsidR="00971DAF">
        <w:t>ther non-ferrous metal manufacturing</w:t>
      </w:r>
      <w:r w:rsidR="00E3461C">
        <w:t xml:space="preserve"> (3.2 percentage points)</w:t>
      </w:r>
      <w:r w:rsidR="00971DAF">
        <w:t>.</w:t>
      </w:r>
      <w:r w:rsidR="00CE4811">
        <w:t xml:space="preserve"> </w:t>
      </w:r>
    </w:p>
    <w:p w:rsidR="00162003" w:rsidRDefault="007046C4" w:rsidP="00162003">
      <w:pPr>
        <w:pStyle w:val="TableTitle"/>
      </w:pPr>
      <w:r w:rsidRPr="00EC4839">
        <w:rPr>
          <w:b w:val="0"/>
          <w:sz w:val="24"/>
        </w:rPr>
        <w:t xml:space="preserve">Table </w:t>
      </w:r>
      <w:bookmarkStart w:id="28" w:name="OLE_LINK14"/>
      <w:r w:rsidR="00C9448C" w:rsidRPr="00EC4839">
        <w:rPr>
          <w:b w:val="0"/>
          <w:sz w:val="24"/>
        </w:rPr>
        <w:t>6.</w:t>
      </w:r>
      <w:r w:rsidR="00227A34">
        <w:rPr>
          <w:b w:val="0"/>
          <w:noProof/>
          <w:sz w:val="24"/>
        </w:rPr>
        <w:t>5</w:t>
      </w:r>
      <w:bookmarkEnd w:id="28"/>
      <w:r w:rsidRPr="00EC4839">
        <w:rPr>
          <w:sz w:val="24"/>
        </w:rPr>
        <w:tab/>
      </w:r>
      <w:r w:rsidR="006D1708">
        <w:rPr>
          <w:sz w:val="24"/>
        </w:rPr>
        <w:t>Breakdown of net capital expenditure of Metal products subsector</w:t>
      </w:r>
      <w:r w:rsidR="00DA4A66" w:rsidRPr="00DA4A66">
        <w:rPr>
          <w:rStyle w:val="NoteLabel"/>
          <w:b/>
        </w:rPr>
        <w:t>a</w:t>
      </w:r>
    </w:p>
    <w:p w:rsidR="007046C4" w:rsidRDefault="00162003">
      <w:pPr>
        <w:pStyle w:val="Subtitle"/>
      </w:pPr>
      <w:r>
        <w:t>2001</w:t>
      </w:r>
      <w:r w:rsidR="009D123A">
        <w:t>-02 to 2006-07</w:t>
      </w:r>
    </w:p>
    <w:tbl>
      <w:tblPr>
        <w:tblW w:w="5000" w:type="pct"/>
        <w:tblCellMar>
          <w:left w:w="0" w:type="dxa"/>
          <w:right w:w="0" w:type="dxa"/>
        </w:tblCellMar>
        <w:tblLook w:val="0000" w:firstRow="0" w:lastRow="0" w:firstColumn="0" w:lastColumn="0" w:noHBand="0" w:noVBand="0"/>
      </w:tblPr>
      <w:tblGrid>
        <w:gridCol w:w="4680"/>
        <w:gridCol w:w="1369"/>
        <w:gridCol w:w="1369"/>
        <w:gridCol w:w="1371"/>
      </w:tblGrid>
      <w:tr w:rsidR="0004251A" w:rsidTr="00BB45E5">
        <w:tc>
          <w:tcPr>
            <w:tcW w:w="2661" w:type="pct"/>
            <w:tcBorders>
              <w:top w:val="single" w:sz="6" w:space="0" w:color="auto"/>
              <w:bottom w:val="single" w:sz="6" w:space="0" w:color="auto"/>
            </w:tcBorders>
            <w:shd w:val="clear" w:color="auto" w:fill="auto"/>
          </w:tcPr>
          <w:p w:rsidR="007046C4" w:rsidRDefault="007046C4" w:rsidP="007046C4">
            <w:pPr>
              <w:pStyle w:val="TableColumnHeading"/>
              <w:jc w:val="left"/>
            </w:pPr>
          </w:p>
        </w:tc>
        <w:tc>
          <w:tcPr>
            <w:tcW w:w="779" w:type="pct"/>
            <w:tcBorders>
              <w:top w:val="single" w:sz="6" w:space="0" w:color="auto"/>
              <w:bottom w:val="single" w:sz="6" w:space="0" w:color="auto"/>
            </w:tcBorders>
            <w:shd w:val="clear" w:color="auto" w:fill="auto"/>
          </w:tcPr>
          <w:p w:rsidR="007046C4" w:rsidRDefault="00E4577D" w:rsidP="007046C4">
            <w:pPr>
              <w:pStyle w:val="TableColumnHeading"/>
            </w:pPr>
            <w:r>
              <w:br/>
            </w:r>
            <w:r w:rsidR="00DE78C1">
              <w:t>Change</w:t>
            </w:r>
          </w:p>
        </w:tc>
        <w:tc>
          <w:tcPr>
            <w:tcW w:w="779" w:type="pct"/>
            <w:tcBorders>
              <w:top w:val="single" w:sz="6" w:space="0" w:color="auto"/>
              <w:bottom w:val="single" w:sz="6" w:space="0" w:color="auto"/>
            </w:tcBorders>
            <w:shd w:val="clear" w:color="auto" w:fill="auto"/>
          </w:tcPr>
          <w:p w:rsidR="007046C4" w:rsidRDefault="00573223" w:rsidP="007046C4">
            <w:pPr>
              <w:pStyle w:val="TableColumnHeading"/>
            </w:pPr>
            <w:r>
              <w:br/>
              <w:t>G</w:t>
            </w:r>
            <w:r w:rsidR="00DE78C1">
              <w:t>rowth rate</w:t>
            </w:r>
          </w:p>
        </w:tc>
        <w:tc>
          <w:tcPr>
            <w:tcW w:w="780" w:type="pct"/>
            <w:tcBorders>
              <w:top w:val="single" w:sz="6" w:space="0" w:color="auto"/>
              <w:bottom w:val="single" w:sz="6" w:space="0" w:color="auto"/>
            </w:tcBorders>
            <w:shd w:val="clear" w:color="auto" w:fill="auto"/>
          </w:tcPr>
          <w:p w:rsidR="007046C4" w:rsidRDefault="00DE78C1" w:rsidP="007046C4">
            <w:pPr>
              <w:pStyle w:val="TableColumnHeading"/>
              <w:ind w:right="28"/>
            </w:pPr>
            <w:r>
              <w:t xml:space="preserve">Contribution </w:t>
            </w:r>
            <w:r w:rsidR="00E4577D">
              <w:br/>
            </w:r>
            <w:r>
              <w:t>to growth</w:t>
            </w:r>
          </w:p>
        </w:tc>
      </w:tr>
      <w:tr w:rsidR="0004251A" w:rsidTr="00BB45E5">
        <w:tc>
          <w:tcPr>
            <w:tcW w:w="2661" w:type="pct"/>
            <w:tcBorders>
              <w:top w:val="single" w:sz="6" w:space="0" w:color="auto"/>
            </w:tcBorders>
          </w:tcPr>
          <w:p w:rsidR="007046C4" w:rsidRDefault="007046C4" w:rsidP="007046C4">
            <w:pPr>
              <w:pStyle w:val="TableUnitsRow"/>
              <w:jc w:val="left"/>
            </w:pPr>
          </w:p>
        </w:tc>
        <w:tc>
          <w:tcPr>
            <w:tcW w:w="779" w:type="pct"/>
            <w:tcBorders>
              <w:top w:val="single" w:sz="6" w:space="0" w:color="auto"/>
            </w:tcBorders>
          </w:tcPr>
          <w:p w:rsidR="007046C4" w:rsidRDefault="00DE78C1" w:rsidP="007046C4">
            <w:pPr>
              <w:pStyle w:val="TableUnitsRow"/>
            </w:pPr>
            <w:r>
              <w:t>$m</w:t>
            </w:r>
          </w:p>
        </w:tc>
        <w:tc>
          <w:tcPr>
            <w:tcW w:w="779" w:type="pct"/>
            <w:tcBorders>
              <w:top w:val="single" w:sz="6" w:space="0" w:color="auto"/>
            </w:tcBorders>
          </w:tcPr>
          <w:p w:rsidR="007046C4" w:rsidRDefault="00DE78C1" w:rsidP="007046C4">
            <w:pPr>
              <w:pStyle w:val="TableUnitsRow"/>
            </w:pPr>
            <w:r>
              <w:t>%</w:t>
            </w:r>
            <w:r w:rsidR="001B02BC">
              <w:t xml:space="preserve"> </w:t>
            </w:r>
            <w:proofErr w:type="spellStart"/>
            <w:r w:rsidR="00E4577D">
              <w:t>py</w:t>
            </w:r>
            <w:proofErr w:type="spellEnd"/>
          </w:p>
        </w:tc>
        <w:tc>
          <w:tcPr>
            <w:tcW w:w="780" w:type="pct"/>
            <w:tcBorders>
              <w:top w:val="single" w:sz="6" w:space="0" w:color="auto"/>
            </w:tcBorders>
          </w:tcPr>
          <w:p w:rsidR="007046C4" w:rsidRDefault="00DE428F" w:rsidP="007046C4">
            <w:pPr>
              <w:pStyle w:val="TableUnitsRow"/>
              <w:ind w:right="28"/>
            </w:pPr>
            <w:r>
              <w:t xml:space="preserve">% </w:t>
            </w:r>
            <w:proofErr w:type="spellStart"/>
            <w:r>
              <w:t>pts</w:t>
            </w:r>
            <w:proofErr w:type="spellEnd"/>
          </w:p>
        </w:tc>
      </w:tr>
      <w:tr w:rsidR="0004251A" w:rsidRPr="00AF49F7" w:rsidTr="00BB45E5">
        <w:tc>
          <w:tcPr>
            <w:tcW w:w="2661" w:type="pct"/>
            <w:shd w:val="clear" w:color="auto" w:fill="D9D9D9" w:themeFill="background1" w:themeFillShade="D9"/>
            <w:vAlign w:val="bottom"/>
          </w:tcPr>
          <w:p w:rsidR="00EB1C25" w:rsidRPr="00AF49F7" w:rsidRDefault="00D775FA" w:rsidP="005F18BC">
            <w:pPr>
              <w:pStyle w:val="TableBodyText"/>
              <w:jc w:val="left"/>
              <w:rPr>
                <w:b/>
              </w:rPr>
            </w:pPr>
            <w:r>
              <w:rPr>
                <w:b/>
              </w:rPr>
              <w:t>Total Metal product manufacturing</w:t>
            </w:r>
          </w:p>
        </w:tc>
        <w:tc>
          <w:tcPr>
            <w:tcW w:w="779" w:type="pct"/>
            <w:shd w:val="clear" w:color="auto" w:fill="D9D9D9" w:themeFill="background1" w:themeFillShade="D9"/>
            <w:vAlign w:val="bottom"/>
          </w:tcPr>
          <w:p w:rsidR="00EB1C25" w:rsidRPr="00AF49F7" w:rsidRDefault="00EB1C25" w:rsidP="005F18BC">
            <w:pPr>
              <w:pStyle w:val="TableBodyText"/>
              <w:rPr>
                <w:b/>
              </w:rPr>
            </w:pPr>
            <w:r w:rsidRPr="00AF49F7">
              <w:rPr>
                <w:b/>
              </w:rPr>
              <w:t>1</w:t>
            </w:r>
            <w:r w:rsidR="00C40D26">
              <w:rPr>
                <w:b/>
              </w:rPr>
              <w:t xml:space="preserve"> </w:t>
            </w:r>
            <w:r w:rsidRPr="00AF49F7">
              <w:rPr>
                <w:b/>
              </w:rPr>
              <w:t>909</w:t>
            </w:r>
          </w:p>
        </w:tc>
        <w:tc>
          <w:tcPr>
            <w:tcW w:w="779" w:type="pct"/>
            <w:shd w:val="clear" w:color="auto" w:fill="D9D9D9" w:themeFill="background1" w:themeFillShade="D9"/>
            <w:vAlign w:val="bottom"/>
          </w:tcPr>
          <w:p w:rsidR="00EB1C25" w:rsidRPr="00AF49F7" w:rsidRDefault="00EB1C25" w:rsidP="005F18BC">
            <w:pPr>
              <w:pStyle w:val="TableBodyText"/>
              <w:rPr>
                <w:b/>
              </w:rPr>
            </w:pPr>
            <w:r w:rsidRPr="00AF49F7">
              <w:rPr>
                <w:b/>
              </w:rPr>
              <w:t>12.8</w:t>
            </w:r>
          </w:p>
        </w:tc>
        <w:tc>
          <w:tcPr>
            <w:tcW w:w="780" w:type="pct"/>
            <w:shd w:val="clear" w:color="auto" w:fill="D9D9D9" w:themeFill="background1" w:themeFillShade="D9"/>
            <w:vAlign w:val="bottom"/>
          </w:tcPr>
          <w:p w:rsidR="00EB1C25" w:rsidRPr="00AF49F7" w:rsidRDefault="00EB1C25" w:rsidP="00BB45E5">
            <w:pPr>
              <w:pStyle w:val="TableBodyText"/>
              <w:rPr>
                <w:b/>
                <w:i/>
              </w:rPr>
            </w:pPr>
            <w:r w:rsidRPr="00AF49F7">
              <w:rPr>
                <w:b/>
              </w:rPr>
              <w:t>12.8</w:t>
            </w:r>
          </w:p>
        </w:tc>
      </w:tr>
      <w:tr w:rsidR="007C4A5A" w:rsidRPr="00AF49F7" w:rsidTr="00BB45E5">
        <w:tc>
          <w:tcPr>
            <w:tcW w:w="2661" w:type="pct"/>
            <w:shd w:val="clear" w:color="auto" w:fill="auto"/>
            <w:vAlign w:val="bottom"/>
          </w:tcPr>
          <w:p w:rsidR="007C4A5A" w:rsidRDefault="007C4A5A" w:rsidP="005F18BC">
            <w:pPr>
              <w:pStyle w:val="TableBodyText"/>
              <w:jc w:val="left"/>
              <w:rPr>
                <w:b/>
                <w:i/>
              </w:rPr>
            </w:pPr>
          </w:p>
        </w:tc>
        <w:tc>
          <w:tcPr>
            <w:tcW w:w="779" w:type="pct"/>
            <w:shd w:val="clear" w:color="auto" w:fill="auto"/>
            <w:vAlign w:val="bottom"/>
          </w:tcPr>
          <w:p w:rsidR="007C4A5A" w:rsidRPr="00AF49F7" w:rsidRDefault="007C4A5A" w:rsidP="005F18BC">
            <w:pPr>
              <w:pStyle w:val="TableBodyText"/>
              <w:rPr>
                <w:b/>
                <w:i/>
              </w:rPr>
            </w:pPr>
          </w:p>
        </w:tc>
        <w:tc>
          <w:tcPr>
            <w:tcW w:w="779" w:type="pct"/>
            <w:shd w:val="clear" w:color="auto" w:fill="auto"/>
            <w:vAlign w:val="bottom"/>
          </w:tcPr>
          <w:p w:rsidR="007C4A5A" w:rsidRPr="00AF49F7" w:rsidRDefault="007C4A5A" w:rsidP="005F18BC">
            <w:pPr>
              <w:pStyle w:val="TableBodyText"/>
              <w:rPr>
                <w:b/>
                <w:i/>
              </w:rPr>
            </w:pPr>
          </w:p>
        </w:tc>
        <w:tc>
          <w:tcPr>
            <w:tcW w:w="780" w:type="pct"/>
            <w:shd w:val="clear" w:color="auto" w:fill="auto"/>
            <w:vAlign w:val="bottom"/>
          </w:tcPr>
          <w:p w:rsidR="007C4A5A" w:rsidRPr="00AF49F7" w:rsidRDefault="007C4A5A">
            <w:pPr>
              <w:pStyle w:val="TableBodyText"/>
              <w:rPr>
                <w:rFonts w:eastAsiaTheme="minorHAnsi" w:cstheme="minorBidi"/>
                <w:b/>
                <w:i/>
                <w:szCs w:val="22"/>
                <w:lang w:eastAsia="en-US"/>
              </w:rPr>
            </w:pPr>
          </w:p>
        </w:tc>
      </w:tr>
      <w:tr w:rsidR="0004251A" w:rsidRPr="00AF49F7" w:rsidTr="00BB45E5">
        <w:tc>
          <w:tcPr>
            <w:tcW w:w="2661" w:type="pct"/>
            <w:shd w:val="clear" w:color="auto" w:fill="D9D9D9" w:themeFill="background1" w:themeFillShade="D9"/>
            <w:vAlign w:val="bottom"/>
          </w:tcPr>
          <w:p w:rsidR="00EB1C25" w:rsidRPr="00A73C6B" w:rsidRDefault="00534BA9" w:rsidP="005F18BC">
            <w:pPr>
              <w:pStyle w:val="TableBodyText"/>
              <w:jc w:val="left"/>
              <w:rPr>
                <w:b/>
              </w:rPr>
            </w:pPr>
            <w:r>
              <w:rPr>
                <w:b/>
                <w:i/>
              </w:rPr>
              <w:t xml:space="preserve">    </w:t>
            </w:r>
            <w:r w:rsidR="00D775FA">
              <w:rPr>
                <w:b/>
              </w:rPr>
              <w:t>Primary metal product manufacturing</w:t>
            </w:r>
          </w:p>
        </w:tc>
        <w:tc>
          <w:tcPr>
            <w:tcW w:w="779" w:type="pct"/>
            <w:shd w:val="clear" w:color="auto" w:fill="D9D9D9" w:themeFill="background1" w:themeFillShade="D9"/>
            <w:vAlign w:val="bottom"/>
          </w:tcPr>
          <w:p w:rsidR="00EB1C25" w:rsidRPr="000D51EE" w:rsidRDefault="00EB1C25" w:rsidP="005F18BC">
            <w:pPr>
              <w:pStyle w:val="TableBodyText"/>
              <w:rPr>
                <w:b/>
              </w:rPr>
            </w:pPr>
            <w:r w:rsidRPr="000D51EE">
              <w:rPr>
                <w:b/>
              </w:rPr>
              <w:t>1</w:t>
            </w:r>
            <w:r w:rsidR="00C40D26" w:rsidRPr="000D51EE">
              <w:rPr>
                <w:b/>
              </w:rPr>
              <w:t xml:space="preserve"> </w:t>
            </w:r>
            <w:r w:rsidRPr="000D51EE">
              <w:rPr>
                <w:b/>
              </w:rPr>
              <w:t>681</w:t>
            </w:r>
          </w:p>
        </w:tc>
        <w:tc>
          <w:tcPr>
            <w:tcW w:w="779" w:type="pct"/>
            <w:shd w:val="clear" w:color="auto" w:fill="D9D9D9" w:themeFill="background1" w:themeFillShade="D9"/>
            <w:vAlign w:val="bottom"/>
          </w:tcPr>
          <w:p w:rsidR="00EB1C25" w:rsidRPr="000D51EE" w:rsidRDefault="00EB1C25" w:rsidP="005F18BC">
            <w:pPr>
              <w:pStyle w:val="TableBodyText"/>
              <w:rPr>
                <w:b/>
              </w:rPr>
            </w:pPr>
            <w:r w:rsidRPr="000D51EE">
              <w:rPr>
                <w:b/>
              </w:rPr>
              <w:t>13.9</w:t>
            </w:r>
          </w:p>
        </w:tc>
        <w:tc>
          <w:tcPr>
            <w:tcW w:w="780" w:type="pct"/>
            <w:shd w:val="clear" w:color="auto" w:fill="D9D9D9" w:themeFill="background1" w:themeFillShade="D9"/>
            <w:vAlign w:val="bottom"/>
          </w:tcPr>
          <w:p w:rsidR="00EB1C25" w:rsidRPr="000D51EE" w:rsidRDefault="00EB1C25" w:rsidP="00BB45E5">
            <w:pPr>
              <w:pStyle w:val="TableBodyText"/>
              <w:rPr>
                <w:b/>
                <w:i/>
              </w:rPr>
            </w:pPr>
            <w:r w:rsidRPr="000D51EE">
              <w:rPr>
                <w:b/>
              </w:rPr>
              <w:t>11.3</w:t>
            </w:r>
          </w:p>
        </w:tc>
      </w:tr>
      <w:tr w:rsidR="0004251A" w:rsidRPr="000D51EE" w:rsidTr="00BB45E5">
        <w:tc>
          <w:tcPr>
            <w:tcW w:w="2661" w:type="pct"/>
            <w:shd w:val="clear" w:color="auto" w:fill="auto"/>
            <w:vAlign w:val="bottom"/>
          </w:tcPr>
          <w:p w:rsidR="00EB1C25" w:rsidRPr="00A73C6B" w:rsidRDefault="00EB1C25" w:rsidP="005F18BC">
            <w:pPr>
              <w:pStyle w:val="TableBodyText"/>
              <w:jc w:val="left"/>
            </w:pPr>
            <w:r w:rsidRPr="00A73C6B">
              <w:t xml:space="preserve">    </w:t>
            </w:r>
            <w:r w:rsidR="00534BA9" w:rsidRPr="00A73C6B">
              <w:t xml:space="preserve">    </w:t>
            </w:r>
            <w:r w:rsidRPr="00A73C6B">
              <w:t>Iron &amp; steel</w:t>
            </w:r>
          </w:p>
        </w:tc>
        <w:tc>
          <w:tcPr>
            <w:tcW w:w="779" w:type="pct"/>
            <w:shd w:val="clear" w:color="auto" w:fill="auto"/>
            <w:vAlign w:val="bottom"/>
          </w:tcPr>
          <w:p w:rsidR="00EB1C25" w:rsidRPr="002F6252" w:rsidRDefault="00EB1C25" w:rsidP="005F18BC">
            <w:pPr>
              <w:pStyle w:val="TableBodyText"/>
            </w:pPr>
            <w:r w:rsidRPr="002F6252">
              <w:t>229</w:t>
            </w:r>
          </w:p>
        </w:tc>
        <w:tc>
          <w:tcPr>
            <w:tcW w:w="779" w:type="pct"/>
            <w:shd w:val="clear" w:color="auto" w:fill="auto"/>
            <w:vAlign w:val="bottom"/>
          </w:tcPr>
          <w:p w:rsidR="00EB1C25" w:rsidRPr="002F6252" w:rsidRDefault="00EB1C25" w:rsidP="005F18BC">
            <w:pPr>
              <w:pStyle w:val="TableBodyText"/>
            </w:pPr>
            <w:r w:rsidRPr="002F6252">
              <w:t>8.2</w:t>
            </w:r>
          </w:p>
        </w:tc>
        <w:tc>
          <w:tcPr>
            <w:tcW w:w="780" w:type="pct"/>
            <w:shd w:val="clear" w:color="auto" w:fill="auto"/>
            <w:vAlign w:val="bottom"/>
          </w:tcPr>
          <w:p w:rsidR="00EB1C25" w:rsidRPr="002F6252" w:rsidRDefault="00EB1C25" w:rsidP="00BB45E5">
            <w:pPr>
              <w:pStyle w:val="TableBodyText"/>
              <w:rPr>
                <w:i/>
              </w:rPr>
            </w:pPr>
            <w:r w:rsidRPr="002F6252">
              <w:t>1.5</w:t>
            </w:r>
          </w:p>
        </w:tc>
      </w:tr>
      <w:tr w:rsidR="0004251A" w:rsidRPr="000D51EE" w:rsidTr="00BB45E5">
        <w:tc>
          <w:tcPr>
            <w:tcW w:w="2661" w:type="pct"/>
            <w:shd w:val="clear" w:color="auto" w:fill="D9D9D9" w:themeFill="background1" w:themeFillShade="D9"/>
            <w:vAlign w:val="bottom"/>
          </w:tcPr>
          <w:p w:rsidR="00EB1C25" w:rsidRPr="00A73C6B" w:rsidRDefault="00EB1C25" w:rsidP="005F18BC">
            <w:pPr>
              <w:pStyle w:val="TableBodyText"/>
              <w:jc w:val="left"/>
            </w:pPr>
            <w:r w:rsidRPr="00A73C6B">
              <w:t xml:space="preserve">    </w:t>
            </w:r>
            <w:r w:rsidR="00534BA9" w:rsidRPr="00A73C6B">
              <w:t xml:space="preserve">    </w:t>
            </w:r>
            <w:r w:rsidRPr="00A73C6B">
              <w:t>Basic non-ferrous metal</w:t>
            </w:r>
          </w:p>
        </w:tc>
        <w:tc>
          <w:tcPr>
            <w:tcW w:w="779" w:type="pct"/>
            <w:shd w:val="clear" w:color="auto" w:fill="D9D9D9" w:themeFill="background1" w:themeFillShade="D9"/>
            <w:vAlign w:val="bottom"/>
          </w:tcPr>
          <w:p w:rsidR="00EB1C25" w:rsidRPr="002F6252" w:rsidRDefault="00EB1C25" w:rsidP="005F18BC">
            <w:pPr>
              <w:pStyle w:val="TableBodyText"/>
            </w:pPr>
            <w:r w:rsidRPr="002F6252">
              <w:t>1</w:t>
            </w:r>
            <w:r w:rsidR="00C40D26" w:rsidRPr="002F6252">
              <w:t xml:space="preserve"> </w:t>
            </w:r>
            <w:r w:rsidRPr="002F6252">
              <w:t>330</w:t>
            </w:r>
          </w:p>
        </w:tc>
        <w:tc>
          <w:tcPr>
            <w:tcW w:w="779" w:type="pct"/>
            <w:shd w:val="clear" w:color="auto" w:fill="D9D9D9" w:themeFill="background1" w:themeFillShade="D9"/>
            <w:vAlign w:val="bottom"/>
          </w:tcPr>
          <w:p w:rsidR="00EB1C25" w:rsidRPr="002F6252" w:rsidRDefault="00EB1C25" w:rsidP="005F18BC">
            <w:pPr>
              <w:pStyle w:val="TableBodyText"/>
            </w:pPr>
            <w:r w:rsidRPr="002F6252">
              <w:t>14.9</w:t>
            </w:r>
          </w:p>
        </w:tc>
        <w:tc>
          <w:tcPr>
            <w:tcW w:w="780" w:type="pct"/>
            <w:shd w:val="clear" w:color="auto" w:fill="D9D9D9" w:themeFill="background1" w:themeFillShade="D9"/>
            <w:vAlign w:val="bottom"/>
          </w:tcPr>
          <w:p w:rsidR="00EB1C25" w:rsidRPr="002F6252" w:rsidRDefault="00EB1C25" w:rsidP="00BB45E5">
            <w:pPr>
              <w:pStyle w:val="TableBodyText"/>
              <w:rPr>
                <w:i/>
              </w:rPr>
            </w:pPr>
            <w:r w:rsidRPr="002F6252">
              <w:t>8.9</w:t>
            </w:r>
          </w:p>
        </w:tc>
      </w:tr>
      <w:tr w:rsidR="0004251A" w:rsidRPr="000A4F24" w:rsidTr="00BB45E5">
        <w:tc>
          <w:tcPr>
            <w:tcW w:w="2661" w:type="pct"/>
            <w:shd w:val="clear" w:color="auto" w:fill="auto"/>
            <w:vAlign w:val="bottom"/>
          </w:tcPr>
          <w:p w:rsidR="00EB1C25" w:rsidRPr="00A73C6B" w:rsidRDefault="00EB1C25" w:rsidP="005F18BC">
            <w:pPr>
              <w:pStyle w:val="TableBodyText"/>
              <w:jc w:val="left"/>
              <w:rPr>
                <w:i/>
              </w:rPr>
            </w:pPr>
            <w:r w:rsidRPr="00A73C6B">
              <w:rPr>
                <w:i/>
              </w:rPr>
              <w:t xml:space="preserve">        </w:t>
            </w:r>
            <w:r w:rsidR="00534BA9" w:rsidRPr="00A73C6B">
              <w:rPr>
                <w:i/>
              </w:rPr>
              <w:t xml:space="preserve">     </w:t>
            </w:r>
            <w:r w:rsidRPr="00A73C6B">
              <w:rPr>
                <w:i/>
              </w:rPr>
              <w:t>Alumina production</w:t>
            </w:r>
          </w:p>
        </w:tc>
        <w:tc>
          <w:tcPr>
            <w:tcW w:w="779" w:type="pct"/>
            <w:shd w:val="clear" w:color="auto" w:fill="auto"/>
            <w:vAlign w:val="bottom"/>
          </w:tcPr>
          <w:p w:rsidR="00EB1C25" w:rsidRPr="000A4F24" w:rsidRDefault="00EB1C25" w:rsidP="005F18BC">
            <w:pPr>
              <w:pStyle w:val="TableBodyText"/>
              <w:rPr>
                <w:i/>
              </w:rPr>
            </w:pPr>
            <w:r w:rsidRPr="000A4F24">
              <w:rPr>
                <w:i/>
              </w:rPr>
              <w:t>1</w:t>
            </w:r>
            <w:r w:rsidR="00C40D26">
              <w:rPr>
                <w:i/>
              </w:rPr>
              <w:t xml:space="preserve"> </w:t>
            </w:r>
            <w:r w:rsidRPr="000A4F24">
              <w:rPr>
                <w:i/>
              </w:rPr>
              <w:t>265</w:t>
            </w:r>
          </w:p>
        </w:tc>
        <w:tc>
          <w:tcPr>
            <w:tcW w:w="779" w:type="pct"/>
            <w:shd w:val="clear" w:color="auto" w:fill="auto"/>
            <w:vAlign w:val="bottom"/>
          </w:tcPr>
          <w:p w:rsidR="00EB1C25" w:rsidRPr="000A4F24" w:rsidRDefault="00EB1C25" w:rsidP="005F18BC">
            <w:pPr>
              <w:pStyle w:val="TableBodyText"/>
              <w:rPr>
                <w:i/>
              </w:rPr>
            </w:pPr>
            <w:r w:rsidRPr="000A4F24">
              <w:rPr>
                <w:i/>
              </w:rPr>
              <w:t>51.7</w:t>
            </w:r>
          </w:p>
        </w:tc>
        <w:tc>
          <w:tcPr>
            <w:tcW w:w="780" w:type="pct"/>
            <w:shd w:val="clear" w:color="auto" w:fill="auto"/>
            <w:vAlign w:val="bottom"/>
          </w:tcPr>
          <w:p w:rsidR="00EB1C25" w:rsidRPr="000A4F24" w:rsidRDefault="00EB1C25" w:rsidP="00BB45E5">
            <w:pPr>
              <w:pStyle w:val="TableBodyText"/>
              <w:rPr>
                <w:i/>
              </w:rPr>
            </w:pPr>
            <w:r w:rsidRPr="000A4F24">
              <w:rPr>
                <w:i/>
              </w:rPr>
              <w:t>8.5</w:t>
            </w:r>
          </w:p>
        </w:tc>
      </w:tr>
      <w:tr w:rsidR="0004251A" w:rsidRPr="000A4F24" w:rsidTr="00BB45E5">
        <w:tc>
          <w:tcPr>
            <w:tcW w:w="2661" w:type="pct"/>
            <w:shd w:val="clear" w:color="auto" w:fill="D9D9D9" w:themeFill="background1" w:themeFillShade="D9"/>
            <w:vAlign w:val="bottom"/>
          </w:tcPr>
          <w:p w:rsidR="00EB1C25" w:rsidRPr="00A73C6B" w:rsidRDefault="00EB1C25" w:rsidP="005F18BC">
            <w:pPr>
              <w:pStyle w:val="TableBodyText"/>
              <w:jc w:val="left"/>
              <w:rPr>
                <w:i/>
              </w:rPr>
            </w:pPr>
            <w:r w:rsidRPr="00A73C6B">
              <w:rPr>
                <w:i/>
              </w:rPr>
              <w:t xml:space="preserve">        </w:t>
            </w:r>
            <w:r w:rsidR="00534BA9" w:rsidRPr="00A73C6B">
              <w:rPr>
                <w:i/>
              </w:rPr>
              <w:t xml:space="preserve">     </w:t>
            </w:r>
            <w:r w:rsidRPr="00A73C6B">
              <w:rPr>
                <w:i/>
              </w:rPr>
              <w:t>Aluminium smelting</w:t>
            </w:r>
          </w:p>
        </w:tc>
        <w:tc>
          <w:tcPr>
            <w:tcW w:w="779" w:type="pct"/>
            <w:shd w:val="clear" w:color="auto" w:fill="D9D9D9" w:themeFill="background1" w:themeFillShade="D9"/>
            <w:vAlign w:val="bottom"/>
          </w:tcPr>
          <w:p w:rsidR="00EB1C25" w:rsidRPr="000A4F24" w:rsidRDefault="00EB1C25" w:rsidP="005F18BC">
            <w:pPr>
              <w:pStyle w:val="TableBodyText"/>
              <w:rPr>
                <w:i/>
              </w:rPr>
            </w:pPr>
            <w:r w:rsidRPr="000A4F24">
              <w:rPr>
                <w:i/>
              </w:rPr>
              <w:t>-407</w:t>
            </w:r>
          </w:p>
        </w:tc>
        <w:tc>
          <w:tcPr>
            <w:tcW w:w="779" w:type="pct"/>
            <w:shd w:val="clear" w:color="auto" w:fill="D9D9D9" w:themeFill="background1" w:themeFillShade="D9"/>
            <w:vAlign w:val="bottom"/>
          </w:tcPr>
          <w:p w:rsidR="00EB1C25" w:rsidRPr="000A4F24" w:rsidRDefault="00EB1C25" w:rsidP="005F18BC">
            <w:pPr>
              <w:pStyle w:val="TableBodyText"/>
              <w:rPr>
                <w:i/>
              </w:rPr>
            </w:pPr>
            <w:r w:rsidRPr="000A4F24">
              <w:rPr>
                <w:i/>
              </w:rPr>
              <w:t>-15.1</w:t>
            </w:r>
          </w:p>
        </w:tc>
        <w:tc>
          <w:tcPr>
            <w:tcW w:w="780" w:type="pct"/>
            <w:shd w:val="clear" w:color="auto" w:fill="D9D9D9" w:themeFill="background1" w:themeFillShade="D9"/>
            <w:vAlign w:val="bottom"/>
          </w:tcPr>
          <w:p w:rsidR="00EB1C25" w:rsidRPr="000A4F24" w:rsidRDefault="00EB1C25" w:rsidP="00BB45E5">
            <w:pPr>
              <w:pStyle w:val="TableBodyText"/>
              <w:rPr>
                <w:i/>
              </w:rPr>
            </w:pPr>
            <w:r w:rsidRPr="000A4F24">
              <w:rPr>
                <w:i/>
              </w:rPr>
              <w:t>-2.7</w:t>
            </w:r>
          </w:p>
        </w:tc>
      </w:tr>
      <w:tr w:rsidR="0004251A" w:rsidRPr="000A4F24" w:rsidTr="00BB45E5">
        <w:tc>
          <w:tcPr>
            <w:tcW w:w="2661" w:type="pct"/>
            <w:shd w:val="clear" w:color="auto" w:fill="auto"/>
            <w:vAlign w:val="bottom"/>
          </w:tcPr>
          <w:p w:rsidR="00EB1C25" w:rsidRPr="00A73C6B" w:rsidRDefault="00EB1C25" w:rsidP="005F18BC">
            <w:pPr>
              <w:pStyle w:val="TableBodyText"/>
              <w:jc w:val="left"/>
              <w:rPr>
                <w:i/>
              </w:rPr>
            </w:pPr>
            <w:r w:rsidRPr="00A73C6B">
              <w:rPr>
                <w:i/>
              </w:rPr>
              <w:t xml:space="preserve">        </w:t>
            </w:r>
            <w:r w:rsidR="00534BA9" w:rsidRPr="00A73C6B">
              <w:rPr>
                <w:i/>
              </w:rPr>
              <w:t xml:space="preserve">     </w:t>
            </w:r>
            <w:r w:rsidRPr="00A73C6B">
              <w:rPr>
                <w:i/>
              </w:rPr>
              <w:t>Other non-ferrous</w:t>
            </w:r>
            <w:r w:rsidR="003C0758" w:rsidRPr="00A73C6B">
              <w:rPr>
                <w:rStyle w:val="NoteLabel"/>
              </w:rPr>
              <w:t>b</w:t>
            </w:r>
          </w:p>
        </w:tc>
        <w:tc>
          <w:tcPr>
            <w:tcW w:w="779" w:type="pct"/>
            <w:shd w:val="clear" w:color="auto" w:fill="auto"/>
            <w:vAlign w:val="bottom"/>
          </w:tcPr>
          <w:p w:rsidR="00EB1C25" w:rsidRPr="000A4F24" w:rsidRDefault="00EB1C25" w:rsidP="005F18BC">
            <w:pPr>
              <w:pStyle w:val="TableBodyText"/>
              <w:rPr>
                <w:i/>
              </w:rPr>
            </w:pPr>
            <w:r w:rsidRPr="000A4F24">
              <w:rPr>
                <w:i/>
              </w:rPr>
              <w:t>472</w:t>
            </w:r>
          </w:p>
        </w:tc>
        <w:tc>
          <w:tcPr>
            <w:tcW w:w="779" w:type="pct"/>
            <w:shd w:val="clear" w:color="auto" w:fill="auto"/>
            <w:vAlign w:val="bottom"/>
          </w:tcPr>
          <w:p w:rsidR="00EB1C25" w:rsidRPr="000A4F24" w:rsidRDefault="00EB1C25" w:rsidP="005F18BC">
            <w:pPr>
              <w:pStyle w:val="TableBodyText"/>
              <w:rPr>
                <w:i/>
              </w:rPr>
            </w:pPr>
            <w:r w:rsidRPr="000A4F24">
              <w:rPr>
                <w:i/>
              </w:rPr>
              <w:t>16.3</w:t>
            </w:r>
          </w:p>
        </w:tc>
        <w:tc>
          <w:tcPr>
            <w:tcW w:w="780" w:type="pct"/>
            <w:shd w:val="clear" w:color="auto" w:fill="auto"/>
            <w:vAlign w:val="bottom"/>
          </w:tcPr>
          <w:p w:rsidR="00EB1C25" w:rsidRPr="000A4F24" w:rsidRDefault="00EB1C25" w:rsidP="00BB45E5">
            <w:pPr>
              <w:pStyle w:val="TableBodyText"/>
              <w:rPr>
                <w:i/>
              </w:rPr>
            </w:pPr>
            <w:r w:rsidRPr="000A4F24">
              <w:rPr>
                <w:i/>
              </w:rPr>
              <w:t>3.2</w:t>
            </w:r>
          </w:p>
        </w:tc>
      </w:tr>
      <w:tr w:rsidR="0004251A" w:rsidRPr="000D51EE" w:rsidTr="00BB45E5">
        <w:tc>
          <w:tcPr>
            <w:tcW w:w="2661" w:type="pct"/>
            <w:shd w:val="clear" w:color="auto" w:fill="D9D9D9" w:themeFill="background1" w:themeFillShade="D9"/>
            <w:vAlign w:val="bottom"/>
          </w:tcPr>
          <w:p w:rsidR="00EB1C25" w:rsidRPr="00A73C6B" w:rsidRDefault="00EB1C25" w:rsidP="005F18BC">
            <w:pPr>
              <w:pStyle w:val="TableBodyText"/>
              <w:jc w:val="left"/>
            </w:pPr>
            <w:r w:rsidRPr="00A73C6B">
              <w:t xml:space="preserve">    </w:t>
            </w:r>
            <w:r w:rsidR="00534BA9" w:rsidRPr="00A73C6B">
              <w:t xml:space="preserve">    </w:t>
            </w:r>
            <w:r w:rsidRPr="00A73C6B">
              <w:t>Basic non-ferrous metal products</w:t>
            </w:r>
          </w:p>
        </w:tc>
        <w:tc>
          <w:tcPr>
            <w:tcW w:w="779" w:type="pct"/>
            <w:shd w:val="clear" w:color="auto" w:fill="D9D9D9" w:themeFill="background1" w:themeFillShade="D9"/>
            <w:vAlign w:val="bottom"/>
          </w:tcPr>
          <w:p w:rsidR="00EB1C25" w:rsidRPr="00EF4268" w:rsidRDefault="00EB1C25" w:rsidP="005F18BC">
            <w:pPr>
              <w:pStyle w:val="TableBodyText"/>
            </w:pPr>
            <w:r w:rsidRPr="00EF4268">
              <w:t>122</w:t>
            </w:r>
          </w:p>
        </w:tc>
        <w:tc>
          <w:tcPr>
            <w:tcW w:w="779" w:type="pct"/>
            <w:shd w:val="clear" w:color="auto" w:fill="D9D9D9" w:themeFill="background1" w:themeFillShade="D9"/>
            <w:vAlign w:val="bottom"/>
          </w:tcPr>
          <w:p w:rsidR="00EB1C25" w:rsidRPr="00EF4268" w:rsidRDefault="00EB1C25" w:rsidP="005F18BC">
            <w:pPr>
              <w:pStyle w:val="TableBodyText"/>
            </w:pPr>
            <w:r w:rsidRPr="00EF4268">
              <w:t>36.3</w:t>
            </w:r>
          </w:p>
        </w:tc>
        <w:tc>
          <w:tcPr>
            <w:tcW w:w="780" w:type="pct"/>
            <w:shd w:val="clear" w:color="auto" w:fill="D9D9D9" w:themeFill="background1" w:themeFillShade="D9"/>
            <w:vAlign w:val="bottom"/>
          </w:tcPr>
          <w:p w:rsidR="00EB1C25" w:rsidRPr="00EF4268" w:rsidRDefault="00EB1C25" w:rsidP="00BB45E5">
            <w:pPr>
              <w:pStyle w:val="TableBodyText"/>
              <w:rPr>
                <w:i/>
              </w:rPr>
            </w:pPr>
            <w:r w:rsidRPr="00EF4268">
              <w:t>0.8</w:t>
            </w:r>
          </w:p>
        </w:tc>
      </w:tr>
      <w:tr w:rsidR="0004251A" w:rsidRPr="000A4F24" w:rsidTr="00BB45E5">
        <w:tc>
          <w:tcPr>
            <w:tcW w:w="2661" w:type="pct"/>
            <w:shd w:val="clear" w:color="auto" w:fill="auto"/>
            <w:vAlign w:val="bottom"/>
          </w:tcPr>
          <w:p w:rsidR="00EB1C25" w:rsidRPr="000A4F24" w:rsidRDefault="00EB1C25" w:rsidP="005F18BC">
            <w:pPr>
              <w:pStyle w:val="TableBodyText"/>
              <w:jc w:val="left"/>
              <w:rPr>
                <w:i/>
              </w:rPr>
            </w:pPr>
            <w:r w:rsidRPr="000A4F24">
              <w:rPr>
                <w:i/>
              </w:rPr>
              <w:t xml:space="preserve">        </w:t>
            </w:r>
            <w:r w:rsidR="00534BA9">
              <w:rPr>
                <w:i/>
              </w:rPr>
              <w:t xml:space="preserve">     </w:t>
            </w:r>
            <w:r w:rsidRPr="000A4F24">
              <w:rPr>
                <w:i/>
              </w:rPr>
              <w:t>Aluminium drawing, rolling and extruding</w:t>
            </w:r>
            <w:r w:rsidR="00DA4A66">
              <w:rPr>
                <w:i/>
              </w:rPr>
              <w:t xml:space="preserve"> </w:t>
            </w:r>
          </w:p>
        </w:tc>
        <w:tc>
          <w:tcPr>
            <w:tcW w:w="779" w:type="pct"/>
            <w:shd w:val="clear" w:color="auto" w:fill="auto"/>
            <w:vAlign w:val="bottom"/>
          </w:tcPr>
          <w:p w:rsidR="00EB1C25" w:rsidRPr="000A4F24" w:rsidRDefault="00EB1C25" w:rsidP="005F18BC">
            <w:pPr>
              <w:pStyle w:val="TableBodyText"/>
              <w:rPr>
                <w:i/>
              </w:rPr>
            </w:pPr>
            <w:r w:rsidRPr="000A4F24">
              <w:rPr>
                <w:i/>
              </w:rPr>
              <w:t>123</w:t>
            </w:r>
          </w:p>
        </w:tc>
        <w:tc>
          <w:tcPr>
            <w:tcW w:w="779" w:type="pct"/>
            <w:shd w:val="clear" w:color="auto" w:fill="auto"/>
            <w:vAlign w:val="bottom"/>
          </w:tcPr>
          <w:p w:rsidR="00EB1C25" w:rsidRPr="000A4F24" w:rsidRDefault="00EB1C25" w:rsidP="005F18BC">
            <w:pPr>
              <w:pStyle w:val="TableBodyText"/>
              <w:rPr>
                <w:i/>
              </w:rPr>
            </w:pPr>
            <w:r w:rsidRPr="000A4F24">
              <w:rPr>
                <w:i/>
              </w:rPr>
              <w:t>49.5</w:t>
            </w:r>
          </w:p>
        </w:tc>
        <w:tc>
          <w:tcPr>
            <w:tcW w:w="780" w:type="pct"/>
            <w:shd w:val="clear" w:color="auto" w:fill="auto"/>
            <w:vAlign w:val="bottom"/>
          </w:tcPr>
          <w:p w:rsidR="00EB1C25" w:rsidRPr="000A4F24" w:rsidRDefault="00EB1C25" w:rsidP="00BB45E5">
            <w:pPr>
              <w:pStyle w:val="TableBodyText"/>
              <w:rPr>
                <w:i/>
              </w:rPr>
            </w:pPr>
            <w:r w:rsidRPr="000A4F24">
              <w:rPr>
                <w:i/>
              </w:rPr>
              <w:t>0.8</w:t>
            </w:r>
          </w:p>
        </w:tc>
      </w:tr>
      <w:tr w:rsidR="00605CAB" w:rsidRPr="00AF49F7" w:rsidTr="00BB45E5">
        <w:tc>
          <w:tcPr>
            <w:tcW w:w="2661" w:type="pct"/>
            <w:shd w:val="clear" w:color="auto" w:fill="D9D9D9" w:themeFill="background1" w:themeFillShade="D9"/>
            <w:vAlign w:val="bottom"/>
          </w:tcPr>
          <w:p w:rsidR="00605CAB" w:rsidRDefault="00605CAB" w:rsidP="005F18BC">
            <w:pPr>
              <w:pStyle w:val="TableBodyText"/>
              <w:jc w:val="left"/>
              <w:rPr>
                <w:b/>
                <w:i/>
              </w:rPr>
            </w:pPr>
          </w:p>
        </w:tc>
        <w:tc>
          <w:tcPr>
            <w:tcW w:w="779" w:type="pct"/>
            <w:shd w:val="clear" w:color="auto" w:fill="D9D9D9" w:themeFill="background1" w:themeFillShade="D9"/>
            <w:vAlign w:val="bottom"/>
          </w:tcPr>
          <w:p w:rsidR="00605CAB" w:rsidRPr="00AF49F7" w:rsidRDefault="00605CAB" w:rsidP="005F18BC">
            <w:pPr>
              <w:pStyle w:val="TableBodyText"/>
              <w:rPr>
                <w:b/>
                <w:i/>
              </w:rPr>
            </w:pPr>
          </w:p>
        </w:tc>
        <w:tc>
          <w:tcPr>
            <w:tcW w:w="779" w:type="pct"/>
            <w:shd w:val="clear" w:color="auto" w:fill="D9D9D9" w:themeFill="background1" w:themeFillShade="D9"/>
            <w:vAlign w:val="bottom"/>
          </w:tcPr>
          <w:p w:rsidR="00605CAB" w:rsidRPr="00AF49F7" w:rsidRDefault="00605CAB" w:rsidP="005F18BC">
            <w:pPr>
              <w:pStyle w:val="TableBodyText"/>
              <w:rPr>
                <w:b/>
                <w:i/>
              </w:rPr>
            </w:pPr>
          </w:p>
        </w:tc>
        <w:tc>
          <w:tcPr>
            <w:tcW w:w="780" w:type="pct"/>
            <w:shd w:val="clear" w:color="auto" w:fill="D9D9D9" w:themeFill="background1" w:themeFillShade="D9"/>
            <w:vAlign w:val="bottom"/>
          </w:tcPr>
          <w:p w:rsidR="00605CAB" w:rsidRPr="00AF49F7" w:rsidRDefault="00605CAB">
            <w:pPr>
              <w:pStyle w:val="TableBodyText"/>
              <w:rPr>
                <w:rFonts w:eastAsiaTheme="minorHAnsi" w:cstheme="minorBidi"/>
                <w:b/>
                <w:i/>
                <w:szCs w:val="22"/>
                <w:lang w:eastAsia="en-US"/>
              </w:rPr>
            </w:pPr>
          </w:p>
        </w:tc>
      </w:tr>
      <w:tr w:rsidR="0004251A" w:rsidRPr="00AF49F7" w:rsidTr="00BB45E5">
        <w:tc>
          <w:tcPr>
            <w:tcW w:w="2661" w:type="pct"/>
            <w:tcBorders>
              <w:bottom w:val="single" w:sz="6" w:space="0" w:color="auto"/>
            </w:tcBorders>
            <w:shd w:val="clear" w:color="auto" w:fill="auto"/>
            <w:vAlign w:val="bottom"/>
          </w:tcPr>
          <w:p w:rsidR="00EB1C25" w:rsidRPr="00A73C6B" w:rsidRDefault="002D4901" w:rsidP="005F18BC">
            <w:pPr>
              <w:pStyle w:val="TableBodyText"/>
              <w:ind w:right="0"/>
              <w:jc w:val="left"/>
              <w:rPr>
                <w:b/>
              </w:rPr>
            </w:pPr>
            <w:r w:rsidRPr="00A73C6B">
              <w:rPr>
                <w:b/>
              </w:rPr>
              <w:t xml:space="preserve">    </w:t>
            </w:r>
            <w:r w:rsidR="00D775FA">
              <w:rPr>
                <w:b/>
              </w:rPr>
              <w:t>Fabricated metal product manufacturing</w:t>
            </w:r>
            <w:r w:rsidR="00065B52" w:rsidRPr="00A73C6B">
              <w:rPr>
                <w:rStyle w:val="NoteLabel"/>
              </w:rPr>
              <w:t>c</w:t>
            </w:r>
          </w:p>
        </w:tc>
        <w:tc>
          <w:tcPr>
            <w:tcW w:w="779" w:type="pct"/>
            <w:tcBorders>
              <w:bottom w:val="single" w:sz="6" w:space="0" w:color="auto"/>
            </w:tcBorders>
            <w:shd w:val="clear" w:color="auto" w:fill="auto"/>
            <w:vAlign w:val="bottom"/>
          </w:tcPr>
          <w:p w:rsidR="00EB1C25" w:rsidRPr="000D51EE" w:rsidRDefault="00EB1C25" w:rsidP="005F18BC">
            <w:pPr>
              <w:pStyle w:val="TableBodyText"/>
              <w:rPr>
                <w:b/>
              </w:rPr>
            </w:pPr>
            <w:r w:rsidRPr="000D51EE">
              <w:rPr>
                <w:b/>
              </w:rPr>
              <w:t>228</w:t>
            </w:r>
          </w:p>
        </w:tc>
        <w:tc>
          <w:tcPr>
            <w:tcW w:w="779" w:type="pct"/>
            <w:tcBorders>
              <w:bottom w:val="single" w:sz="6" w:space="0" w:color="auto"/>
            </w:tcBorders>
            <w:shd w:val="clear" w:color="auto" w:fill="auto"/>
            <w:vAlign w:val="bottom"/>
          </w:tcPr>
          <w:p w:rsidR="00EB1C25" w:rsidRPr="000D51EE" w:rsidRDefault="00EB1C25" w:rsidP="005F18BC">
            <w:pPr>
              <w:pStyle w:val="TableBodyText"/>
              <w:rPr>
                <w:b/>
              </w:rPr>
            </w:pPr>
            <w:r w:rsidRPr="000D51EE">
              <w:rPr>
                <w:b/>
              </w:rPr>
              <w:t>8.2</w:t>
            </w:r>
          </w:p>
        </w:tc>
        <w:tc>
          <w:tcPr>
            <w:tcW w:w="780" w:type="pct"/>
            <w:tcBorders>
              <w:bottom w:val="single" w:sz="6" w:space="0" w:color="auto"/>
            </w:tcBorders>
            <w:shd w:val="clear" w:color="auto" w:fill="auto"/>
            <w:vAlign w:val="bottom"/>
          </w:tcPr>
          <w:p w:rsidR="00EB1C25" w:rsidRPr="000D51EE" w:rsidRDefault="00EB1C25" w:rsidP="00BB45E5">
            <w:pPr>
              <w:pStyle w:val="TableBodyText"/>
              <w:rPr>
                <w:b/>
                <w:i/>
              </w:rPr>
            </w:pPr>
            <w:r w:rsidRPr="000D51EE">
              <w:rPr>
                <w:b/>
              </w:rPr>
              <w:t>1.5</w:t>
            </w:r>
          </w:p>
        </w:tc>
      </w:tr>
    </w:tbl>
    <w:p w:rsidR="0093468C" w:rsidRDefault="0093468C" w:rsidP="0093468C">
      <w:pPr>
        <w:pStyle w:val="Note"/>
      </w:pPr>
      <w:r>
        <w:rPr>
          <w:rStyle w:val="NoteLabel"/>
        </w:rPr>
        <w:t xml:space="preserve">a </w:t>
      </w:r>
      <w:r w:rsidR="006A057C">
        <w:t>Current prices</w:t>
      </w:r>
      <w:r w:rsidR="00F81100">
        <w:t xml:space="preserve">. Data </w:t>
      </w:r>
      <w:r>
        <w:t xml:space="preserve">for 2006-07 </w:t>
      </w:r>
      <w:r w:rsidR="00D201AB">
        <w:t>are</w:t>
      </w:r>
      <w:r>
        <w:t xml:space="preserve"> based on </w:t>
      </w:r>
      <w:proofErr w:type="spellStart"/>
      <w:r>
        <w:t>ANZSIC</w:t>
      </w:r>
      <w:r w:rsidR="005975FC">
        <w:t>06</w:t>
      </w:r>
      <w:proofErr w:type="spellEnd"/>
      <w:r>
        <w:t xml:space="preserve"> </w:t>
      </w:r>
      <w:r w:rsidR="00233787">
        <w:t xml:space="preserve">adjusted to match </w:t>
      </w:r>
      <w:proofErr w:type="spellStart"/>
      <w:r w:rsidR="00233787">
        <w:t>ANZSIC</w:t>
      </w:r>
      <w:r>
        <w:t>93</w:t>
      </w:r>
      <w:proofErr w:type="spellEnd"/>
      <w:r>
        <w:t xml:space="preserve">. </w:t>
      </w:r>
      <w:r w:rsidR="008F472A">
        <w:t xml:space="preserve">There are </w:t>
      </w:r>
      <w:r w:rsidR="003933F9">
        <w:t xml:space="preserve">minor </w:t>
      </w:r>
      <w:r>
        <w:t>concordance issues with ‘Aluminium smelting’ and with ‘Non-ferrous basic metal products’ in 2006-07.</w:t>
      </w:r>
      <w:r w:rsidR="002E7F11">
        <w:t xml:space="preserve"> The concordance issues for </w:t>
      </w:r>
      <w:r w:rsidR="008C4283">
        <w:t xml:space="preserve">Fabricated metals </w:t>
      </w:r>
      <w:r w:rsidR="002E7F11">
        <w:t>are significant (box 6.1</w:t>
      </w:r>
      <w:r w:rsidR="00C123A8">
        <w:t>)</w:t>
      </w:r>
      <w:r>
        <w:t xml:space="preserve">. </w:t>
      </w:r>
      <w:r>
        <w:rPr>
          <w:rStyle w:val="NoteLabel"/>
        </w:rPr>
        <w:t xml:space="preserve">b </w:t>
      </w:r>
      <w:r>
        <w:t>For ‘Other non-ferrous’, average annual growth is for 2001-02 to 2004-05.</w:t>
      </w:r>
      <w:r w:rsidR="003C0758" w:rsidDel="003C0758">
        <w:t xml:space="preserve"> </w:t>
      </w:r>
      <w:r>
        <w:t>Other non-ferrous’ is a catch</w:t>
      </w:r>
      <w:r w:rsidR="00BC193E">
        <w:t>-</w:t>
      </w:r>
      <w:r>
        <w:t xml:space="preserve">all category which includes classes 2723 Copper, silver, lead and zinc smelting, refining and 2729 Basic non-ferrous metal manufacturing </w:t>
      </w:r>
      <w:proofErr w:type="spellStart"/>
      <w:r>
        <w:t>nec</w:t>
      </w:r>
      <w:proofErr w:type="spellEnd"/>
      <w:r w:rsidR="00DA4A66">
        <w:t xml:space="preserve">. </w:t>
      </w:r>
      <w:r w:rsidR="009A7B35">
        <w:rPr>
          <w:rStyle w:val="NoteLabel"/>
        </w:rPr>
        <w:t>c</w:t>
      </w:r>
      <w:r w:rsidR="008441C6">
        <w:rPr>
          <w:rStyle w:val="NoteLabel"/>
        </w:rPr>
        <w:t> </w:t>
      </w:r>
      <w:r w:rsidR="003A47FE">
        <w:t>Fabricated metals</w:t>
      </w:r>
      <w:r>
        <w:t xml:space="preserve"> includes 274 Structural Metal Product Manufacturing, </w:t>
      </w:r>
      <w:r w:rsidR="00C30D4B">
        <w:t xml:space="preserve">276 </w:t>
      </w:r>
      <w:r>
        <w:t>Sheet Metal Product Manufacturing and 275 Fabricated Metal Product Manufacturing in 2001-02.</w:t>
      </w:r>
    </w:p>
    <w:p w:rsidR="0093468C" w:rsidRDefault="0093468C" w:rsidP="0093468C">
      <w:pPr>
        <w:pStyle w:val="Source"/>
      </w:pPr>
      <w:r>
        <w:rPr>
          <w:i/>
        </w:rPr>
        <w:t>Source</w:t>
      </w:r>
      <w:r w:rsidR="00DD4F78" w:rsidRPr="00B551CC">
        <w:t>:</w:t>
      </w:r>
      <w:r>
        <w:t xml:space="preserve"> Authors’ estimates based on ABS (</w:t>
      </w:r>
      <w:r>
        <w:rPr>
          <w:i/>
        </w:rPr>
        <w:t>Manufacturing Industry, Australia</w:t>
      </w:r>
      <w:r>
        <w:t>,</w:t>
      </w:r>
      <w:r w:rsidR="00C01552" w:rsidRPr="00C01552">
        <w:t xml:space="preserve"> </w:t>
      </w:r>
      <w:r w:rsidR="00C01552">
        <w:t>various issues,</w:t>
      </w:r>
      <w:r>
        <w:t xml:space="preserve"> Cat. no. 8221.0).</w:t>
      </w:r>
    </w:p>
    <w:p w:rsidR="00FA547C" w:rsidRDefault="003A47FE" w:rsidP="00F14FD2">
      <w:pPr>
        <w:pStyle w:val="BodyText"/>
      </w:pPr>
      <w:r>
        <w:lastRenderedPageBreak/>
        <w:t>A</w:t>
      </w:r>
      <w:r w:rsidR="00FF03C7">
        <w:t xml:space="preserve">round </w:t>
      </w:r>
      <w:r w:rsidR="00FE1904">
        <w:t>70</w:t>
      </w:r>
      <w:r w:rsidR="00FF03C7">
        <w:t xml:space="preserve"> per cent of the growth in investment in </w:t>
      </w:r>
      <w:r w:rsidR="006B0816">
        <w:t>MP</w:t>
      </w:r>
      <w:r w:rsidR="00FF03C7">
        <w:t xml:space="preserve"> between cycles 3 and 4 can be attributed to new metal processing investments. Most of these projects </w:t>
      </w:r>
      <w:r w:rsidR="0004698B">
        <w:t>were</w:t>
      </w:r>
      <w:r w:rsidR="00FF03C7">
        <w:t xml:space="preserve"> alumina</w:t>
      </w:r>
      <w:r w:rsidR="00D174E8">
        <w:t>-</w:t>
      </w:r>
      <w:r w:rsidR="00FF03C7">
        <w:t>related (around 80 per cent of the capital expe</w:t>
      </w:r>
      <w:r w:rsidR="00CF2596">
        <w:t xml:space="preserve">nditure identified in the </w:t>
      </w:r>
      <w:proofErr w:type="spellStart"/>
      <w:r w:rsidR="00CF2596">
        <w:t>ABARE</w:t>
      </w:r>
      <w:proofErr w:type="spellEnd"/>
      <w:r w:rsidR="00FF03C7">
        <w:t xml:space="preserve"> </w:t>
      </w:r>
      <w:r w:rsidR="005B5FF0">
        <w:t>‘</w:t>
      </w:r>
      <w:r w:rsidR="001D348C">
        <w:t>minerals and energy major development projects’ list</w:t>
      </w:r>
      <w:r w:rsidR="00FF03C7">
        <w:t>)</w:t>
      </w:r>
      <w:r w:rsidR="00683BC4">
        <w:t>,</w:t>
      </w:r>
      <w:r w:rsidR="001D348C">
        <w:rPr>
          <w:rStyle w:val="FootnoteReference"/>
        </w:rPr>
        <w:footnoteReference w:id="11"/>
      </w:r>
      <w:r w:rsidR="00FF03C7">
        <w:t xml:space="preserve"> while steel (8</w:t>
      </w:r>
      <w:r w:rsidR="002E0654">
        <w:t> </w:t>
      </w:r>
      <w:r w:rsidR="00FF03C7">
        <w:t xml:space="preserve">per cent) and nickel (5.6 per cent) </w:t>
      </w:r>
      <w:r w:rsidR="0012288C">
        <w:t>were</w:t>
      </w:r>
      <w:r w:rsidR="00FF03C7">
        <w:t xml:space="preserve"> also important.</w:t>
      </w:r>
      <w:r w:rsidR="009A4A14">
        <w:t xml:space="preserve"> </w:t>
      </w:r>
    </w:p>
    <w:p w:rsidR="00F25354" w:rsidRDefault="00CA7481" w:rsidP="00F14FD2">
      <w:pPr>
        <w:pStyle w:val="BodyText"/>
      </w:pPr>
      <w:r>
        <w:t>The rest of this section examines the</w:t>
      </w:r>
      <w:r w:rsidR="00DD4EC4">
        <w:t>se</w:t>
      </w:r>
      <w:r>
        <w:t xml:space="preserve"> specific investments </w:t>
      </w:r>
      <w:r w:rsidR="0069712E">
        <w:t>and the likely</w:t>
      </w:r>
      <w:r>
        <w:t xml:space="preserve"> motivations behind the investment in the </w:t>
      </w:r>
      <w:r w:rsidR="00951659">
        <w:t xml:space="preserve">alumina, </w:t>
      </w:r>
      <w:r>
        <w:t>aluminium and other primary metal product industries.</w:t>
      </w:r>
    </w:p>
    <w:p w:rsidR="009017DA" w:rsidRPr="00105AE1" w:rsidRDefault="009017DA" w:rsidP="009017DA">
      <w:pPr>
        <w:pStyle w:val="Heading5"/>
      </w:pPr>
      <w:r w:rsidRPr="00105AE1">
        <w:t>Alumina investment to expand capacity</w:t>
      </w:r>
    </w:p>
    <w:p w:rsidR="009017DA" w:rsidRPr="00105AE1" w:rsidRDefault="009017DA" w:rsidP="009017DA">
      <w:pPr>
        <w:pStyle w:val="BodyText"/>
      </w:pPr>
      <w:r w:rsidRPr="00105AE1">
        <w:t xml:space="preserve">Alumina projects </w:t>
      </w:r>
      <w:r w:rsidR="007C2EF8" w:rsidRPr="00105AE1">
        <w:t>drove</w:t>
      </w:r>
      <w:r w:rsidRPr="00105AE1">
        <w:t xml:space="preserve"> most of the capital expenditure in </w:t>
      </w:r>
      <w:r w:rsidR="00012421" w:rsidRPr="00105AE1">
        <w:t xml:space="preserve">Basic </w:t>
      </w:r>
      <w:r w:rsidRPr="00105AE1">
        <w:t>non-ferrous</w:t>
      </w:r>
      <w:r w:rsidR="00940697" w:rsidRPr="00105AE1">
        <w:t xml:space="preserve"> metals</w:t>
      </w:r>
      <w:r w:rsidRPr="00105AE1">
        <w:t>, particularly in cycle 4.</w:t>
      </w:r>
      <w:r w:rsidR="0044356D" w:rsidRPr="00105AE1">
        <w:t xml:space="preserve"> </w:t>
      </w:r>
      <w:r w:rsidRPr="00105AE1">
        <w:t xml:space="preserve">While there were several aluminium brownfields projects that took place during the last two </w:t>
      </w:r>
      <w:r w:rsidR="00866F71">
        <w:t xml:space="preserve">complete </w:t>
      </w:r>
      <w:r w:rsidRPr="00105AE1">
        <w:t>productivity cycles, they were far exceeded in value by alumina projects</w:t>
      </w:r>
      <w:r w:rsidR="00D67ED6">
        <w:t xml:space="preserve"> in cycle 4</w:t>
      </w:r>
      <w:r w:rsidRPr="00105AE1">
        <w:t xml:space="preserve">, some of which were worth multibillions of dollars. Alumina significantly increased its share of net capital expenditure by </w:t>
      </w:r>
      <w:r w:rsidR="006B0816">
        <w:t>MP</w:t>
      </w:r>
      <w:r w:rsidR="00655F5B">
        <w:t>,</w:t>
      </w:r>
      <w:r w:rsidRPr="00105AE1">
        <w:t xml:space="preserve"> while aluminium smelting reduced its share in the period for which class data </w:t>
      </w:r>
      <w:r w:rsidR="00076D60" w:rsidRPr="00105AE1">
        <w:t>are</w:t>
      </w:r>
      <w:r w:rsidRPr="00105AE1">
        <w:t xml:space="preserve"> available (figure </w:t>
      </w:r>
      <w:r w:rsidR="00105AE1" w:rsidRPr="00105AE1">
        <w:t>6.15</w:t>
      </w:r>
      <w:r w:rsidRPr="00105AE1">
        <w:t xml:space="preserve">). </w:t>
      </w:r>
    </w:p>
    <w:p w:rsidR="009017DA" w:rsidRPr="00105AE1" w:rsidRDefault="009017DA" w:rsidP="009017DA">
      <w:pPr>
        <w:pStyle w:val="FigureTitle"/>
      </w:pPr>
      <w:r w:rsidRPr="00AD375B">
        <w:rPr>
          <w:b w:val="0"/>
          <w:sz w:val="24"/>
        </w:rPr>
        <w:t xml:space="preserve">Figure </w:t>
      </w:r>
      <w:bookmarkStart w:id="29" w:name="OLE_LINK7"/>
      <w:r w:rsidR="00864E73" w:rsidRPr="00AD375B">
        <w:rPr>
          <w:b w:val="0"/>
          <w:sz w:val="24"/>
        </w:rPr>
        <w:t>6.</w:t>
      </w:r>
      <w:r w:rsidR="00227A34">
        <w:rPr>
          <w:b w:val="0"/>
          <w:noProof/>
          <w:sz w:val="24"/>
        </w:rPr>
        <w:t>15</w:t>
      </w:r>
      <w:bookmarkEnd w:id="29"/>
      <w:r w:rsidRPr="00AD375B">
        <w:rPr>
          <w:sz w:val="24"/>
        </w:rPr>
        <w:tab/>
      </w:r>
      <w:r w:rsidR="003202B9">
        <w:rPr>
          <w:sz w:val="24"/>
        </w:rPr>
        <w:t>Net capital expenditure of Metal products subsector</w:t>
      </w:r>
      <w:r w:rsidRPr="00105AE1">
        <w:rPr>
          <w:rStyle w:val="NoteLabel"/>
          <w:b/>
        </w:rPr>
        <w:t>a</w:t>
      </w:r>
    </w:p>
    <w:p w:rsidR="009017DA" w:rsidRPr="00105AE1" w:rsidRDefault="006D258D" w:rsidP="009017DA">
      <w:pPr>
        <w:pStyle w:val="Subtitle"/>
      </w:pPr>
      <w:r>
        <w:t>$</w:t>
      </w:r>
      <w:r w:rsidR="009017DA" w:rsidRPr="00105AE1">
        <w:t>m</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017DA" w:rsidRPr="00105AE1" w:rsidTr="009017DA">
        <w:tc>
          <w:tcPr>
            <w:tcW w:w="8777" w:type="dxa"/>
          </w:tcPr>
          <w:p w:rsidR="009017DA" w:rsidRPr="00105AE1" w:rsidRDefault="00852E6A" w:rsidP="00F85330">
            <w:pPr>
              <w:pStyle w:val="Figure"/>
              <w:spacing w:before="0" w:after="0"/>
            </w:pPr>
            <w:r>
              <w:pict>
                <v:shape id="_x0000_i1048" type="#_x0000_t75" alt="This figure shows the net capital expenditure in nominal terms by different parts of Metal products over the period of 2001-02 to 2006-07. It shows that there was growth in net capital expenditure from 2003-04, peaking in 2005-06 and declining in 2006-07. Much of the growth is attributed to alumina, with a smaller fraction to iron and steel. " style="width:424.45pt;height:198.4pt">
                  <v:imagedata r:id="rId32" o:title=""/>
                </v:shape>
              </w:pict>
            </w:r>
          </w:p>
        </w:tc>
      </w:tr>
    </w:tbl>
    <w:p w:rsidR="009017DA" w:rsidRPr="00105AE1" w:rsidRDefault="009017DA" w:rsidP="009017DA">
      <w:pPr>
        <w:pStyle w:val="Note"/>
      </w:pPr>
      <w:r w:rsidRPr="00105AE1">
        <w:rPr>
          <w:rStyle w:val="NoteLabel"/>
        </w:rPr>
        <w:t>a</w:t>
      </w:r>
      <w:r w:rsidRPr="00105AE1">
        <w:t xml:space="preserve"> </w:t>
      </w:r>
      <w:r w:rsidR="00452A6F">
        <w:t xml:space="preserve">Current prices. </w:t>
      </w:r>
      <w:r w:rsidR="00FB530B">
        <w:t xml:space="preserve">Data for 2006-07 are based on </w:t>
      </w:r>
      <w:proofErr w:type="spellStart"/>
      <w:r w:rsidR="00FB530B">
        <w:t>ANZSIC06</w:t>
      </w:r>
      <w:proofErr w:type="spellEnd"/>
      <w:r w:rsidR="00FB530B">
        <w:t xml:space="preserve"> adjusted to match </w:t>
      </w:r>
      <w:proofErr w:type="spellStart"/>
      <w:r w:rsidR="00FB530B">
        <w:t>ANZSIC93</w:t>
      </w:r>
      <w:proofErr w:type="spellEnd"/>
      <w:r w:rsidRPr="00105AE1">
        <w:t xml:space="preserve">. ‘Other non-ferrous metals’ which includes the classes ‘2723 copper, silver, lead and zinc smelting and refining’ and ‘2729 Basic non-ferrous metal </w:t>
      </w:r>
      <w:proofErr w:type="spellStart"/>
      <w:r w:rsidRPr="00105AE1">
        <w:t>mfg</w:t>
      </w:r>
      <w:proofErr w:type="spellEnd"/>
      <w:r w:rsidRPr="00105AE1">
        <w:t xml:space="preserve"> </w:t>
      </w:r>
      <w:proofErr w:type="spellStart"/>
      <w:r w:rsidRPr="00105AE1">
        <w:t>nec</w:t>
      </w:r>
      <w:proofErr w:type="spellEnd"/>
      <w:r w:rsidRPr="00105AE1">
        <w:t xml:space="preserve">’, also include group ’273 Non-ferrous basic metal product manufacturing’. </w:t>
      </w:r>
    </w:p>
    <w:p w:rsidR="003C1E86" w:rsidRPr="00105AE1" w:rsidRDefault="003C1E86" w:rsidP="003C1E86">
      <w:pPr>
        <w:pStyle w:val="Source"/>
      </w:pPr>
      <w:r w:rsidRPr="00105AE1">
        <w:rPr>
          <w:i/>
        </w:rPr>
        <w:t>Data source</w:t>
      </w:r>
      <w:r w:rsidRPr="00105AE1">
        <w:t>: ABS (</w:t>
      </w:r>
      <w:r w:rsidRPr="00154397">
        <w:rPr>
          <w:i/>
        </w:rPr>
        <w:t>Manufacturing Industry, Australia</w:t>
      </w:r>
      <w:r w:rsidR="005B7153" w:rsidRPr="00105AE1">
        <w:rPr>
          <w:i/>
        </w:rPr>
        <w:t>,</w:t>
      </w:r>
      <w:r w:rsidRPr="00105AE1">
        <w:rPr>
          <w:i/>
        </w:rPr>
        <w:t xml:space="preserve"> </w:t>
      </w:r>
      <w:r w:rsidR="005C65BB">
        <w:t>various issues,</w:t>
      </w:r>
      <w:r w:rsidR="005C65BB" w:rsidRPr="00105AE1">
        <w:t xml:space="preserve"> </w:t>
      </w:r>
      <w:r w:rsidRPr="00105AE1">
        <w:t>Cat. no. 8221.0)</w:t>
      </w:r>
      <w:r w:rsidR="00F42444">
        <w:t>.</w:t>
      </w:r>
      <w:r w:rsidRPr="00105AE1">
        <w:rPr>
          <w:i/>
        </w:rPr>
        <w:t xml:space="preserve"> </w:t>
      </w:r>
    </w:p>
    <w:p w:rsidR="005B7153" w:rsidRPr="00B551CC" w:rsidRDefault="00BE04CD" w:rsidP="00DB533E">
      <w:pPr>
        <w:pStyle w:val="BodyText"/>
      </w:pPr>
      <w:r w:rsidRPr="00B551CC">
        <w:lastRenderedPageBreak/>
        <w:t xml:space="preserve">These investments were aimed at expanding production capacity in response to expectations that commodity prices would remain high. </w:t>
      </w:r>
      <w:proofErr w:type="spellStart"/>
      <w:r w:rsidR="00C6115C" w:rsidRPr="00B551CC">
        <w:t>ABARE</w:t>
      </w:r>
      <w:proofErr w:type="spellEnd"/>
      <w:r w:rsidR="00A368BE" w:rsidRPr="00B551CC">
        <w:t xml:space="preserve"> (</w:t>
      </w:r>
      <w:proofErr w:type="spellStart"/>
      <w:r w:rsidR="00A368BE" w:rsidRPr="00B551CC">
        <w:t>2004</w:t>
      </w:r>
      <w:r w:rsidR="002C77D9" w:rsidRPr="00B551CC">
        <w:t>a</w:t>
      </w:r>
      <w:proofErr w:type="spellEnd"/>
      <w:r w:rsidR="00C6115C" w:rsidRPr="00B551CC">
        <w:t>, pp. 126</w:t>
      </w:r>
      <w:r w:rsidR="00452D1A" w:rsidRPr="00B551CC">
        <w:t>–</w:t>
      </w:r>
      <w:r w:rsidR="00C6115C" w:rsidRPr="00B551CC">
        <w:t>7</w:t>
      </w:r>
      <w:r w:rsidR="00A368BE" w:rsidRPr="00B551CC">
        <w:t xml:space="preserve">) forecast </w:t>
      </w:r>
      <w:r w:rsidR="00374B33" w:rsidRPr="00B551CC">
        <w:t>strong growth in alumina output associated with the</w:t>
      </w:r>
      <w:r w:rsidR="00281652" w:rsidRPr="00B551CC">
        <w:t>se</w:t>
      </w:r>
      <w:r w:rsidR="00374B33" w:rsidRPr="00B551CC">
        <w:t xml:space="preserve"> new investments to meet greater overseas demand</w:t>
      </w:r>
      <w:r w:rsidR="005F1293" w:rsidRPr="00B551CC">
        <w:t xml:space="preserve"> for alumina to meet aluminium smelting requirements</w:t>
      </w:r>
      <w:r w:rsidR="00374B33" w:rsidRPr="00B551CC">
        <w:t>.</w:t>
      </w:r>
    </w:p>
    <w:p w:rsidR="00A719F3" w:rsidRPr="00154397" w:rsidRDefault="0035173E" w:rsidP="00A719F3">
      <w:pPr>
        <w:pStyle w:val="BodyText"/>
      </w:pPr>
      <w:r w:rsidRPr="00154397">
        <w:t xml:space="preserve">Other data also indicate that </w:t>
      </w:r>
      <w:r w:rsidR="00A719F3" w:rsidRPr="00154397">
        <w:t xml:space="preserve">Australia’s refining capacity increased significantly over the </w:t>
      </w:r>
      <w:proofErr w:type="spellStart"/>
      <w:r w:rsidR="00A719F3" w:rsidRPr="00154397">
        <w:t>2000s</w:t>
      </w:r>
      <w:proofErr w:type="spellEnd"/>
      <w:r w:rsidR="00A719F3" w:rsidRPr="00154397">
        <w:t>:</w:t>
      </w:r>
      <w:r w:rsidR="00A719F3" w:rsidRPr="00154397" w:rsidDel="00F71B7D">
        <w:t xml:space="preserve"> </w:t>
      </w:r>
      <w:r w:rsidR="00A719F3" w:rsidRPr="00154397">
        <w:t>from 13 Mt in 2000 to 20 Mt in 2010 (</w:t>
      </w:r>
      <w:r w:rsidR="00D31319" w:rsidRPr="00154397">
        <w:t>Prosser</w:t>
      </w:r>
      <w:r w:rsidR="00A719F3" w:rsidRPr="00154397">
        <w:t xml:space="preserve"> </w:t>
      </w:r>
      <w:r w:rsidR="00B52493" w:rsidRPr="00154397">
        <w:t>201</w:t>
      </w:r>
      <w:r w:rsidR="005C75A7" w:rsidRPr="00154397">
        <w:t>3</w:t>
      </w:r>
      <w:r w:rsidR="00B52493" w:rsidRPr="00154397">
        <w:t>, pers. comm</w:t>
      </w:r>
      <w:r w:rsidR="00A87A9F" w:rsidRPr="00154397">
        <w:t>.</w:t>
      </w:r>
      <w:r w:rsidR="00145E9A" w:rsidRPr="00154397">
        <w:t>,</w:t>
      </w:r>
      <w:r w:rsidR="00D31319" w:rsidRPr="00154397">
        <w:t xml:space="preserve"> 8</w:t>
      </w:r>
      <w:r w:rsidR="005C75A7" w:rsidRPr="00154397">
        <w:t> </w:t>
      </w:r>
      <w:r w:rsidR="00D31319" w:rsidRPr="00154397">
        <w:t>October</w:t>
      </w:r>
      <w:r w:rsidR="00A719F3" w:rsidRPr="00154397">
        <w:t xml:space="preserve">). Indeed, in 2005 the </w:t>
      </w:r>
      <w:r w:rsidR="0022729C" w:rsidRPr="00154397">
        <w:t>A</w:t>
      </w:r>
      <w:r w:rsidR="00575D4F">
        <w:t xml:space="preserve">ustralian </w:t>
      </w:r>
      <w:r w:rsidR="0022729C" w:rsidRPr="00154397">
        <w:t>A</w:t>
      </w:r>
      <w:r w:rsidR="00575D4F">
        <w:t xml:space="preserve">luminium </w:t>
      </w:r>
      <w:r w:rsidR="0022729C" w:rsidRPr="00154397">
        <w:t>C</w:t>
      </w:r>
      <w:r w:rsidR="00575D4F">
        <w:t xml:space="preserve">ouncil </w:t>
      </w:r>
      <w:r w:rsidR="00A719F3" w:rsidRPr="00154397">
        <w:t>noted:</w:t>
      </w:r>
    </w:p>
    <w:p w:rsidR="00A719F3" w:rsidRPr="00B551CC" w:rsidRDefault="00A719F3" w:rsidP="001549DA">
      <w:pPr>
        <w:pStyle w:val="Quote"/>
      </w:pPr>
      <w:r w:rsidRPr="00B551CC">
        <w:t>While both alumina and aluminium production levels in 2005 remained similar to 2004 results, alumina capacity is currently being increased through both debottlenecking of existing plant and the constr</w:t>
      </w:r>
      <w:r w:rsidR="00DD1DE3" w:rsidRPr="00B551CC">
        <w:t xml:space="preserve">uction of additional capacity. </w:t>
      </w:r>
      <w:r w:rsidRPr="00B551CC">
        <w:t>Further production growth is anticipated as recent developments ramp up to full capacity. (</w:t>
      </w:r>
      <w:proofErr w:type="spellStart"/>
      <w:r w:rsidR="00063D8C" w:rsidRPr="00B551CC">
        <w:t>AAC</w:t>
      </w:r>
      <w:proofErr w:type="spellEnd"/>
      <w:r w:rsidRPr="00B551CC">
        <w:t xml:space="preserve"> 2005</w:t>
      </w:r>
      <w:r w:rsidR="00063D8C" w:rsidRPr="00B551CC">
        <w:t>,</w:t>
      </w:r>
      <w:r w:rsidRPr="00B551CC">
        <w:t xml:space="preserve"> p</w:t>
      </w:r>
      <w:r w:rsidR="00441F97" w:rsidRPr="00B551CC">
        <w:t xml:space="preserve">. </w:t>
      </w:r>
      <w:r w:rsidRPr="00B551CC">
        <w:t>2)</w:t>
      </w:r>
    </w:p>
    <w:p w:rsidR="00A26293" w:rsidRPr="00B551CC" w:rsidRDefault="005A5D63" w:rsidP="005B7153">
      <w:pPr>
        <w:pStyle w:val="BodyText"/>
      </w:pPr>
      <w:r w:rsidRPr="00B551CC">
        <w:t>The Australian Aluminium Council</w:t>
      </w:r>
      <w:r w:rsidR="0022729C" w:rsidRPr="00B551CC">
        <w:t xml:space="preserve"> (2006, 2007) </w:t>
      </w:r>
      <w:r w:rsidR="00A719F3" w:rsidRPr="00B551CC">
        <w:t>also indicated that there was likely to be growth in production of alumina (and aluminium) as expansion projects began to utilise their additional capacity.</w:t>
      </w:r>
      <w:r w:rsidR="005272CD" w:rsidRPr="00B551CC">
        <w:t xml:space="preserve"> </w:t>
      </w:r>
      <w:r w:rsidR="005C72F4" w:rsidRPr="00B551CC">
        <w:t xml:space="preserve">However, there may have been some underutilised capacity within the industry over cycle 4 (and to an even greater extent following the </w:t>
      </w:r>
      <w:proofErr w:type="spellStart"/>
      <w:r w:rsidR="005C72F4" w:rsidRPr="00B551CC">
        <w:t>GFC</w:t>
      </w:r>
      <w:proofErr w:type="spellEnd"/>
      <w:r w:rsidR="005C72F4" w:rsidRPr="00B551CC">
        <w:t>).</w:t>
      </w:r>
      <w:r w:rsidR="00713D33" w:rsidRPr="00B551CC">
        <w:t xml:space="preserve"> </w:t>
      </w:r>
      <w:r w:rsidR="00EF29AF" w:rsidRPr="00B551CC">
        <w:t>While there was an increase in the production of alumina over</w:t>
      </w:r>
      <w:r w:rsidR="00B62ED3" w:rsidRPr="00B551CC">
        <w:t xml:space="preserve"> </w:t>
      </w:r>
      <w:r w:rsidR="00EF29AF" w:rsidRPr="00B551CC">
        <w:t xml:space="preserve">cycle </w:t>
      </w:r>
      <w:r w:rsidR="00713D33" w:rsidRPr="00B551CC">
        <w:t xml:space="preserve">4 </w:t>
      </w:r>
      <w:r w:rsidR="00EF29AF" w:rsidRPr="00B551CC">
        <w:t>(table</w:t>
      </w:r>
      <w:r w:rsidR="0056132E" w:rsidRPr="00B551CC">
        <w:t xml:space="preserve"> </w:t>
      </w:r>
      <w:r w:rsidR="00713D33" w:rsidRPr="00B551CC">
        <w:t>6.3</w:t>
      </w:r>
      <w:r w:rsidR="00B12617" w:rsidRPr="00B551CC">
        <w:t>)</w:t>
      </w:r>
      <w:r w:rsidR="00452D1A" w:rsidRPr="00B551CC">
        <w:t>,</w:t>
      </w:r>
      <w:r w:rsidR="00B12617" w:rsidRPr="00B551CC">
        <w:t xml:space="preserve"> </w:t>
      </w:r>
      <w:r w:rsidR="00F438BF" w:rsidRPr="00B551CC">
        <w:t>growth in output volumes fell short of expectations.</w:t>
      </w:r>
      <w:r w:rsidR="00951BA2" w:rsidRPr="00B551CC">
        <w:t xml:space="preserve"> For example, alumina output </w:t>
      </w:r>
      <w:r w:rsidR="00371569" w:rsidRPr="00B551CC">
        <w:t>generally</w:t>
      </w:r>
      <w:r w:rsidR="00951BA2" w:rsidRPr="00B551CC">
        <w:t xml:space="preserve"> fell short of </w:t>
      </w:r>
      <w:proofErr w:type="spellStart"/>
      <w:r w:rsidR="00951BA2" w:rsidRPr="00B551CC">
        <w:t>ABARE</w:t>
      </w:r>
      <w:proofErr w:type="spellEnd"/>
      <w:r w:rsidR="00951BA2" w:rsidRPr="00B551CC">
        <w:t xml:space="preserve"> forecasts over the 2005-06 to 2009-10 period</w:t>
      </w:r>
      <w:r w:rsidR="00683BC4" w:rsidRPr="00B551CC">
        <w:t>.</w:t>
      </w:r>
    </w:p>
    <w:p w:rsidR="00ED6678" w:rsidRPr="00713D33" w:rsidRDefault="00ED6678" w:rsidP="00ED6678">
      <w:pPr>
        <w:pStyle w:val="BodyText"/>
      </w:pPr>
      <w:r w:rsidRPr="00713D33">
        <w:t xml:space="preserve">As well as increasing capacity, investment </w:t>
      </w:r>
      <w:r w:rsidR="00C323D6">
        <w:t>may</w:t>
      </w:r>
      <w:r w:rsidR="00C323D6" w:rsidRPr="00713D33">
        <w:t xml:space="preserve"> </w:t>
      </w:r>
      <w:r w:rsidRPr="00713D33">
        <w:t xml:space="preserve">also </w:t>
      </w:r>
      <w:r w:rsidR="00C323D6">
        <w:t>have been aimed at</w:t>
      </w:r>
      <w:r w:rsidRPr="00713D33">
        <w:t xml:space="preserve"> improving cost-competitiveness by taking advantage of lower cost energy sources</w:t>
      </w:r>
      <w:r w:rsidR="002B1728" w:rsidRPr="00713D33">
        <w:t xml:space="preserve">, such as natural </w:t>
      </w:r>
      <w:r w:rsidRPr="00713D33">
        <w:t xml:space="preserve">gas. </w:t>
      </w:r>
      <w:r w:rsidR="00C775AF">
        <w:t>While t</w:t>
      </w:r>
      <w:r w:rsidR="00C775AF" w:rsidRPr="00713D33">
        <w:t>he techn</w:t>
      </w:r>
      <w:r w:rsidR="00C775AF">
        <w:t>ical</w:t>
      </w:r>
      <w:r w:rsidR="00C775AF" w:rsidRPr="00713D33">
        <w:t xml:space="preserve"> </w:t>
      </w:r>
      <w:r w:rsidRPr="00713D33">
        <w:t xml:space="preserve">process of alumina </w:t>
      </w:r>
      <w:r w:rsidR="00C775AF">
        <w:t>refining</w:t>
      </w:r>
      <w:r w:rsidR="00C775AF" w:rsidRPr="00713D33">
        <w:t xml:space="preserve"> </w:t>
      </w:r>
      <w:r w:rsidRPr="00713D33">
        <w:t>has largely remained unchanged in the past twenty years</w:t>
      </w:r>
      <w:r w:rsidR="00C775AF">
        <w:t>,</w:t>
      </w:r>
      <w:r w:rsidR="00C775AF" w:rsidRPr="00713D33">
        <w:t xml:space="preserve"> </w:t>
      </w:r>
      <w:r w:rsidRPr="00713D33">
        <w:t xml:space="preserve">there </w:t>
      </w:r>
      <w:r w:rsidR="003D1901">
        <w:t xml:space="preserve">have been changes in energy sources used. There </w:t>
      </w:r>
      <w:r w:rsidRPr="00713D33">
        <w:t xml:space="preserve">has been a shift towards adopting cogeneration as a </w:t>
      </w:r>
      <w:r w:rsidR="0067333A" w:rsidRPr="00713D33">
        <w:t>more efficient and less greenhouse gas-intensive source of energy</w:t>
      </w:r>
      <w:r w:rsidRPr="00713D33">
        <w:t xml:space="preserve"> (</w:t>
      </w:r>
      <w:proofErr w:type="spellStart"/>
      <w:r w:rsidR="00713D33" w:rsidRPr="00154397">
        <w:t>AAC</w:t>
      </w:r>
      <w:proofErr w:type="spellEnd"/>
      <w:r w:rsidR="0067333A" w:rsidRPr="00154397">
        <w:t xml:space="preserve"> 2004</w:t>
      </w:r>
      <w:r w:rsidRPr="00713D33">
        <w:t xml:space="preserve">). Investment </w:t>
      </w:r>
      <w:r w:rsidR="006E1849">
        <w:t xml:space="preserve">undertaken </w:t>
      </w:r>
      <w:r w:rsidR="00FF3536" w:rsidRPr="00713D33">
        <w:t>during cycle 4</w:t>
      </w:r>
      <w:r w:rsidRPr="00713D33">
        <w:t xml:space="preserve"> and the current incomplete productivity cycle </w:t>
      </w:r>
      <w:r w:rsidR="00E17DDE" w:rsidRPr="00713D33">
        <w:t xml:space="preserve">included </w:t>
      </w:r>
      <w:r w:rsidR="00D0430D" w:rsidRPr="00713D33">
        <w:t xml:space="preserve">the </w:t>
      </w:r>
      <w:r w:rsidRPr="00713D33">
        <w:t>construction of co-generation facilities</w:t>
      </w:r>
      <w:r w:rsidR="00E17DDE" w:rsidRPr="00713D33">
        <w:t xml:space="preserve"> (</w:t>
      </w:r>
      <w:r w:rsidR="00AA6AAF" w:rsidRPr="00713D33">
        <w:t xml:space="preserve">box </w:t>
      </w:r>
      <w:r w:rsidR="00C323D6">
        <w:t>6.2</w:t>
      </w:r>
      <w:r w:rsidR="00E17DDE" w:rsidRPr="00713D33">
        <w:t>)</w:t>
      </w:r>
      <w:r w:rsidRPr="00713D33">
        <w:t>.</w:t>
      </w:r>
    </w:p>
    <w:p w:rsidR="009017DA" w:rsidRPr="003D1901" w:rsidRDefault="009017DA" w:rsidP="009017D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017DA" w:rsidRPr="003D1901" w:rsidTr="009017DA">
        <w:tc>
          <w:tcPr>
            <w:tcW w:w="8771" w:type="dxa"/>
            <w:tcBorders>
              <w:top w:val="single" w:sz="6" w:space="0" w:color="auto"/>
              <w:bottom w:val="nil"/>
            </w:tcBorders>
          </w:tcPr>
          <w:p w:rsidR="009017DA" w:rsidRPr="003D1901" w:rsidRDefault="009017DA" w:rsidP="009017DA">
            <w:pPr>
              <w:pStyle w:val="BoxTitle"/>
            </w:pPr>
            <w:r w:rsidRPr="00EC4839">
              <w:rPr>
                <w:b w:val="0"/>
                <w:sz w:val="24"/>
              </w:rPr>
              <w:t xml:space="preserve">Box </w:t>
            </w:r>
            <w:bookmarkStart w:id="30" w:name="OLE_LINK48"/>
            <w:r w:rsidR="003D1901" w:rsidRPr="00EC4839">
              <w:rPr>
                <w:b w:val="0"/>
                <w:sz w:val="24"/>
              </w:rPr>
              <w:t>6.</w:t>
            </w:r>
            <w:r w:rsidR="00227A34">
              <w:rPr>
                <w:b w:val="0"/>
                <w:noProof/>
                <w:sz w:val="24"/>
              </w:rPr>
              <w:t>2</w:t>
            </w:r>
            <w:bookmarkEnd w:id="30"/>
            <w:r w:rsidRPr="00EC4839">
              <w:rPr>
                <w:sz w:val="24"/>
              </w:rPr>
              <w:tab/>
              <w:t>Cogeneration</w:t>
            </w:r>
          </w:p>
        </w:tc>
      </w:tr>
      <w:tr w:rsidR="009017DA" w:rsidRPr="003767DA" w:rsidTr="009017DA">
        <w:trPr>
          <w:cantSplit/>
        </w:trPr>
        <w:tc>
          <w:tcPr>
            <w:tcW w:w="8771" w:type="dxa"/>
            <w:tcBorders>
              <w:top w:val="nil"/>
              <w:left w:val="single" w:sz="6" w:space="0" w:color="auto"/>
              <w:bottom w:val="nil"/>
              <w:right w:val="single" w:sz="6" w:space="0" w:color="auto"/>
            </w:tcBorders>
          </w:tcPr>
          <w:p w:rsidR="003B730B" w:rsidRPr="003D1901" w:rsidRDefault="009017DA" w:rsidP="003D1901">
            <w:pPr>
              <w:pStyle w:val="Box"/>
            </w:pPr>
            <w:r w:rsidRPr="003D1901">
              <w:t>Cogeneration is a process of generating electricity while</w:t>
            </w:r>
            <w:r w:rsidR="00972E60">
              <w:t xml:space="preserve"> using or</w:t>
            </w:r>
            <w:r w:rsidRPr="003D1901">
              <w:t xml:space="preserve"> recovering the waste heat</w:t>
            </w:r>
            <w:r w:rsidR="003B064B">
              <w:t xml:space="preserve"> in addition to the primary power source</w:t>
            </w:r>
            <w:r w:rsidRPr="003D1901">
              <w:t>. Alumina production requires steam, and cogeneration uses waste heat</w:t>
            </w:r>
            <w:r w:rsidR="005B1FF5" w:rsidRPr="003D1901">
              <w:t xml:space="preserve"> from the production of electricity</w:t>
            </w:r>
            <w:r w:rsidRPr="003D1901">
              <w:t xml:space="preserve"> to generate high</w:t>
            </w:r>
            <w:r w:rsidR="006C5AB6">
              <w:t>-</w:t>
            </w:r>
            <w:r w:rsidRPr="003D1901">
              <w:t xml:space="preserve">pressure steam more efficiently. Investment in cogeneration is driven by cost-reduction and is dependent on alumina refineries being able to secure a supply of energy source, usually gas. </w:t>
            </w:r>
          </w:p>
          <w:p w:rsidR="009017DA" w:rsidRPr="003D1901" w:rsidRDefault="009017DA" w:rsidP="009017DA">
            <w:pPr>
              <w:pStyle w:val="Box"/>
              <w:rPr>
                <w:b/>
              </w:rPr>
            </w:pPr>
            <w:r w:rsidRPr="003D1901">
              <w:rPr>
                <w:b/>
              </w:rPr>
              <w:t>Alcoa Pinjarra Alumina Refinery upgrade ($440</w:t>
            </w:r>
            <w:r w:rsidR="008926A7">
              <w:rPr>
                <w:b/>
              </w:rPr>
              <w:t xml:space="preserve"> </w:t>
            </w:r>
            <w:r w:rsidRPr="003D1901">
              <w:rPr>
                <w:b/>
              </w:rPr>
              <w:t>m</w:t>
            </w:r>
            <w:r w:rsidR="008926A7">
              <w:rPr>
                <w:b/>
              </w:rPr>
              <w:t>illion</w:t>
            </w:r>
            <w:r w:rsidRPr="003D1901">
              <w:rPr>
                <w:b/>
              </w:rPr>
              <w:t xml:space="preserve">, </w:t>
            </w:r>
            <w:r w:rsidR="00295D40" w:rsidRPr="003D1901">
              <w:rPr>
                <w:b/>
              </w:rPr>
              <w:t xml:space="preserve">commissioned </w:t>
            </w:r>
            <w:r w:rsidR="008926A7" w:rsidRPr="003D1901">
              <w:rPr>
                <w:b/>
              </w:rPr>
              <w:t>April</w:t>
            </w:r>
            <w:r w:rsidR="008926A7">
              <w:rPr>
                <w:b/>
              </w:rPr>
              <w:t> </w:t>
            </w:r>
            <w:r w:rsidRPr="003D1901">
              <w:rPr>
                <w:b/>
              </w:rPr>
              <w:t>2006)</w:t>
            </w:r>
          </w:p>
          <w:p w:rsidR="009017DA" w:rsidRPr="003D1901" w:rsidRDefault="009017DA" w:rsidP="00633C47">
            <w:pPr>
              <w:pStyle w:val="BoxListBullet"/>
            </w:pPr>
            <w:r w:rsidRPr="003D1901">
              <w:t>This project involved an efficiency upgrade to the refinery as well as installation of two cogeneration plants, brin</w:t>
            </w:r>
            <w:r w:rsidR="000814F6" w:rsidRPr="003D1901">
              <w:t>g</w:t>
            </w:r>
            <w:r w:rsidRPr="003D1901">
              <w:t xml:space="preserve">ing total capacity to 4.2 </w:t>
            </w:r>
            <w:proofErr w:type="spellStart"/>
            <w:r w:rsidRPr="003D1901">
              <w:t>mt</w:t>
            </w:r>
            <w:proofErr w:type="spellEnd"/>
            <w:r w:rsidRPr="003D1901">
              <w:t xml:space="preserve"> per year. The cogeneration facilities are not owned by Alco</w:t>
            </w:r>
            <w:r w:rsidR="000814F6" w:rsidRPr="003D1901">
              <w:t>a</w:t>
            </w:r>
            <w:r w:rsidRPr="003D1901">
              <w:t xml:space="preserve">, but by </w:t>
            </w:r>
            <w:proofErr w:type="spellStart"/>
            <w:r w:rsidRPr="003D1901">
              <w:t>Alinta</w:t>
            </w:r>
            <w:proofErr w:type="spellEnd"/>
            <w:r w:rsidRPr="003D1901">
              <w:t xml:space="preserve">. They run on natural gas and provide electricity and high-pressure steam for the refinery, while also supplying electricity to </w:t>
            </w:r>
            <w:r w:rsidR="000814F6" w:rsidRPr="003D1901">
              <w:t xml:space="preserve">the </w:t>
            </w:r>
            <w:r w:rsidRPr="003D1901">
              <w:t>grid. The steam produced by cogeneration replaces the 240</w:t>
            </w:r>
            <w:r w:rsidR="00683BC4">
              <w:t xml:space="preserve"> tonnes per hour</w:t>
            </w:r>
            <w:r w:rsidRPr="003D1901">
              <w:t xml:space="preserve"> of steam that was previously generated by the refinery’s own boilers, which is just less than half of the refinery’s steam requirements (</w:t>
            </w:r>
            <w:r w:rsidRPr="00154397">
              <w:t>Power-</w:t>
            </w:r>
            <w:proofErr w:type="spellStart"/>
            <w:r w:rsidRPr="00154397">
              <w:t>technology.com</w:t>
            </w:r>
            <w:proofErr w:type="spellEnd"/>
            <w:r w:rsidRPr="00154397">
              <w:t xml:space="preserve"> 2012).</w:t>
            </w:r>
          </w:p>
          <w:p w:rsidR="009017DA" w:rsidRPr="003D1901" w:rsidRDefault="009017DA" w:rsidP="009017DA">
            <w:pPr>
              <w:pStyle w:val="Box"/>
            </w:pPr>
            <w:r w:rsidRPr="003D1901">
              <w:rPr>
                <w:b/>
              </w:rPr>
              <w:t>Rio Tinto Alcan Yarwun 2 ($</w:t>
            </w:r>
            <w:r w:rsidR="00295D40" w:rsidRPr="003D1901">
              <w:rPr>
                <w:b/>
              </w:rPr>
              <w:t>2.5</w:t>
            </w:r>
            <w:r w:rsidR="0039599B">
              <w:rPr>
                <w:b/>
              </w:rPr>
              <w:t xml:space="preserve"> </w:t>
            </w:r>
            <w:r w:rsidR="00295D40" w:rsidRPr="003D1901">
              <w:rPr>
                <w:b/>
              </w:rPr>
              <w:t>b</w:t>
            </w:r>
            <w:r w:rsidR="0039599B">
              <w:rPr>
                <w:b/>
              </w:rPr>
              <w:t>illion</w:t>
            </w:r>
            <w:r w:rsidRPr="003D1901">
              <w:rPr>
                <w:b/>
              </w:rPr>
              <w:t xml:space="preserve">, </w:t>
            </w:r>
            <w:r w:rsidR="00703D68" w:rsidRPr="003D1901">
              <w:rPr>
                <w:b/>
              </w:rPr>
              <w:t xml:space="preserve">completed </w:t>
            </w:r>
            <w:r w:rsidRPr="003D1901">
              <w:rPr>
                <w:b/>
              </w:rPr>
              <w:t>201</w:t>
            </w:r>
            <w:r w:rsidR="00295D40" w:rsidRPr="003D1901">
              <w:rPr>
                <w:b/>
              </w:rPr>
              <w:t>2</w:t>
            </w:r>
            <w:r w:rsidRPr="003D1901">
              <w:rPr>
                <w:b/>
              </w:rPr>
              <w:t>)</w:t>
            </w:r>
          </w:p>
          <w:p w:rsidR="009A7A91" w:rsidRDefault="009017DA" w:rsidP="00633C47">
            <w:pPr>
              <w:pStyle w:val="BoxListBullet"/>
            </w:pPr>
            <w:r w:rsidRPr="003D1901">
              <w:t>The Yarwun 2 project involved installing a new cogeneration plant run on coal seam gas, which was commissioned in August 2011. The cogeneration plant makes Yarwun self-sufficient in electricity and steam requirements, and also provides surplus power to the grid (</w:t>
            </w:r>
            <w:proofErr w:type="spellStart"/>
            <w:r w:rsidRPr="00154397">
              <w:t>Sizer</w:t>
            </w:r>
            <w:proofErr w:type="spellEnd"/>
            <w:r w:rsidRPr="00154397">
              <w:t xml:space="preserve"> 2011</w:t>
            </w:r>
            <w:r w:rsidRPr="003D1901">
              <w:t>).</w:t>
            </w:r>
          </w:p>
          <w:p w:rsidR="00933282" w:rsidRPr="003D1901" w:rsidRDefault="00933282" w:rsidP="00371569">
            <w:pPr>
              <w:pStyle w:val="Box"/>
            </w:pPr>
            <w:r>
              <w:t xml:space="preserve">The effect of a move to cogeneration on </w:t>
            </w:r>
            <w:r>
              <w:rPr>
                <w:i/>
              </w:rPr>
              <w:t>measured</w:t>
            </w:r>
            <w:r>
              <w:t xml:space="preserve"> productivity in </w:t>
            </w:r>
            <w:r w:rsidR="006B0816">
              <w:t>MP</w:t>
            </w:r>
            <w:r>
              <w:t xml:space="preserve"> manufacturing is complex and will depend on the relative efficiency of the electricity production and ownership of the cogeneration facilities. For example, such a shift could raise value added as intermediate inputs in the form of purchased electricity are reduced, but </w:t>
            </w:r>
            <w:r w:rsidR="00371569">
              <w:t xml:space="preserve">it would </w:t>
            </w:r>
            <w:r>
              <w:t>also involve additional capital investment, hours worked and other intermediate inputs.</w:t>
            </w:r>
          </w:p>
        </w:tc>
      </w:tr>
      <w:tr w:rsidR="009017DA" w:rsidRPr="003767DA" w:rsidTr="009017DA">
        <w:trPr>
          <w:cantSplit/>
        </w:trPr>
        <w:tc>
          <w:tcPr>
            <w:tcW w:w="8771" w:type="dxa"/>
            <w:tcBorders>
              <w:top w:val="nil"/>
              <w:left w:val="single" w:sz="6" w:space="0" w:color="auto"/>
              <w:bottom w:val="single" w:sz="6" w:space="0" w:color="auto"/>
              <w:right w:val="single" w:sz="6" w:space="0" w:color="auto"/>
            </w:tcBorders>
          </w:tcPr>
          <w:p w:rsidR="009017DA" w:rsidRPr="003D1901" w:rsidRDefault="009017DA" w:rsidP="00A9120A">
            <w:pPr>
              <w:pStyle w:val="Box"/>
              <w:spacing w:before="0" w:line="120" w:lineRule="exact"/>
              <w:jc w:val="left"/>
            </w:pPr>
          </w:p>
        </w:tc>
      </w:tr>
    </w:tbl>
    <w:p w:rsidR="000F2E36" w:rsidRDefault="007E1F14" w:rsidP="007E1F14">
      <w:pPr>
        <w:pStyle w:val="BodyText"/>
      </w:pPr>
      <w:r w:rsidRPr="00896651">
        <w:t>Given the sudden and pronounced increase in investment</w:t>
      </w:r>
      <w:r w:rsidR="00C8582B" w:rsidRPr="00896651">
        <w:t>,</w:t>
      </w:r>
      <w:r w:rsidR="004C68A1" w:rsidRPr="00896651">
        <w:t xml:space="preserve"> particularly in </w:t>
      </w:r>
      <w:r w:rsidR="00C2342D">
        <w:t>a</w:t>
      </w:r>
      <w:r w:rsidR="00C2342D" w:rsidRPr="00896651">
        <w:t xml:space="preserve">lumina </w:t>
      </w:r>
      <w:r w:rsidR="004C68A1" w:rsidRPr="00896651">
        <w:t>refining</w:t>
      </w:r>
      <w:r w:rsidR="00C8582B" w:rsidRPr="00896651">
        <w:t xml:space="preserve"> over cycle 4</w:t>
      </w:r>
      <w:r w:rsidR="003D55A4" w:rsidRPr="00896651">
        <w:t>,</w:t>
      </w:r>
      <w:r w:rsidR="004C68A1" w:rsidRPr="00896651">
        <w:t xml:space="preserve"> this</w:t>
      </w:r>
      <w:r w:rsidRPr="00896651">
        <w:t xml:space="preserve"> raises the question </w:t>
      </w:r>
      <w:r w:rsidR="00BD771D">
        <w:t xml:space="preserve">of </w:t>
      </w:r>
      <w:r w:rsidRPr="00896651">
        <w:t>whether the poor productivity performance in the</w:t>
      </w:r>
      <w:r w:rsidR="00D03C4C" w:rsidRPr="00896651">
        <w:t xml:space="preserve"> MP sub</w:t>
      </w:r>
      <w:r w:rsidRPr="00896651">
        <w:t xml:space="preserve">sector </w:t>
      </w:r>
      <w:r w:rsidR="00236E63" w:rsidRPr="00896651">
        <w:t>was partly</w:t>
      </w:r>
      <w:r w:rsidRPr="00896651">
        <w:t xml:space="preserve"> driven by a lag between </w:t>
      </w:r>
      <w:r w:rsidR="00203B06">
        <w:t xml:space="preserve">when </w:t>
      </w:r>
      <w:r w:rsidRPr="00896651">
        <w:t>this new investment</w:t>
      </w:r>
      <w:r w:rsidR="00D15708">
        <w:t xml:space="preserve"> was</w:t>
      </w:r>
      <w:r w:rsidRPr="00896651">
        <w:t xml:space="preserve"> </w:t>
      </w:r>
      <w:r w:rsidR="0029465B" w:rsidRPr="00896651">
        <w:t>recorded</w:t>
      </w:r>
      <w:r w:rsidRPr="00896651">
        <w:t xml:space="preserve"> and</w:t>
      </w:r>
      <w:r w:rsidR="004C79E2">
        <w:t xml:space="preserve"> when</w:t>
      </w:r>
      <w:r w:rsidRPr="00896651">
        <w:t xml:space="preserve"> output associated with the investment </w:t>
      </w:r>
      <w:r w:rsidR="00203B06">
        <w:t>came</w:t>
      </w:r>
      <w:r w:rsidR="00203B06" w:rsidRPr="00896651">
        <w:t xml:space="preserve"> </w:t>
      </w:r>
      <w:r w:rsidRPr="00896651">
        <w:t xml:space="preserve">on stream </w:t>
      </w:r>
      <w:r w:rsidR="00706F40">
        <w:t>(</w:t>
      </w:r>
      <w:r w:rsidRPr="00896651">
        <w:t>a ‘capital lag’</w:t>
      </w:r>
      <w:r w:rsidR="00706F40">
        <w:t>)</w:t>
      </w:r>
      <w:r w:rsidRPr="00896651">
        <w:t xml:space="preserve">. </w:t>
      </w:r>
      <w:r w:rsidR="00FC70A4" w:rsidRPr="00896651">
        <w:t xml:space="preserve">For example, </w:t>
      </w:r>
      <w:r w:rsidR="00706F40">
        <w:t xml:space="preserve">some of the </w:t>
      </w:r>
      <w:r w:rsidR="00CF07A2">
        <w:t xml:space="preserve">alumina </w:t>
      </w:r>
      <w:r w:rsidR="00706F40">
        <w:t>investment</w:t>
      </w:r>
      <w:r w:rsidR="00086385">
        <w:t xml:space="preserve"> project</w:t>
      </w:r>
      <w:r w:rsidR="00706F40">
        <w:t xml:space="preserve">s took several years to complete and there was also </w:t>
      </w:r>
      <w:r w:rsidR="00DA47BB" w:rsidRPr="00896651">
        <w:t xml:space="preserve">a process of ramping up production following </w:t>
      </w:r>
      <w:r w:rsidR="00DA47BB" w:rsidRPr="00154397">
        <w:t>expansions</w:t>
      </w:r>
      <w:r w:rsidR="00706F40" w:rsidRPr="00154397">
        <w:t xml:space="preserve"> (</w:t>
      </w:r>
      <w:proofErr w:type="spellStart"/>
      <w:r w:rsidR="00706F40" w:rsidRPr="00154397">
        <w:t>AAC</w:t>
      </w:r>
      <w:proofErr w:type="spellEnd"/>
      <w:r w:rsidR="00706F40" w:rsidRPr="00154397">
        <w:t xml:space="preserve"> 2006)</w:t>
      </w:r>
      <w:r w:rsidR="00DA47BB" w:rsidRPr="00154397">
        <w:t>.</w:t>
      </w:r>
      <w:r w:rsidR="00DA47BB" w:rsidRPr="00896651">
        <w:t xml:space="preserve"> </w:t>
      </w:r>
    </w:p>
    <w:p w:rsidR="00706F40" w:rsidRPr="00896651" w:rsidRDefault="007E1F14" w:rsidP="007E1F14">
      <w:pPr>
        <w:pStyle w:val="BodyText"/>
      </w:pPr>
      <w:r w:rsidRPr="00896651">
        <w:t xml:space="preserve">Analysis of </w:t>
      </w:r>
      <w:r w:rsidR="000F2E36">
        <w:t>possible capital lags (</w:t>
      </w:r>
      <w:r w:rsidR="000F2E36" w:rsidRPr="00896651">
        <w:t xml:space="preserve">box </w:t>
      </w:r>
      <w:r w:rsidR="000F2E36">
        <w:t xml:space="preserve">6.3) </w:t>
      </w:r>
      <w:r w:rsidRPr="00896651">
        <w:t xml:space="preserve">tends to </w:t>
      </w:r>
      <w:r w:rsidR="0086475D" w:rsidRPr="00896651">
        <w:t>indicate that</w:t>
      </w:r>
      <w:r w:rsidR="003B5B2F">
        <w:t>,</w:t>
      </w:r>
      <w:r w:rsidR="0086475D" w:rsidRPr="00896651">
        <w:t xml:space="preserve"> </w:t>
      </w:r>
      <w:r w:rsidR="000F2E36">
        <w:t>even after allowing for lag between investment in cycle 4 and new capacity becoming available for production in the incomplete cycle, output growth has been relatively low. This suggests that</w:t>
      </w:r>
      <w:r w:rsidR="001A3A49">
        <w:t>,</w:t>
      </w:r>
      <w:r w:rsidR="000F2E36">
        <w:t xml:space="preserve"> in the incomplete cycle</w:t>
      </w:r>
      <w:r w:rsidR="001A3A49">
        <w:t>,</w:t>
      </w:r>
      <w:r w:rsidR="000F2E36">
        <w:t xml:space="preserve"> some of the new capacity </w:t>
      </w:r>
      <w:r w:rsidR="000F2E36" w:rsidRPr="00896651">
        <w:t xml:space="preserve">within the </w:t>
      </w:r>
      <w:r w:rsidR="006B0816">
        <w:t>MP</w:t>
      </w:r>
      <w:r w:rsidR="000F2E36" w:rsidRPr="00896651">
        <w:t xml:space="preserve"> subsector</w:t>
      </w:r>
      <w:r w:rsidR="000F2E36">
        <w:t xml:space="preserve"> may </w:t>
      </w:r>
      <w:r w:rsidR="00371569">
        <w:t xml:space="preserve">have </w:t>
      </w:r>
      <w:r w:rsidR="00E14069" w:rsidRPr="00896651">
        <w:t>be</w:t>
      </w:r>
      <w:r w:rsidR="00312063">
        <w:t>en</w:t>
      </w:r>
      <w:r w:rsidR="0086475D" w:rsidRPr="00896651">
        <w:t xml:space="preserve"> underutilised, </w:t>
      </w:r>
      <w:r w:rsidR="000F2E36">
        <w:t>but</w:t>
      </w:r>
      <w:r w:rsidR="000F2E36" w:rsidRPr="00896651">
        <w:t xml:space="preserve"> </w:t>
      </w:r>
      <w:r w:rsidR="0086475D" w:rsidRPr="00896651">
        <w:t xml:space="preserve">could be employed if </w:t>
      </w:r>
      <w:r w:rsidR="00567519">
        <w:t xml:space="preserve">the </w:t>
      </w:r>
      <w:r w:rsidR="0086475D" w:rsidRPr="00896651">
        <w:t xml:space="preserve">operating </w:t>
      </w:r>
      <w:r w:rsidR="00567519">
        <w:t>environment</w:t>
      </w:r>
      <w:r w:rsidR="00567519" w:rsidRPr="00896651">
        <w:t xml:space="preserve"> </w:t>
      </w:r>
      <w:r w:rsidR="0086475D" w:rsidRPr="00896651">
        <w:t>improve</w:t>
      </w:r>
      <w:r w:rsidR="00567519">
        <w:t>d</w:t>
      </w:r>
      <w:r w:rsidR="00706F40" w:rsidRPr="00567519">
        <w:t>.</w:t>
      </w:r>
    </w:p>
    <w:p w:rsidR="007E1F14" w:rsidRPr="00567519" w:rsidRDefault="007E1F14" w:rsidP="007E1F14">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E1F14" w:rsidRPr="00567519" w:rsidTr="0043331F">
        <w:tc>
          <w:tcPr>
            <w:tcW w:w="8771" w:type="dxa"/>
            <w:tcBorders>
              <w:top w:val="single" w:sz="6" w:space="0" w:color="auto"/>
              <w:bottom w:val="nil"/>
            </w:tcBorders>
          </w:tcPr>
          <w:p w:rsidR="007E1F14" w:rsidRPr="00EC4839" w:rsidRDefault="007E1F14" w:rsidP="0043331F">
            <w:pPr>
              <w:pStyle w:val="BoxTitle"/>
              <w:rPr>
                <w:sz w:val="24"/>
              </w:rPr>
            </w:pPr>
            <w:r w:rsidRPr="00EC4839">
              <w:rPr>
                <w:b w:val="0"/>
                <w:sz w:val="24"/>
              </w:rPr>
              <w:t xml:space="preserve">Box </w:t>
            </w:r>
            <w:bookmarkStart w:id="31" w:name="OLE_LINK32"/>
            <w:r w:rsidRPr="00EC4839">
              <w:rPr>
                <w:b w:val="0"/>
                <w:sz w:val="24"/>
              </w:rPr>
              <w:t>6.</w:t>
            </w:r>
            <w:r w:rsidR="00227A34">
              <w:rPr>
                <w:b w:val="0"/>
                <w:noProof/>
                <w:sz w:val="24"/>
              </w:rPr>
              <w:t>3</w:t>
            </w:r>
            <w:bookmarkEnd w:id="31"/>
            <w:r w:rsidRPr="00EC4839">
              <w:rPr>
                <w:sz w:val="24"/>
              </w:rPr>
              <w:tab/>
              <w:t>Testing for capital lags</w:t>
            </w:r>
          </w:p>
        </w:tc>
      </w:tr>
      <w:tr w:rsidR="007E1F14" w:rsidRPr="00567519" w:rsidTr="0043331F">
        <w:trPr>
          <w:cantSplit/>
        </w:trPr>
        <w:tc>
          <w:tcPr>
            <w:tcW w:w="8771" w:type="dxa"/>
            <w:tcBorders>
              <w:top w:val="nil"/>
              <w:left w:val="single" w:sz="6" w:space="0" w:color="auto"/>
              <w:bottom w:val="nil"/>
              <w:right w:val="single" w:sz="6" w:space="0" w:color="auto"/>
            </w:tcBorders>
          </w:tcPr>
          <w:p w:rsidR="00A07D30" w:rsidRDefault="00371569" w:rsidP="00A07D30">
            <w:pPr>
              <w:pStyle w:val="Box"/>
            </w:pPr>
            <w:r>
              <w:t>MFP is calculated on the basis that i</w:t>
            </w:r>
            <w:r w:rsidR="006028F9">
              <w:t xml:space="preserve">nvestment is immediately productive, but this may not be the case </w:t>
            </w:r>
            <w:r>
              <w:t>for projects</w:t>
            </w:r>
            <w:r w:rsidR="006028F9">
              <w:t xml:space="preserve"> that take a long time to complete</w:t>
            </w:r>
            <w:r>
              <w:t>.</w:t>
            </w:r>
            <w:r w:rsidR="006028F9">
              <w:t xml:space="preserve"> </w:t>
            </w:r>
            <w:r>
              <w:t>This introduces a lag</w:t>
            </w:r>
            <w:r w:rsidR="006028F9">
              <w:t xml:space="preserve"> </w:t>
            </w:r>
            <w:r w:rsidR="00296B1A">
              <w:t xml:space="preserve">between the measured increase in </w:t>
            </w:r>
            <w:r w:rsidR="006028F9">
              <w:t>capital input</w:t>
            </w:r>
            <w:r w:rsidR="00296B1A">
              <w:t xml:space="preserve">s and any associated increase in output. </w:t>
            </w:r>
            <w:r w:rsidR="00AD7E9F">
              <w:t>Th</w:t>
            </w:r>
            <w:r w:rsidR="008C7441">
              <w:t xml:space="preserve">e length of time between investment and output is called </w:t>
            </w:r>
            <w:r w:rsidR="00AD7E9F">
              <w:t>a ‘capital-lag’.</w:t>
            </w:r>
            <w:r w:rsidR="00A07D30">
              <w:t xml:space="preserve"> </w:t>
            </w:r>
          </w:p>
          <w:p w:rsidR="004570D2" w:rsidRPr="00567519" w:rsidRDefault="00E64D37" w:rsidP="004570D2">
            <w:pPr>
              <w:pStyle w:val="Box"/>
            </w:pPr>
            <w:r>
              <w:t>One</w:t>
            </w:r>
            <w:r w:rsidR="00AD7E9F">
              <w:t xml:space="preserve"> technique to gauge t</w:t>
            </w:r>
            <w:r>
              <w:t>he magnitude</w:t>
            </w:r>
            <w:r w:rsidR="00EB3F47">
              <w:t xml:space="preserve"> of the effect</w:t>
            </w:r>
            <w:r>
              <w:t xml:space="preserve"> that capital-lags </w:t>
            </w:r>
            <w:r w:rsidR="00296B1A">
              <w:t xml:space="preserve">could </w:t>
            </w:r>
            <w:r>
              <w:t>have on</w:t>
            </w:r>
            <w:r w:rsidR="00510C56">
              <w:t xml:space="preserve"> measured</w:t>
            </w:r>
            <w:r>
              <w:t xml:space="preserve"> MFP is to lag capital expenditure in order to better reflect</w:t>
            </w:r>
            <w:r w:rsidRPr="00567519">
              <w:t xml:space="preserve"> capital inputs coming </w:t>
            </w:r>
            <w:proofErr w:type="spellStart"/>
            <w:r w:rsidRPr="00567519">
              <w:t>on-stream</w:t>
            </w:r>
            <w:proofErr w:type="spellEnd"/>
            <w:r w:rsidRPr="00567519">
              <w:t xml:space="preserve"> and any growth in output that may ensue.</w:t>
            </w:r>
            <w:r w:rsidR="004570D2" w:rsidRPr="00567519">
              <w:t xml:space="preserve"> Lagging capital is most likely to produce the greatest effect on MFP growth in periods where there is a surge in capital inputs, and may smooth out MFP fluctuation in the short</w:t>
            </w:r>
            <w:r w:rsidR="004570D2">
              <w:t xml:space="preserve"> </w:t>
            </w:r>
            <w:r w:rsidR="004570D2" w:rsidRPr="00567519">
              <w:t>run. It is expected to have little effect on MFP in the long run.</w:t>
            </w:r>
          </w:p>
          <w:p w:rsidR="007E1F14" w:rsidRPr="00567519" w:rsidRDefault="00EF4800" w:rsidP="00EF4800">
            <w:pPr>
              <w:pStyle w:val="Box"/>
            </w:pPr>
            <w:r w:rsidRPr="00567519">
              <w:t xml:space="preserve">On average, the time between investment and completion </w:t>
            </w:r>
            <w:r w:rsidR="00A07D30">
              <w:t xml:space="preserve">in </w:t>
            </w:r>
            <w:r w:rsidR="006B0816">
              <w:t>MP</w:t>
            </w:r>
            <w:r w:rsidR="00A07D30">
              <w:t xml:space="preserve"> </w:t>
            </w:r>
            <w:r w:rsidRPr="00567519">
              <w:t>is between two and three years. T</w:t>
            </w:r>
            <w:r w:rsidR="007E1F14" w:rsidRPr="00567519">
              <w:t>he effect</w:t>
            </w:r>
            <w:r w:rsidRPr="00567519">
              <w:t xml:space="preserve">, then, </w:t>
            </w:r>
            <w:r w:rsidR="007E1F14" w:rsidRPr="00567519">
              <w:t xml:space="preserve">of lagging capital inputs is very apparent in the 2003-04 to 2007-08 productivity cycle — the period of strong capital inputs growth. </w:t>
            </w:r>
            <w:r w:rsidR="00150AA4">
              <w:t xml:space="preserve">Allowing for </w:t>
            </w:r>
            <w:r w:rsidR="00AF3ED2">
              <w:t>a</w:t>
            </w:r>
            <w:r w:rsidR="007E1F14" w:rsidRPr="00567519">
              <w:t xml:space="preserve"> two-year lag of capital services</w:t>
            </w:r>
            <w:r w:rsidR="00A961A9">
              <w:t xml:space="preserve"> (so that they are matched with output produced two years after capital installation</w:t>
            </w:r>
            <w:r w:rsidR="0098291D">
              <w:t>)</w:t>
            </w:r>
            <w:r w:rsidR="007E1F14" w:rsidRPr="00567519">
              <w:t>, annual average MFP growth in</w:t>
            </w:r>
            <w:r w:rsidR="00414668">
              <w:t xml:space="preserve"> </w:t>
            </w:r>
            <w:r w:rsidR="007E1F14" w:rsidRPr="00567519">
              <w:t xml:space="preserve">cycle </w:t>
            </w:r>
            <w:r w:rsidR="00414668">
              <w:t xml:space="preserve">4 </w:t>
            </w:r>
            <w:r w:rsidR="007E1F14" w:rsidRPr="00567519">
              <w:t>improves by 0.6</w:t>
            </w:r>
            <w:r w:rsidR="0068122D">
              <w:t> </w:t>
            </w:r>
            <w:r w:rsidR="007E1F14" w:rsidRPr="00567519">
              <w:t>of a percentage point but is still negative (-0.3</w:t>
            </w:r>
            <w:r w:rsidR="001546E7">
              <w:t xml:space="preserve"> per cent</w:t>
            </w:r>
            <w:r w:rsidR="007E1F14" w:rsidRPr="00567519">
              <w:t>)</w:t>
            </w:r>
            <w:r w:rsidR="00162024" w:rsidRPr="00567519">
              <w:t xml:space="preserve"> and MFP growth in the </w:t>
            </w:r>
            <w:r w:rsidR="00183350">
              <w:t>next</w:t>
            </w:r>
            <w:r w:rsidR="00183350" w:rsidRPr="00567519">
              <w:t xml:space="preserve"> </w:t>
            </w:r>
            <w:r w:rsidR="00183350">
              <w:t>(</w:t>
            </w:r>
            <w:r w:rsidR="00162024" w:rsidRPr="00567519">
              <w:t>incomplete</w:t>
            </w:r>
            <w:r w:rsidR="00183350">
              <w:t>)</w:t>
            </w:r>
            <w:r w:rsidR="00162024" w:rsidRPr="00567519">
              <w:t xml:space="preserve"> cycle becomes negative</w:t>
            </w:r>
            <w:r w:rsidR="000D2BCE">
              <w:t>.</w:t>
            </w:r>
            <w:r w:rsidR="007E1F14" w:rsidRPr="00567519">
              <w:t xml:space="preserve"> </w:t>
            </w:r>
            <w:r w:rsidR="000D2BCE">
              <w:t>W</w:t>
            </w:r>
            <w:r w:rsidR="000D2BCE" w:rsidRPr="00567519">
              <w:t xml:space="preserve">ith </w:t>
            </w:r>
            <w:r w:rsidR="007E1F14" w:rsidRPr="00567519">
              <w:t>a three-year lag, MFP improves by 1.8</w:t>
            </w:r>
            <w:r w:rsidR="0068122D">
              <w:t> </w:t>
            </w:r>
            <w:r w:rsidR="007E1F14" w:rsidRPr="00567519">
              <w:t>percentage points and actually becomes positive (1.0</w:t>
            </w:r>
            <w:r w:rsidR="001546E7">
              <w:t xml:space="preserve"> per cent</w:t>
            </w:r>
            <w:r w:rsidR="00162024" w:rsidRPr="00567519">
              <w:t>)</w:t>
            </w:r>
            <w:r w:rsidR="00394DD0">
              <w:t xml:space="preserve"> in cycle </w:t>
            </w:r>
            <w:r w:rsidR="0068122D">
              <w:t>4</w:t>
            </w:r>
            <w:r w:rsidR="00162024" w:rsidRPr="00567519">
              <w:t xml:space="preserve">, but the MFP </w:t>
            </w:r>
            <w:r w:rsidR="00A26E9E">
              <w:t>in the incomplete</w:t>
            </w:r>
            <w:r w:rsidR="00162024" w:rsidRPr="00567519">
              <w:t xml:space="preserve"> cycle becomes even more negative.</w:t>
            </w:r>
          </w:p>
          <w:p w:rsidR="007E1F14" w:rsidRPr="00C669D7" w:rsidRDefault="007E1F14" w:rsidP="00B67F8F">
            <w:pPr>
              <w:pStyle w:val="Box"/>
              <w:rPr>
                <w:b/>
              </w:rPr>
            </w:pPr>
            <w:r w:rsidRPr="00C669D7">
              <w:rPr>
                <w:b/>
              </w:rPr>
              <w:t xml:space="preserve">Effect of two- and three-year capital lags on </w:t>
            </w:r>
            <w:r w:rsidR="006B0816">
              <w:rPr>
                <w:b/>
              </w:rPr>
              <w:t>M</w:t>
            </w:r>
            <w:r w:rsidRPr="00C669D7">
              <w:rPr>
                <w:b/>
              </w:rPr>
              <w:t>etal products MFP</w:t>
            </w:r>
          </w:p>
          <w:tbl>
            <w:tblPr>
              <w:tblW w:w="5000" w:type="pct"/>
              <w:tblLayout w:type="fixed"/>
              <w:tblCellMar>
                <w:left w:w="0" w:type="dxa"/>
                <w:right w:w="0" w:type="dxa"/>
              </w:tblCellMar>
              <w:tblLook w:val="0000" w:firstRow="0" w:lastRow="0" w:firstColumn="0" w:lastColumn="0" w:noHBand="0" w:noVBand="0"/>
            </w:tblPr>
            <w:tblGrid>
              <w:gridCol w:w="2842"/>
              <w:gridCol w:w="851"/>
              <w:gridCol w:w="1130"/>
              <w:gridCol w:w="1132"/>
              <w:gridCol w:w="81"/>
              <w:gridCol w:w="1125"/>
              <w:gridCol w:w="1326"/>
            </w:tblGrid>
            <w:tr w:rsidR="00977C37" w:rsidRPr="00567519" w:rsidTr="00977C37">
              <w:tc>
                <w:tcPr>
                  <w:tcW w:w="1674" w:type="pct"/>
                  <w:tcBorders>
                    <w:top w:val="single" w:sz="6" w:space="0" w:color="auto"/>
                  </w:tcBorders>
                  <w:shd w:val="clear" w:color="auto" w:fill="auto"/>
                </w:tcPr>
                <w:p w:rsidR="00F56993" w:rsidRPr="00567519" w:rsidRDefault="00F56993" w:rsidP="0043331F">
                  <w:pPr>
                    <w:pStyle w:val="TableColumnHeading"/>
                    <w:jc w:val="left"/>
                  </w:pPr>
                </w:p>
              </w:tc>
              <w:tc>
                <w:tcPr>
                  <w:tcW w:w="1834" w:type="pct"/>
                  <w:gridSpan w:val="3"/>
                  <w:tcBorders>
                    <w:top w:val="single" w:sz="6" w:space="0" w:color="auto"/>
                    <w:bottom w:val="single" w:sz="4" w:space="0" w:color="auto"/>
                  </w:tcBorders>
                  <w:shd w:val="clear" w:color="auto" w:fill="auto"/>
                  <w:vAlign w:val="bottom"/>
                </w:tcPr>
                <w:p w:rsidR="00F56993" w:rsidRPr="00686134" w:rsidRDefault="00F56993" w:rsidP="00CE74A4">
                  <w:pPr>
                    <w:pStyle w:val="TableColumnHeading"/>
                    <w:ind w:right="0"/>
                    <w:jc w:val="center"/>
                  </w:pPr>
                  <w:r w:rsidRPr="00686134">
                    <w:t>Average annual MFP growth</w:t>
                  </w:r>
                </w:p>
              </w:tc>
              <w:tc>
                <w:tcPr>
                  <w:tcW w:w="48" w:type="pct"/>
                  <w:tcBorders>
                    <w:top w:val="single" w:sz="4" w:space="0" w:color="auto"/>
                  </w:tcBorders>
                  <w:shd w:val="clear" w:color="auto" w:fill="auto"/>
                  <w:vAlign w:val="bottom"/>
                </w:tcPr>
                <w:p w:rsidR="00F56993" w:rsidRPr="00686134" w:rsidRDefault="00F56993" w:rsidP="0043331F">
                  <w:pPr>
                    <w:pStyle w:val="TableColumnHeading"/>
                    <w:jc w:val="center"/>
                  </w:pPr>
                </w:p>
              </w:tc>
              <w:tc>
                <w:tcPr>
                  <w:tcW w:w="1444" w:type="pct"/>
                  <w:gridSpan w:val="2"/>
                  <w:tcBorders>
                    <w:top w:val="single" w:sz="6" w:space="0" w:color="auto"/>
                    <w:bottom w:val="single" w:sz="4" w:space="0" w:color="auto"/>
                  </w:tcBorders>
                  <w:shd w:val="clear" w:color="auto" w:fill="auto"/>
                  <w:vAlign w:val="bottom"/>
                </w:tcPr>
                <w:p w:rsidR="00F56993" w:rsidRPr="00686134" w:rsidRDefault="00F56993" w:rsidP="00CE74A4">
                  <w:pPr>
                    <w:pStyle w:val="TableColumnHeading"/>
                    <w:ind w:right="0"/>
                    <w:jc w:val="center"/>
                  </w:pPr>
                  <w:r w:rsidRPr="00686134">
                    <w:t>Effect of the lag on MFP</w:t>
                  </w:r>
                  <w:r w:rsidRPr="00686134">
                    <w:rPr>
                      <w:rStyle w:val="NoteLabel"/>
                      <w:i w:val="0"/>
                    </w:rPr>
                    <w:t>a</w:t>
                  </w:r>
                </w:p>
              </w:tc>
            </w:tr>
            <w:tr w:rsidR="00977C37" w:rsidRPr="00567519" w:rsidTr="0068122D">
              <w:tc>
                <w:tcPr>
                  <w:tcW w:w="1674" w:type="pct"/>
                  <w:tcBorders>
                    <w:bottom w:val="single" w:sz="4" w:space="0" w:color="auto"/>
                  </w:tcBorders>
                </w:tcPr>
                <w:p w:rsidR="00F56993" w:rsidRPr="00686134" w:rsidRDefault="00F56993" w:rsidP="00453209">
                  <w:pPr>
                    <w:pStyle w:val="TableBodyText"/>
                    <w:jc w:val="left"/>
                    <w:rPr>
                      <w:i/>
                    </w:rPr>
                  </w:pPr>
                  <w:r w:rsidRPr="00686134">
                    <w:rPr>
                      <w:i/>
                    </w:rPr>
                    <w:t>Cycle</w:t>
                  </w:r>
                </w:p>
              </w:tc>
              <w:tc>
                <w:tcPr>
                  <w:tcW w:w="501" w:type="pct"/>
                  <w:tcBorders>
                    <w:top w:val="single" w:sz="4" w:space="0" w:color="auto"/>
                    <w:bottom w:val="single" w:sz="6" w:space="0" w:color="auto"/>
                  </w:tcBorders>
                  <w:vAlign w:val="bottom"/>
                </w:tcPr>
                <w:p w:rsidR="00F56993" w:rsidRPr="00686134" w:rsidRDefault="00F56993" w:rsidP="00453209">
                  <w:pPr>
                    <w:pStyle w:val="TableBodyText"/>
                    <w:framePr w:w="2155" w:hSpace="227" w:vSpace="181" w:wrap="around" w:vAnchor="text" w:hAnchor="page" w:xAlign="outside" w:y="1"/>
                    <w:rPr>
                      <w:i/>
                    </w:rPr>
                  </w:pPr>
                  <w:r w:rsidRPr="00686134">
                    <w:rPr>
                      <w:i/>
                    </w:rPr>
                    <w:t>no lags</w:t>
                  </w:r>
                </w:p>
              </w:tc>
              <w:tc>
                <w:tcPr>
                  <w:tcW w:w="666" w:type="pct"/>
                  <w:tcBorders>
                    <w:top w:val="single" w:sz="4" w:space="0" w:color="auto"/>
                    <w:bottom w:val="single" w:sz="6" w:space="0" w:color="auto"/>
                  </w:tcBorders>
                  <w:vAlign w:val="bottom"/>
                </w:tcPr>
                <w:p w:rsidR="00F56993" w:rsidRPr="00686134" w:rsidRDefault="00F56993" w:rsidP="00453209">
                  <w:pPr>
                    <w:pStyle w:val="TableBodyText"/>
                    <w:framePr w:w="2155" w:hSpace="227" w:vSpace="181" w:wrap="around" w:vAnchor="text" w:hAnchor="page" w:xAlign="outside" w:y="1"/>
                    <w:rPr>
                      <w:i/>
                    </w:rPr>
                  </w:pPr>
                  <w:r w:rsidRPr="00686134">
                    <w:rPr>
                      <w:i/>
                    </w:rPr>
                    <w:t>2 year lag</w:t>
                  </w:r>
                </w:p>
              </w:tc>
              <w:tc>
                <w:tcPr>
                  <w:tcW w:w="667" w:type="pct"/>
                  <w:tcBorders>
                    <w:top w:val="single" w:sz="4" w:space="0" w:color="auto"/>
                    <w:bottom w:val="single" w:sz="6" w:space="0" w:color="auto"/>
                  </w:tcBorders>
                  <w:vAlign w:val="bottom"/>
                </w:tcPr>
                <w:p w:rsidR="00F56993" w:rsidRPr="00686134" w:rsidRDefault="00F56993" w:rsidP="00453209">
                  <w:pPr>
                    <w:pStyle w:val="TableBodyText"/>
                    <w:framePr w:w="2155" w:hSpace="227" w:vSpace="181" w:wrap="around" w:vAnchor="text" w:hAnchor="page" w:xAlign="outside" w:y="1"/>
                    <w:rPr>
                      <w:i/>
                    </w:rPr>
                  </w:pPr>
                  <w:r w:rsidRPr="00686134">
                    <w:rPr>
                      <w:i/>
                    </w:rPr>
                    <w:t>3 year lag</w:t>
                  </w:r>
                </w:p>
              </w:tc>
              <w:tc>
                <w:tcPr>
                  <w:tcW w:w="48" w:type="pct"/>
                  <w:tcBorders>
                    <w:bottom w:val="single" w:sz="6" w:space="0" w:color="auto"/>
                  </w:tcBorders>
                  <w:vAlign w:val="bottom"/>
                </w:tcPr>
                <w:p w:rsidR="00F56993" w:rsidRPr="00686134" w:rsidRDefault="00F56993" w:rsidP="00453209">
                  <w:pPr>
                    <w:pStyle w:val="TableBodyText"/>
                    <w:rPr>
                      <w:i/>
                    </w:rPr>
                  </w:pPr>
                </w:p>
              </w:tc>
              <w:tc>
                <w:tcPr>
                  <w:tcW w:w="663" w:type="pct"/>
                  <w:tcBorders>
                    <w:top w:val="single" w:sz="4" w:space="0" w:color="auto"/>
                    <w:bottom w:val="single" w:sz="6" w:space="0" w:color="auto"/>
                  </w:tcBorders>
                  <w:vAlign w:val="bottom"/>
                </w:tcPr>
                <w:p w:rsidR="00F56993" w:rsidRPr="00686134" w:rsidRDefault="00F56993" w:rsidP="00E40E70">
                  <w:pPr>
                    <w:pStyle w:val="TableBodyText"/>
                    <w:rPr>
                      <w:i/>
                    </w:rPr>
                  </w:pPr>
                  <w:r w:rsidRPr="00686134">
                    <w:rPr>
                      <w:i/>
                    </w:rPr>
                    <w:t>2 year lag</w:t>
                  </w:r>
                </w:p>
              </w:tc>
              <w:tc>
                <w:tcPr>
                  <w:tcW w:w="781" w:type="pct"/>
                  <w:tcBorders>
                    <w:top w:val="single" w:sz="4" w:space="0" w:color="auto"/>
                    <w:bottom w:val="single" w:sz="6" w:space="0" w:color="auto"/>
                  </w:tcBorders>
                  <w:vAlign w:val="bottom"/>
                </w:tcPr>
                <w:p w:rsidR="00F56993" w:rsidRPr="00686134" w:rsidRDefault="00F56993" w:rsidP="00453209">
                  <w:pPr>
                    <w:pStyle w:val="TableBodyText"/>
                    <w:rPr>
                      <w:i/>
                    </w:rPr>
                  </w:pPr>
                  <w:r w:rsidRPr="00686134">
                    <w:rPr>
                      <w:i/>
                    </w:rPr>
                    <w:t>3 year lag</w:t>
                  </w:r>
                </w:p>
              </w:tc>
            </w:tr>
            <w:tr w:rsidR="00977C37" w:rsidRPr="00567519" w:rsidTr="0068122D">
              <w:tc>
                <w:tcPr>
                  <w:tcW w:w="1674" w:type="pct"/>
                  <w:tcBorders>
                    <w:top w:val="single" w:sz="4" w:space="0" w:color="auto"/>
                  </w:tcBorders>
                </w:tcPr>
                <w:p w:rsidR="00F56993" w:rsidRPr="00567519" w:rsidRDefault="00F56993" w:rsidP="00420AF9">
                  <w:pPr>
                    <w:pStyle w:val="TableUnitsRow"/>
                    <w:jc w:val="left"/>
                  </w:pPr>
                </w:p>
              </w:tc>
              <w:tc>
                <w:tcPr>
                  <w:tcW w:w="501" w:type="pct"/>
                  <w:tcBorders>
                    <w:top w:val="single" w:sz="6" w:space="0" w:color="auto"/>
                  </w:tcBorders>
                  <w:vAlign w:val="bottom"/>
                </w:tcPr>
                <w:p w:rsidR="00F56993" w:rsidRPr="00110B08" w:rsidRDefault="00F56993" w:rsidP="00420AF9">
                  <w:pPr>
                    <w:pStyle w:val="TableUnitsRow"/>
                  </w:pPr>
                  <w:r w:rsidRPr="00110B08">
                    <w:t>%</w:t>
                  </w:r>
                </w:p>
              </w:tc>
              <w:tc>
                <w:tcPr>
                  <w:tcW w:w="666" w:type="pct"/>
                  <w:tcBorders>
                    <w:top w:val="single" w:sz="6" w:space="0" w:color="auto"/>
                  </w:tcBorders>
                  <w:vAlign w:val="bottom"/>
                </w:tcPr>
                <w:p w:rsidR="00F56993" w:rsidRPr="00110B08" w:rsidRDefault="00F56993" w:rsidP="00420AF9">
                  <w:pPr>
                    <w:pStyle w:val="TableUnitsRow"/>
                  </w:pPr>
                  <w:r w:rsidRPr="00110B08">
                    <w:t>%</w:t>
                  </w:r>
                </w:p>
              </w:tc>
              <w:tc>
                <w:tcPr>
                  <w:tcW w:w="667" w:type="pct"/>
                  <w:tcBorders>
                    <w:top w:val="single" w:sz="6" w:space="0" w:color="auto"/>
                  </w:tcBorders>
                  <w:vAlign w:val="bottom"/>
                </w:tcPr>
                <w:p w:rsidR="00F56993" w:rsidRPr="00110B08" w:rsidRDefault="00F56993" w:rsidP="00420AF9">
                  <w:pPr>
                    <w:pStyle w:val="TableUnitsRow"/>
                  </w:pPr>
                  <w:r w:rsidRPr="00110B08">
                    <w:t>%</w:t>
                  </w:r>
                </w:p>
              </w:tc>
              <w:tc>
                <w:tcPr>
                  <w:tcW w:w="48" w:type="pct"/>
                  <w:tcBorders>
                    <w:top w:val="single" w:sz="6" w:space="0" w:color="auto"/>
                  </w:tcBorders>
                  <w:vAlign w:val="bottom"/>
                </w:tcPr>
                <w:p w:rsidR="00F56993" w:rsidRPr="00110B08" w:rsidRDefault="00F56993" w:rsidP="00420AF9">
                  <w:pPr>
                    <w:pStyle w:val="TableUnitsRow"/>
                  </w:pPr>
                </w:p>
              </w:tc>
              <w:tc>
                <w:tcPr>
                  <w:tcW w:w="663" w:type="pct"/>
                  <w:tcBorders>
                    <w:top w:val="single" w:sz="6" w:space="0" w:color="auto"/>
                  </w:tcBorders>
                  <w:vAlign w:val="bottom"/>
                </w:tcPr>
                <w:p w:rsidR="00F56993" w:rsidRPr="00110B08" w:rsidRDefault="00F56993" w:rsidP="00E40E70">
                  <w:pPr>
                    <w:pStyle w:val="TableUnitsRow"/>
                  </w:pPr>
                  <w:r w:rsidRPr="00110B08">
                    <w:t xml:space="preserve">% </w:t>
                  </w:r>
                  <w:proofErr w:type="spellStart"/>
                  <w:r w:rsidRPr="00110B08">
                    <w:t>pts</w:t>
                  </w:r>
                  <w:proofErr w:type="spellEnd"/>
                </w:p>
              </w:tc>
              <w:tc>
                <w:tcPr>
                  <w:tcW w:w="781" w:type="pct"/>
                  <w:tcBorders>
                    <w:top w:val="single" w:sz="6" w:space="0" w:color="auto"/>
                  </w:tcBorders>
                  <w:vAlign w:val="bottom"/>
                </w:tcPr>
                <w:p w:rsidR="00F56993" w:rsidRPr="00110B08" w:rsidRDefault="00F56993" w:rsidP="00420AF9">
                  <w:pPr>
                    <w:pStyle w:val="TableUnitsRow"/>
                  </w:pPr>
                  <w:r w:rsidRPr="00110B08">
                    <w:t xml:space="preserve">% </w:t>
                  </w:r>
                  <w:proofErr w:type="spellStart"/>
                  <w:r w:rsidRPr="00110B08">
                    <w:t>pts</w:t>
                  </w:r>
                  <w:proofErr w:type="spellEnd"/>
                </w:p>
              </w:tc>
            </w:tr>
            <w:tr w:rsidR="00977C37" w:rsidRPr="00567519" w:rsidTr="0068122D">
              <w:trPr>
                <w:trHeight w:val="317"/>
              </w:trPr>
              <w:tc>
                <w:tcPr>
                  <w:tcW w:w="1674" w:type="pct"/>
                  <w:shd w:val="clear" w:color="auto" w:fill="D9D9D9" w:themeFill="background1" w:themeFillShade="D9"/>
                  <w:vAlign w:val="bottom"/>
                </w:tcPr>
                <w:p w:rsidR="00F56993" w:rsidRPr="00567519" w:rsidRDefault="005A5D63" w:rsidP="005A5D63">
                  <w:pPr>
                    <w:pStyle w:val="TableBodyText"/>
                    <w:jc w:val="left"/>
                  </w:pPr>
                  <w:r>
                    <w:t xml:space="preserve">Cycle 1: </w:t>
                  </w:r>
                  <w:r w:rsidR="00F56993" w:rsidRPr="00567519">
                    <w:t>1988-89 to 1993-94</w:t>
                  </w:r>
                  <w:r w:rsidR="00977C37">
                    <w:t xml:space="preserve"> </w:t>
                  </w:r>
                </w:p>
              </w:tc>
              <w:tc>
                <w:tcPr>
                  <w:tcW w:w="501" w:type="pct"/>
                  <w:shd w:val="clear" w:color="auto" w:fill="D9D9D9" w:themeFill="background1" w:themeFillShade="D9"/>
                  <w:vAlign w:val="bottom"/>
                </w:tcPr>
                <w:p w:rsidR="00F56993" w:rsidRPr="00567519" w:rsidRDefault="00F56993" w:rsidP="005679A1">
                  <w:pPr>
                    <w:pStyle w:val="TableBodyText"/>
                  </w:pPr>
                  <w:r w:rsidRPr="00567519">
                    <w:t>1.0</w:t>
                  </w:r>
                </w:p>
              </w:tc>
              <w:tc>
                <w:tcPr>
                  <w:tcW w:w="666" w:type="pct"/>
                  <w:shd w:val="clear" w:color="auto" w:fill="D9D9D9" w:themeFill="background1" w:themeFillShade="D9"/>
                  <w:vAlign w:val="bottom"/>
                </w:tcPr>
                <w:p w:rsidR="00F56993" w:rsidRPr="00567519" w:rsidRDefault="00F56993" w:rsidP="005679A1">
                  <w:pPr>
                    <w:pStyle w:val="TableBodyText"/>
                  </w:pPr>
                  <w:r w:rsidRPr="00567519">
                    <w:t>0.3</w:t>
                  </w:r>
                </w:p>
              </w:tc>
              <w:tc>
                <w:tcPr>
                  <w:tcW w:w="667" w:type="pct"/>
                  <w:shd w:val="clear" w:color="auto" w:fill="D9D9D9" w:themeFill="background1" w:themeFillShade="D9"/>
                  <w:vAlign w:val="bottom"/>
                </w:tcPr>
                <w:p w:rsidR="00F56993" w:rsidRPr="00567519" w:rsidRDefault="00F56993" w:rsidP="005679A1">
                  <w:pPr>
                    <w:pStyle w:val="TableBodyText"/>
                  </w:pPr>
                  <w:r w:rsidRPr="00567519">
                    <w:t>0.2</w:t>
                  </w:r>
                </w:p>
              </w:tc>
              <w:tc>
                <w:tcPr>
                  <w:tcW w:w="48" w:type="pct"/>
                  <w:shd w:val="clear" w:color="auto" w:fill="D9D9D9" w:themeFill="background1" w:themeFillShade="D9"/>
                  <w:vAlign w:val="bottom"/>
                </w:tcPr>
                <w:p w:rsidR="00F56993" w:rsidRPr="00567519" w:rsidRDefault="00F56993" w:rsidP="005679A1">
                  <w:pPr>
                    <w:pStyle w:val="TableBodyText"/>
                  </w:pPr>
                </w:p>
              </w:tc>
              <w:tc>
                <w:tcPr>
                  <w:tcW w:w="663" w:type="pct"/>
                  <w:shd w:val="clear" w:color="auto" w:fill="D9D9D9" w:themeFill="background1" w:themeFillShade="D9"/>
                  <w:vAlign w:val="bottom"/>
                </w:tcPr>
                <w:p w:rsidR="00F56993" w:rsidRPr="00567519" w:rsidRDefault="00F56993" w:rsidP="00E40E70">
                  <w:pPr>
                    <w:pStyle w:val="TableBodyText"/>
                  </w:pPr>
                  <w:r w:rsidRPr="00567519">
                    <w:t>-0.7</w:t>
                  </w:r>
                </w:p>
              </w:tc>
              <w:tc>
                <w:tcPr>
                  <w:tcW w:w="781" w:type="pct"/>
                  <w:shd w:val="clear" w:color="auto" w:fill="D9D9D9" w:themeFill="background1" w:themeFillShade="D9"/>
                  <w:vAlign w:val="bottom"/>
                </w:tcPr>
                <w:p w:rsidR="00F56993" w:rsidRPr="00567519" w:rsidRDefault="00F56993" w:rsidP="005679A1">
                  <w:pPr>
                    <w:pStyle w:val="TableBodyText"/>
                  </w:pPr>
                  <w:r w:rsidRPr="00567519">
                    <w:t>-0.8</w:t>
                  </w:r>
                </w:p>
              </w:tc>
            </w:tr>
            <w:tr w:rsidR="00977C37" w:rsidRPr="00567519" w:rsidTr="0068122D">
              <w:trPr>
                <w:trHeight w:val="317"/>
              </w:trPr>
              <w:tc>
                <w:tcPr>
                  <w:tcW w:w="1674" w:type="pct"/>
                  <w:vAlign w:val="bottom"/>
                </w:tcPr>
                <w:p w:rsidR="00F56993" w:rsidRPr="00567519" w:rsidRDefault="005A5D63" w:rsidP="005A5D63">
                  <w:pPr>
                    <w:pStyle w:val="TableBodyText"/>
                    <w:jc w:val="left"/>
                  </w:pPr>
                  <w:r>
                    <w:t xml:space="preserve">Cycle 2: </w:t>
                  </w:r>
                  <w:r w:rsidR="00F56993" w:rsidRPr="00567519">
                    <w:t>1993-94 to 1998-99</w:t>
                  </w:r>
                  <w:r w:rsidR="00977C37">
                    <w:t xml:space="preserve"> </w:t>
                  </w:r>
                </w:p>
              </w:tc>
              <w:tc>
                <w:tcPr>
                  <w:tcW w:w="501" w:type="pct"/>
                  <w:vAlign w:val="bottom"/>
                </w:tcPr>
                <w:p w:rsidR="00F56993" w:rsidRPr="00567519" w:rsidRDefault="00F56993" w:rsidP="005679A1">
                  <w:pPr>
                    <w:pStyle w:val="TableBodyText"/>
                  </w:pPr>
                  <w:r w:rsidRPr="00567519">
                    <w:t>1.1</w:t>
                  </w:r>
                </w:p>
              </w:tc>
              <w:tc>
                <w:tcPr>
                  <w:tcW w:w="666" w:type="pct"/>
                  <w:vAlign w:val="bottom"/>
                </w:tcPr>
                <w:p w:rsidR="00F56993" w:rsidRPr="00567519" w:rsidRDefault="00F56993" w:rsidP="005679A1">
                  <w:pPr>
                    <w:pStyle w:val="TableBodyText"/>
                  </w:pPr>
                  <w:r w:rsidRPr="00567519">
                    <w:t>1.3</w:t>
                  </w:r>
                </w:p>
              </w:tc>
              <w:tc>
                <w:tcPr>
                  <w:tcW w:w="667" w:type="pct"/>
                  <w:vAlign w:val="bottom"/>
                </w:tcPr>
                <w:p w:rsidR="00F56993" w:rsidRPr="00567519" w:rsidRDefault="00F56993" w:rsidP="005679A1">
                  <w:pPr>
                    <w:pStyle w:val="TableBodyText"/>
                  </w:pPr>
                  <w:r w:rsidRPr="00567519">
                    <w:t>0.8</w:t>
                  </w:r>
                </w:p>
              </w:tc>
              <w:tc>
                <w:tcPr>
                  <w:tcW w:w="48" w:type="pct"/>
                  <w:vAlign w:val="bottom"/>
                </w:tcPr>
                <w:p w:rsidR="00F56993" w:rsidRPr="00567519" w:rsidRDefault="00F56993" w:rsidP="005679A1">
                  <w:pPr>
                    <w:pStyle w:val="TableBodyText"/>
                  </w:pPr>
                </w:p>
              </w:tc>
              <w:tc>
                <w:tcPr>
                  <w:tcW w:w="663" w:type="pct"/>
                  <w:vAlign w:val="bottom"/>
                </w:tcPr>
                <w:p w:rsidR="00F56993" w:rsidRPr="00567519" w:rsidRDefault="00F56993" w:rsidP="00E40E70">
                  <w:pPr>
                    <w:pStyle w:val="TableBodyText"/>
                  </w:pPr>
                  <w:r w:rsidRPr="00567519">
                    <w:t>0.2</w:t>
                  </w:r>
                </w:p>
              </w:tc>
              <w:tc>
                <w:tcPr>
                  <w:tcW w:w="781" w:type="pct"/>
                  <w:vAlign w:val="bottom"/>
                </w:tcPr>
                <w:p w:rsidR="00F56993" w:rsidRPr="00567519" w:rsidRDefault="00F56993" w:rsidP="005679A1">
                  <w:pPr>
                    <w:pStyle w:val="TableBodyText"/>
                  </w:pPr>
                  <w:r w:rsidRPr="00567519">
                    <w:t>-0.3</w:t>
                  </w:r>
                </w:p>
              </w:tc>
            </w:tr>
            <w:tr w:rsidR="00977C37" w:rsidRPr="00567519" w:rsidTr="0068122D">
              <w:trPr>
                <w:trHeight w:val="317"/>
              </w:trPr>
              <w:tc>
                <w:tcPr>
                  <w:tcW w:w="1674" w:type="pct"/>
                  <w:shd w:val="clear" w:color="auto" w:fill="D9D9D9" w:themeFill="background1" w:themeFillShade="D9"/>
                  <w:vAlign w:val="bottom"/>
                </w:tcPr>
                <w:p w:rsidR="00F56993" w:rsidRPr="00567519" w:rsidRDefault="005A5D63" w:rsidP="005A5D63">
                  <w:pPr>
                    <w:pStyle w:val="TableBodyText"/>
                    <w:jc w:val="left"/>
                  </w:pPr>
                  <w:r>
                    <w:t xml:space="preserve">Cycle 3: </w:t>
                  </w:r>
                  <w:r w:rsidR="00F56993" w:rsidRPr="00567519">
                    <w:t>1998-99 to 2003-04</w:t>
                  </w:r>
                  <w:r w:rsidR="00977C37">
                    <w:t xml:space="preserve"> </w:t>
                  </w:r>
                </w:p>
              </w:tc>
              <w:tc>
                <w:tcPr>
                  <w:tcW w:w="501" w:type="pct"/>
                  <w:shd w:val="clear" w:color="auto" w:fill="D9D9D9" w:themeFill="background1" w:themeFillShade="D9"/>
                  <w:vAlign w:val="bottom"/>
                </w:tcPr>
                <w:p w:rsidR="00F56993" w:rsidRPr="00567519" w:rsidRDefault="00F56993" w:rsidP="005679A1">
                  <w:pPr>
                    <w:pStyle w:val="TableBodyText"/>
                  </w:pPr>
                  <w:r w:rsidRPr="00567519">
                    <w:t>1.4</w:t>
                  </w:r>
                </w:p>
              </w:tc>
              <w:tc>
                <w:tcPr>
                  <w:tcW w:w="666" w:type="pct"/>
                  <w:shd w:val="clear" w:color="auto" w:fill="D9D9D9" w:themeFill="background1" w:themeFillShade="D9"/>
                  <w:vAlign w:val="bottom"/>
                </w:tcPr>
                <w:p w:rsidR="00F56993" w:rsidRPr="00567519" w:rsidRDefault="00F56993" w:rsidP="005679A1">
                  <w:pPr>
                    <w:pStyle w:val="TableBodyText"/>
                  </w:pPr>
                  <w:r w:rsidRPr="00567519">
                    <w:t>2.3</w:t>
                  </w:r>
                </w:p>
              </w:tc>
              <w:tc>
                <w:tcPr>
                  <w:tcW w:w="667" w:type="pct"/>
                  <w:shd w:val="clear" w:color="auto" w:fill="D9D9D9" w:themeFill="background1" w:themeFillShade="D9"/>
                  <w:vAlign w:val="bottom"/>
                </w:tcPr>
                <w:p w:rsidR="00F56993" w:rsidRPr="00567519" w:rsidRDefault="00F56993" w:rsidP="005679A1">
                  <w:pPr>
                    <w:pStyle w:val="TableBodyText"/>
                  </w:pPr>
                  <w:r w:rsidRPr="00567519">
                    <w:t>2.5</w:t>
                  </w:r>
                </w:p>
              </w:tc>
              <w:tc>
                <w:tcPr>
                  <w:tcW w:w="48" w:type="pct"/>
                  <w:shd w:val="clear" w:color="auto" w:fill="D9D9D9" w:themeFill="background1" w:themeFillShade="D9"/>
                  <w:vAlign w:val="bottom"/>
                </w:tcPr>
                <w:p w:rsidR="00F56993" w:rsidRPr="00567519" w:rsidRDefault="00F56993" w:rsidP="005679A1">
                  <w:pPr>
                    <w:pStyle w:val="TableBodyText"/>
                  </w:pPr>
                </w:p>
              </w:tc>
              <w:tc>
                <w:tcPr>
                  <w:tcW w:w="663" w:type="pct"/>
                  <w:shd w:val="clear" w:color="auto" w:fill="D9D9D9" w:themeFill="background1" w:themeFillShade="D9"/>
                  <w:vAlign w:val="bottom"/>
                </w:tcPr>
                <w:p w:rsidR="00F56993" w:rsidRPr="00567519" w:rsidRDefault="00F56993" w:rsidP="00E40E70">
                  <w:pPr>
                    <w:pStyle w:val="TableBodyText"/>
                  </w:pPr>
                  <w:r w:rsidRPr="00567519">
                    <w:t>0.9</w:t>
                  </w:r>
                </w:p>
              </w:tc>
              <w:tc>
                <w:tcPr>
                  <w:tcW w:w="781" w:type="pct"/>
                  <w:shd w:val="clear" w:color="auto" w:fill="D9D9D9" w:themeFill="background1" w:themeFillShade="D9"/>
                  <w:vAlign w:val="bottom"/>
                </w:tcPr>
                <w:p w:rsidR="00F56993" w:rsidRPr="00567519" w:rsidRDefault="00F56993" w:rsidP="005679A1">
                  <w:pPr>
                    <w:pStyle w:val="TableBodyText"/>
                  </w:pPr>
                  <w:r w:rsidRPr="00567519">
                    <w:t>1.1</w:t>
                  </w:r>
                </w:p>
              </w:tc>
            </w:tr>
            <w:tr w:rsidR="00977C37" w:rsidRPr="00567519" w:rsidTr="0068122D">
              <w:trPr>
                <w:trHeight w:val="317"/>
              </w:trPr>
              <w:tc>
                <w:tcPr>
                  <w:tcW w:w="1674" w:type="pct"/>
                  <w:vAlign w:val="bottom"/>
                </w:tcPr>
                <w:p w:rsidR="00F56993" w:rsidRPr="00567519" w:rsidRDefault="005A5D63" w:rsidP="005A5D63">
                  <w:pPr>
                    <w:pStyle w:val="TableBodyText"/>
                    <w:jc w:val="left"/>
                  </w:pPr>
                  <w:r>
                    <w:t xml:space="preserve">Cycle 4: </w:t>
                  </w:r>
                  <w:r w:rsidR="00F56993" w:rsidRPr="00567519">
                    <w:t>2003-04 to 2007-08</w:t>
                  </w:r>
                  <w:r w:rsidR="00977C37">
                    <w:t xml:space="preserve"> </w:t>
                  </w:r>
                </w:p>
              </w:tc>
              <w:tc>
                <w:tcPr>
                  <w:tcW w:w="501" w:type="pct"/>
                  <w:vAlign w:val="bottom"/>
                </w:tcPr>
                <w:p w:rsidR="00F56993" w:rsidRPr="00567519" w:rsidRDefault="00F56993" w:rsidP="005679A1">
                  <w:pPr>
                    <w:pStyle w:val="TableBodyText"/>
                  </w:pPr>
                  <w:r w:rsidRPr="00567519">
                    <w:t>-0.9</w:t>
                  </w:r>
                </w:p>
              </w:tc>
              <w:tc>
                <w:tcPr>
                  <w:tcW w:w="666" w:type="pct"/>
                  <w:vAlign w:val="bottom"/>
                </w:tcPr>
                <w:p w:rsidR="00F56993" w:rsidRPr="00567519" w:rsidRDefault="00F56993" w:rsidP="005679A1">
                  <w:pPr>
                    <w:pStyle w:val="TableBodyText"/>
                  </w:pPr>
                  <w:r w:rsidRPr="00567519">
                    <w:t>-0.3</w:t>
                  </w:r>
                </w:p>
              </w:tc>
              <w:tc>
                <w:tcPr>
                  <w:tcW w:w="667" w:type="pct"/>
                  <w:vAlign w:val="bottom"/>
                </w:tcPr>
                <w:p w:rsidR="00F56993" w:rsidRPr="00567519" w:rsidRDefault="00F56993" w:rsidP="005679A1">
                  <w:pPr>
                    <w:pStyle w:val="TableBodyText"/>
                  </w:pPr>
                  <w:r w:rsidRPr="00567519">
                    <w:t>1.0</w:t>
                  </w:r>
                </w:p>
              </w:tc>
              <w:tc>
                <w:tcPr>
                  <w:tcW w:w="48" w:type="pct"/>
                  <w:vAlign w:val="bottom"/>
                </w:tcPr>
                <w:p w:rsidR="00F56993" w:rsidRPr="00567519" w:rsidRDefault="00F56993" w:rsidP="005679A1">
                  <w:pPr>
                    <w:pStyle w:val="TableBodyText"/>
                  </w:pPr>
                </w:p>
              </w:tc>
              <w:tc>
                <w:tcPr>
                  <w:tcW w:w="663" w:type="pct"/>
                  <w:vAlign w:val="bottom"/>
                </w:tcPr>
                <w:p w:rsidR="00F56993" w:rsidRPr="00567519" w:rsidRDefault="00F56993" w:rsidP="00E40E70">
                  <w:pPr>
                    <w:pStyle w:val="TableBodyText"/>
                  </w:pPr>
                  <w:r w:rsidRPr="00567519">
                    <w:t>0.6</w:t>
                  </w:r>
                </w:p>
              </w:tc>
              <w:tc>
                <w:tcPr>
                  <w:tcW w:w="781" w:type="pct"/>
                  <w:vAlign w:val="bottom"/>
                </w:tcPr>
                <w:p w:rsidR="00F56993" w:rsidRPr="00567519" w:rsidRDefault="00F56993" w:rsidP="005679A1">
                  <w:pPr>
                    <w:pStyle w:val="TableBodyText"/>
                  </w:pPr>
                  <w:r w:rsidRPr="00567519">
                    <w:t>1.8</w:t>
                  </w:r>
                </w:p>
              </w:tc>
            </w:tr>
            <w:tr w:rsidR="00977C37" w:rsidRPr="00567519" w:rsidTr="0068122D">
              <w:tc>
                <w:tcPr>
                  <w:tcW w:w="1674" w:type="pct"/>
                  <w:tcBorders>
                    <w:bottom w:val="single" w:sz="6" w:space="0" w:color="auto"/>
                  </w:tcBorders>
                  <w:shd w:val="clear" w:color="auto" w:fill="D9D9D9" w:themeFill="background1" w:themeFillShade="D9"/>
                  <w:vAlign w:val="bottom"/>
                </w:tcPr>
                <w:p w:rsidR="00F56993" w:rsidRPr="00567519" w:rsidRDefault="00F56993" w:rsidP="005679A1">
                  <w:pPr>
                    <w:pStyle w:val="TableBodyText"/>
                    <w:jc w:val="left"/>
                  </w:pPr>
                  <w:r w:rsidRPr="00567519">
                    <w:t>2007-08 to 2010-11</w:t>
                  </w:r>
                  <w:r w:rsidRPr="00567519">
                    <w:rPr>
                      <w:rStyle w:val="NoteLabel"/>
                    </w:rPr>
                    <w:t>b</w:t>
                  </w:r>
                </w:p>
              </w:tc>
              <w:tc>
                <w:tcPr>
                  <w:tcW w:w="501" w:type="pct"/>
                  <w:tcBorders>
                    <w:bottom w:val="single" w:sz="6" w:space="0" w:color="auto"/>
                  </w:tcBorders>
                  <w:shd w:val="clear" w:color="auto" w:fill="D9D9D9" w:themeFill="background1" w:themeFillShade="D9"/>
                  <w:vAlign w:val="bottom"/>
                </w:tcPr>
                <w:p w:rsidR="00F56993" w:rsidRPr="00567519" w:rsidRDefault="00F56993" w:rsidP="005679A1">
                  <w:pPr>
                    <w:pStyle w:val="TableBodyText"/>
                  </w:pPr>
                  <w:r w:rsidRPr="00567519">
                    <w:t>0.1</w:t>
                  </w:r>
                </w:p>
              </w:tc>
              <w:tc>
                <w:tcPr>
                  <w:tcW w:w="666" w:type="pct"/>
                  <w:tcBorders>
                    <w:bottom w:val="single" w:sz="6" w:space="0" w:color="auto"/>
                  </w:tcBorders>
                  <w:shd w:val="clear" w:color="auto" w:fill="D9D9D9" w:themeFill="background1" w:themeFillShade="D9"/>
                  <w:vAlign w:val="bottom"/>
                </w:tcPr>
                <w:p w:rsidR="00F56993" w:rsidRPr="00567519" w:rsidRDefault="00F56993" w:rsidP="005679A1">
                  <w:pPr>
                    <w:pStyle w:val="TableBodyText"/>
                  </w:pPr>
                  <w:r w:rsidRPr="00567519">
                    <w:t>-1.7</w:t>
                  </w:r>
                </w:p>
              </w:tc>
              <w:tc>
                <w:tcPr>
                  <w:tcW w:w="667" w:type="pct"/>
                  <w:tcBorders>
                    <w:bottom w:val="single" w:sz="6" w:space="0" w:color="auto"/>
                  </w:tcBorders>
                  <w:shd w:val="clear" w:color="auto" w:fill="D9D9D9" w:themeFill="background1" w:themeFillShade="D9"/>
                  <w:vAlign w:val="bottom"/>
                </w:tcPr>
                <w:p w:rsidR="00F56993" w:rsidRPr="00567519" w:rsidRDefault="00F56993" w:rsidP="005679A1">
                  <w:pPr>
                    <w:pStyle w:val="TableBodyText"/>
                  </w:pPr>
                  <w:r w:rsidRPr="00567519">
                    <w:t>-2.4</w:t>
                  </w:r>
                </w:p>
              </w:tc>
              <w:tc>
                <w:tcPr>
                  <w:tcW w:w="48" w:type="pct"/>
                  <w:tcBorders>
                    <w:bottom w:val="single" w:sz="6" w:space="0" w:color="auto"/>
                  </w:tcBorders>
                  <w:shd w:val="clear" w:color="auto" w:fill="D9D9D9" w:themeFill="background1" w:themeFillShade="D9"/>
                  <w:vAlign w:val="bottom"/>
                </w:tcPr>
                <w:p w:rsidR="00F56993" w:rsidRPr="00567519" w:rsidRDefault="00F56993" w:rsidP="005679A1">
                  <w:pPr>
                    <w:pStyle w:val="TableBodyText"/>
                  </w:pPr>
                </w:p>
              </w:tc>
              <w:tc>
                <w:tcPr>
                  <w:tcW w:w="663" w:type="pct"/>
                  <w:tcBorders>
                    <w:bottom w:val="single" w:sz="6" w:space="0" w:color="auto"/>
                  </w:tcBorders>
                  <w:shd w:val="clear" w:color="auto" w:fill="D9D9D9" w:themeFill="background1" w:themeFillShade="D9"/>
                  <w:vAlign w:val="bottom"/>
                </w:tcPr>
                <w:p w:rsidR="00F56993" w:rsidRPr="00567519" w:rsidRDefault="00F56993" w:rsidP="00E40E70">
                  <w:pPr>
                    <w:pStyle w:val="TableBodyText"/>
                  </w:pPr>
                  <w:r w:rsidRPr="00567519">
                    <w:t>-1.8</w:t>
                  </w:r>
                </w:p>
              </w:tc>
              <w:tc>
                <w:tcPr>
                  <w:tcW w:w="781" w:type="pct"/>
                  <w:tcBorders>
                    <w:bottom w:val="single" w:sz="6" w:space="0" w:color="auto"/>
                  </w:tcBorders>
                  <w:shd w:val="clear" w:color="auto" w:fill="D9D9D9" w:themeFill="background1" w:themeFillShade="D9"/>
                  <w:vAlign w:val="bottom"/>
                </w:tcPr>
                <w:p w:rsidR="00F56993" w:rsidRPr="00567519" w:rsidRDefault="00F56993" w:rsidP="005679A1">
                  <w:pPr>
                    <w:pStyle w:val="TableBodyText"/>
                  </w:pPr>
                  <w:r w:rsidRPr="00567519">
                    <w:t>-2.5</w:t>
                  </w:r>
                </w:p>
              </w:tc>
            </w:tr>
          </w:tbl>
          <w:p w:rsidR="00FE19A9" w:rsidRDefault="007E1F14" w:rsidP="0085459D">
            <w:pPr>
              <w:pStyle w:val="Note"/>
              <w:keepNext/>
              <w:framePr w:w="2155" w:hSpace="227" w:vSpace="181" w:wrap="around" w:vAnchor="text" w:hAnchor="page" w:xAlign="outside" w:y="1"/>
            </w:pPr>
            <w:r w:rsidRPr="00567519">
              <w:rPr>
                <w:rStyle w:val="NoteLabel"/>
              </w:rPr>
              <w:t>a</w:t>
            </w:r>
            <w:r w:rsidRPr="00567519">
              <w:t xml:space="preserve"> Relative to the case with no lags.</w:t>
            </w:r>
            <w:r w:rsidRPr="00567519">
              <w:rPr>
                <w:rStyle w:val="NoteLabel"/>
              </w:rPr>
              <w:t xml:space="preserve"> b</w:t>
            </w:r>
            <w:r w:rsidRPr="00567519">
              <w:t xml:space="preserve"> Incomplete cycle</w:t>
            </w:r>
            <w:r w:rsidR="0085459D">
              <w:t xml:space="preserve">. </w:t>
            </w:r>
          </w:p>
          <w:p w:rsidR="007E1F14" w:rsidRPr="00567519" w:rsidRDefault="007E1F14" w:rsidP="00FE19A9">
            <w:pPr>
              <w:pStyle w:val="Source"/>
            </w:pPr>
            <w:r w:rsidRPr="00567519">
              <w:rPr>
                <w:i/>
              </w:rPr>
              <w:t>Source</w:t>
            </w:r>
            <w:r w:rsidRPr="00567519">
              <w:t>: Authors’ estimates.</w:t>
            </w:r>
          </w:p>
          <w:p w:rsidR="007E1F14" w:rsidRPr="001D6E05" w:rsidRDefault="007E1F14" w:rsidP="00233787">
            <w:pPr>
              <w:pStyle w:val="Box"/>
            </w:pPr>
            <w:r w:rsidRPr="00567519">
              <w:t xml:space="preserve">In effect, </w:t>
            </w:r>
            <w:r w:rsidR="00D80480" w:rsidRPr="00567519">
              <w:t xml:space="preserve">as output growth </w:t>
            </w:r>
            <w:r w:rsidR="00EB2F1D">
              <w:t>has been</w:t>
            </w:r>
            <w:r w:rsidR="00D80480" w:rsidRPr="00567519">
              <w:t xml:space="preserve"> relative</w:t>
            </w:r>
            <w:r w:rsidR="001D6E05">
              <w:t>ly</w:t>
            </w:r>
            <w:r w:rsidR="00D80480" w:rsidRPr="00567519">
              <w:t xml:space="preserve"> low </w:t>
            </w:r>
            <w:r w:rsidR="00EB2F1D">
              <w:t>during</w:t>
            </w:r>
            <w:r w:rsidR="00D80480" w:rsidRPr="00567519">
              <w:t xml:space="preserve"> the incomplete cycle despite the increased capacity, </w:t>
            </w:r>
            <w:r w:rsidR="002C77D9">
              <w:t>allowing for</w:t>
            </w:r>
            <w:r w:rsidR="00D80480" w:rsidRPr="00567519">
              <w:t xml:space="preserve"> capital</w:t>
            </w:r>
            <w:r w:rsidR="001B2A7E">
              <w:t xml:space="preserve"> lags</w:t>
            </w:r>
            <w:r w:rsidR="00D80480" w:rsidRPr="00567519">
              <w:t xml:space="preserve"> has only ‘pushed out’ the period of the poor </w:t>
            </w:r>
            <w:r w:rsidR="00E32EF1" w:rsidRPr="00567519">
              <w:t>productivity</w:t>
            </w:r>
            <w:r w:rsidR="00D80480" w:rsidRPr="00567519">
              <w:t xml:space="preserve"> performance to a later period.</w:t>
            </w:r>
            <w:r w:rsidRPr="00567519">
              <w:t xml:space="preserve"> </w:t>
            </w:r>
            <w:r w:rsidR="00D30315" w:rsidRPr="00567519">
              <w:t xml:space="preserve">While these investments in alumina refining have been completed, output has remained roughly equal to the level </w:t>
            </w:r>
            <w:r w:rsidR="00F52118">
              <w:t>reached</w:t>
            </w:r>
            <w:r w:rsidR="006A47EC">
              <w:t xml:space="preserve"> </w:t>
            </w:r>
            <w:r w:rsidR="00D30315" w:rsidRPr="00567519">
              <w:t>at the end of cycle 4</w:t>
            </w:r>
            <w:r w:rsidRPr="00567519">
              <w:t>.</w:t>
            </w:r>
            <w:r w:rsidR="00BC5135" w:rsidRPr="00567519">
              <w:t xml:space="preserve"> </w:t>
            </w:r>
            <w:r w:rsidR="004D2851" w:rsidRPr="00567519">
              <w:t xml:space="preserve">For example, the production of alumina in 2011 was 19.6 Mt, while total capacity is quoted as </w:t>
            </w:r>
            <w:proofErr w:type="spellStart"/>
            <w:r w:rsidR="004D2851" w:rsidRPr="00567519">
              <w:t>21.95Mt</w:t>
            </w:r>
            <w:proofErr w:type="spellEnd"/>
            <w:r w:rsidR="004D2851" w:rsidRPr="00567519">
              <w:t xml:space="preserve"> </w:t>
            </w:r>
            <w:r w:rsidR="004D2851" w:rsidRPr="00154397">
              <w:t>(</w:t>
            </w:r>
            <w:proofErr w:type="spellStart"/>
            <w:r w:rsidR="004D2851" w:rsidRPr="00154397">
              <w:t>AAC</w:t>
            </w:r>
            <w:proofErr w:type="spellEnd"/>
            <w:r w:rsidR="004D2851" w:rsidRPr="00154397">
              <w:t xml:space="preserve"> 201</w:t>
            </w:r>
            <w:r w:rsidR="004B0117" w:rsidRPr="00154397">
              <w:t>2</w:t>
            </w:r>
            <w:r w:rsidR="004D2851" w:rsidRPr="00154397">
              <w:t>)</w:t>
            </w:r>
            <w:r w:rsidR="00883DD8" w:rsidRPr="00154397">
              <w:t xml:space="preserve">, which suggests there is underutilised capacity. </w:t>
            </w:r>
            <w:r w:rsidR="00343380" w:rsidRPr="00154397">
              <w:t>(</w:t>
            </w:r>
            <w:r w:rsidRPr="00154397">
              <w:t xml:space="preserve">A </w:t>
            </w:r>
            <w:r w:rsidR="00561C2C" w:rsidRPr="00154397">
              <w:t xml:space="preserve">further </w:t>
            </w:r>
            <w:r w:rsidRPr="00154397">
              <w:t>discussion on capital</w:t>
            </w:r>
            <w:r w:rsidRPr="00567519">
              <w:t xml:space="preserve"> lags for </w:t>
            </w:r>
            <w:r w:rsidR="006B0816">
              <w:t>MP</w:t>
            </w:r>
            <w:r w:rsidRPr="00567519">
              <w:t xml:space="preserve"> is</w:t>
            </w:r>
            <w:r w:rsidR="00561C2C">
              <w:t xml:space="preserve"> provided</w:t>
            </w:r>
            <w:r w:rsidRPr="00567519">
              <w:t xml:space="preserve"> in appendix </w:t>
            </w:r>
            <w:r w:rsidR="00663B1F">
              <w:t>H</w:t>
            </w:r>
            <w:r w:rsidRPr="00567519">
              <w:t>.</w:t>
            </w:r>
            <w:r w:rsidR="00343380">
              <w:t>)</w:t>
            </w:r>
          </w:p>
        </w:tc>
      </w:tr>
      <w:tr w:rsidR="007E1F14" w:rsidRPr="003767DA" w:rsidTr="0043331F">
        <w:trPr>
          <w:cantSplit/>
        </w:trPr>
        <w:tc>
          <w:tcPr>
            <w:tcW w:w="8771" w:type="dxa"/>
            <w:tcBorders>
              <w:top w:val="nil"/>
              <w:left w:val="single" w:sz="6" w:space="0" w:color="auto"/>
              <w:bottom w:val="single" w:sz="6" w:space="0" w:color="auto"/>
              <w:right w:val="single" w:sz="6" w:space="0" w:color="auto"/>
            </w:tcBorders>
          </w:tcPr>
          <w:p w:rsidR="007E1F14" w:rsidRPr="00567519" w:rsidRDefault="007E1F14" w:rsidP="0043331F">
            <w:pPr>
              <w:pStyle w:val="Box"/>
              <w:spacing w:before="0" w:line="120" w:lineRule="exact"/>
            </w:pPr>
          </w:p>
        </w:tc>
      </w:tr>
    </w:tbl>
    <w:p w:rsidR="005B380D" w:rsidRDefault="005B380D">
      <w:pPr>
        <w:rPr>
          <w:rFonts w:ascii="Times New Roman" w:eastAsia="Times New Roman" w:hAnsi="Times New Roman" w:cs="Times New Roman"/>
          <w:i/>
          <w:sz w:val="26"/>
          <w:szCs w:val="20"/>
          <w:lang w:eastAsia="en-AU"/>
        </w:rPr>
      </w:pPr>
      <w:r>
        <w:br w:type="page"/>
      </w:r>
    </w:p>
    <w:p w:rsidR="009017DA" w:rsidRPr="00E9448F" w:rsidRDefault="009017DA" w:rsidP="009017DA">
      <w:pPr>
        <w:pStyle w:val="Heading5"/>
      </w:pPr>
      <w:r w:rsidRPr="00E9448F">
        <w:lastRenderedPageBreak/>
        <w:t>Aluminium investment</w:t>
      </w:r>
    </w:p>
    <w:p w:rsidR="007F4E39" w:rsidRPr="00E9448F" w:rsidRDefault="00A53530" w:rsidP="00E455AA">
      <w:pPr>
        <w:pStyle w:val="BodyText"/>
      </w:pPr>
      <w:r w:rsidRPr="00E9448F">
        <w:t>While there has been</w:t>
      </w:r>
      <w:r w:rsidR="009946B3" w:rsidRPr="00E9448F">
        <w:t xml:space="preserve"> an increase in the level of alu</w:t>
      </w:r>
      <w:r w:rsidR="00EF3DF9" w:rsidRPr="00E9448F">
        <w:t>m</w:t>
      </w:r>
      <w:r w:rsidR="009946B3" w:rsidRPr="00E9448F">
        <w:t>ina investment</w:t>
      </w:r>
      <w:r w:rsidRPr="00E9448F">
        <w:t xml:space="preserve"> over cycles 3 and 4, there has been</w:t>
      </w:r>
      <w:r w:rsidR="002E0E04" w:rsidRPr="00E9448F">
        <w:t xml:space="preserve"> </w:t>
      </w:r>
      <w:r w:rsidR="009946B3" w:rsidRPr="00E9448F">
        <w:t>a decline in the amount of investment in aluminium</w:t>
      </w:r>
      <w:r w:rsidR="007F4E39" w:rsidRPr="00E9448F">
        <w:t xml:space="preserve">. </w:t>
      </w:r>
      <w:r w:rsidR="000A4860">
        <w:t>Nonetheless</w:t>
      </w:r>
      <w:r w:rsidR="007F4E39" w:rsidRPr="00E9448F">
        <w:t>, there were a few projects that were completed over cycle</w:t>
      </w:r>
      <w:r w:rsidR="00F54288" w:rsidRPr="00E9448F">
        <w:t xml:space="preserve"> 4</w:t>
      </w:r>
      <w:r w:rsidR="00542F3B">
        <w:t>.</w:t>
      </w:r>
    </w:p>
    <w:p w:rsidR="007F4E39" w:rsidRPr="00154397" w:rsidRDefault="0018488E" w:rsidP="00E455AA">
      <w:pPr>
        <w:pStyle w:val="ListBullet"/>
      </w:pPr>
      <w:r w:rsidRPr="00E9448F">
        <w:t>In 2006</w:t>
      </w:r>
      <w:r w:rsidR="009017DA" w:rsidRPr="00E9448F">
        <w:t>, Hydro Aluminium comple</w:t>
      </w:r>
      <w:r w:rsidRPr="00E9448F">
        <w:t xml:space="preserve">ted </w:t>
      </w:r>
      <w:r w:rsidR="00FF2205" w:rsidRPr="00E9448F">
        <w:t>two upgrades worth a total of $130</w:t>
      </w:r>
      <w:r w:rsidR="00B91F4F">
        <w:t> </w:t>
      </w:r>
      <w:r w:rsidR="00FF2205" w:rsidRPr="00E9448F">
        <w:t>m</w:t>
      </w:r>
      <w:r w:rsidR="00B91F4F">
        <w:t>illion</w:t>
      </w:r>
      <w:r w:rsidR="00FF2205" w:rsidRPr="00E9448F">
        <w:t xml:space="preserve"> at the Kurri Kurri facility (</w:t>
      </w:r>
      <w:proofErr w:type="spellStart"/>
      <w:r w:rsidR="00FF2205" w:rsidRPr="00154397">
        <w:t>ABARE</w:t>
      </w:r>
      <w:proofErr w:type="spellEnd"/>
      <w:r w:rsidR="00FF2205" w:rsidRPr="00154397">
        <w:t xml:space="preserve"> </w:t>
      </w:r>
      <w:proofErr w:type="spellStart"/>
      <w:r w:rsidR="00FF2205" w:rsidRPr="00154397">
        <w:t>2006</w:t>
      </w:r>
      <w:r w:rsidR="00003EFF">
        <w:t>b</w:t>
      </w:r>
      <w:proofErr w:type="spellEnd"/>
      <w:r w:rsidR="00FF2205" w:rsidRPr="00154397">
        <w:t>)</w:t>
      </w:r>
      <w:r w:rsidR="005A26C1" w:rsidRPr="00154397">
        <w:t>.</w:t>
      </w:r>
    </w:p>
    <w:p w:rsidR="007F4E39" w:rsidRPr="00154397" w:rsidRDefault="007F4E39" w:rsidP="00E455AA">
      <w:pPr>
        <w:pStyle w:val="ListBullet"/>
      </w:pPr>
      <w:r w:rsidRPr="00154397">
        <w:t xml:space="preserve">In 2006, </w:t>
      </w:r>
      <w:r w:rsidR="00FF2205" w:rsidRPr="00154397">
        <w:t xml:space="preserve">the </w:t>
      </w:r>
      <w:r w:rsidR="0018488E" w:rsidRPr="00154397">
        <w:t>Boyne Island Smelter completed a $56 million project to increase capacity (</w:t>
      </w:r>
      <w:proofErr w:type="spellStart"/>
      <w:r w:rsidR="0018488E" w:rsidRPr="00154397">
        <w:t>ABARE</w:t>
      </w:r>
      <w:proofErr w:type="spellEnd"/>
      <w:r w:rsidR="00D67263">
        <w:t xml:space="preserve"> </w:t>
      </w:r>
      <w:proofErr w:type="spellStart"/>
      <w:r w:rsidR="0018488E" w:rsidRPr="00154397">
        <w:t>2006</w:t>
      </w:r>
      <w:r w:rsidR="00003EFF">
        <w:t>b</w:t>
      </w:r>
      <w:proofErr w:type="spellEnd"/>
      <w:r w:rsidR="0018488E" w:rsidRPr="00154397">
        <w:t>)</w:t>
      </w:r>
      <w:r w:rsidR="005A26C1" w:rsidRPr="00154397">
        <w:t>.</w:t>
      </w:r>
    </w:p>
    <w:p w:rsidR="00F24CE6" w:rsidRPr="00E9448F" w:rsidRDefault="009017DA" w:rsidP="00E455AA">
      <w:pPr>
        <w:pStyle w:val="ListBullet"/>
      </w:pPr>
      <w:r w:rsidRPr="00E9448F">
        <w:t>In 2007, Tomago Aluminium also completed upgrades</w:t>
      </w:r>
      <w:r w:rsidR="0085250E" w:rsidRPr="00E9448F">
        <w:t xml:space="preserve"> worth $200</w:t>
      </w:r>
      <w:r w:rsidR="00B91F4F">
        <w:t xml:space="preserve"> </w:t>
      </w:r>
      <w:r w:rsidR="0085250E" w:rsidRPr="00E9448F">
        <w:t>m</w:t>
      </w:r>
      <w:r w:rsidR="00B91F4F">
        <w:t>illion</w:t>
      </w:r>
      <w:r w:rsidRPr="00E9448F">
        <w:t xml:space="preserve"> to expand capacit</w:t>
      </w:r>
      <w:r w:rsidR="00E30794">
        <w:t>y and improve energy efficiency</w:t>
      </w:r>
      <w:r w:rsidRPr="00E9448F">
        <w:t xml:space="preserve"> </w:t>
      </w:r>
      <w:r w:rsidR="00E30794">
        <w:t>(</w:t>
      </w:r>
      <w:r w:rsidR="00E30794" w:rsidRPr="00154397">
        <w:t>Tomago Aluminium 2013</w:t>
      </w:r>
      <w:r w:rsidR="00E30794">
        <w:t>).</w:t>
      </w:r>
    </w:p>
    <w:p w:rsidR="0085250E" w:rsidRPr="00E9448F" w:rsidRDefault="0085250E" w:rsidP="006A1600">
      <w:pPr>
        <w:pStyle w:val="BodyText"/>
      </w:pPr>
      <w:r w:rsidRPr="00E9448F">
        <w:t xml:space="preserve">Collectively, these </w:t>
      </w:r>
      <w:r w:rsidR="00D448E6" w:rsidRPr="00E9448F">
        <w:t>investments amount</w:t>
      </w:r>
      <w:r w:rsidR="007D6410">
        <w:t>ed</w:t>
      </w:r>
      <w:r w:rsidR="00D448E6" w:rsidRPr="00E9448F">
        <w:t xml:space="preserve"> to $386</w:t>
      </w:r>
      <w:r w:rsidR="00434FDF">
        <w:t xml:space="preserve"> </w:t>
      </w:r>
      <w:r w:rsidR="00D448E6" w:rsidRPr="00E9448F">
        <w:t>m</w:t>
      </w:r>
      <w:r w:rsidR="00434FDF">
        <w:t>illion</w:t>
      </w:r>
      <w:r w:rsidR="00D448E6" w:rsidRPr="00E9448F">
        <w:t xml:space="preserve"> during cycle 4, which would have contributed to the growth in capital services</w:t>
      </w:r>
      <w:r w:rsidR="007D6410">
        <w:t xml:space="preserve"> in MP</w:t>
      </w:r>
      <w:r w:rsidR="00D448E6" w:rsidRPr="00E9448F">
        <w:t xml:space="preserve"> observed over the period. </w:t>
      </w:r>
      <w:r w:rsidR="004E3DBF" w:rsidRPr="00E9448F">
        <w:t>However,</w:t>
      </w:r>
      <w:r w:rsidR="00D448E6" w:rsidRPr="00E9448F">
        <w:t xml:space="preserve"> aluminium investments above account for only a small proportion of investment over cycle 4</w:t>
      </w:r>
      <w:r w:rsidR="00252F49" w:rsidRPr="00E9448F">
        <w:t xml:space="preserve"> compared with alumina investment</w:t>
      </w:r>
      <w:r w:rsidR="00F1669F" w:rsidRPr="00E9448F">
        <w:t xml:space="preserve"> (table </w:t>
      </w:r>
      <w:r w:rsidR="00E9448F">
        <w:t>6.5</w:t>
      </w:r>
      <w:r w:rsidR="00F1669F" w:rsidRPr="00E9448F">
        <w:t>)</w:t>
      </w:r>
      <w:r w:rsidR="00D448E6" w:rsidRPr="00E9448F">
        <w:t xml:space="preserve">. </w:t>
      </w:r>
    </w:p>
    <w:p w:rsidR="009017DA" w:rsidRPr="00E9448F" w:rsidRDefault="009017DA" w:rsidP="009017DA">
      <w:pPr>
        <w:pStyle w:val="Heading5"/>
      </w:pPr>
      <w:r w:rsidRPr="00E9448F">
        <w:t xml:space="preserve">Other </w:t>
      </w:r>
      <w:r w:rsidR="00E02BE0" w:rsidRPr="00E9448F">
        <w:t xml:space="preserve">non-ferrous </w:t>
      </w:r>
      <w:r w:rsidRPr="00E9448F">
        <w:t>metals investment</w:t>
      </w:r>
      <w:r w:rsidR="008F7A49" w:rsidRPr="00E9448F">
        <w:t xml:space="preserve"> in response to higher prices</w:t>
      </w:r>
    </w:p>
    <w:p w:rsidR="00D82A18" w:rsidRPr="00E9448F" w:rsidRDefault="005A745E" w:rsidP="009017DA">
      <w:pPr>
        <w:pStyle w:val="BodyText"/>
      </w:pPr>
      <w:r w:rsidRPr="00E9448F">
        <w:t xml:space="preserve">There have been other investments in </w:t>
      </w:r>
      <w:r w:rsidR="00EC68DC" w:rsidRPr="00E9448F">
        <w:t>Basic</w:t>
      </w:r>
      <w:r w:rsidRPr="00E9448F">
        <w:t xml:space="preserve"> non-ferrous metals</w:t>
      </w:r>
      <w:r w:rsidR="00EC68DC" w:rsidRPr="00E9448F">
        <w:t xml:space="preserve"> manufacturing</w:t>
      </w:r>
      <w:r w:rsidR="00D3104D" w:rsidRPr="00E9448F">
        <w:t xml:space="preserve">, particularly </w:t>
      </w:r>
      <w:r w:rsidR="00D82A18" w:rsidRPr="00E9448F">
        <w:t>nickel and copper metal manufacturing.</w:t>
      </w:r>
    </w:p>
    <w:p w:rsidR="00533378" w:rsidRPr="00E9448F" w:rsidRDefault="00533378" w:rsidP="00533378">
      <w:pPr>
        <w:pStyle w:val="BodyText"/>
      </w:pPr>
      <w:r w:rsidRPr="00E9448F">
        <w:t>Investment in nickel refining appears to be driven by a single large investment of $731</w:t>
      </w:r>
      <w:r w:rsidR="00434FDF">
        <w:t xml:space="preserve"> </w:t>
      </w:r>
      <w:r w:rsidRPr="00E9448F">
        <w:t>m</w:t>
      </w:r>
      <w:r w:rsidR="00434FDF">
        <w:t>illion</w:t>
      </w:r>
      <w:r w:rsidR="00DC52AC">
        <w:t>,</w:t>
      </w:r>
      <w:r w:rsidRPr="00E9448F">
        <w:t xml:space="preserve"> associated with the Yabulu </w:t>
      </w:r>
      <w:r w:rsidRPr="00236392">
        <w:t>nickel refinery upgrade, in order to process ore from the new mine at Ravensthorpe (</w:t>
      </w:r>
      <w:r w:rsidR="0023781C">
        <w:t>Gleeson et al.</w:t>
      </w:r>
      <w:r w:rsidR="00296B1A">
        <w:t xml:space="preserve"> </w:t>
      </w:r>
      <w:r w:rsidRPr="00236392">
        <w:t>2008</w:t>
      </w:r>
      <w:r w:rsidRPr="00E9448F">
        <w:t xml:space="preserve">). The motivation behind this upgrade was the particularly strong increase in prices for nickel driven by increased demand from China, particularly for use in </w:t>
      </w:r>
      <w:r w:rsidR="00C913D3">
        <w:t>stainless steel (</w:t>
      </w:r>
      <w:proofErr w:type="spellStart"/>
      <w:r w:rsidR="00C913D3" w:rsidRPr="00236392">
        <w:t>Oututec</w:t>
      </w:r>
      <w:proofErr w:type="spellEnd"/>
      <w:r w:rsidR="00C913D3" w:rsidRPr="00236392">
        <w:t xml:space="preserve"> 2005).</w:t>
      </w:r>
      <w:r w:rsidRPr="00236392">
        <w:rPr>
          <w:rStyle w:val="FootnoteReference"/>
        </w:rPr>
        <w:footnoteReference w:id="12"/>
      </w:r>
    </w:p>
    <w:p w:rsidR="008901C2" w:rsidRDefault="008901C2">
      <w:pPr>
        <w:rPr>
          <w:rFonts w:ascii="Times New Roman" w:eastAsia="Times New Roman" w:hAnsi="Times New Roman" w:cs="Times New Roman"/>
          <w:sz w:val="26"/>
          <w:szCs w:val="20"/>
          <w:lang w:eastAsia="en-AU"/>
        </w:rPr>
      </w:pPr>
      <w:r>
        <w:br w:type="page"/>
      </w:r>
    </w:p>
    <w:p w:rsidR="00533378" w:rsidRPr="00E9448F" w:rsidRDefault="00533378" w:rsidP="00533378">
      <w:pPr>
        <w:pStyle w:val="BodyText"/>
      </w:pPr>
      <w:r w:rsidRPr="00E9448F">
        <w:lastRenderedPageBreak/>
        <w:t xml:space="preserve">Xstrata also invested over </w:t>
      </w:r>
      <w:r w:rsidR="00E47806" w:rsidRPr="00E9448F">
        <w:t>cycle 4</w:t>
      </w:r>
      <w:r w:rsidRPr="00E9448F">
        <w:t xml:space="preserve"> to expand its copper smelter at Mt Isa and upgrade </w:t>
      </w:r>
      <w:r w:rsidR="00991FDA">
        <w:t>its</w:t>
      </w:r>
      <w:r w:rsidRPr="00E9448F">
        <w:t xml:space="preserve"> refinery in Townsville — an investment of $100</w:t>
      </w:r>
      <w:r w:rsidR="00434FDF">
        <w:t xml:space="preserve"> </w:t>
      </w:r>
      <w:r w:rsidRPr="00E9448F">
        <w:t>m</w:t>
      </w:r>
      <w:r w:rsidR="00434FDF">
        <w:t>illion</w:t>
      </w:r>
      <w:r w:rsidRPr="00E9448F">
        <w:t xml:space="preserve"> which was completed in 2007. The purpose of the expansion was to increase the smelter’s capacity by about 16 per cent to 280 kilotons per </w:t>
      </w:r>
      <w:r w:rsidR="00453209">
        <w:t>year</w:t>
      </w:r>
      <w:r w:rsidRPr="00E9448F">
        <w:t xml:space="preserve"> (</w:t>
      </w:r>
      <w:proofErr w:type="spellStart"/>
      <w:r w:rsidR="00FE29E5" w:rsidRPr="00236392">
        <w:t>ABARE</w:t>
      </w:r>
      <w:proofErr w:type="spellEnd"/>
      <w:r w:rsidR="00FE29E5" w:rsidRPr="00236392">
        <w:t xml:space="preserve"> 2005, p.</w:t>
      </w:r>
      <w:r w:rsidR="00A55F46">
        <w:t> </w:t>
      </w:r>
      <w:r w:rsidR="00FE29E5">
        <w:t>137</w:t>
      </w:r>
      <w:r w:rsidRPr="00E9448F">
        <w:t>).</w:t>
      </w:r>
      <w:r w:rsidRPr="00E9448F">
        <w:rPr>
          <w:rStyle w:val="FootnoteReference"/>
        </w:rPr>
        <w:footnoteReference w:id="13"/>
      </w:r>
      <w:r w:rsidRPr="00E9448F">
        <w:t xml:space="preserve"> </w:t>
      </w:r>
    </w:p>
    <w:p w:rsidR="00D82A18" w:rsidRDefault="0031094B" w:rsidP="009017DA">
      <w:pPr>
        <w:pStyle w:val="BodyText"/>
      </w:pPr>
      <w:r w:rsidRPr="00E9448F">
        <w:t>Collectively these account for around $830</w:t>
      </w:r>
      <w:r w:rsidR="00CC5B45">
        <w:t xml:space="preserve"> </w:t>
      </w:r>
      <w:r w:rsidRPr="00E9448F">
        <w:t>m</w:t>
      </w:r>
      <w:r w:rsidR="00CC5B45">
        <w:t>illion</w:t>
      </w:r>
      <w:r w:rsidRPr="00E9448F">
        <w:t xml:space="preserve"> of investment, much of which occurred over </w:t>
      </w:r>
      <w:r w:rsidR="00266EA4" w:rsidRPr="00E9448F">
        <w:t>cycle 4</w:t>
      </w:r>
      <w:r w:rsidR="001958A1" w:rsidRPr="00E9448F">
        <w:t>.</w:t>
      </w:r>
      <w:r w:rsidR="00CC38AA" w:rsidRPr="00E9448F">
        <w:t xml:space="preserve"> While not as large as the investments in alumina</w:t>
      </w:r>
      <w:r w:rsidR="006D404E" w:rsidRPr="00E9448F">
        <w:t xml:space="preserve"> (table </w:t>
      </w:r>
      <w:r w:rsidR="0089219D">
        <w:t>6.5</w:t>
      </w:r>
      <w:r w:rsidR="006D404E" w:rsidRPr="00E9448F">
        <w:t>)</w:t>
      </w:r>
      <w:r w:rsidR="00CC38AA" w:rsidRPr="00E9448F">
        <w:t xml:space="preserve">, these other non-ferrous metal investments still made a significant contribution to the growth in capital services observed in </w:t>
      </w:r>
      <w:r w:rsidR="006B0816">
        <w:t>MP</w:t>
      </w:r>
      <w:r w:rsidR="00CC38AA" w:rsidRPr="00E9448F">
        <w:t>.</w:t>
      </w:r>
    </w:p>
    <w:p w:rsidR="00352832" w:rsidRDefault="00253C11" w:rsidP="008D7B32">
      <w:pPr>
        <w:pStyle w:val="Heading5"/>
      </w:pPr>
      <w:r>
        <w:t>Basic ferrous metals</w:t>
      </w:r>
      <w:r w:rsidR="008F7A49">
        <w:t xml:space="preserve"> investment in response to changing conditions</w:t>
      </w:r>
    </w:p>
    <w:p w:rsidR="00902E64" w:rsidRPr="007E168F" w:rsidRDefault="00636B18" w:rsidP="00902E64">
      <w:pPr>
        <w:pStyle w:val="BodyText"/>
      </w:pPr>
      <w:r w:rsidRPr="007E168F">
        <w:t>There have been</w:t>
      </w:r>
      <w:r w:rsidR="00054864" w:rsidRPr="007E168F">
        <w:t xml:space="preserve"> two investment projects of particular note</w:t>
      </w:r>
      <w:r w:rsidRPr="007E168F">
        <w:t xml:space="preserve"> with respect to steelmaking over cycle 4</w:t>
      </w:r>
      <w:r w:rsidR="00F32850" w:rsidRPr="007E168F">
        <w:t>.</w:t>
      </w:r>
    </w:p>
    <w:p w:rsidR="00054864" w:rsidRPr="00B551CC" w:rsidRDefault="00823B28" w:rsidP="00902E64">
      <w:pPr>
        <w:pStyle w:val="BodyText"/>
      </w:pPr>
      <w:r w:rsidRPr="00B551CC">
        <w:t xml:space="preserve">One project was undertaken by </w:t>
      </w:r>
      <w:proofErr w:type="spellStart"/>
      <w:r w:rsidR="00054864" w:rsidRPr="00B551CC">
        <w:t>Arrium</w:t>
      </w:r>
      <w:proofErr w:type="spellEnd"/>
      <w:r w:rsidR="00054864" w:rsidRPr="00B551CC">
        <w:t xml:space="preserve"> (formerly </w:t>
      </w:r>
      <w:proofErr w:type="spellStart"/>
      <w:r w:rsidR="00054864" w:rsidRPr="00B551CC">
        <w:t>OneSteel</w:t>
      </w:r>
      <w:proofErr w:type="spellEnd"/>
      <w:r w:rsidR="00054864" w:rsidRPr="00B551CC">
        <w:t>), which has a relatively vertically integrated chain of production to make steel, ranging from iron ore mines to steelworks</w:t>
      </w:r>
      <w:r w:rsidR="00316F32" w:rsidRPr="00B551CC">
        <w:t xml:space="preserve">. It </w:t>
      </w:r>
      <w:r w:rsidR="009D5778" w:rsidRPr="00B551CC">
        <w:t>responded</w:t>
      </w:r>
      <w:r w:rsidR="00054864" w:rsidRPr="00B551CC">
        <w:t xml:space="preserve"> to the higher iron ore prices </w:t>
      </w:r>
      <w:r w:rsidR="00B014DE" w:rsidRPr="00B551CC">
        <w:t xml:space="preserve">by investing </w:t>
      </w:r>
      <w:r w:rsidR="00054864" w:rsidRPr="00B551CC">
        <w:t xml:space="preserve">in measures to allow a lower grade of ore (magnetite) to be used so that </w:t>
      </w:r>
      <w:r w:rsidR="00255633" w:rsidRPr="00B551CC">
        <w:t xml:space="preserve">it </w:t>
      </w:r>
      <w:r w:rsidR="00054864" w:rsidRPr="00B551CC">
        <w:t xml:space="preserve">could export </w:t>
      </w:r>
      <w:r w:rsidR="00255633" w:rsidRPr="00B551CC">
        <w:t xml:space="preserve">its supply of </w:t>
      </w:r>
      <w:r w:rsidR="00054864" w:rsidRPr="00B551CC">
        <w:t>higher grade ore (hematite).</w:t>
      </w:r>
      <w:r w:rsidR="003B48F3" w:rsidRPr="00B551CC">
        <w:t xml:space="preserve"> This ‘project Magnet’ was compl</w:t>
      </w:r>
      <w:r w:rsidR="00E560DB" w:rsidRPr="00B551CC">
        <w:t>e</w:t>
      </w:r>
      <w:r w:rsidR="003B48F3" w:rsidRPr="00B551CC">
        <w:t>ted in 2007 and cost $395</w:t>
      </w:r>
      <w:r w:rsidR="00CC5B45" w:rsidRPr="00B551CC">
        <w:t xml:space="preserve"> </w:t>
      </w:r>
      <w:r w:rsidR="003B48F3" w:rsidRPr="00B551CC">
        <w:t>m</w:t>
      </w:r>
      <w:r w:rsidR="00CC5B45" w:rsidRPr="00B551CC">
        <w:t>illion</w:t>
      </w:r>
      <w:r w:rsidR="003B48F3" w:rsidRPr="00B551CC">
        <w:t>. In addition to changing the type of ore used, it also extended the</w:t>
      </w:r>
      <w:r w:rsidR="00054864" w:rsidRPr="00B551CC">
        <w:t xml:space="preserve"> life of the steelworks from 2020 to 2027, since the surrounding </w:t>
      </w:r>
      <w:proofErr w:type="spellStart"/>
      <w:r w:rsidR="00054864" w:rsidRPr="00B551CC">
        <w:t>Middleback</w:t>
      </w:r>
      <w:proofErr w:type="spellEnd"/>
      <w:r w:rsidR="00054864" w:rsidRPr="00B551CC">
        <w:t xml:space="preserve"> mines had limited hematite reserves (</w:t>
      </w:r>
      <w:proofErr w:type="spellStart"/>
      <w:r w:rsidR="00054864" w:rsidRPr="00B551CC">
        <w:t>OneSteel</w:t>
      </w:r>
      <w:proofErr w:type="spellEnd"/>
      <w:r w:rsidR="00054864" w:rsidRPr="00B551CC">
        <w:t xml:space="preserve"> 2005).</w:t>
      </w:r>
    </w:p>
    <w:p w:rsidR="00CC569C" w:rsidRPr="00B551CC" w:rsidRDefault="00483B74" w:rsidP="00483B74">
      <w:pPr>
        <w:pStyle w:val="BodyText"/>
      </w:pPr>
      <w:r w:rsidRPr="00B551CC">
        <w:t>The other project was the ‘</w:t>
      </w:r>
      <w:proofErr w:type="spellStart"/>
      <w:r w:rsidRPr="00B551CC">
        <w:t>HIsmelt</w:t>
      </w:r>
      <w:proofErr w:type="spellEnd"/>
      <w:r w:rsidRPr="00B551CC">
        <w:t xml:space="preserve">’ plant commissioned </w:t>
      </w:r>
      <w:r w:rsidR="00CC569C" w:rsidRPr="00B551CC">
        <w:t>by Rio Tinto</w:t>
      </w:r>
      <w:r w:rsidRPr="00B551CC">
        <w:t xml:space="preserve"> in 2005 at a cost of $400</w:t>
      </w:r>
      <w:r w:rsidR="00CC5B45" w:rsidRPr="00B551CC">
        <w:t xml:space="preserve"> </w:t>
      </w:r>
      <w:r w:rsidRPr="00B551CC">
        <w:t>m</w:t>
      </w:r>
      <w:r w:rsidR="00CC5B45" w:rsidRPr="00B551CC">
        <w:t>illion</w:t>
      </w:r>
      <w:r w:rsidRPr="00B551CC">
        <w:t xml:space="preserve">. This plant </w:t>
      </w:r>
      <w:r w:rsidR="00CC569C" w:rsidRPr="00B551CC">
        <w:t xml:space="preserve">was considered a breakthrough in smelting technology, as a means of directly smelting iron ore into high grade molten iron for use in steel products. It was designed to process high phosphorous iron ore and to use non-coking coals, thus </w:t>
      </w:r>
      <w:r w:rsidR="00AE536B" w:rsidRPr="00B551CC">
        <w:t>reducing environmental impact (</w:t>
      </w:r>
      <w:r w:rsidR="00F94BEB" w:rsidRPr="00B551CC">
        <w:t>Goodman 2007</w:t>
      </w:r>
      <w:r w:rsidR="00CC569C" w:rsidRPr="00B551CC">
        <w:t xml:space="preserve">). However, after the </w:t>
      </w:r>
      <w:proofErr w:type="spellStart"/>
      <w:r w:rsidR="00CC569C" w:rsidRPr="00B551CC">
        <w:t>GFC</w:t>
      </w:r>
      <w:proofErr w:type="spellEnd"/>
      <w:r w:rsidR="00CC569C" w:rsidRPr="00B551CC">
        <w:t xml:space="preserve">, the smelter ceased production and in 2011 the plant was dismantled and relocated to India </w:t>
      </w:r>
      <w:r w:rsidR="00980364" w:rsidRPr="00B551CC">
        <w:t>(Rio Tinto 2011).</w:t>
      </w:r>
    </w:p>
    <w:p w:rsidR="00171747" w:rsidRPr="00B551CC" w:rsidRDefault="00171747" w:rsidP="009A7A91">
      <w:pPr>
        <w:pStyle w:val="Heading4"/>
      </w:pPr>
      <w:r w:rsidRPr="00B551CC">
        <w:lastRenderedPageBreak/>
        <w:t xml:space="preserve">Fabricated </w:t>
      </w:r>
      <w:r w:rsidR="00A602FE" w:rsidRPr="00B551CC">
        <w:t>metals</w:t>
      </w:r>
    </w:p>
    <w:p w:rsidR="00BF749E" w:rsidRPr="00740413" w:rsidRDefault="00A66B34" w:rsidP="005563D3">
      <w:pPr>
        <w:pStyle w:val="BodyText"/>
      </w:pPr>
      <w:r w:rsidRPr="00740413">
        <w:t xml:space="preserve">Fabricated metals made a </w:t>
      </w:r>
      <w:r w:rsidR="008B6176" w:rsidRPr="00740413">
        <w:t xml:space="preserve">significantly smaller </w:t>
      </w:r>
      <w:r w:rsidRPr="00740413">
        <w:t>contribution to the capital se</w:t>
      </w:r>
      <w:r w:rsidR="00C75616" w:rsidRPr="00740413">
        <w:t xml:space="preserve">rvices growth in </w:t>
      </w:r>
      <w:r w:rsidR="006B0816">
        <w:t>MP</w:t>
      </w:r>
      <w:r w:rsidR="00C75616" w:rsidRPr="00740413">
        <w:t xml:space="preserve"> than </w:t>
      </w:r>
      <w:r w:rsidR="00E337D2" w:rsidRPr="00740413">
        <w:t xml:space="preserve">Primary </w:t>
      </w:r>
      <w:r w:rsidR="00C75616" w:rsidRPr="00740413">
        <w:t>metals</w:t>
      </w:r>
      <w:r w:rsidR="000C3FD3" w:rsidRPr="00740413">
        <w:t xml:space="preserve">, but still had increasing investment over </w:t>
      </w:r>
      <w:r w:rsidR="00E337D2" w:rsidRPr="00740413">
        <w:t>cycle 4</w:t>
      </w:r>
      <w:r w:rsidR="00C75616" w:rsidRPr="00740413">
        <w:t>.</w:t>
      </w:r>
      <w:r w:rsidRPr="00740413">
        <w:t xml:space="preserve"> </w:t>
      </w:r>
    </w:p>
    <w:p w:rsidR="003066D6" w:rsidRPr="00740413" w:rsidRDefault="0083660C" w:rsidP="003066D6">
      <w:pPr>
        <w:pStyle w:val="BodyText"/>
      </w:pPr>
      <w:r w:rsidRPr="00740413">
        <w:t xml:space="preserve">Figure </w:t>
      </w:r>
      <w:r w:rsidR="0089219D" w:rsidRPr="00740413">
        <w:t>6.16</w:t>
      </w:r>
      <w:r w:rsidRPr="00740413">
        <w:t xml:space="preserve"> shows net capital expenditure by selected </w:t>
      </w:r>
      <w:r w:rsidR="00FF3B60" w:rsidRPr="00740413">
        <w:t xml:space="preserve">Fabricated metals </w:t>
      </w:r>
      <w:r w:rsidRPr="00740413">
        <w:t xml:space="preserve">product groups, as well </w:t>
      </w:r>
      <w:r w:rsidR="00F04A0D" w:rsidRPr="00740413">
        <w:t>the remainder of the subdivision</w:t>
      </w:r>
      <w:r w:rsidRPr="00740413">
        <w:t>.</w:t>
      </w:r>
      <w:r w:rsidR="006E1D4E" w:rsidRPr="00740413">
        <w:t xml:space="preserve"> The data indicate that </w:t>
      </w:r>
      <w:r w:rsidR="00961214" w:rsidRPr="00740413">
        <w:t xml:space="preserve">the strongest </w:t>
      </w:r>
      <w:r w:rsidR="00410E78" w:rsidRPr="00740413">
        <w:t xml:space="preserve">growth in net capital investment occurred in those categories that cannot </w:t>
      </w:r>
      <w:r w:rsidR="00B014DE">
        <w:t xml:space="preserve">be </w:t>
      </w:r>
      <w:r w:rsidR="00B93EB5" w:rsidRPr="00740413">
        <w:t>separately identified</w:t>
      </w:r>
      <w:r w:rsidR="00410E78" w:rsidRPr="00740413">
        <w:t xml:space="preserve">, but there </w:t>
      </w:r>
      <w:r w:rsidR="00690800" w:rsidRPr="00740413">
        <w:t>was</w:t>
      </w:r>
      <w:r w:rsidR="00410E78" w:rsidRPr="00740413">
        <w:t xml:space="preserve"> also noticeable investment growth in </w:t>
      </w:r>
      <w:r w:rsidR="00A91315" w:rsidRPr="00740413">
        <w:t xml:space="preserve">Structural </w:t>
      </w:r>
      <w:r w:rsidR="00410E78" w:rsidRPr="00740413">
        <w:t>steel product manufacturing</w:t>
      </w:r>
      <w:r w:rsidR="00C33029" w:rsidRPr="00740413">
        <w:t xml:space="preserve"> and </w:t>
      </w:r>
      <w:r w:rsidR="00A91315" w:rsidRPr="00740413">
        <w:t xml:space="preserve">Metal </w:t>
      </w:r>
      <w:r w:rsidR="00C33029" w:rsidRPr="00740413">
        <w:t>and coatings manufacturing.</w:t>
      </w:r>
      <w:r w:rsidR="003066D6" w:rsidRPr="00740413">
        <w:t xml:space="preserve"> </w:t>
      </w:r>
      <w:r w:rsidR="00533378" w:rsidRPr="00740413">
        <w:t>There is some evidence to indicate that</w:t>
      </w:r>
      <w:r w:rsidR="003066D6" w:rsidRPr="00740413">
        <w:t xml:space="preserve"> </w:t>
      </w:r>
      <w:r w:rsidR="003442DC" w:rsidRPr="00740413">
        <w:t xml:space="preserve">some </w:t>
      </w:r>
      <w:r w:rsidR="003066D6" w:rsidRPr="00740413">
        <w:t xml:space="preserve">investment in the fabricated sector </w:t>
      </w:r>
      <w:r w:rsidR="00080A8C">
        <w:t>was</w:t>
      </w:r>
      <w:r w:rsidR="00080A8C" w:rsidRPr="00740413">
        <w:t xml:space="preserve"> </w:t>
      </w:r>
      <w:r w:rsidR="003066D6" w:rsidRPr="00740413">
        <w:t>associated with expansion and automation of the steel industry (</w:t>
      </w:r>
      <w:r w:rsidR="003066D6" w:rsidRPr="00236392">
        <w:t>McDonald</w:t>
      </w:r>
      <w:r w:rsidR="00CC5B45">
        <w:t> </w:t>
      </w:r>
      <w:r w:rsidR="003066D6" w:rsidRPr="00236392">
        <w:t>2009</w:t>
      </w:r>
      <w:r w:rsidR="003066D6" w:rsidRPr="00740413">
        <w:t>).</w:t>
      </w:r>
      <w:r w:rsidR="007E0ECF" w:rsidRPr="00740413">
        <w:rPr>
          <w:rStyle w:val="FootnoteReference"/>
        </w:rPr>
        <w:footnoteReference w:id="14"/>
      </w:r>
    </w:p>
    <w:p w:rsidR="00847873" w:rsidRPr="00740413" w:rsidRDefault="00847873">
      <w:pPr>
        <w:pStyle w:val="FigureTitle"/>
      </w:pPr>
      <w:r w:rsidRPr="00740413">
        <w:rPr>
          <w:b w:val="0"/>
          <w:sz w:val="24"/>
        </w:rPr>
        <w:t xml:space="preserve">Figure </w:t>
      </w:r>
      <w:bookmarkStart w:id="32" w:name="OLE_LINK25"/>
      <w:r w:rsidRPr="00740413">
        <w:rPr>
          <w:b w:val="0"/>
          <w:sz w:val="24"/>
        </w:rPr>
        <w:t>6.</w:t>
      </w:r>
      <w:r w:rsidR="00227A34">
        <w:rPr>
          <w:b w:val="0"/>
          <w:noProof/>
          <w:sz w:val="24"/>
        </w:rPr>
        <w:t>16</w:t>
      </w:r>
      <w:bookmarkEnd w:id="32"/>
      <w:r w:rsidRPr="00740413">
        <w:rPr>
          <w:sz w:val="24"/>
        </w:rPr>
        <w:tab/>
        <w:t xml:space="preserve">Net capital expenditure </w:t>
      </w:r>
      <w:r w:rsidR="00924CCD" w:rsidRPr="00740413">
        <w:rPr>
          <w:sz w:val="24"/>
        </w:rPr>
        <w:t>of</w:t>
      </w:r>
      <w:r w:rsidRPr="00740413">
        <w:rPr>
          <w:sz w:val="24"/>
        </w:rPr>
        <w:t xml:space="preserve"> Fabricated metal</w:t>
      </w:r>
      <w:r w:rsidR="008938A0">
        <w:rPr>
          <w:sz w:val="24"/>
        </w:rPr>
        <w:t>s</w:t>
      </w:r>
      <w:r w:rsidR="00924CCD" w:rsidRPr="00740413">
        <w:rPr>
          <w:sz w:val="24"/>
        </w:rPr>
        <w:t xml:space="preserve"> subdivision</w:t>
      </w:r>
      <w:r w:rsidR="00302464" w:rsidRPr="00740413">
        <w:rPr>
          <w:rStyle w:val="NoteLabel"/>
          <w:b/>
        </w:rPr>
        <w:t>a</w:t>
      </w:r>
    </w:p>
    <w:p w:rsidR="00847873" w:rsidRPr="00740413" w:rsidRDefault="000C7DDB">
      <w:pPr>
        <w:pStyle w:val="Subtitle"/>
        <w:rPr>
          <w:b/>
        </w:rPr>
      </w:pPr>
      <w:r w:rsidRPr="00740413">
        <w:t xml:space="preserve">Sum of net capital expenditure 2001-02 to 2006-07, </w:t>
      </w:r>
      <w:r w:rsidR="00847873" w:rsidRPr="00740413">
        <w:t>$m</w:t>
      </w:r>
      <w:r w:rsidR="00834128" w:rsidRPr="00740413">
        <w:t xml:space="preserve"> (current prices)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47873" w:rsidRPr="00740413">
        <w:tc>
          <w:tcPr>
            <w:tcW w:w="8777" w:type="dxa"/>
          </w:tcPr>
          <w:p w:rsidR="00847873" w:rsidRPr="00740413" w:rsidRDefault="00852E6A" w:rsidP="00F85330">
            <w:pPr>
              <w:pStyle w:val="Figure"/>
              <w:spacing w:before="0" w:after="0"/>
            </w:pPr>
            <w:r>
              <w:pict>
                <v:shape id="_x0000_i1049" type="#_x0000_t75" alt="This figure shows the sum of net capital expenditure over the period of 2001-02 for different parts of the Fabricated metals subdivision. It shows that most of the capital expenditure is attributed to the category ‘all other fabricated metal products’. The next largest contributor, structural steel products,  is much smaller. The other categories make even smaller contributions.." style="width:424.45pt;height:198.4pt">
                  <v:imagedata r:id="rId33" o:title=""/>
                </v:shape>
              </w:pict>
            </w:r>
          </w:p>
        </w:tc>
      </w:tr>
    </w:tbl>
    <w:p w:rsidR="00847873" w:rsidRPr="00740413" w:rsidRDefault="00847873">
      <w:pPr>
        <w:pStyle w:val="Note"/>
      </w:pPr>
      <w:r w:rsidRPr="00740413">
        <w:rPr>
          <w:rStyle w:val="NoteLabel"/>
        </w:rPr>
        <w:t>a</w:t>
      </w:r>
      <w:r w:rsidRPr="00740413">
        <w:t xml:space="preserve"> </w:t>
      </w:r>
      <w:r w:rsidR="00302464" w:rsidRPr="00740413">
        <w:t xml:space="preserve">There exists a break series between 2005-06 and 2006-07 due to changes in </w:t>
      </w:r>
      <w:proofErr w:type="spellStart"/>
      <w:r w:rsidR="00302464" w:rsidRPr="00740413">
        <w:t>ANZSIC</w:t>
      </w:r>
      <w:proofErr w:type="spellEnd"/>
      <w:r w:rsidR="00302464" w:rsidRPr="00740413">
        <w:t xml:space="preserve">. Those industry classes shown have been </w:t>
      </w:r>
      <w:proofErr w:type="spellStart"/>
      <w:r w:rsidR="00302464" w:rsidRPr="00740413">
        <w:t>concorded</w:t>
      </w:r>
      <w:proofErr w:type="spellEnd"/>
      <w:r w:rsidR="00302464" w:rsidRPr="00740413">
        <w:t xml:space="preserve"> between classifications, but some are unable to be </w:t>
      </w:r>
      <w:proofErr w:type="spellStart"/>
      <w:r w:rsidR="00302464" w:rsidRPr="00740413">
        <w:t>concorded</w:t>
      </w:r>
      <w:proofErr w:type="spellEnd"/>
      <w:r w:rsidR="00302464" w:rsidRPr="00740413">
        <w:t xml:space="preserve"> — these are grouped together in</w:t>
      </w:r>
      <w:r w:rsidR="007D0586" w:rsidRPr="00740413">
        <w:t xml:space="preserve"> the</w:t>
      </w:r>
      <w:r w:rsidR="00302464" w:rsidRPr="00740413">
        <w:t xml:space="preserve"> </w:t>
      </w:r>
      <w:r w:rsidR="007D0586" w:rsidRPr="00740413">
        <w:t>‘</w:t>
      </w:r>
      <w:r w:rsidR="00AF0415" w:rsidRPr="00740413">
        <w:t xml:space="preserve">all other </w:t>
      </w:r>
      <w:r w:rsidR="008938A0">
        <w:t>f</w:t>
      </w:r>
      <w:r w:rsidR="007D0586" w:rsidRPr="00740413">
        <w:t>abricated metal products’</w:t>
      </w:r>
      <w:r w:rsidR="007109C7">
        <w:t xml:space="preserve"> (which should not be confused with </w:t>
      </w:r>
      <w:proofErr w:type="spellStart"/>
      <w:r w:rsidR="007109C7">
        <w:t>ANZSIC06</w:t>
      </w:r>
      <w:proofErr w:type="spellEnd"/>
      <w:r w:rsidR="007109C7">
        <w:t xml:space="preserve"> group 229 or </w:t>
      </w:r>
      <w:proofErr w:type="spellStart"/>
      <w:r w:rsidR="007109C7">
        <w:t>ANZSIC06</w:t>
      </w:r>
      <w:proofErr w:type="spellEnd"/>
      <w:r w:rsidR="007109C7">
        <w:t xml:space="preserve"> class 2299)</w:t>
      </w:r>
      <w:r w:rsidR="00302464" w:rsidRPr="00740413">
        <w:t>.</w:t>
      </w:r>
      <w:r w:rsidR="00723D58" w:rsidRPr="00740413">
        <w:t xml:space="preserve"> </w:t>
      </w:r>
      <w:r w:rsidR="00ED34DA" w:rsidRPr="00740413">
        <w:t xml:space="preserve">See box </w:t>
      </w:r>
      <w:r w:rsidR="0089219D" w:rsidRPr="00740413">
        <w:t>6.1</w:t>
      </w:r>
      <w:r w:rsidR="00ED34DA" w:rsidRPr="00740413">
        <w:t xml:space="preserve"> for more details regarding Fabricated metals concordance. </w:t>
      </w:r>
    </w:p>
    <w:p w:rsidR="00847873" w:rsidRPr="00740413" w:rsidRDefault="00847873">
      <w:pPr>
        <w:pStyle w:val="Source"/>
      </w:pPr>
      <w:r w:rsidRPr="00740413">
        <w:rPr>
          <w:i/>
        </w:rPr>
        <w:t>Data source</w:t>
      </w:r>
      <w:r w:rsidRPr="00740413">
        <w:t>: Authors’ estimates based on ABS (</w:t>
      </w:r>
      <w:r w:rsidRPr="00740413">
        <w:rPr>
          <w:i/>
        </w:rPr>
        <w:t>Manufacturing Industry, Australia,</w:t>
      </w:r>
      <w:r w:rsidR="007C4D60" w:rsidRPr="00740413">
        <w:rPr>
          <w:i/>
        </w:rPr>
        <w:t xml:space="preserve"> </w:t>
      </w:r>
      <w:r w:rsidR="007C4D60" w:rsidRPr="00740413">
        <w:t>various issues,</w:t>
      </w:r>
      <w:r w:rsidRPr="00740413">
        <w:rPr>
          <w:i/>
        </w:rPr>
        <w:t xml:space="preserve"> </w:t>
      </w:r>
      <w:r w:rsidR="00501108" w:rsidRPr="00740413">
        <w:t>Cat.</w:t>
      </w:r>
      <w:r w:rsidR="0068122D">
        <w:t> </w:t>
      </w:r>
      <w:r w:rsidR="00501108" w:rsidRPr="00740413">
        <w:t>no.</w:t>
      </w:r>
      <w:r w:rsidR="002E239F" w:rsidRPr="00740413">
        <w:t> </w:t>
      </w:r>
      <w:r w:rsidR="00501108" w:rsidRPr="00740413">
        <w:t>8221.0</w:t>
      </w:r>
      <w:r w:rsidRPr="00740413">
        <w:t>).</w:t>
      </w:r>
    </w:p>
    <w:p w:rsidR="00D50E5C" w:rsidRPr="00E455AA" w:rsidRDefault="00842FC3" w:rsidP="00D50E5C">
      <w:pPr>
        <w:pStyle w:val="BodyText"/>
        <w:rPr>
          <w:b/>
        </w:rPr>
      </w:pPr>
      <w:r w:rsidRPr="00740413">
        <w:t>I</w:t>
      </w:r>
      <w:r w:rsidR="005C73B1" w:rsidRPr="00740413">
        <w:t xml:space="preserve">nvestments </w:t>
      </w:r>
      <w:r w:rsidR="00E26E2D" w:rsidRPr="00740413">
        <w:t xml:space="preserve">in Fabricated metals </w:t>
      </w:r>
      <w:r w:rsidR="005C73B1" w:rsidRPr="00740413">
        <w:t xml:space="preserve">may have been made in association with the construction boom and in anticipation of additional future demand for construction materials. In addition, there is also evidence to suggest that investment was </w:t>
      </w:r>
      <w:r w:rsidR="00690800" w:rsidRPr="00740413">
        <w:lastRenderedPageBreak/>
        <w:t xml:space="preserve">designed to </w:t>
      </w:r>
      <w:r w:rsidR="005C73B1" w:rsidRPr="00740413">
        <w:t>allow the manufacturing of different sorts of construction goods. E</w:t>
      </w:r>
      <w:r w:rsidR="00D50E5C" w:rsidRPr="00740413">
        <w:t xml:space="preserve">xamples of innovation </w:t>
      </w:r>
      <w:r w:rsidR="005C73B1" w:rsidRPr="00740413">
        <w:t xml:space="preserve">for steel in </w:t>
      </w:r>
      <w:r w:rsidR="00D50E5C" w:rsidRPr="00740413">
        <w:t xml:space="preserve">residential construction </w:t>
      </w:r>
      <w:r w:rsidR="005C73B1" w:rsidRPr="00740413">
        <w:t xml:space="preserve">goods </w:t>
      </w:r>
      <w:r w:rsidR="00D50E5C" w:rsidRPr="00740413">
        <w:t xml:space="preserve">cited by </w:t>
      </w:r>
      <w:r w:rsidR="00236392">
        <w:t>BlueS</w:t>
      </w:r>
      <w:r w:rsidR="00D50E5C" w:rsidRPr="00236392">
        <w:t>cope</w:t>
      </w:r>
      <w:r w:rsidR="00236392">
        <w:t xml:space="preserve"> Steel</w:t>
      </w:r>
      <w:r w:rsidR="00D50E5C" w:rsidRPr="00236392">
        <w:t xml:space="preserve"> (2006)</w:t>
      </w:r>
      <w:r w:rsidR="00D50E5C" w:rsidRPr="00740413">
        <w:t xml:space="preserve"> include blue resin for coated steel and complete roofing, truss and guttering systems. The construction boom </w:t>
      </w:r>
      <w:r w:rsidR="005C73B1" w:rsidRPr="00740413">
        <w:t xml:space="preserve">also </w:t>
      </w:r>
      <w:r w:rsidR="00D50E5C" w:rsidRPr="00740413">
        <w:t>coincided with a push by the fabricated metals industry to incorporate</w:t>
      </w:r>
      <w:r w:rsidR="00AD2AE9" w:rsidRPr="00740413">
        <w:t xml:space="preserve"> a</w:t>
      </w:r>
      <w:r w:rsidR="00D50E5C" w:rsidRPr="00740413">
        <w:t xml:space="preserve"> ‘design and </w:t>
      </w:r>
      <w:r w:rsidR="00D50E5C" w:rsidRPr="00567D69">
        <w:t>construct’ trend (</w:t>
      </w:r>
      <w:r w:rsidR="00D50E5C" w:rsidRPr="00740413">
        <w:t>as had occurre</w:t>
      </w:r>
      <w:r w:rsidR="00A949E2" w:rsidRPr="00740413">
        <w:t>d in the U</w:t>
      </w:r>
      <w:r w:rsidR="00046638">
        <w:t xml:space="preserve">nited </w:t>
      </w:r>
      <w:r w:rsidR="00A949E2" w:rsidRPr="00740413">
        <w:t>K</w:t>
      </w:r>
      <w:r w:rsidR="00046638">
        <w:t>ingdom</w:t>
      </w:r>
      <w:r w:rsidR="00A949E2" w:rsidRPr="00740413">
        <w:t xml:space="preserve">) </w:t>
      </w:r>
      <w:r w:rsidR="00A949E2" w:rsidRPr="00236392">
        <w:t>(The Warren Centre</w:t>
      </w:r>
      <w:r w:rsidR="00D50E5C" w:rsidRPr="00236392">
        <w:t xml:space="preserve"> 2007).</w:t>
      </w:r>
      <w:r w:rsidR="00D50E5C" w:rsidRPr="00740413">
        <w:t xml:space="preserve"> This involves providing more tailored products to meet </w:t>
      </w:r>
      <w:r w:rsidR="005C73B1" w:rsidRPr="00740413">
        <w:t xml:space="preserve">changing </w:t>
      </w:r>
      <w:r w:rsidR="00A75444" w:rsidRPr="00740413">
        <w:t>downstream demand.</w:t>
      </w:r>
    </w:p>
    <w:p w:rsidR="00D8403B" w:rsidRDefault="00D8403B" w:rsidP="00E455AA">
      <w:pPr>
        <w:pStyle w:val="Heading3"/>
      </w:pPr>
      <w:r>
        <w:t>Labour</w:t>
      </w:r>
    </w:p>
    <w:p w:rsidR="00E709C6" w:rsidRDefault="00DC5612" w:rsidP="00E709C6">
      <w:pPr>
        <w:pStyle w:val="BodyText"/>
      </w:pPr>
      <w:r>
        <w:t>T</w:t>
      </w:r>
      <w:r w:rsidR="00225DE8">
        <w:t xml:space="preserve">here was growth in </w:t>
      </w:r>
      <w:r w:rsidR="00B631C1">
        <w:t>hours worked</w:t>
      </w:r>
      <w:r w:rsidR="00225DE8">
        <w:t xml:space="preserve"> in </w:t>
      </w:r>
      <w:r w:rsidR="006B0816">
        <w:t>MP</w:t>
      </w:r>
      <w:r w:rsidR="00225DE8">
        <w:t xml:space="preserve"> over cycle 4</w:t>
      </w:r>
      <w:r w:rsidR="00B631C1">
        <w:t xml:space="preserve">, after a </w:t>
      </w:r>
      <w:r w:rsidR="003A1CD5">
        <w:t>decline</w:t>
      </w:r>
      <w:r w:rsidR="00B631C1">
        <w:t xml:space="preserve"> over cycle 3 (table 6.6)</w:t>
      </w:r>
      <w:r w:rsidR="00225DE8">
        <w:t>.</w:t>
      </w:r>
      <w:r w:rsidR="00640C84">
        <w:t xml:space="preserve"> </w:t>
      </w:r>
      <w:r w:rsidR="003469A7">
        <w:t xml:space="preserve">It is difficult to establish </w:t>
      </w:r>
      <w:r w:rsidR="00FF7E31">
        <w:t xml:space="preserve">definitively </w:t>
      </w:r>
      <w:r w:rsidR="003469A7">
        <w:t>which of the subdivisions within MP contributed to this growth in hour</w:t>
      </w:r>
      <w:r w:rsidR="007E4BD4">
        <w:t>s</w:t>
      </w:r>
      <w:r w:rsidR="003469A7">
        <w:t xml:space="preserve"> worked. One source of disaggregated data suggests that </w:t>
      </w:r>
      <w:r w:rsidR="00A0543A">
        <w:t xml:space="preserve">employment in </w:t>
      </w:r>
      <w:r w:rsidR="00CC3F19">
        <w:t>Fabricated metal</w:t>
      </w:r>
      <w:r w:rsidR="008938A0">
        <w:t>s</w:t>
      </w:r>
      <w:r w:rsidR="003469A7">
        <w:t xml:space="preserve"> grew over cycle</w:t>
      </w:r>
      <w:r w:rsidR="00EB348F">
        <w:t> </w:t>
      </w:r>
      <w:r w:rsidR="003469A7">
        <w:t>4</w:t>
      </w:r>
      <w:r w:rsidR="00993830">
        <w:t xml:space="preserve">. This is consistent with </w:t>
      </w:r>
      <w:r w:rsidR="007E4BD4">
        <w:t xml:space="preserve">value added </w:t>
      </w:r>
      <w:r w:rsidR="00993830">
        <w:t xml:space="preserve">growth in </w:t>
      </w:r>
      <w:r w:rsidR="007E4BD4">
        <w:t xml:space="preserve">Fabricated metals </w:t>
      </w:r>
      <w:r w:rsidR="00993830">
        <w:t>— particular</w:t>
      </w:r>
      <w:r w:rsidR="00B014DE">
        <w:t>ly</w:t>
      </w:r>
      <w:r w:rsidR="00993830">
        <w:t xml:space="preserve"> those parts related to construction. (</w:t>
      </w:r>
      <w:r w:rsidR="003469A7">
        <w:t xml:space="preserve">For a comparison of the alternative data sources see appendix </w:t>
      </w:r>
      <w:r w:rsidR="00663B1F">
        <w:t>H</w:t>
      </w:r>
      <w:r w:rsidR="003469A7">
        <w:t>.</w:t>
      </w:r>
      <w:r w:rsidR="00993830">
        <w:t>)</w:t>
      </w:r>
    </w:p>
    <w:p w:rsidR="000F4155" w:rsidRPr="00EC4839" w:rsidRDefault="000F4155">
      <w:pPr>
        <w:pStyle w:val="TableTitle"/>
        <w:rPr>
          <w:sz w:val="24"/>
        </w:rPr>
      </w:pPr>
      <w:r w:rsidRPr="00EC4839">
        <w:rPr>
          <w:b w:val="0"/>
          <w:sz w:val="24"/>
        </w:rPr>
        <w:t xml:space="preserve">Table </w:t>
      </w:r>
      <w:bookmarkStart w:id="33" w:name="OLE_LINK5"/>
      <w:r w:rsidR="0089219D" w:rsidRPr="00EC4839">
        <w:rPr>
          <w:b w:val="0"/>
          <w:sz w:val="24"/>
        </w:rPr>
        <w:t>6.</w:t>
      </w:r>
      <w:r w:rsidR="00227A34">
        <w:rPr>
          <w:b w:val="0"/>
          <w:noProof/>
          <w:sz w:val="24"/>
        </w:rPr>
        <w:t>6</w:t>
      </w:r>
      <w:bookmarkEnd w:id="33"/>
      <w:r w:rsidRPr="00EC4839">
        <w:rPr>
          <w:sz w:val="24"/>
        </w:rPr>
        <w:tab/>
      </w:r>
      <w:r w:rsidR="00834128">
        <w:rPr>
          <w:sz w:val="24"/>
        </w:rPr>
        <w:t>Metal products h</w:t>
      </w:r>
      <w:r w:rsidR="00D809BA">
        <w:rPr>
          <w:sz w:val="24"/>
        </w:rPr>
        <w:t>ours worked</w:t>
      </w:r>
    </w:p>
    <w:p w:rsidR="00E709C6" w:rsidRPr="00834128" w:rsidRDefault="000D2F10" w:rsidP="00834128">
      <w:pPr>
        <w:pStyle w:val="Subtitle"/>
      </w:pPr>
      <w:r>
        <w:t>Average annual growth rate (per cent)</w:t>
      </w:r>
    </w:p>
    <w:tbl>
      <w:tblPr>
        <w:tblW w:w="5000" w:type="pct"/>
        <w:tblCellMar>
          <w:left w:w="0" w:type="dxa"/>
          <w:right w:w="0" w:type="dxa"/>
        </w:tblCellMar>
        <w:tblLook w:val="0000" w:firstRow="0" w:lastRow="0" w:firstColumn="0" w:lastColumn="0" w:noHBand="0" w:noVBand="0"/>
      </w:tblPr>
      <w:tblGrid>
        <w:gridCol w:w="6833"/>
        <w:gridCol w:w="1956"/>
      </w:tblGrid>
      <w:tr w:rsidR="000F4155" w:rsidTr="000F4155">
        <w:tc>
          <w:tcPr>
            <w:tcW w:w="3887" w:type="pct"/>
            <w:tcBorders>
              <w:top w:val="single" w:sz="6" w:space="0" w:color="auto"/>
              <w:bottom w:val="single" w:sz="6" w:space="0" w:color="auto"/>
            </w:tcBorders>
            <w:shd w:val="clear" w:color="auto" w:fill="auto"/>
          </w:tcPr>
          <w:p w:rsidR="000F4155" w:rsidRDefault="000F4155" w:rsidP="000F4155">
            <w:pPr>
              <w:pStyle w:val="TableColumnHeading"/>
              <w:jc w:val="left"/>
            </w:pPr>
          </w:p>
        </w:tc>
        <w:tc>
          <w:tcPr>
            <w:tcW w:w="1113" w:type="pct"/>
            <w:tcBorders>
              <w:top w:val="single" w:sz="6" w:space="0" w:color="auto"/>
              <w:bottom w:val="single" w:sz="6" w:space="0" w:color="auto"/>
            </w:tcBorders>
            <w:shd w:val="clear" w:color="auto" w:fill="auto"/>
          </w:tcPr>
          <w:p w:rsidR="000F4155" w:rsidRDefault="00834128" w:rsidP="000F4155">
            <w:pPr>
              <w:pStyle w:val="TableColumnHeading"/>
              <w:ind w:right="28"/>
            </w:pPr>
            <w:r>
              <w:t>Growth</w:t>
            </w:r>
          </w:p>
        </w:tc>
      </w:tr>
      <w:tr w:rsidR="000F4155" w:rsidTr="0096442A">
        <w:tc>
          <w:tcPr>
            <w:tcW w:w="3887" w:type="pct"/>
            <w:shd w:val="clear" w:color="auto" w:fill="D9D9D9" w:themeFill="background1" w:themeFillShade="D9"/>
          </w:tcPr>
          <w:p w:rsidR="000F4155" w:rsidRPr="00056014" w:rsidRDefault="00834128" w:rsidP="00DD130A">
            <w:pPr>
              <w:pStyle w:val="TableBodyText"/>
              <w:spacing w:before="40"/>
              <w:jc w:val="left"/>
            </w:pPr>
            <w:r>
              <w:t>Cycle 3: 1998-99 to 2003-04</w:t>
            </w:r>
          </w:p>
        </w:tc>
        <w:tc>
          <w:tcPr>
            <w:tcW w:w="1113" w:type="pct"/>
            <w:shd w:val="clear" w:color="auto" w:fill="D9D9D9" w:themeFill="background1" w:themeFillShade="D9"/>
          </w:tcPr>
          <w:p w:rsidR="000F4155" w:rsidRPr="00056014" w:rsidRDefault="000F4155" w:rsidP="00DD130A">
            <w:pPr>
              <w:pStyle w:val="TableBodyText"/>
              <w:spacing w:before="40"/>
            </w:pPr>
            <w:r w:rsidRPr="00056014">
              <w:t>-2.6</w:t>
            </w:r>
          </w:p>
        </w:tc>
      </w:tr>
      <w:tr w:rsidR="000F4155" w:rsidTr="00233787">
        <w:tc>
          <w:tcPr>
            <w:tcW w:w="3887" w:type="pct"/>
            <w:shd w:val="clear" w:color="auto" w:fill="auto"/>
          </w:tcPr>
          <w:p w:rsidR="000F4155" w:rsidRPr="00056014" w:rsidRDefault="00834128" w:rsidP="00DD130A">
            <w:pPr>
              <w:pStyle w:val="TableBodyText"/>
              <w:spacing w:before="40"/>
              <w:jc w:val="left"/>
            </w:pPr>
            <w:r>
              <w:t>Cycle 4: 2003-04 to 2007-08</w:t>
            </w:r>
          </w:p>
        </w:tc>
        <w:tc>
          <w:tcPr>
            <w:tcW w:w="1113" w:type="pct"/>
            <w:shd w:val="clear" w:color="auto" w:fill="auto"/>
          </w:tcPr>
          <w:p w:rsidR="000F4155" w:rsidRPr="00056014" w:rsidRDefault="000F4155" w:rsidP="00DD130A">
            <w:pPr>
              <w:pStyle w:val="TableBodyText"/>
              <w:spacing w:before="40"/>
            </w:pPr>
            <w:r w:rsidRPr="00056014">
              <w:t>1.5</w:t>
            </w:r>
          </w:p>
        </w:tc>
      </w:tr>
      <w:tr w:rsidR="000F4155" w:rsidTr="0096442A">
        <w:tc>
          <w:tcPr>
            <w:tcW w:w="3887" w:type="pct"/>
            <w:tcBorders>
              <w:bottom w:val="single" w:sz="6" w:space="0" w:color="auto"/>
            </w:tcBorders>
            <w:shd w:val="clear" w:color="auto" w:fill="D9D9D9" w:themeFill="background1" w:themeFillShade="D9"/>
          </w:tcPr>
          <w:p w:rsidR="000F4155" w:rsidRPr="00056014" w:rsidRDefault="000F4155" w:rsidP="00DD130A">
            <w:pPr>
              <w:pStyle w:val="TableBodyText"/>
              <w:spacing w:before="40"/>
              <w:jc w:val="left"/>
            </w:pPr>
            <w:r w:rsidRPr="00056014">
              <w:t>Incom</w:t>
            </w:r>
            <w:r w:rsidR="00834128">
              <w:t>plete cycle: 2007-08 to 2010-11</w:t>
            </w:r>
          </w:p>
        </w:tc>
        <w:tc>
          <w:tcPr>
            <w:tcW w:w="1113" w:type="pct"/>
            <w:tcBorders>
              <w:bottom w:val="single" w:sz="6" w:space="0" w:color="auto"/>
            </w:tcBorders>
            <w:shd w:val="clear" w:color="auto" w:fill="D9D9D9" w:themeFill="background1" w:themeFillShade="D9"/>
          </w:tcPr>
          <w:p w:rsidR="000F4155" w:rsidRDefault="000F4155" w:rsidP="00DD130A">
            <w:pPr>
              <w:pStyle w:val="TableBodyText"/>
              <w:spacing w:before="40"/>
            </w:pPr>
            <w:r w:rsidRPr="00056014">
              <w:t>-2.7</w:t>
            </w:r>
          </w:p>
        </w:tc>
      </w:tr>
    </w:tbl>
    <w:p w:rsidR="000F4155" w:rsidRPr="000F4155" w:rsidRDefault="000F4155" w:rsidP="000F4155">
      <w:pPr>
        <w:pStyle w:val="Source"/>
      </w:pPr>
      <w:r>
        <w:rPr>
          <w:i/>
        </w:rPr>
        <w:t>Sources</w:t>
      </w:r>
      <w:r>
        <w:t xml:space="preserve">: </w:t>
      </w:r>
      <w:r w:rsidR="005E7B52">
        <w:t xml:space="preserve">Authors’ estimates based on </w:t>
      </w:r>
      <w:r>
        <w:t>ABS (</w:t>
      </w:r>
      <w:r w:rsidR="005E7B52">
        <w:t>u</w:t>
      </w:r>
      <w:r w:rsidR="00834128">
        <w:t xml:space="preserve">npublished </w:t>
      </w:r>
      <w:r>
        <w:t xml:space="preserve">Labour </w:t>
      </w:r>
      <w:r w:rsidR="00834128">
        <w:t>F</w:t>
      </w:r>
      <w:r>
        <w:t xml:space="preserve">orce </w:t>
      </w:r>
      <w:r w:rsidR="00834128">
        <w:t>S</w:t>
      </w:r>
      <w:r>
        <w:t>urvey</w:t>
      </w:r>
      <w:r w:rsidR="00834128">
        <w:t xml:space="preserve"> </w:t>
      </w:r>
      <w:r>
        <w:t>data).</w:t>
      </w:r>
    </w:p>
    <w:p w:rsidR="00023AE5" w:rsidRPr="00A46BFB" w:rsidRDefault="00023AE5" w:rsidP="00023AE5">
      <w:pPr>
        <w:pStyle w:val="Heading2"/>
      </w:pPr>
      <w:r w:rsidRPr="00A46BFB">
        <w:t>6.</w:t>
      </w:r>
      <w:r w:rsidR="00227A34">
        <w:rPr>
          <w:noProof/>
        </w:rPr>
        <w:t>5</w:t>
      </w:r>
      <w:r w:rsidRPr="00A46BFB">
        <w:tab/>
        <w:t>Drawing together the implications for productivity</w:t>
      </w:r>
    </w:p>
    <w:p w:rsidR="008620BA" w:rsidRPr="00A46BFB" w:rsidRDefault="00062B16" w:rsidP="00B939BD">
      <w:pPr>
        <w:pStyle w:val="BodyText"/>
      </w:pPr>
      <w:r w:rsidRPr="00A46BFB">
        <w:t xml:space="preserve">Metal product manufacturing made the third largest contribution to the slowdown in MFP growth within </w:t>
      </w:r>
      <w:r w:rsidR="00A82AE1" w:rsidRPr="00A46BFB">
        <w:t>M</w:t>
      </w:r>
      <w:r w:rsidRPr="00A46BFB">
        <w:t xml:space="preserve">anufacturing between productivity cycles 3 and 4. This negative growth in </w:t>
      </w:r>
      <w:r w:rsidR="00FB6845">
        <w:t>the subsector’s</w:t>
      </w:r>
      <w:r w:rsidR="00FB6845" w:rsidRPr="00A46BFB">
        <w:t xml:space="preserve"> </w:t>
      </w:r>
      <w:r w:rsidRPr="00A46BFB">
        <w:t>MFP was driven by very strong growth in inputs</w:t>
      </w:r>
      <w:r w:rsidR="00EA6A95" w:rsidRPr="00A46BFB">
        <w:t>,</w:t>
      </w:r>
      <w:r w:rsidRPr="00A46BFB">
        <w:t xml:space="preserve"> </w:t>
      </w:r>
      <w:r w:rsidR="00EA6A95" w:rsidRPr="00A46BFB">
        <w:t xml:space="preserve">which </w:t>
      </w:r>
      <w:r w:rsidRPr="00A46BFB">
        <w:t>outpa</w:t>
      </w:r>
      <w:r w:rsidR="00EA6A95" w:rsidRPr="00A46BFB">
        <w:t>ced</w:t>
      </w:r>
      <w:r w:rsidRPr="00A46BFB">
        <w:t xml:space="preserve"> particularly strong growth in outputs. However, growth in inputs and outputs were very different across the </w:t>
      </w:r>
      <w:r w:rsidR="00A14D4C" w:rsidRPr="00A46BFB">
        <w:t>two</w:t>
      </w:r>
      <w:r w:rsidRPr="00A46BFB">
        <w:t xml:space="preserve"> subdivisions within</w:t>
      </w:r>
      <w:r w:rsidR="00B014DE">
        <w:t xml:space="preserve"> the</w:t>
      </w:r>
      <w:r w:rsidRPr="00A46BFB">
        <w:t xml:space="preserve"> subsector.</w:t>
      </w:r>
      <w:r w:rsidR="00573862" w:rsidRPr="00A46BFB">
        <w:t xml:space="preserve"> </w:t>
      </w:r>
      <w:r w:rsidR="008620BA" w:rsidRPr="00A46BFB">
        <w:t xml:space="preserve">The strong </w:t>
      </w:r>
      <w:r w:rsidR="001F676F" w:rsidRPr="00A46BFB">
        <w:t>value added</w:t>
      </w:r>
      <w:r w:rsidR="00A82AE1" w:rsidRPr="00A46BFB">
        <w:t xml:space="preserve"> </w:t>
      </w:r>
      <w:r w:rsidR="008620BA" w:rsidRPr="00A46BFB">
        <w:t>growth observed in the subsector appears to have been driven by growth in Fabricated metals</w:t>
      </w:r>
      <w:r w:rsidR="00A82AE1" w:rsidRPr="00A46BFB">
        <w:t>,</w:t>
      </w:r>
      <w:r w:rsidR="008620BA" w:rsidRPr="00A46BFB">
        <w:t xml:space="preserve"> motivated by stronger demand from the domestic construction and mining sectors</w:t>
      </w:r>
      <w:r w:rsidR="00481A62" w:rsidRPr="00A46BFB">
        <w:t>.</w:t>
      </w:r>
      <w:r w:rsidR="008620BA" w:rsidRPr="00A46BFB">
        <w:t xml:space="preserve"> </w:t>
      </w:r>
      <w:r w:rsidR="00A82AE1" w:rsidRPr="00A46BFB">
        <w:t xml:space="preserve">There was also some </w:t>
      </w:r>
      <w:r w:rsidR="001F676F" w:rsidRPr="00A46BFB">
        <w:t>value added</w:t>
      </w:r>
      <w:r w:rsidR="00A82AE1" w:rsidRPr="00A46BFB">
        <w:t xml:space="preserve"> growth in </w:t>
      </w:r>
      <w:r w:rsidR="00293060" w:rsidRPr="00A46BFB">
        <w:t xml:space="preserve">parts of </w:t>
      </w:r>
      <w:r w:rsidR="00A82AE1" w:rsidRPr="00A46BFB">
        <w:t>Primary metals — primarily in alumina refining.</w:t>
      </w:r>
    </w:p>
    <w:p w:rsidR="00704ED1" w:rsidRPr="00A46BFB" w:rsidRDefault="00704ED1" w:rsidP="00B939BD">
      <w:pPr>
        <w:pStyle w:val="BodyText"/>
      </w:pPr>
      <w:r w:rsidRPr="00A46BFB">
        <w:t xml:space="preserve">Growth in capital inputs accounted for around 63 per cent of the growth in </w:t>
      </w:r>
      <w:r w:rsidR="00315148" w:rsidRPr="00A46BFB">
        <w:t xml:space="preserve">combined </w:t>
      </w:r>
      <w:r w:rsidRPr="00A46BFB">
        <w:t>inputs between cycles</w:t>
      </w:r>
      <w:r w:rsidR="00A82AE1" w:rsidRPr="00A46BFB">
        <w:t xml:space="preserve"> 3 and 4</w:t>
      </w:r>
      <w:r w:rsidRPr="00A46BFB">
        <w:t xml:space="preserve">, with practically all of the investment growth </w:t>
      </w:r>
      <w:r w:rsidR="00DB2189" w:rsidRPr="00A46BFB">
        <w:t xml:space="preserve">taking place </w:t>
      </w:r>
      <w:r w:rsidRPr="00A46BFB">
        <w:t>in Primary metal</w:t>
      </w:r>
      <w:r w:rsidR="00573223">
        <w:t>s</w:t>
      </w:r>
      <w:r w:rsidRPr="00A46BFB">
        <w:t xml:space="preserve">. </w:t>
      </w:r>
      <w:r w:rsidR="00A82AE1" w:rsidRPr="00A46BFB">
        <w:t xml:space="preserve">This </w:t>
      </w:r>
      <w:r w:rsidRPr="00A46BFB">
        <w:t xml:space="preserve">investment </w:t>
      </w:r>
      <w:r w:rsidR="00A82AE1" w:rsidRPr="00A46BFB">
        <w:t xml:space="preserve">— the bulk of which was in </w:t>
      </w:r>
      <w:r w:rsidR="00A82AE1" w:rsidRPr="00A46BFB">
        <w:lastRenderedPageBreak/>
        <w:t xml:space="preserve">alumina refining — was </w:t>
      </w:r>
      <w:r w:rsidRPr="00A46BFB">
        <w:t xml:space="preserve">associated with building new </w:t>
      </w:r>
      <w:r w:rsidR="00A82AE1" w:rsidRPr="00A46BFB">
        <w:t xml:space="preserve">metal refining assets </w:t>
      </w:r>
      <w:r w:rsidRPr="00A46BFB">
        <w:t xml:space="preserve">and upgrading existing </w:t>
      </w:r>
      <w:r w:rsidR="00A82AE1" w:rsidRPr="00A46BFB">
        <w:t>ones</w:t>
      </w:r>
      <w:r w:rsidR="00C21BDD" w:rsidRPr="00A46BFB">
        <w:t xml:space="preserve">. </w:t>
      </w:r>
      <w:r w:rsidR="00A82AE1" w:rsidRPr="00A46BFB">
        <w:t>This expansion was</w:t>
      </w:r>
      <w:r w:rsidR="00C21BDD" w:rsidRPr="00A46BFB">
        <w:t xml:space="preserve"> in</w:t>
      </w:r>
      <w:r w:rsidRPr="00A46BFB">
        <w:t xml:space="preserve"> response to the higher commodity prices observed over 2003-04 to 20</w:t>
      </w:r>
      <w:r w:rsidR="00C21BDD" w:rsidRPr="00A46BFB">
        <w:t>07-08 and</w:t>
      </w:r>
      <w:r w:rsidR="00A14D4C" w:rsidRPr="00A46BFB">
        <w:t xml:space="preserve"> in</w:t>
      </w:r>
      <w:r w:rsidR="00C21BDD" w:rsidRPr="00A46BFB">
        <w:t xml:space="preserve"> anticipation of strong demand in the future.</w:t>
      </w:r>
    </w:p>
    <w:p w:rsidR="00C21BDD" w:rsidRPr="00A46BFB" w:rsidRDefault="00C21BDD" w:rsidP="00B939BD">
      <w:pPr>
        <w:pStyle w:val="BodyText"/>
      </w:pPr>
      <w:r w:rsidRPr="00A46BFB">
        <w:t xml:space="preserve">Growth in hours worked between the cycles accounted for the remaining 37 per cent of growth in </w:t>
      </w:r>
      <w:r w:rsidR="00A82AE1" w:rsidRPr="00A46BFB">
        <w:t xml:space="preserve">total </w:t>
      </w:r>
      <w:r w:rsidRPr="00A46BFB">
        <w:t>inputs</w:t>
      </w:r>
      <w:r w:rsidR="006F68F1" w:rsidRPr="00A46BFB">
        <w:t xml:space="preserve">, with </w:t>
      </w:r>
      <w:r w:rsidR="00A52DA6" w:rsidRPr="00A46BFB">
        <w:t>Fabricated</w:t>
      </w:r>
      <w:r w:rsidR="006F68F1" w:rsidRPr="00A46BFB">
        <w:t xml:space="preserve"> metal</w:t>
      </w:r>
      <w:r w:rsidR="00573223">
        <w:t>s</w:t>
      </w:r>
      <w:r w:rsidR="006F68F1" w:rsidRPr="00A46BFB">
        <w:t xml:space="preserve"> </w:t>
      </w:r>
      <w:r w:rsidR="00A52DA6" w:rsidRPr="00A46BFB">
        <w:t>likely to have contributed most</w:t>
      </w:r>
      <w:r w:rsidR="006F68F1" w:rsidRPr="00A46BFB">
        <w:t xml:space="preserve"> of </w:t>
      </w:r>
      <w:r w:rsidR="00A82AE1" w:rsidRPr="00A46BFB">
        <w:t xml:space="preserve">this </w:t>
      </w:r>
      <w:r w:rsidR="006F68F1" w:rsidRPr="00A46BFB">
        <w:t>growth</w:t>
      </w:r>
      <w:r w:rsidR="002B6057" w:rsidRPr="00A46BFB">
        <w:t xml:space="preserve">. </w:t>
      </w:r>
      <w:r w:rsidR="00044B41" w:rsidRPr="00A46BFB">
        <w:t>This rise in the number of hours worked during cycle</w:t>
      </w:r>
      <w:r w:rsidR="00143EF5" w:rsidRPr="00A46BFB">
        <w:t xml:space="preserve"> </w:t>
      </w:r>
      <w:r w:rsidR="00A82AE1" w:rsidRPr="00A46BFB">
        <w:t xml:space="preserve">4 </w:t>
      </w:r>
      <w:r w:rsidR="00054750" w:rsidRPr="00A46BFB">
        <w:t xml:space="preserve">was </w:t>
      </w:r>
      <w:r w:rsidR="00143EF5" w:rsidRPr="00A46BFB">
        <w:t>significant as it reverse</w:t>
      </w:r>
      <w:r w:rsidR="00740413" w:rsidRPr="00A46BFB">
        <w:t>d</w:t>
      </w:r>
      <w:r w:rsidR="00143EF5" w:rsidRPr="00A46BFB">
        <w:t xml:space="preserve"> </w:t>
      </w:r>
      <w:r w:rsidR="00044B41" w:rsidRPr="00A46BFB">
        <w:t xml:space="preserve">a </w:t>
      </w:r>
      <w:r w:rsidR="00044B41" w:rsidRPr="00D61F45">
        <w:t>trend</w:t>
      </w:r>
      <w:r w:rsidR="00044B41" w:rsidRPr="00A46BFB">
        <w:t xml:space="preserve"> of declining hours worked for the subsector, which had reduced hours worked i</w:t>
      </w:r>
      <w:r w:rsidR="00D95A7E" w:rsidRPr="00A46BFB">
        <w:t xml:space="preserve">n every cycle since 1988-89. </w:t>
      </w:r>
    </w:p>
    <w:p w:rsidR="00143EF5" w:rsidRPr="00A46BFB" w:rsidRDefault="00143EF5" w:rsidP="00B939BD">
      <w:pPr>
        <w:pStyle w:val="BodyText"/>
      </w:pPr>
      <w:r w:rsidRPr="00A46BFB">
        <w:t>Fabricated metal</w:t>
      </w:r>
      <w:r w:rsidR="008938A0">
        <w:t>s</w:t>
      </w:r>
      <w:r w:rsidRPr="00A46BFB">
        <w:t xml:space="preserve"> appears </w:t>
      </w:r>
      <w:r w:rsidR="00451655" w:rsidRPr="00A46BFB">
        <w:t xml:space="preserve">likely </w:t>
      </w:r>
      <w:r w:rsidRPr="00A46BFB">
        <w:t>to have experienced positive MFP growth over cycle 4 — a result of having the bulk of the output growth over the period</w:t>
      </w:r>
      <w:r w:rsidR="00F324F1" w:rsidRPr="00A46BFB">
        <w:t xml:space="preserve">, </w:t>
      </w:r>
      <w:r w:rsidR="00451655" w:rsidRPr="00A46BFB">
        <w:t xml:space="preserve">although it also had most of the </w:t>
      </w:r>
      <w:r w:rsidR="00F324F1" w:rsidRPr="00A46BFB">
        <w:t>labour input growth</w:t>
      </w:r>
      <w:r w:rsidRPr="00A46BFB">
        <w:t xml:space="preserve">. </w:t>
      </w:r>
    </w:p>
    <w:p w:rsidR="00E93E5D" w:rsidRPr="00A46BFB" w:rsidRDefault="00143EF5" w:rsidP="00B939BD">
      <w:pPr>
        <w:pStyle w:val="BodyText"/>
      </w:pPr>
      <w:r w:rsidRPr="00A46BFB">
        <w:t xml:space="preserve">In contrast, </w:t>
      </w:r>
      <w:r w:rsidR="00E93E5D" w:rsidRPr="00A46BFB">
        <w:t>Primary metal</w:t>
      </w:r>
      <w:r w:rsidR="00573223">
        <w:t>s</w:t>
      </w:r>
      <w:r w:rsidR="00E93E5D" w:rsidRPr="00A46BFB">
        <w:t xml:space="preserve"> is likely to have contributed nearly all the decline in MFP, </w:t>
      </w:r>
      <w:r w:rsidRPr="00A46BFB">
        <w:t xml:space="preserve">due to </w:t>
      </w:r>
      <w:r w:rsidR="00E93E5D" w:rsidRPr="00A46BFB">
        <w:t xml:space="preserve">extraordinary growth in </w:t>
      </w:r>
      <w:r w:rsidR="000F3933" w:rsidRPr="00A46BFB">
        <w:t>capital inputs</w:t>
      </w:r>
      <w:r w:rsidR="00A82AE1" w:rsidRPr="00A46BFB">
        <w:t xml:space="preserve"> </w:t>
      </w:r>
      <w:r w:rsidR="00E93E5D" w:rsidRPr="00A46BFB">
        <w:t>without any evidence of growth in the real volume of output</w:t>
      </w:r>
      <w:r w:rsidR="00E6139C" w:rsidRPr="00A46BFB">
        <w:t xml:space="preserve"> for the subdivision in total.</w:t>
      </w:r>
      <w:r w:rsidR="00D4698C" w:rsidRPr="00A46BFB">
        <w:t xml:space="preserve"> There may be an element of ‘capital-lag’ to </w:t>
      </w:r>
      <w:r w:rsidR="00F93CD9" w:rsidRPr="00A46BFB">
        <w:t>this result</w:t>
      </w:r>
      <w:r w:rsidR="00B4016C" w:rsidRPr="00A46BFB">
        <w:t>,</w:t>
      </w:r>
      <w:r w:rsidR="00CF47A0" w:rsidRPr="00A46BFB">
        <w:t xml:space="preserve"> </w:t>
      </w:r>
      <w:r w:rsidR="00B4016C" w:rsidRPr="00A46BFB">
        <w:t xml:space="preserve">although the length of </w:t>
      </w:r>
      <w:r w:rsidR="007030F8" w:rsidRPr="00A46BFB">
        <w:t xml:space="preserve">such a </w:t>
      </w:r>
      <w:r w:rsidR="00B4016C" w:rsidRPr="00A46BFB">
        <w:t>lag may be longer than expected</w:t>
      </w:r>
      <w:r w:rsidR="007030F8" w:rsidRPr="00A46BFB">
        <w:t>,</w:t>
      </w:r>
      <w:r w:rsidR="00B4016C" w:rsidRPr="00A46BFB">
        <w:t xml:space="preserve"> as</w:t>
      </w:r>
      <w:r w:rsidR="00CF47A0" w:rsidRPr="00A46BFB">
        <w:t xml:space="preserve"> falling demand in the incomplete cycle means that the investment in capital </w:t>
      </w:r>
      <w:r w:rsidR="00F41CDE" w:rsidRPr="00A46BFB">
        <w:t>is</w:t>
      </w:r>
      <w:r w:rsidR="00CF47A0" w:rsidRPr="00A46BFB">
        <w:t xml:space="preserve"> </w:t>
      </w:r>
      <w:r w:rsidR="00F41CDE" w:rsidRPr="00A46BFB">
        <w:t>yet to be</w:t>
      </w:r>
      <w:r w:rsidR="00CF47A0" w:rsidRPr="00A46BFB">
        <w:t xml:space="preserve"> fully utilised.</w:t>
      </w:r>
    </w:p>
    <w:p w:rsidR="00F71146" w:rsidRPr="00A46BFB" w:rsidRDefault="000F3933" w:rsidP="00717766">
      <w:pPr>
        <w:pStyle w:val="BodyText"/>
      </w:pPr>
      <w:r w:rsidRPr="00A46BFB">
        <w:t xml:space="preserve">In summary, </w:t>
      </w:r>
      <w:r w:rsidR="00A82AE1" w:rsidRPr="00A46BFB">
        <w:t>P</w:t>
      </w:r>
      <w:r w:rsidR="00717766" w:rsidRPr="00A46BFB">
        <w:t xml:space="preserve">rimary and Fabricated metals appear to have been pulling MFP in </w:t>
      </w:r>
      <w:r w:rsidR="00AD52A2">
        <w:t xml:space="preserve">the MP subsector in </w:t>
      </w:r>
      <w:r w:rsidR="00717766" w:rsidRPr="00A46BFB">
        <w:t>different directions</w:t>
      </w:r>
      <w:r w:rsidR="00330417" w:rsidRPr="00A46BFB">
        <w:t xml:space="preserve"> between </w:t>
      </w:r>
      <w:r w:rsidR="00A970C9" w:rsidRPr="00A46BFB">
        <w:t>cycles</w:t>
      </w:r>
      <w:r w:rsidR="00717766" w:rsidRPr="00A46BFB">
        <w:t xml:space="preserve"> </w:t>
      </w:r>
      <w:r w:rsidR="00A82AE1" w:rsidRPr="00A46BFB">
        <w:t xml:space="preserve">3 and 4, </w:t>
      </w:r>
      <w:r w:rsidR="00717766" w:rsidRPr="00A46BFB">
        <w:t xml:space="preserve">with Primary metals playing the main role in the decline and Fabricated metals offsetting the scale of the decline </w:t>
      </w:r>
      <w:r w:rsidR="00F71146" w:rsidRPr="00A46BFB">
        <w:t>to some extent.</w:t>
      </w:r>
      <w:r w:rsidR="00A72182" w:rsidRPr="00A46BFB">
        <w:t xml:space="preserve"> </w:t>
      </w:r>
    </w:p>
    <w:p w:rsidR="008A3ADE" w:rsidRDefault="001D7A7D" w:rsidP="008A3ADE">
      <w:pPr>
        <w:pStyle w:val="BodyText"/>
      </w:pPr>
      <w:r w:rsidRPr="00A46BFB">
        <w:t>I</w:t>
      </w:r>
      <w:r w:rsidR="00756EB2" w:rsidRPr="00A46BFB">
        <w:t xml:space="preserve">t appears likely that the decline in MFP in </w:t>
      </w:r>
      <w:r w:rsidR="004C0EBD" w:rsidRPr="00A46BFB">
        <w:t>MP</w:t>
      </w:r>
      <w:r w:rsidR="00756EB2" w:rsidRPr="00A46BFB">
        <w:t xml:space="preserve"> over cycle 4 was exceptional.</w:t>
      </w:r>
      <w:r w:rsidR="008A3ADE">
        <w:t xml:space="preserve"> </w:t>
      </w:r>
      <w:r w:rsidR="008A3ADE" w:rsidRPr="008B5B90">
        <w:t xml:space="preserve">Average MFP growth in MP was just above zero in the incomplete cycle (0.1 per cent a year). While value added growth fell to </w:t>
      </w:r>
      <w:r w:rsidR="008A3ADE">
        <w:t>0.3 per cent a year</w:t>
      </w:r>
      <w:r w:rsidR="008A3ADE" w:rsidRPr="008B5B90">
        <w:t xml:space="preserve">, combined input growth was also very low. Hours worked fell, almost offsetting growth in capital services, which has slowed relative to the exceptional growth of cycle 4. </w:t>
      </w:r>
    </w:p>
    <w:p w:rsidR="00BE4A30" w:rsidRDefault="00BE4A30" w:rsidP="008A3ADE">
      <w:pPr>
        <w:pStyle w:val="BodyText"/>
      </w:pPr>
    </w:p>
    <w:p w:rsidR="00BE4A30" w:rsidRDefault="00BE4A30" w:rsidP="008A3ADE">
      <w:pPr>
        <w:pStyle w:val="BodyText"/>
        <w:sectPr w:rsidR="00BE4A30" w:rsidSect="00F54147">
          <w:headerReference w:type="even" r:id="rId34"/>
          <w:headerReference w:type="default" r:id="rId35"/>
          <w:footerReference w:type="even" r:id="rId36"/>
          <w:footerReference w:type="default" r:id="rId37"/>
          <w:pgSz w:w="11907" w:h="16840" w:code="9"/>
          <w:pgMar w:top="1985" w:right="1304" w:bottom="1418" w:left="1814" w:header="1701" w:footer="567" w:gutter="0"/>
          <w:pgNumType w:start="151" w:chapSep="period"/>
          <w:cols w:space="720"/>
        </w:sectPr>
      </w:pPr>
    </w:p>
    <w:p w:rsidR="00BE4A30" w:rsidRPr="008B5B90" w:rsidRDefault="00BE4A30" w:rsidP="008A3ADE">
      <w:pPr>
        <w:pStyle w:val="BodyText"/>
      </w:pPr>
    </w:p>
    <w:sectPr w:rsidR="00BE4A30" w:rsidRPr="008B5B90" w:rsidSect="00BE4A30">
      <w:headerReference w:type="even" r:id="rId38"/>
      <w:footerReference w:type="even" r:id="rId39"/>
      <w:type w:val="evenPage"/>
      <w:pgSz w:w="11907" w:h="16840" w:code="9"/>
      <w:pgMar w:top="1985" w:right="1304" w:bottom="1418" w:left="1814" w:header="1701" w:footer="567" w:gutter="0"/>
      <w:pgNumType w:start="135"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0E99" w:rsidRDefault="00180E99">
      <w:r>
        <w:separator/>
      </w:r>
    </w:p>
  </w:endnote>
  <w:endnote w:type="continuationSeparator" w:id="0">
    <w:p w:rsidR="00180E99" w:rsidRDefault="00180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180E99">
      <w:trPr>
        <w:trHeight w:hRule="exact" w:val="740"/>
      </w:trPr>
      <w:tc>
        <w:tcPr>
          <w:tcW w:w="510" w:type="dxa"/>
          <w:tcBorders>
            <w:top w:val="single" w:sz="6" w:space="0" w:color="auto"/>
          </w:tcBorders>
        </w:tcPr>
        <w:p w:rsidR="00180E99" w:rsidRDefault="00180E99"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BA27E3">
            <w:rPr>
              <w:rStyle w:val="PageNumber"/>
              <w:noProof/>
            </w:rPr>
            <w:t>180</w:t>
          </w:r>
          <w:r>
            <w:rPr>
              <w:rStyle w:val="PageNumber"/>
            </w:rPr>
            <w:fldChar w:fldCharType="end"/>
          </w:r>
        </w:p>
      </w:tc>
      <w:tc>
        <w:tcPr>
          <w:tcW w:w="1644" w:type="dxa"/>
          <w:tcBorders>
            <w:top w:val="single" w:sz="6" w:space="0" w:color="auto"/>
          </w:tcBorders>
        </w:tcPr>
        <w:p w:rsidR="00180E99" w:rsidRDefault="0047635C" w:rsidP="0019293B">
          <w:pPr>
            <w:pStyle w:val="Footer"/>
          </w:pPr>
          <w:r>
            <w:fldChar w:fldCharType="begin"/>
          </w:r>
          <w:r>
            <w:instrText xml:space="preserve"> SUBJECT  \* MERGEFORMAT </w:instrText>
          </w:r>
          <w:r>
            <w:fldChar w:fldCharType="separate"/>
          </w:r>
          <w:r w:rsidR="006A36F2">
            <w:t>Productivity in manufacturing</w:t>
          </w:r>
          <w:r>
            <w:fldChar w:fldCharType="end"/>
          </w:r>
        </w:p>
      </w:tc>
      <w:tc>
        <w:tcPr>
          <w:tcW w:w="6634" w:type="dxa"/>
        </w:tcPr>
        <w:p w:rsidR="00180E99" w:rsidRDefault="00180E99" w:rsidP="0019293B">
          <w:pPr>
            <w:pStyle w:val="Footer"/>
          </w:pPr>
        </w:p>
      </w:tc>
    </w:tr>
  </w:tbl>
  <w:p w:rsidR="00180E99" w:rsidRDefault="00180E99"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180E99">
      <w:trPr>
        <w:trHeight w:hRule="exact" w:val="740"/>
      </w:trPr>
      <w:tc>
        <w:tcPr>
          <w:tcW w:w="6634" w:type="dxa"/>
        </w:tcPr>
        <w:p w:rsidR="00180E99" w:rsidRDefault="00180E99">
          <w:pPr>
            <w:pStyle w:val="Footer"/>
            <w:ind w:right="360" w:firstLine="360"/>
          </w:pPr>
        </w:p>
      </w:tc>
      <w:tc>
        <w:tcPr>
          <w:tcW w:w="1644" w:type="dxa"/>
          <w:tcBorders>
            <w:top w:val="single" w:sz="6" w:space="0" w:color="auto"/>
          </w:tcBorders>
        </w:tcPr>
        <w:p w:rsidR="00180E99" w:rsidRDefault="00180E99">
          <w:pPr>
            <w:pStyle w:val="Footer"/>
          </w:pPr>
          <w:r>
            <w:t>PRODUCTIVITY IN METAL PRODUCTS</w:t>
          </w:r>
        </w:p>
      </w:tc>
      <w:tc>
        <w:tcPr>
          <w:tcW w:w="510" w:type="dxa"/>
          <w:tcBorders>
            <w:top w:val="single" w:sz="6" w:space="0" w:color="auto"/>
          </w:tcBorders>
        </w:tcPr>
        <w:p w:rsidR="00180E99" w:rsidRDefault="00180E99">
          <w:pPr>
            <w:pStyle w:val="Footer"/>
            <w:jc w:val="right"/>
          </w:pPr>
          <w:r>
            <w:rPr>
              <w:rStyle w:val="PageNumber"/>
            </w:rPr>
            <w:fldChar w:fldCharType="begin"/>
          </w:r>
          <w:r>
            <w:rPr>
              <w:rStyle w:val="PageNumber"/>
            </w:rPr>
            <w:instrText xml:space="preserve">PAGE  </w:instrText>
          </w:r>
          <w:r>
            <w:rPr>
              <w:rStyle w:val="PageNumber"/>
            </w:rPr>
            <w:fldChar w:fldCharType="separate"/>
          </w:r>
          <w:r w:rsidR="0047635C">
            <w:rPr>
              <w:rStyle w:val="PageNumber"/>
              <w:noProof/>
            </w:rPr>
            <w:t>151</w:t>
          </w:r>
          <w:r>
            <w:rPr>
              <w:rStyle w:val="PageNumber"/>
            </w:rPr>
            <w:fldChar w:fldCharType="end"/>
          </w:r>
        </w:p>
      </w:tc>
    </w:tr>
  </w:tbl>
  <w:p w:rsidR="00180E99" w:rsidRDefault="00180E99">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E99" w:rsidRDefault="00180E99" w:rsidP="0019293B">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0E99" w:rsidRDefault="00180E99">
      <w:r>
        <w:separator/>
      </w:r>
    </w:p>
  </w:footnote>
  <w:footnote w:type="continuationSeparator" w:id="0">
    <w:p w:rsidR="00180E99" w:rsidRDefault="00180E99">
      <w:r>
        <w:continuationSeparator/>
      </w:r>
    </w:p>
  </w:footnote>
  <w:footnote w:id="1">
    <w:p w:rsidR="00180E99" w:rsidRDefault="00180E99" w:rsidP="00775130">
      <w:pPr>
        <w:pStyle w:val="FootnoteText"/>
      </w:pPr>
      <w:r>
        <w:rPr>
          <w:rStyle w:val="FootnoteReference"/>
        </w:rPr>
        <w:footnoteRef/>
      </w:r>
      <w:r>
        <w:t xml:space="preserve"> </w:t>
      </w:r>
      <w:r>
        <w:tab/>
        <w:t xml:space="preserve">During cycle 4, the share of hours worked and investment growth comprised by Primary metals rose quickly. And since 2007-08, Primary metals has had a smaller share of value added than Fabricated metals, since value added in Primary metals has declined. More details are provided in appendix H. </w:t>
      </w:r>
    </w:p>
  </w:footnote>
  <w:footnote w:id="2">
    <w:p w:rsidR="00180E99" w:rsidRDefault="00180E99">
      <w:pPr>
        <w:pStyle w:val="FootnoteText"/>
      </w:pPr>
      <w:r>
        <w:rPr>
          <w:rStyle w:val="FootnoteReference"/>
        </w:rPr>
        <w:footnoteRef/>
      </w:r>
      <w:r>
        <w:t xml:space="preserve"> </w:t>
      </w:r>
      <w:r>
        <w:tab/>
        <w:t>Trade in all metal products is discussed in greater detail in appendix H.</w:t>
      </w:r>
    </w:p>
  </w:footnote>
  <w:footnote w:id="3">
    <w:p w:rsidR="00180E99" w:rsidRDefault="00180E99" w:rsidP="00030AD4">
      <w:pPr>
        <w:pStyle w:val="FootnoteText"/>
      </w:pPr>
      <w:r>
        <w:rPr>
          <w:rStyle w:val="FootnoteReference"/>
        </w:rPr>
        <w:footnoteRef/>
      </w:r>
      <w:r>
        <w:t xml:space="preserve"> </w:t>
      </w:r>
      <w:r>
        <w:tab/>
        <w:t>The steel industry has raised concerns that Australian suppliers are increasingly overlooked when it comes to supplying major mining and construction projects (</w:t>
      </w:r>
      <w:r w:rsidRPr="00154397">
        <w:t xml:space="preserve">McDonald 2009). Other research indicates that Metal products continues to supply a significant proportion to the mining industry and that changes in source of supply reflect the changing composition of mining projects (especially in regards to constructing new </w:t>
      </w:r>
      <w:r>
        <w:t xml:space="preserve">liquefied natural gas </w:t>
      </w:r>
      <w:r w:rsidRPr="00154397">
        <w:t xml:space="preserve">capacity) (Connolly and </w:t>
      </w:r>
      <w:proofErr w:type="spellStart"/>
      <w:r w:rsidRPr="00154397">
        <w:t>Orsmond</w:t>
      </w:r>
      <w:proofErr w:type="spellEnd"/>
      <w:r w:rsidRPr="00154397">
        <w:t> 2011).</w:t>
      </w:r>
    </w:p>
  </w:footnote>
  <w:footnote w:id="4">
    <w:p w:rsidR="00180E99" w:rsidRDefault="00180E99" w:rsidP="00B0081D">
      <w:pPr>
        <w:pStyle w:val="FootnoteText"/>
      </w:pPr>
      <w:r>
        <w:rPr>
          <w:rStyle w:val="FootnoteReference"/>
        </w:rPr>
        <w:footnoteRef/>
      </w:r>
      <w:r>
        <w:t xml:space="preserve"> </w:t>
      </w:r>
      <w:r>
        <w:tab/>
        <w:t xml:space="preserve">Proportions based on input-output tables are in nominal terms. Accordingly, changes in shares could reflect changes in volume and/or price. </w:t>
      </w:r>
    </w:p>
  </w:footnote>
  <w:footnote w:id="5">
    <w:p w:rsidR="00180E99" w:rsidRDefault="00180E99" w:rsidP="003E7B3D">
      <w:pPr>
        <w:pStyle w:val="FootnoteText"/>
      </w:pPr>
      <w:r>
        <w:rPr>
          <w:rStyle w:val="FootnoteReference"/>
        </w:rPr>
        <w:footnoteRef/>
      </w:r>
      <w:r>
        <w:t xml:space="preserve"> </w:t>
      </w:r>
      <w:r>
        <w:tab/>
        <w:t>The cycles for MP do not exactly match those of Manufacturing (appendix C), but the change in timing does not detract from the overall finding that MP has had a significant decline in MFP over the mid- to late-</w:t>
      </w:r>
      <w:proofErr w:type="spellStart"/>
      <w:r>
        <w:t>2000s</w:t>
      </w:r>
      <w:proofErr w:type="spellEnd"/>
      <w:r>
        <w:t xml:space="preserve"> and contributed to the overall decline in Manufacturing MFP. As a result, MP-specific cycles are not shown here.</w:t>
      </w:r>
    </w:p>
  </w:footnote>
  <w:footnote w:id="6">
    <w:p w:rsidR="00180E99" w:rsidRDefault="00180E99" w:rsidP="000472E5">
      <w:pPr>
        <w:pStyle w:val="FootnoteText"/>
      </w:pPr>
      <w:r>
        <w:rPr>
          <w:rStyle w:val="FootnoteReference"/>
        </w:rPr>
        <w:footnoteRef/>
      </w:r>
      <w:r>
        <w:t xml:space="preserve"> </w:t>
      </w:r>
      <w:r>
        <w:tab/>
      </w:r>
      <w:r w:rsidRPr="00F92D5B">
        <w:t>Value added is gross output less intermediate inputs used in producing that output. Intermediate inputs are the inputs used by the business other than capital and labour — for example, energy, raw materials and services. The volume of value added refers to value added with the effect of price changes removed.</w:t>
      </w:r>
      <w:r>
        <w:t xml:space="preserve"> </w:t>
      </w:r>
    </w:p>
    <w:p w:rsidR="00180E99" w:rsidRDefault="00180E99" w:rsidP="000472E5">
      <w:pPr>
        <w:pStyle w:val="FootnoteText"/>
      </w:pPr>
      <w:r>
        <w:tab/>
        <w:t xml:space="preserve">In the case of MP, there is little evidence to suggest a change in the proportion of intermediate inputs being used, thus changes in value added are being primarily driven by changes in gross output. </w:t>
      </w:r>
    </w:p>
  </w:footnote>
  <w:footnote w:id="7">
    <w:p w:rsidR="00180E99" w:rsidRDefault="00180E99">
      <w:pPr>
        <w:pStyle w:val="FootnoteText"/>
      </w:pPr>
      <w:r>
        <w:rPr>
          <w:rStyle w:val="FootnoteReference"/>
        </w:rPr>
        <w:footnoteRef/>
      </w:r>
      <w:r>
        <w:t xml:space="preserve"> </w:t>
      </w:r>
      <w:r>
        <w:tab/>
        <w:t xml:space="preserve">Comparability of data for MP from </w:t>
      </w:r>
      <w:r w:rsidRPr="000B1C73">
        <w:t xml:space="preserve">the </w:t>
      </w:r>
      <w:r>
        <w:t>National Accounts</w:t>
      </w:r>
      <w:r w:rsidRPr="000B1C73">
        <w:t xml:space="preserve"> and</w:t>
      </w:r>
      <w:r>
        <w:t xml:space="preserve"> from other ABS surveys is discussed in appendix H.</w:t>
      </w:r>
    </w:p>
  </w:footnote>
  <w:footnote w:id="8">
    <w:p w:rsidR="00180E99" w:rsidRDefault="00180E99" w:rsidP="00112BD7">
      <w:pPr>
        <w:pStyle w:val="FootnoteText"/>
      </w:pPr>
      <w:r>
        <w:rPr>
          <w:rStyle w:val="FootnoteReference"/>
        </w:rPr>
        <w:footnoteRef/>
      </w:r>
      <w:r>
        <w:t xml:space="preserve"> </w:t>
      </w:r>
      <w:r>
        <w:tab/>
        <w:t>This is borne out by an examination of the implicit price deflators for Primary metals based on the sales and service income, as well as the producer price indexes of output for the subdivision. Specifically, growth in the output producer price index for Primary metals was 1.6 and 13.5 per cent a year for cycles 3 and 4, respectively — an acceleration of 11.9 percentage points. The implicit price deflator for sales and service income for Primary metals grew at a rate of 5.3 and 15.6 per cent a year for cycles 3 and 4, respectively — an acceleration of 10.3 percentage points. See appendix H for further details.</w:t>
      </w:r>
    </w:p>
  </w:footnote>
  <w:footnote w:id="9">
    <w:p w:rsidR="00180E99" w:rsidRDefault="00180E99" w:rsidP="00A76F6A">
      <w:pPr>
        <w:pStyle w:val="FootnoteText"/>
      </w:pPr>
      <w:r w:rsidRPr="00DE1D3A">
        <w:rPr>
          <w:rStyle w:val="FootnoteReference"/>
        </w:rPr>
        <w:footnoteRef/>
      </w:r>
      <w:r w:rsidRPr="00DE1D3A">
        <w:t xml:space="preserve"> </w:t>
      </w:r>
      <w:r w:rsidRPr="00DE1D3A">
        <w:tab/>
        <w:t>The value of production (inferred from BREE data) captures, on average, around 70 per cent of the sales and service income in Primary metals (from ABS Cat. no. 8155.0) for the years 2000</w:t>
      </w:r>
      <w:r>
        <w:noBreakHyphen/>
      </w:r>
      <w:r w:rsidRPr="00DE1D3A">
        <w:t>01 to 2010-11.</w:t>
      </w:r>
    </w:p>
  </w:footnote>
  <w:footnote w:id="10">
    <w:p w:rsidR="00180E99" w:rsidRDefault="00180E99" w:rsidP="00CB24A7">
      <w:pPr>
        <w:pStyle w:val="FootnoteText"/>
      </w:pPr>
      <w:r>
        <w:rPr>
          <w:rStyle w:val="FootnoteReference"/>
        </w:rPr>
        <w:footnoteRef/>
      </w:r>
      <w:r>
        <w:t xml:space="preserve"> </w:t>
      </w:r>
      <w:r>
        <w:tab/>
        <w:t xml:space="preserve">Net capital expenditure is another measure of investment, which differs from ‘gross fixed capital formation’ and ‘private new capital expenditure’. Net capital expenditure is used here because it is the only measure of investment available below the subdivision level of disaggregation. However, these data were only published for the 2001-02 to 2006-07 period. </w:t>
      </w:r>
    </w:p>
  </w:footnote>
  <w:footnote w:id="11">
    <w:p w:rsidR="00180E99" w:rsidRDefault="00180E99" w:rsidP="001D348C">
      <w:pPr>
        <w:pStyle w:val="FootnoteText"/>
      </w:pPr>
      <w:r>
        <w:rPr>
          <w:rStyle w:val="FootnoteReference"/>
        </w:rPr>
        <w:footnoteRef/>
      </w:r>
      <w:r>
        <w:t xml:space="preserve"> </w:t>
      </w:r>
      <w:r>
        <w:tab/>
        <w:t>The list details many mineral processing investments that fall under Primary metal product manufacturing and includes data regarding expected completion dates and value of capital expenditure (Gleeson et al.</w:t>
      </w:r>
      <w:r w:rsidRPr="00154397">
        <w:t xml:space="preserve"> 2008).</w:t>
      </w:r>
    </w:p>
  </w:footnote>
  <w:footnote w:id="12">
    <w:p w:rsidR="00180E99" w:rsidRDefault="00180E99" w:rsidP="00533378">
      <w:pPr>
        <w:pStyle w:val="FootnoteText"/>
      </w:pPr>
      <w:r>
        <w:rPr>
          <w:rStyle w:val="FootnoteReference"/>
        </w:rPr>
        <w:footnoteRef/>
      </w:r>
      <w:r>
        <w:tab/>
        <w:t xml:space="preserve">It is worth noting that during the incomplete cycle, the price of nickel fell and the </w:t>
      </w:r>
      <w:r w:rsidRPr="00584B41">
        <w:t xml:space="preserve">Ravensthorpe nickel mine was mothballed. </w:t>
      </w:r>
      <w:r>
        <w:t xml:space="preserve">The Yabulu refinery was sold, but continued to produce refined nickel from other sources. </w:t>
      </w:r>
      <w:r w:rsidRPr="00584B41">
        <w:t>In 2013, it was refining nickel at record levels.</w:t>
      </w:r>
    </w:p>
  </w:footnote>
  <w:footnote w:id="13">
    <w:p w:rsidR="00180E99" w:rsidRDefault="00180E99" w:rsidP="00533378">
      <w:pPr>
        <w:pStyle w:val="FootnoteText"/>
      </w:pPr>
      <w:r>
        <w:rPr>
          <w:rStyle w:val="FootnoteReference"/>
        </w:rPr>
        <w:footnoteRef/>
      </w:r>
      <w:r>
        <w:tab/>
        <w:t xml:space="preserve">This project was also adversely affected by plummeting prices after the </w:t>
      </w:r>
      <w:proofErr w:type="spellStart"/>
      <w:r>
        <w:t>GFC</w:t>
      </w:r>
      <w:proofErr w:type="spellEnd"/>
      <w:r>
        <w:t xml:space="preserve">. In the face of competition from Chinese refineries, Xstrata decided to dismantle both the Mt Isa smelter and Townsville refinery by 2016, but to continue to acquire and invest in copper mining. </w:t>
      </w:r>
      <w:r w:rsidRPr="00085FBF">
        <w:t xml:space="preserve">Investment measures are typically adjusted to take account of disposals of assets in order to </w:t>
      </w:r>
      <w:r w:rsidRPr="0089219D">
        <w:t>derive capital services inputs, but in the case where the write-off of an asset occurs below that of its previous value</w:t>
      </w:r>
      <w:r>
        <w:t xml:space="preserve"> (that is, the replacement value at the time the investment was made)</w:t>
      </w:r>
      <w:r w:rsidRPr="0089219D">
        <w:t>, then there is some scope for part of the capital asset to remain in the capital services measure.</w:t>
      </w:r>
      <w:r>
        <w:t xml:space="preserve"> </w:t>
      </w:r>
    </w:p>
  </w:footnote>
  <w:footnote w:id="14">
    <w:p w:rsidR="00180E99" w:rsidRDefault="00180E99">
      <w:pPr>
        <w:pStyle w:val="FootnoteText"/>
      </w:pPr>
      <w:r>
        <w:rPr>
          <w:rStyle w:val="FootnoteReference"/>
        </w:rPr>
        <w:footnoteRef/>
      </w:r>
      <w:r>
        <w:t xml:space="preserve"> Information from the Australian Steel Institute, presented in a consultancy report to the then Steel Industry Innovation Council, indicates that the scale of investment in automation and expansion of capacity between 2006 and 2008 was in the order of $400 million (</w:t>
      </w:r>
      <w:r w:rsidRPr="00236392">
        <w:t xml:space="preserve">Howard Partners 2012). The report noted that ‘These investments preceded the </w:t>
      </w:r>
      <w:proofErr w:type="spellStart"/>
      <w:r w:rsidRPr="00236392">
        <w:t>GFC</w:t>
      </w:r>
      <w:proofErr w:type="spellEnd"/>
      <w:r w:rsidRPr="00236392">
        <w:t xml:space="preserve"> in 2009 and many businesses were subjected to significant financial pressure, with many going out of business over the last two years as demand has failed to recover.’ (Howard Partners 2012, p. 53).</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80E99">
      <w:tc>
        <w:tcPr>
          <w:tcW w:w="2155" w:type="dxa"/>
          <w:tcBorders>
            <w:top w:val="single" w:sz="24" w:space="0" w:color="auto"/>
          </w:tcBorders>
        </w:tcPr>
        <w:p w:rsidR="00180E99" w:rsidRDefault="00180E99" w:rsidP="0019293B">
          <w:pPr>
            <w:pStyle w:val="HeaderEven"/>
          </w:pPr>
        </w:p>
      </w:tc>
      <w:tc>
        <w:tcPr>
          <w:tcW w:w="6634" w:type="dxa"/>
          <w:tcBorders>
            <w:top w:val="single" w:sz="6" w:space="0" w:color="auto"/>
          </w:tcBorders>
        </w:tcPr>
        <w:p w:rsidR="00180E99" w:rsidRDefault="00180E99" w:rsidP="0019293B">
          <w:pPr>
            <w:pStyle w:val="HeaderEven"/>
          </w:pPr>
        </w:p>
      </w:tc>
    </w:tr>
  </w:tbl>
  <w:p w:rsidR="00180E99" w:rsidRDefault="00180E99"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80E99">
      <w:tc>
        <w:tcPr>
          <w:tcW w:w="6634" w:type="dxa"/>
          <w:tcBorders>
            <w:top w:val="single" w:sz="6" w:space="0" w:color="auto"/>
          </w:tcBorders>
        </w:tcPr>
        <w:p w:rsidR="00180E99" w:rsidRDefault="00180E99" w:rsidP="00E669E2">
          <w:pPr>
            <w:pStyle w:val="HeaderOdd"/>
          </w:pPr>
        </w:p>
      </w:tc>
      <w:tc>
        <w:tcPr>
          <w:tcW w:w="2155" w:type="dxa"/>
          <w:tcBorders>
            <w:top w:val="single" w:sz="24" w:space="0" w:color="auto"/>
          </w:tcBorders>
        </w:tcPr>
        <w:p w:rsidR="00180E99" w:rsidRDefault="00180E99" w:rsidP="00E669E2">
          <w:pPr>
            <w:pStyle w:val="HeaderOdd"/>
          </w:pPr>
        </w:p>
      </w:tc>
    </w:tr>
  </w:tbl>
  <w:p w:rsidR="00180E99" w:rsidRDefault="00180E99"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E99" w:rsidRDefault="00180E99" w:rsidP="0019293B">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A200730"/>
    <w:lvl w:ilvl="0">
      <w:start w:val="1"/>
      <w:numFmt w:val="decimal"/>
      <w:lvlText w:val="%1."/>
      <w:lvlJc w:val="left"/>
      <w:pPr>
        <w:tabs>
          <w:tab w:val="num" w:pos="1492"/>
        </w:tabs>
        <w:ind w:left="1492" w:hanging="360"/>
      </w:pPr>
    </w:lvl>
  </w:abstractNum>
  <w:abstractNum w:abstractNumId="1">
    <w:nsid w:val="FFFFFF7D"/>
    <w:multiLevelType w:val="singleLevel"/>
    <w:tmpl w:val="5DDADE28"/>
    <w:lvl w:ilvl="0">
      <w:start w:val="1"/>
      <w:numFmt w:val="decimal"/>
      <w:lvlText w:val="%1."/>
      <w:lvlJc w:val="left"/>
      <w:pPr>
        <w:tabs>
          <w:tab w:val="num" w:pos="1209"/>
        </w:tabs>
        <w:ind w:left="1209" w:hanging="360"/>
      </w:pPr>
    </w:lvl>
  </w:abstractNum>
  <w:abstractNum w:abstractNumId="2">
    <w:nsid w:val="FFFFFF80"/>
    <w:multiLevelType w:val="singleLevel"/>
    <w:tmpl w:val="5E042BFA"/>
    <w:lvl w:ilvl="0">
      <w:start w:val="1"/>
      <w:numFmt w:val="bullet"/>
      <w:lvlText w:val=""/>
      <w:lvlJc w:val="left"/>
      <w:pPr>
        <w:tabs>
          <w:tab w:val="num" w:pos="1492"/>
        </w:tabs>
        <w:ind w:left="1492" w:hanging="360"/>
      </w:pPr>
      <w:rPr>
        <w:rFonts w:ascii="Symbol" w:hAnsi="Symbol" w:hint="default"/>
      </w:rPr>
    </w:lvl>
  </w:abstractNum>
  <w:abstractNum w:abstractNumId="3">
    <w:nsid w:val="FFFFFF81"/>
    <w:multiLevelType w:val="singleLevel"/>
    <w:tmpl w:val="19FAF7DC"/>
    <w:lvl w:ilvl="0">
      <w:start w:val="1"/>
      <w:numFmt w:val="bullet"/>
      <w:lvlText w:val=""/>
      <w:lvlJc w:val="left"/>
      <w:pPr>
        <w:tabs>
          <w:tab w:val="num" w:pos="1209"/>
        </w:tabs>
        <w:ind w:left="1209" w:hanging="360"/>
      </w:pPr>
      <w:rPr>
        <w:rFonts w:ascii="Symbol" w:hAnsi="Symbol" w:hint="default"/>
      </w:rPr>
    </w:lvl>
  </w:abstractNum>
  <w:abstractNum w:abstractNumId="4">
    <w:nsid w:val="FFFFFF88"/>
    <w:multiLevelType w:val="singleLevel"/>
    <w:tmpl w:val="0B5AF1CA"/>
    <w:lvl w:ilvl="0">
      <w:start w:val="1"/>
      <w:numFmt w:val="decimal"/>
      <w:lvlText w:val="%1."/>
      <w:lvlJc w:val="left"/>
      <w:pPr>
        <w:tabs>
          <w:tab w:val="num" w:pos="360"/>
        </w:tabs>
        <w:ind w:left="360" w:hanging="360"/>
      </w:pPr>
    </w:lvl>
  </w:abstractNum>
  <w:abstractNum w:abstractNumId="5">
    <w:nsid w:val="FFFFFFFE"/>
    <w:multiLevelType w:val="singleLevel"/>
    <w:tmpl w:val="FFFFFFFF"/>
    <w:lvl w:ilvl="0">
      <w:numFmt w:val="decimal"/>
      <w:lvlText w:val="*"/>
      <w:lvlJc w:val="left"/>
    </w:lvl>
  </w:abstractNum>
  <w:abstractNum w:abstractNumId="6">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52C1759"/>
    <w:multiLevelType w:val="hybridMultilevel"/>
    <w:tmpl w:val="6FC65F7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0">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3">
    <w:nsid w:val="1EB77EE3"/>
    <w:multiLevelType w:val="hybridMultilevel"/>
    <w:tmpl w:val="9640B250"/>
    <w:lvl w:ilvl="0" w:tplc="12580906">
      <w:start w:val="4"/>
      <w:numFmt w:val="bullet"/>
      <w:lvlText w:val=""/>
      <w:lvlJc w:val="left"/>
      <w:pPr>
        <w:ind w:left="720" w:hanging="360"/>
      </w:pPr>
      <w:rPr>
        <w:rFonts w:ascii="Wingdings" w:eastAsiaTheme="minorHAnsi" w:hAnsi="Wingdings"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5">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6">
    <w:nsid w:val="42160270"/>
    <w:multiLevelType w:val="hybridMultilevel"/>
    <w:tmpl w:val="C1021028"/>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471F39DB"/>
    <w:multiLevelType w:val="hybridMultilevel"/>
    <w:tmpl w:val="099E3032"/>
    <w:lvl w:ilvl="0" w:tplc="4C583A0A">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5"/>
  </w:num>
  <w:num w:numId="2">
    <w:abstractNumId w:val="9"/>
  </w:num>
  <w:num w:numId="3">
    <w:abstractNumId w:val="22"/>
  </w:num>
  <w:num w:numId="4">
    <w:abstractNumId w:val="6"/>
  </w:num>
  <w:num w:numId="5">
    <w:abstractNumId w:val="18"/>
  </w:num>
  <w:num w:numId="6">
    <w:abstractNumId w:val="7"/>
  </w:num>
  <w:num w:numId="7">
    <w:abstractNumId w:val="21"/>
  </w:num>
  <w:num w:numId="8">
    <w:abstractNumId w:val="20"/>
  </w:num>
  <w:num w:numId="9">
    <w:abstractNumId w:val="23"/>
  </w:num>
  <w:num w:numId="10">
    <w:abstractNumId w:val="12"/>
  </w:num>
  <w:num w:numId="11">
    <w:abstractNumId w:val="19"/>
  </w:num>
  <w:num w:numId="12">
    <w:abstractNumId w:val="11"/>
  </w:num>
  <w:num w:numId="13">
    <w:abstractNumId w:val="10"/>
  </w:num>
  <w:num w:numId="14">
    <w:abstractNumId w:val="14"/>
  </w:num>
  <w:num w:numId="15">
    <w:abstractNumId w:val="5"/>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16">
    <w:abstractNumId w:val="3"/>
  </w:num>
  <w:num w:numId="17">
    <w:abstractNumId w:val="2"/>
  </w:num>
  <w:num w:numId="18">
    <w:abstractNumId w:val="1"/>
  </w:num>
  <w:num w:numId="19">
    <w:abstractNumId w:val="0"/>
  </w:num>
  <w:num w:numId="20">
    <w:abstractNumId w:val="17"/>
  </w:num>
  <w:num w:numId="21">
    <w:abstractNumId w:val="4"/>
  </w:num>
  <w:num w:numId="22">
    <w:abstractNumId w:val="8"/>
  </w:num>
  <w:num w:numId="23">
    <w:abstractNumId w:val="13"/>
  </w:num>
  <w:num w:numId="24">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4730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Productivity in [subsector x]"/>
    <w:docVar w:name="ShortReportTitle" w:val="Productivity in manufacturing"/>
  </w:docVars>
  <w:rsids>
    <w:rsidRoot w:val="00050368"/>
    <w:rsid w:val="00000A95"/>
    <w:rsid w:val="0000104F"/>
    <w:rsid w:val="000014A5"/>
    <w:rsid w:val="00002308"/>
    <w:rsid w:val="00002BE5"/>
    <w:rsid w:val="00002DD0"/>
    <w:rsid w:val="00002EB5"/>
    <w:rsid w:val="00003DB1"/>
    <w:rsid w:val="00003E15"/>
    <w:rsid w:val="00003EFF"/>
    <w:rsid w:val="00004D98"/>
    <w:rsid w:val="00005800"/>
    <w:rsid w:val="00005ABA"/>
    <w:rsid w:val="000069A5"/>
    <w:rsid w:val="000077F7"/>
    <w:rsid w:val="0000788B"/>
    <w:rsid w:val="0000797A"/>
    <w:rsid w:val="00010D89"/>
    <w:rsid w:val="00011062"/>
    <w:rsid w:val="000111C4"/>
    <w:rsid w:val="000114F7"/>
    <w:rsid w:val="00011AF0"/>
    <w:rsid w:val="00012018"/>
    <w:rsid w:val="00012421"/>
    <w:rsid w:val="0001299A"/>
    <w:rsid w:val="00012AC1"/>
    <w:rsid w:val="00012F01"/>
    <w:rsid w:val="0001323C"/>
    <w:rsid w:val="000135B3"/>
    <w:rsid w:val="0001493A"/>
    <w:rsid w:val="00015D99"/>
    <w:rsid w:val="000160A5"/>
    <w:rsid w:val="00016416"/>
    <w:rsid w:val="00016475"/>
    <w:rsid w:val="000166D9"/>
    <w:rsid w:val="0001682B"/>
    <w:rsid w:val="00016933"/>
    <w:rsid w:val="00017679"/>
    <w:rsid w:val="000205ED"/>
    <w:rsid w:val="00021C08"/>
    <w:rsid w:val="00022B70"/>
    <w:rsid w:val="00022BFB"/>
    <w:rsid w:val="00023AE5"/>
    <w:rsid w:val="000242A2"/>
    <w:rsid w:val="000242CB"/>
    <w:rsid w:val="000245AA"/>
    <w:rsid w:val="000249A8"/>
    <w:rsid w:val="00025216"/>
    <w:rsid w:val="0002528F"/>
    <w:rsid w:val="000257A4"/>
    <w:rsid w:val="00026753"/>
    <w:rsid w:val="00027BDA"/>
    <w:rsid w:val="00027D9C"/>
    <w:rsid w:val="00027FCD"/>
    <w:rsid w:val="00030732"/>
    <w:rsid w:val="00030AD4"/>
    <w:rsid w:val="00030D82"/>
    <w:rsid w:val="0003184E"/>
    <w:rsid w:val="00034429"/>
    <w:rsid w:val="0003664B"/>
    <w:rsid w:val="00036DAA"/>
    <w:rsid w:val="00036DBB"/>
    <w:rsid w:val="0003702E"/>
    <w:rsid w:val="0003759B"/>
    <w:rsid w:val="00040546"/>
    <w:rsid w:val="0004111F"/>
    <w:rsid w:val="0004141B"/>
    <w:rsid w:val="000418C0"/>
    <w:rsid w:val="0004251A"/>
    <w:rsid w:val="00042B49"/>
    <w:rsid w:val="0004368F"/>
    <w:rsid w:val="000438D9"/>
    <w:rsid w:val="00044B41"/>
    <w:rsid w:val="00044D37"/>
    <w:rsid w:val="000451EE"/>
    <w:rsid w:val="0004537A"/>
    <w:rsid w:val="0004550C"/>
    <w:rsid w:val="00045D59"/>
    <w:rsid w:val="000465B0"/>
    <w:rsid w:val="00046638"/>
    <w:rsid w:val="0004698B"/>
    <w:rsid w:val="000472E5"/>
    <w:rsid w:val="00047360"/>
    <w:rsid w:val="000478B1"/>
    <w:rsid w:val="00050368"/>
    <w:rsid w:val="00050615"/>
    <w:rsid w:val="00050835"/>
    <w:rsid w:val="00051911"/>
    <w:rsid w:val="00052A04"/>
    <w:rsid w:val="00052BE3"/>
    <w:rsid w:val="00053E97"/>
    <w:rsid w:val="000540A2"/>
    <w:rsid w:val="000542F7"/>
    <w:rsid w:val="00054750"/>
    <w:rsid w:val="00054796"/>
    <w:rsid w:val="00054864"/>
    <w:rsid w:val="00054DB1"/>
    <w:rsid w:val="00054DF1"/>
    <w:rsid w:val="000565B3"/>
    <w:rsid w:val="000570A9"/>
    <w:rsid w:val="000572EA"/>
    <w:rsid w:val="00057A83"/>
    <w:rsid w:val="00057C40"/>
    <w:rsid w:val="00057C88"/>
    <w:rsid w:val="00057D7C"/>
    <w:rsid w:val="00061713"/>
    <w:rsid w:val="00061878"/>
    <w:rsid w:val="000625C6"/>
    <w:rsid w:val="0006265C"/>
    <w:rsid w:val="00062B16"/>
    <w:rsid w:val="000632B3"/>
    <w:rsid w:val="00063670"/>
    <w:rsid w:val="00063D8C"/>
    <w:rsid w:val="0006438C"/>
    <w:rsid w:val="00064E70"/>
    <w:rsid w:val="00065ABA"/>
    <w:rsid w:val="00065B52"/>
    <w:rsid w:val="00065CA6"/>
    <w:rsid w:val="00065FBC"/>
    <w:rsid w:val="00066125"/>
    <w:rsid w:val="000663A0"/>
    <w:rsid w:val="00067455"/>
    <w:rsid w:val="00067588"/>
    <w:rsid w:val="00067A79"/>
    <w:rsid w:val="00067C8B"/>
    <w:rsid w:val="00070232"/>
    <w:rsid w:val="00070414"/>
    <w:rsid w:val="00070655"/>
    <w:rsid w:val="00070F71"/>
    <w:rsid w:val="00071024"/>
    <w:rsid w:val="00071493"/>
    <w:rsid w:val="0007150B"/>
    <w:rsid w:val="000716E2"/>
    <w:rsid w:val="0007308C"/>
    <w:rsid w:val="0007364E"/>
    <w:rsid w:val="000741E3"/>
    <w:rsid w:val="000748F6"/>
    <w:rsid w:val="00074A1C"/>
    <w:rsid w:val="00075531"/>
    <w:rsid w:val="00075855"/>
    <w:rsid w:val="00075A1B"/>
    <w:rsid w:val="00075A85"/>
    <w:rsid w:val="00075B7B"/>
    <w:rsid w:val="00075C42"/>
    <w:rsid w:val="0007675D"/>
    <w:rsid w:val="00076798"/>
    <w:rsid w:val="000769BD"/>
    <w:rsid w:val="00076D60"/>
    <w:rsid w:val="00077FCB"/>
    <w:rsid w:val="00077FF9"/>
    <w:rsid w:val="00080047"/>
    <w:rsid w:val="0008073D"/>
    <w:rsid w:val="00080A8C"/>
    <w:rsid w:val="000814F6"/>
    <w:rsid w:val="000821D4"/>
    <w:rsid w:val="00082334"/>
    <w:rsid w:val="00082B26"/>
    <w:rsid w:val="00082B6D"/>
    <w:rsid w:val="000834D4"/>
    <w:rsid w:val="00084488"/>
    <w:rsid w:val="00084A1F"/>
    <w:rsid w:val="000852C0"/>
    <w:rsid w:val="00085CAF"/>
    <w:rsid w:val="00085FBF"/>
    <w:rsid w:val="00086385"/>
    <w:rsid w:val="00087678"/>
    <w:rsid w:val="000906C6"/>
    <w:rsid w:val="00090D28"/>
    <w:rsid w:val="00090D91"/>
    <w:rsid w:val="00090F05"/>
    <w:rsid w:val="00091C53"/>
    <w:rsid w:val="000920C3"/>
    <w:rsid w:val="000920D9"/>
    <w:rsid w:val="00092612"/>
    <w:rsid w:val="000938F5"/>
    <w:rsid w:val="000948CE"/>
    <w:rsid w:val="0009501C"/>
    <w:rsid w:val="00095072"/>
    <w:rsid w:val="000952E0"/>
    <w:rsid w:val="00095827"/>
    <w:rsid w:val="000962AE"/>
    <w:rsid w:val="000965DC"/>
    <w:rsid w:val="0009675A"/>
    <w:rsid w:val="00096F19"/>
    <w:rsid w:val="00096F49"/>
    <w:rsid w:val="00096FE7"/>
    <w:rsid w:val="00097848"/>
    <w:rsid w:val="00097D4D"/>
    <w:rsid w:val="000A0285"/>
    <w:rsid w:val="000A055C"/>
    <w:rsid w:val="000A08B3"/>
    <w:rsid w:val="000A0A35"/>
    <w:rsid w:val="000A21D9"/>
    <w:rsid w:val="000A31DE"/>
    <w:rsid w:val="000A4860"/>
    <w:rsid w:val="000A48D7"/>
    <w:rsid w:val="000A4F24"/>
    <w:rsid w:val="000A5292"/>
    <w:rsid w:val="000A5648"/>
    <w:rsid w:val="000A572E"/>
    <w:rsid w:val="000A61CF"/>
    <w:rsid w:val="000A7220"/>
    <w:rsid w:val="000A753A"/>
    <w:rsid w:val="000A7B90"/>
    <w:rsid w:val="000B00DF"/>
    <w:rsid w:val="000B14EC"/>
    <w:rsid w:val="000B1C73"/>
    <w:rsid w:val="000B2033"/>
    <w:rsid w:val="000B2580"/>
    <w:rsid w:val="000B2B92"/>
    <w:rsid w:val="000B2CD1"/>
    <w:rsid w:val="000B333E"/>
    <w:rsid w:val="000B371E"/>
    <w:rsid w:val="000B533E"/>
    <w:rsid w:val="000B5343"/>
    <w:rsid w:val="000B5A95"/>
    <w:rsid w:val="000B601B"/>
    <w:rsid w:val="000B60BE"/>
    <w:rsid w:val="000B6B37"/>
    <w:rsid w:val="000B72CE"/>
    <w:rsid w:val="000B7C53"/>
    <w:rsid w:val="000B7EC3"/>
    <w:rsid w:val="000B7F7E"/>
    <w:rsid w:val="000C0397"/>
    <w:rsid w:val="000C0ADC"/>
    <w:rsid w:val="000C1DB0"/>
    <w:rsid w:val="000C207E"/>
    <w:rsid w:val="000C2304"/>
    <w:rsid w:val="000C24A7"/>
    <w:rsid w:val="000C2A44"/>
    <w:rsid w:val="000C2C69"/>
    <w:rsid w:val="000C3561"/>
    <w:rsid w:val="000C3FD3"/>
    <w:rsid w:val="000C4472"/>
    <w:rsid w:val="000C46B7"/>
    <w:rsid w:val="000C4E1E"/>
    <w:rsid w:val="000C5218"/>
    <w:rsid w:val="000C6081"/>
    <w:rsid w:val="000C6930"/>
    <w:rsid w:val="000C719A"/>
    <w:rsid w:val="000C7785"/>
    <w:rsid w:val="000C7C49"/>
    <w:rsid w:val="000C7DDB"/>
    <w:rsid w:val="000C7F04"/>
    <w:rsid w:val="000D018A"/>
    <w:rsid w:val="000D07A4"/>
    <w:rsid w:val="000D0A55"/>
    <w:rsid w:val="000D0FF3"/>
    <w:rsid w:val="000D1CF3"/>
    <w:rsid w:val="000D1D39"/>
    <w:rsid w:val="000D1F5A"/>
    <w:rsid w:val="000D213F"/>
    <w:rsid w:val="000D21D6"/>
    <w:rsid w:val="000D299F"/>
    <w:rsid w:val="000D2BCE"/>
    <w:rsid w:val="000D2E54"/>
    <w:rsid w:val="000D2F10"/>
    <w:rsid w:val="000D37AB"/>
    <w:rsid w:val="000D3ABE"/>
    <w:rsid w:val="000D4F60"/>
    <w:rsid w:val="000D5115"/>
    <w:rsid w:val="000D51EE"/>
    <w:rsid w:val="000D522A"/>
    <w:rsid w:val="000D5447"/>
    <w:rsid w:val="000D59BF"/>
    <w:rsid w:val="000D5E01"/>
    <w:rsid w:val="000D600C"/>
    <w:rsid w:val="000D6153"/>
    <w:rsid w:val="000D6228"/>
    <w:rsid w:val="000D670E"/>
    <w:rsid w:val="000D7E02"/>
    <w:rsid w:val="000D7F3A"/>
    <w:rsid w:val="000E0138"/>
    <w:rsid w:val="000E06A2"/>
    <w:rsid w:val="000E0D79"/>
    <w:rsid w:val="000E1477"/>
    <w:rsid w:val="000E22A8"/>
    <w:rsid w:val="000E3649"/>
    <w:rsid w:val="000E3AD9"/>
    <w:rsid w:val="000E3CAD"/>
    <w:rsid w:val="000E41DA"/>
    <w:rsid w:val="000E4F03"/>
    <w:rsid w:val="000E50BA"/>
    <w:rsid w:val="000E5956"/>
    <w:rsid w:val="000E681E"/>
    <w:rsid w:val="000E7D8D"/>
    <w:rsid w:val="000F0103"/>
    <w:rsid w:val="000F050F"/>
    <w:rsid w:val="000F0B57"/>
    <w:rsid w:val="000F0F16"/>
    <w:rsid w:val="000F158E"/>
    <w:rsid w:val="000F1ABF"/>
    <w:rsid w:val="000F1AC7"/>
    <w:rsid w:val="000F21DA"/>
    <w:rsid w:val="000F2E36"/>
    <w:rsid w:val="000F3410"/>
    <w:rsid w:val="000F34CB"/>
    <w:rsid w:val="000F36EB"/>
    <w:rsid w:val="000F3933"/>
    <w:rsid w:val="000F3C26"/>
    <w:rsid w:val="000F3E90"/>
    <w:rsid w:val="000F405F"/>
    <w:rsid w:val="000F4155"/>
    <w:rsid w:val="000F52C3"/>
    <w:rsid w:val="000F54D6"/>
    <w:rsid w:val="000F5930"/>
    <w:rsid w:val="000F6624"/>
    <w:rsid w:val="000F7466"/>
    <w:rsid w:val="0010015D"/>
    <w:rsid w:val="001002FD"/>
    <w:rsid w:val="001009FA"/>
    <w:rsid w:val="00100A68"/>
    <w:rsid w:val="00100B16"/>
    <w:rsid w:val="00101595"/>
    <w:rsid w:val="00102034"/>
    <w:rsid w:val="0010206D"/>
    <w:rsid w:val="001022EC"/>
    <w:rsid w:val="0010281A"/>
    <w:rsid w:val="0010294B"/>
    <w:rsid w:val="00103229"/>
    <w:rsid w:val="001036BA"/>
    <w:rsid w:val="00103750"/>
    <w:rsid w:val="001039DA"/>
    <w:rsid w:val="00103DFA"/>
    <w:rsid w:val="00104DAB"/>
    <w:rsid w:val="00104F53"/>
    <w:rsid w:val="0010536E"/>
    <w:rsid w:val="00105AE1"/>
    <w:rsid w:val="00105E27"/>
    <w:rsid w:val="00106179"/>
    <w:rsid w:val="00107349"/>
    <w:rsid w:val="00107595"/>
    <w:rsid w:val="001077E9"/>
    <w:rsid w:val="00107A46"/>
    <w:rsid w:val="00107BC6"/>
    <w:rsid w:val="00107D54"/>
    <w:rsid w:val="00107D71"/>
    <w:rsid w:val="00110105"/>
    <w:rsid w:val="00110116"/>
    <w:rsid w:val="00110A4A"/>
    <w:rsid w:val="00110AD9"/>
    <w:rsid w:val="00110B05"/>
    <w:rsid w:val="00110B08"/>
    <w:rsid w:val="00111281"/>
    <w:rsid w:val="00111EFC"/>
    <w:rsid w:val="00112719"/>
    <w:rsid w:val="00112BA4"/>
    <w:rsid w:val="00112BD7"/>
    <w:rsid w:val="00112C57"/>
    <w:rsid w:val="00112F55"/>
    <w:rsid w:val="001131E5"/>
    <w:rsid w:val="0011358D"/>
    <w:rsid w:val="00113A92"/>
    <w:rsid w:val="0011400F"/>
    <w:rsid w:val="001148F3"/>
    <w:rsid w:val="00114BC2"/>
    <w:rsid w:val="00115351"/>
    <w:rsid w:val="00115398"/>
    <w:rsid w:val="00116018"/>
    <w:rsid w:val="001160B7"/>
    <w:rsid w:val="00116517"/>
    <w:rsid w:val="00116C50"/>
    <w:rsid w:val="00116F4A"/>
    <w:rsid w:val="0011765B"/>
    <w:rsid w:val="001177E8"/>
    <w:rsid w:val="001204A4"/>
    <w:rsid w:val="001206CE"/>
    <w:rsid w:val="0012095C"/>
    <w:rsid w:val="00120D3F"/>
    <w:rsid w:val="00121059"/>
    <w:rsid w:val="001215B4"/>
    <w:rsid w:val="00121CA1"/>
    <w:rsid w:val="0012288C"/>
    <w:rsid w:val="0012302A"/>
    <w:rsid w:val="001232A2"/>
    <w:rsid w:val="001237DF"/>
    <w:rsid w:val="00124491"/>
    <w:rsid w:val="00125485"/>
    <w:rsid w:val="0012662B"/>
    <w:rsid w:val="00126822"/>
    <w:rsid w:val="00126A26"/>
    <w:rsid w:val="00126BFF"/>
    <w:rsid w:val="00126C24"/>
    <w:rsid w:val="00126EB8"/>
    <w:rsid w:val="0012754C"/>
    <w:rsid w:val="00127970"/>
    <w:rsid w:val="00130D26"/>
    <w:rsid w:val="00131132"/>
    <w:rsid w:val="0013169C"/>
    <w:rsid w:val="00131F8B"/>
    <w:rsid w:val="00132462"/>
    <w:rsid w:val="0013246A"/>
    <w:rsid w:val="00133EFD"/>
    <w:rsid w:val="00133FD1"/>
    <w:rsid w:val="00134529"/>
    <w:rsid w:val="0013495F"/>
    <w:rsid w:val="00134E01"/>
    <w:rsid w:val="00134EE9"/>
    <w:rsid w:val="00135A1A"/>
    <w:rsid w:val="001363AA"/>
    <w:rsid w:val="00136448"/>
    <w:rsid w:val="001368BF"/>
    <w:rsid w:val="00137C09"/>
    <w:rsid w:val="001405B6"/>
    <w:rsid w:val="001406E0"/>
    <w:rsid w:val="001408FD"/>
    <w:rsid w:val="001412CA"/>
    <w:rsid w:val="0014192A"/>
    <w:rsid w:val="0014193A"/>
    <w:rsid w:val="00142227"/>
    <w:rsid w:val="0014236D"/>
    <w:rsid w:val="00142491"/>
    <w:rsid w:val="00143383"/>
    <w:rsid w:val="00143EF5"/>
    <w:rsid w:val="0014446D"/>
    <w:rsid w:val="00145E9A"/>
    <w:rsid w:val="00146777"/>
    <w:rsid w:val="001470CB"/>
    <w:rsid w:val="00147A88"/>
    <w:rsid w:val="001504D5"/>
    <w:rsid w:val="00150AA4"/>
    <w:rsid w:val="00150F69"/>
    <w:rsid w:val="00151A60"/>
    <w:rsid w:val="00151FD0"/>
    <w:rsid w:val="001527CC"/>
    <w:rsid w:val="00152C1D"/>
    <w:rsid w:val="00153074"/>
    <w:rsid w:val="00153654"/>
    <w:rsid w:val="00154397"/>
    <w:rsid w:val="0015456B"/>
    <w:rsid w:val="001546E7"/>
    <w:rsid w:val="001549DA"/>
    <w:rsid w:val="00156AAB"/>
    <w:rsid w:val="0015773B"/>
    <w:rsid w:val="00157F76"/>
    <w:rsid w:val="00160827"/>
    <w:rsid w:val="00160A5B"/>
    <w:rsid w:val="00160B56"/>
    <w:rsid w:val="00161072"/>
    <w:rsid w:val="001613FF"/>
    <w:rsid w:val="00161912"/>
    <w:rsid w:val="00161C86"/>
    <w:rsid w:val="00162003"/>
    <w:rsid w:val="00162024"/>
    <w:rsid w:val="001629B5"/>
    <w:rsid w:val="00162BAB"/>
    <w:rsid w:val="00162E90"/>
    <w:rsid w:val="001636C8"/>
    <w:rsid w:val="001637B7"/>
    <w:rsid w:val="0016396F"/>
    <w:rsid w:val="00163C0E"/>
    <w:rsid w:val="00164348"/>
    <w:rsid w:val="00164A93"/>
    <w:rsid w:val="00165557"/>
    <w:rsid w:val="00165F47"/>
    <w:rsid w:val="0016645C"/>
    <w:rsid w:val="00167366"/>
    <w:rsid w:val="00167813"/>
    <w:rsid w:val="00167B8C"/>
    <w:rsid w:val="00167EAF"/>
    <w:rsid w:val="00171677"/>
    <w:rsid w:val="00171747"/>
    <w:rsid w:val="00172173"/>
    <w:rsid w:val="001721CC"/>
    <w:rsid w:val="001723BA"/>
    <w:rsid w:val="0017264A"/>
    <w:rsid w:val="00172A84"/>
    <w:rsid w:val="00174425"/>
    <w:rsid w:val="00174A3C"/>
    <w:rsid w:val="00175769"/>
    <w:rsid w:val="001759A8"/>
    <w:rsid w:val="00175D7F"/>
    <w:rsid w:val="00175F11"/>
    <w:rsid w:val="00176674"/>
    <w:rsid w:val="00177120"/>
    <w:rsid w:val="00180E99"/>
    <w:rsid w:val="001824CA"/>
    <w:rsid w:val="00183350"/>
    <w:rsid w:val="00183A50"/>
    <w:rsid w:val="00183E82"/>
    <w:rsid w:val="0018488E"/>
    <w:rsid w:val="001848F6"/>
    <w:rsid w:val="00184F6A"/>
    <w:rsid w:val="001858D2"/>
    <w:rsid w:val="00185B2A"/>
    <w:rsid w:val="00186111"/>
    <w:rsid w:val="00186781"/>
    <w:rsid w:val="00186923"/>
    <w:rsid w:val="001878E6"/>
    <w:rsid w:val="00187D96"/>
    <w:rsid w:val="0019023E"/>
    <w:rsid w:val="001906DB"/>
    <w:rsid w:val="00191337"/>
    <w:rsid w:val="00191D85"/>
    <w:rsid w:val="0019276F"/>
    <w:rsid w:val="0019293B"/>
    <w:rsid w:val="001931A2"/>
    <w:rsid w:val="00194137"/>
    <w:rsid w:val="0019419E"/>
    <w:rsid w:val="00194DEB"/>
    <w:rsid w:val="00194FE4"/>
    <w:rsid w:val="00195157"/>
    <w:rsid w:val="0019554D"/>
    <w:rsid w:val="0019560E"/>
    <w:rsid w:val="00195688"/>
    <w:rsid w:val="001958A1"/>
    <w:rsid w:val="00195AEA"/>
    <w:rsid w:val="00195D35"/>
    <w:rsid w:val="00195F10"/>
    <w:rsid w:val="00196331"/>
    <w:rsid w:val="00196C5A"/>
    <w:rsid w:val="00196CE5"/>
    <w:rsid w:val="00197666"/>
    <w:rsid w:val="001A046C"/>
    <w:rsid w:val="001A049C"/>
    <w:rsid w:val="001A0BEE"/>
    <w:rsid w:val="001A10F5"/>
    <w:rsid w:val="001A2103"/>
    <w:rsid w:val="001A290F"/>
    <w:rsid w:val="001A2B61"/>
    <w:rsid w:val="001A3A49"/>
    <w:rsid w:val="001A3B71"/>
    <w:rsid w:val="001A47B1"/>
    <w:rsid w:val="001A4B4F"/>
    <w:rsid w:val="001A56EE"/>
    <w:rsid w:val="001A57AE"/>
    <w:rsid w:val="001A5ADE"/>
    <w:rsid w:val="001A60B9"/>
    <w:rsid w:val="001A6184"/>
    <w:rsid w:val="001A7017"/>
    <w:rsid w:val="001A785A"/>
    <w:rsid w:val="001B02BC"/>
    <w:rsid w:val="001B037D"/>
    <w:rsid w:val="001B08DF"/>
    <w:rsid w:val="001B19F9"/>
    <w:rsid w:val="001B1A9C"/>
    <w:rsid w:val="001B22FC"/>
    <w:rsid w:val="001B241D"/>
    <w:rsid w:val="001B2731"/>
    <w:rsid w:val="001B2A14"/>
    <w:rsid w:val="001B2A7E"/>
    <w:rsid w:val="001B3085"/>
    <w:rsid w:val="001B336C"/>
    <w:rsid w:val="001B3F18"/>
    <w:rsid w:val="001B583F"/>
    <w:rsid w:val="001B5B6B"/>
    <w:rsid w:val="001B5C18"/>
    <w:rsid w:val="001B5FDC"/>
    <w:rsid w:val="001B628D"/>
    <w:rsid w:val="001B6653"/>
    <w:rsid w:val="001B74D3"/>
    <w:rsid w:val="001B74FD"/>
    <w:rsid w:val="001B75B0"/>
    <w:rsid w:val="001C0865"/>
    <w:rsid w:val="001C1784"/>
    <w:rsid w:val="001C2174"/>
    <w:rsid w:val="001C2EC4"/>
    <w:rsid w:val="001C34BF"/>
    <w:rsid w:val="001C36F9"/>
    <w:rsid w:val="001C3ABA"/>
    <w:rsid w:val="001C5723"/>
    <w:rsid w:val="001C5B54"/>
    <w:rsid w:val="001C5BB9"/>
    <w:rsid w:val="001C5EC3"/>
    <w:rsid w:val="001C60C0"/>
    <w:rsid w:val="001C6796"/>
    <w:rsid w:val="001C7AD9"/>
    <w:rsid w:val="001C7DC2"/>
    <w:rsid w:val="001D106D"/>
    <w:rsid w:val="001D12BD"/>
    <w:rsid w:val="001D17B4"/>
    <w:rsid w:val="001D218F"/>
    <w:rsid w:val="001D2BB7"/>
    <w:rsid w:val="001D2F58"/>
    <w:rsid w:val="001D348C"/>
    <w:rsid w:val="001D35D1"/>
    <w:rsid w:val="001D3907"/>
    <w:rsid w:val="001D3940"/>
    <w:rsid w:val="001D3A9C"/>
    <w:rsid w:val="001D438D"/>
    <w:rsid w:val="001D43B9"/>
    <w:rsid w:val="001D5B1C"/>
    <w:rsid w:val="001D6C1F"/>
    <w:rsid w:val="001D6E05"/>
    <w:rsid w:val="001D72C7"/>
    <w:rsid w:val="001D7A7D"/>
    <w:rsid w:val="001D7BF1"/>
    <w:rsid w:val="001D7D8B"/>
    <w:rsid w:val="001D7FD3"/>
    <w:rsid w:val="001E06FB"/>
    <w:rsid w:val="001E0EEA"/>
    <w:rsid w:val="001E276E"/>
    <w:rsid w:val="001E2889"/>
    <w:rsid w:val="001E2D89"/>
    <w:rsid w:val="001E329E"/>
    <w:rsid w:val="001E41C9"/>
    <w:rsid w:val="001E41EB"/>
    <w:rsid w:val="001E4EAE"/>
    <w:rsid w:val="001E5244"/>
    <w:rsid w:val="001E5362"/>
    <w:rsid w:val="001E57D6"/>
    <w:rsid w:val="001E6074"/>
    <w:rsid w:val="001E64AC"/>
    <w:rsid w:val="001E6CE4"/>
    <w:rsid w:val="001E6FAA"/>
    <w:rsid w:val="001E7270"/>
    <w:rsid w:val="001E7A83"/>
    <w:rsid w:val="001E7BE8"/>
    <w:rsid w:val="001F0012"/>
    <w:rsid w:val="001F0248"/>
    <w:rsid w:val="001F0991"/>
    <w:rsid w:val="001F0DA8"/>
    <w:rsid w:val="001F2C2A"/>
    <w:rsid w:val="001F3A3D"/>
    <w:rsid w:val="001F3EB3"/>
    <w:rsid w:val="001F42BA"/>
    <w:rsid w:val="001F4A3A"/>
    <w:rsid w:val="001F4DDE"/>
    <w:rsid w:val="001F4F0A"/>
    <w:rsid w:val="001F5084"/>
    <w:rsid w:val="001F5390"/>
    <w:rsid w:val="001F66C7"/>
    <w:rsid w:val="001F676F"/>
    <w:rsid w:val="00200648"/>
    <w:rsid w:val="00200E20"/>
    <w:rsid w:val="002019CA"/>
    <w:rsid w:val="002025B6"/>
    <w:rsid w:val="002025C0"/>
    <w:rsid w:val="00202A75"/>
    <w:rsid w:val="00202C2C"/>
    <w:rsid w:val="00202DD1"/>
    <w:rsid w:val="00203B06"/>
    <w:rsid w:val="00203F8A"/>
    <w:rsid w:val="0020404D"/>
    <w:rsid w:val="00205359"/>
    <w:rsid w:val="00205623"/>
    <w:rsid w:val="002059C4"/>
    <w:rsid w:val="00206492"/>
    <w:rsid w:val="00206A66"/>
    <w:rsid w:val="00206CF7"/>
    <w:rsid w:val="0020773D"/>
    <w:rsid w:val="002112E3"/>
    <w:rsid w:val="002127F5"/>
    <w:rsid w:val="00212A9C"/>
    <w:rsid w:val="002137EF"/>
    <w:rsid w:val="002146D6"/>
    <w:rsid w:val="00214823"/>
    <w:rsid w:val="00214A54"/>
    <w:rsid w:val="00214F00"/>
    <w:rsid w:val="0021561D"/>
    <w:rsid w:val="00215671"/>
    <w:rsid w:val="00215F58"/>
    <w:rsid w:val="002165FF"/>
    <w:rsid w:val="00216FE6"/>
    <w:rsid w:val="002174D8"/>
    <w:rsid w:val="002203E7"/>
    <w:rsid w:val="00220730"/>
    <w:rsid w:val="002214B1"/>
    <w:rsid w:val="00221851"/>
    <w:rsid w:val="002218A0"/>
    <w:rsid w:val="002229F0"/>
    <w:rsid w:val="00222BCE"/>
    <w:rsid w:val="002235F3"/>
    <w:rsid w:val="0022364C"/>
    <w:rsid w:val="00223A68"/>
    <w:rsid w:val="00223EB0"/>
    <w:rsid w:val="0022474A"/>
    <w:rsid w:val="00224A74"/>
    <w:rsid w:val="0022576B"/>
    <w:rsid w:val="00225D17"/>
    <w:rsid w:val="00225D2D"/>
    <w:rsid w:val="00225DE8"/>
    <w:rsid w:val="0022676F"/>
    <w:rsid w:val="00226EE8"/>
    <w:rsid w:val="00226F58"/>
    <w:rsid w:val="0022729C"/>
    <w:rsid w:val="00227A34"/>
    <w:rsid w:val="00230B43"/>
    <w:rsid w:val="00230C75"/>
    <w:rsid w:val="00230E49"/>
    <w:rsid w:val="00232585"/>
    <w:rsid w:val="00232C0B"/>
    <w:rsid w:val="00232CBE"/>
    <w:rsid w:val="00233787"/>
    <w:rsid w:val="002338AB"/>
    <w:rsid w:val="0023414E"/>
    <w:rsid w:val="00234E24"/>
    <w:rsid w:val="00234ED8"/>
    <w:rsid w:val="002351AD"/>
    <w:rsid w:val="00236073"/>
    <w:rsid w:val="00236392"/>
    <w:rsid w:val="00236E63"/>
    <w:rsid w:val="00237368"/>
    <w:rsid w:val="00237675"/>
    <w:rsid w:val="0023781C"/>
    <w:rsid w:val="00237EB2"/>
    <w:rsid w:val="002400F9"/>
    <w:rsid w:val="00240671"/>
    <w:rsid w:val="002408FA"/>
    <w:rsid w:val="0024189F"/>
    <w:rsid w:val="00241EFC"/>
    <w:rsid w:val="00242279"/>
    <w:rsid w:val="00242A88"/>
    <w:rsid w:val="00242F17"/>
    <w:rsid w:val="00243469"/>
    <w:rsid w:val="00245AC7"/>
    <w:rsid w:val="00245C82"/>
    <w:rsid w:val="002471E5"/>
    <w:rsid w:val="00247240"/>
    <w:rsid w:val="00247472"/>
    <w:rsid w:val="00247687"/>
    <w:rsid w:val="00247E16"/>
    <w:rsid w:val="00250316"/>
    <w:rsid w:val="00251030"/>
    <w:rsid w:val="0025144F"/>
    <w:rsid w:val="00251988"/>
    <w:rsid w:val="00252F49"/>
    <w:rsid w:val="00253C11"/>
    <w:rsid w:val="00253D3D"/>
    <w:rsid w:val="00253F43"/>
    <w:rsid w:val="002548D4"/>
    <w:rsid w:val="00254A37"/>
    <w:rsid w:val="00254C91"/>
    <w:rsid w:val="0025524E"/>
    <w:rsid w:val="00255633"/>
    <w:rsid w:val="00255B4A"/>
    <w:rsid w:val="00256619"/>
    <w:rsid w:val="002566C6"/>
    <w:rsid w:val="002569F8"/>
    <w:rsid w:val="00256BB8"/>
    <w:rsid w:val="00256D9D"/>
    <w:rsid w:val="00257553"/>
    <w:rsid w:val="0025765E"/>
    <w:rsid w:val="00257A45"/>
    <w:rsid w:val="0026080E"/>
    <w:rsid w:val="00260C7D"/>
    <w:rsid w:val="002617B4"/>
    <w:rsid w:val="002628B4"/>
    <w:rsid w:val="00262DFE"/>
    <w:rsid w:val="002636DF"/>
    <w:rsid w:val="00263AC1"/>
    <w:rsid w:val="00263CF5"/>
    <w:rsid w:val="00264154"/>
    <w:rsid w:val="00264384"/>
    <w:rsid w:val="00264DE2"/>
    <w:rsid w:val="00265764"/>
    <w:rsid w:val="002658DC"/>
    <w:rsid w:val="00266EA4"/>
    <w:rsid w:val="00266F86"/>
    <w:rsid w:val="002679AD"/>
    <w:rsid w:val="00267ABD"/>
    <w:rsid w:val="00267EE8"/>
    <w:rsid w:val="00270097"/>
    <w:rsid w:val="00271DFB"/>
    <w:rsid w:val="0027235F"/>
    <w:rsid w:val="002727EC"/>
    <w:rsid w:val="00272965"/>
    <w:rsid w:val="002737F6"/>
    <w:rsid w:val="00273C0B"/>
    <w:rsid w:val="00274217"/>
    <w:rsid w:val="00274877"/>
    <w:rsid w:val="00275542"/>
    <w:rsid w:val="00275B72"/>
    <w:rsid w:val="00277B57"/>
    <w:rsid w:val="00277C17"/>
    <w:rsid w:val="00280634"/>
    <w:rsid w:val="0028080E"/>
    <w:rsid w:val="00280F6D"/>
    <w:rsid w:val="00281595"/>
    <w:rsid w:val="00281652"/>
    <w:rsid w:val="00283FB5"/>
    <w:rsid w:val="00284428"/>
    <w:rsid w:val="002847F0"/>
    <w:rsid w:val="00285642"/>
    <w:rsid w:val="002859E2"/>
    <w:rsid w:val="00285FB8"/>
    <w:rsid w:val="00286D6C"/>
    <w:rsid w:val="0028713E"/>
    <w:rsid w:val="0028783C"/>
    <w:rsid w:val="002879E4"/>
    <w:rsid w:val="00287D33"/>
    <w:rsid w:val="002903B6"/>
    <w:rsid w:val="00290BA8"/>
    <w:rsid w:val="0029143F"/>
    <w:rsid w:val="00291B40"/>
    <w:rsid w:val="00291F12"/>
    <w:rsid w:val="00292500"/>
    <w:rsid w:val="002927E7"/>
    <w:rsid w:val="00292CA3"/>
    <w:rsid w:val="00293060"/>
    <w:rsid w:val="00293241"/>
    <w:rsid w:val="00293346"/>
    <w:rsid w:val="002935E6"/>
    <w:rsid w:val="00293D16"/>
    <w:rsid w:val="002940B8"/>
    <w:rsid w:val="00294178"/>
    <w:rsid w:val="002941CC"/>
    <w:rsid w:val="002943AD"/>
    <w:rsid w:val="0029465B"/>
    <w:rsid w:val="002952FB"/>
    <w:rsid w:val="00295D40"/>
    <w:rsid w:val="00296520"/>
    <w:rsid w:val="00296B1A"/>
    <w:rsid w:val="00296C5E"/>
    <w:rsid w:val="002A0E19"/>
    <w:rsid w:val="002A16EA"/>
    <w:rsid w:val="002A1A57"/>
    <w:rsid w:val="002A1A8F"/>
    <w:rsid w:val="002A2044"/>
    <w:rsid w:val="002A24B9"/>
    <w:rsid w:val="002A2895"/>
    <w:rsid w:val="002A32E2"/>
    <w:rsid w:val="002A33D8"/>
    <w:rsid w:val="002A4F7D"/>
    <w:rsid w:val="002A5A5D"/>
    <w:rsid w:val="002A5AA7"/>
    <w:rsid w:val="002A5E50"/>
    <w:rsid w:val="002A7E71"/>
    <w:rsid w:val="002B0222"/>
    <w:rsid w:val="002B0741"/>
    <w:rsid w:val="002B0D34"/>
    <w:rsid w:val="002B0F8C"/>
    <w:rsid w:val="002B11DD"/>
    <w:rsid w:val="002B12DE"/>
    <w:rsid w:val="002B1728"/>
    <w:rsid w:val="002B198C"/>
    <w:rsid w:val="002B1CDC"/>
    <w:rsid w:val="002B1F6A"/>
    <w:rsid w:val="002B2507"/>
    <w:rsid w:val="002B2715"/>
    <w:rsid w:val="002B33A4"/>
    <w:rsid w:val="002B37C0"/>
    <w:rsid w:val="002B3B58"/>
    <w:rsid w:val="002B4008"/>
    <w:rsid w:val="002B500C"/>
    <w:rsid w:val="002B601D"/>
    <w:rsid w:val="002B6057"/>
    <w:rsid w:val="002B6E70"/>
    <w:rsid w:val="002B77B6"/>
    <w:rsid w:val="002B7F71"/>
    <w:rsid w:val="002C008F"/>
    <w:rsid w:val="002C13E5"/>
    <w:rsid w:val="002C196A"/>
    <w:rsid w:val="002C2683"/>
    <w:rsid w:val="002C2898"/>
    <w:rsid w:val="002C29FE"/>
    <w:rsid w:val="002C2ECE"/>
    <w:rsid w:val="002C58D5"/>
    <w:rsid w:val="002C58F9"/>
    <w:rsid w:val="002C5CE9"/>
    <w:rsid w:val="002C6EF4"/>
    <w:rsid w:val="002C7328"/>
    <w:rsid w:val="002C77D9"/>
    <w:rsid w:val="002D077E"/>
    <w:rsid w:val="002D0E8E"/>
    <w:rsid w:val="002D155C"/>
    <w:rsid w:val="002D1AA9"/>
    <w:rsid w:val="002D30CA"/>
    <w:rsid w:val="002D31EB"/>
    <w:rsid w:val="002D32E1"/>
    <w:rsid w:val="002D3775"/>
    <w:rsid w:val="002D455E"/>
    <w:rsid w:val="002D4901"/>
    <w:rsid w:val="002D4C99"/>
    <w:rsid w:val="002D5F76"/>
    <w:rsid w:val="002D68A2"/>
    <w:rsid w:val="002E01C5"/>
    <w:rsid w:val="002E0654"/>
    <w:rsid w:val="002E0E04"/>
    <w:rsid w:val="002E0ED7"/>
    <w:rsid w:val="002E18F4"/>
    <w:rsid w:val="002E239F"/>
    <w:rsid w:val="002E33C8"/>
    <w:rsid w:val="002E412A"/>
    <w:rsid w:val="002E4239"/>
    <w:rsid w:val="002E4EDA"/>
    <w:rsid w:val="002E54B3"/>
    <w:rsid w:val="002E55F8"/>
    <w:rsid w:val="002E5870"/>
    <w:rsid w:val="002E6CB0"/>
    <w:rsid w:val="002E6F1A"/>
    <w:rsid w:val="002E7A67"/>
    <w:rsid w:val="002E7BE8"/>
    <w:rsid w:val="002E7F11"/>
    <w:rsid w:val="002F00DC"/>
    <w:rsid w:val="002F0418"/>
    <w:rsid w:val="002F0C11"/>
    <w:rsid w:val="002F14AC"/>
    <w:rsid w:val="002F1B26"/>
    <w:rsid w:val="002F337B"/>
    <w:rsid w:val="002F3459"/>
    <w:rsid w:val="002F3ECC"/>
    <w:rsid w:val="002F569F"/>
    <w:rsid w:val="002F5879"/>
    <w:rsid w:val="002F5AB1"/>
    <w:rsid w:val="002F6252"/>
    <w:rsid w:val="002F6775"/>
    <w:rsid w:val="002F6881"/>
    <w:rsid w:val="002F72EE"/>
    <w:rsid w:val="002F78C8"/>
    <w:rsid w:val="00300C66"/>
    <w:rsid w:val="00300D3C"/>
    <w:rsid w:val="00301189"/>
    <w:rsid w:val="00302414"/>
    <w:rsid w:val="00302464"/>
    <w:rsid w:val="003024F7"/>
    <w:rsid w:val="00302C1D"/>
    <w:rsid w:val="00303671"/>
    <w:rsid w:val="0030370F"/>
    <w:rsid w:val="00303D3E"/>
    <w:rsid w:val="00303F35"/>
    <w:rsid w:val="00304718"/>
    <w:rsid w:val="00304795"/>
    <w:rsid w:val="003055C3"/>
    <w:rsid w:val="00305A7B"/>
    <w:rsid w:val="00305D57"/>
    <w:rsid w:val="00305FE0"/>
    <w:rsid w:val="00306048"/>
    <w:rsid w:val="003066D6"/>
    <w:rsid w:val="00306CAE"/>
    <w:rsid w:val="00306E87"/>
    <w:rsid w:val="00306EB0"/>
    <w:rsid w:val="00307D99"/>
    <w:rsid w:val="00310483"/>
    <w:rsid w:val="0031094B"/>
    <w:rsid w:val="00310AAC"/>
    <w:rsid w:val="003115AD"/>
    <w:rsid w:val="00311BC8"/>
    <w:rsid w:val="00311E01"/>
    <w:rsid w:val="00311E60"/>
    <w:rsid w:val="00312063"/>
    <w:rsid w:val="00312C43"/>
    <w:rsid w:val="00312E49"/>
    <w:rsid w:val="00312EBC"/>
    <w:rsid w:val="003141AD"/>
    <w:rsid w:val="0031457D"/>
    <w:rsid w:val="00315148"/>
    <w:rsid w:val="003154C4"/>
    <w:rsid w:val="0031611B"/>
    <w:rsid w:val="00316F32"/>
    <w:rsid w:val="0031742A"/>
    <w:rsid w:val="0031760F"/>
    <w:rsid w:val="003200A0"/>
    <w:rsid w:val="003200EE"/>
    <w:rsid w:val="003202B9"/>
    <w:rsid w:val="003208DF"/>
    <w:rsid w:val="00320C0C"/>
    <w:rsid w:val="003210CB"/>
    <w:rsid w:val="00321763"/>
    <w:rsid w:val="00321F6C"/>
    <w:rsid w:val="00321FA0"/>
    <w:rsid w:val="003229FE"/>
    <w:rsid w:val="00322BA7"/>
    <w:rsid w:val="00323E09"/>
    <w:rsid w:val="00324C1C"/>
    <w:rsid w:val="00324D1A"/>
    <w:rsid w:val="0032505C"/>
    <w:rsid w:val="003266F8"/>
    <w:rsid w:val="00327E94"/>
    <w:rsid w:val="00330417"/>
    <w:rsid w:val="00331006"/>
    <w:rsid w:val="00331041"/>
    <w:rsid w:val="003313ED"/>
    <w:rsid w:val="003315CD"/>
    <w:rsid w:val="00332043"/>
    <w:rsid w:val="00332195"/>
    <w:rsid w:val="00332529"/>
    <w:rsid w:val="003331B7"/>
    <w:rsid w:val="00333932"/>
    <w:rsid w:val="003339E6"/>
    <w:rsid w:val="00333DF5"/>
    <w:rsid w:val="00335639"/>
    <w:rsid w:val="00335716"/>
    <w:rsid w:val="00335BBE"/>
    <w:rsid w:val="00335DA1"/>
    <w:rsid w:val="00336400"/>
    <w:rsid w:val="00336952"/>
    <w:rsid w:val="00336BF1"/>
    <w:rsid w:val="00337251"/>
    <w:rsid w:val="003372AB"/>
    <w:rsid w:val="00337AC5"/>
    <w:rsid w:val="00337D24"/>
    <w:rsid w:val="00340832"/>
    <w:rsid w:val="0034087F"/>
    <w:rsid w:val="00340C67"/>
    <w:rsid w:val="003418E2"/>
    <w:rsid w:val="00341B1B"/>
    <w:rsid w:val="00342AE6"/>
    <w:rsid w:val="00343061"/>
    <w:rsid w:val="00343380"/>
    <w:rsid w:val="00343B30"/>
    <w:rsid w:val="003442DC"/>
    <w:rsid w:val="00344578"/>
    <w:rsid w:val="00344741"/>
    <w:rsid w:val="00344DE4"/>
    <w:rsid w:val="003452CB"/>
    <w:rsid w:val="003469A7"/>
    <w:rsid w:val="00346DE9"/>
    <w:rsid w:val="00347282"/>
    <w:rsid w:val="00347875"/>
    <w:rsid w:val="00347A2F"/>
    <w:rsid w:val="00347BBB"/>
    <w:rsid w:val="0035045F"/>
    <w:rsid w:val="003504D7"/>
    <w:rsid w:val="003507F5"/>
    <w:rsid w:val="00350877"/>
    <w:rsid w:val="00350B54"/>
    <w:rsid w:val="0035119E"/>
    <w:rsid w:val="003513E3"/>
    <w:rsid w:val="0035173E"/>
    <w:rsid w:val="003518AA"/>
    <w:rsid w:val="003519E1"/>
    <w:rsid w:val="00351A57"/>
    <w:rsid w:val="00352165"/>
    <w:rsid w:val="00352360"/>
    <w:rsid w:val="00352832"/>
    <w:rsid w:val="00352F3F"/>
    <w:rsid w:val="00352FF1"/>
    <w:rsid w:val="00353182"/>
    <w:rsid w:val="0035338D"/>
    <w:rsid w:val="00353522"/>
    <w:rsid w:val="00354927"/>
    <w:rsid w:val="00355FFD"/>
    <w:rsid w:val="003565D9"/>
    <w:rsid w:val="003574BB"/>
    <w:rsid w:val="00357E1D"/>
    <w:rsid w:val="00357FD0"/>
    <w:rsid w:val="003602E1"/>
    <w:rsid w:val="00360520"/>
    <w:rsid w:val="0036068E"/>
    <w:rsid w:val="00360C91"/>
    <w:rsid w:val="00360D4F"/>
    <w:rsid w:val="00361381"/>
    <w:rsid w:val="00361648"/>
    <w:rsid w:val="00361C12"/>
    <w:rsid w:val="00361CA5"/>
    <w:rsid w:val="003626CF"/>
    <w:rsid w:val="003628F3"/>
    <w:rsid w:val="00362A48"/>
    <w:rsid w:val="0036346C"/>
    <w:rsid w:val="0036427D"/>
    <w:rsid w:val="00364830"/>
    <w:rsid w:val="0036503A"/>
    <w:rsid w:val="003656B3"/>
    <w:rsid w:val="00365DC8"/>
    <w:rsid w:val="00366105"/>
    <w:rsid w:val="003670E3"/>
    <w:rsid w:val="00367C69"/>
    <w:rsid w:val="0037026F"/>
    <w:rsid w:val="0037051C"/>
    <w:rsid w:val="00370762"/>
    <w:rsid w:val="00370C32"/>
    <w:rsid w:val="00370D87"/>
    <w:rsid w:val="0037118A"/>
    <w:rsid w:val="00371240"/>
    <w:rsid w:val="00371472"/>
    <w:rsid w:val="00371569"/>
    <w:rsid w:val="0037339C"/>
    <w:rsid w:val="00373C9C"/>
    <w:rsid w:val="00373D01"/>
    <w:rsid w:val="00374731"/>
    <w:rsid w:val="00374B33"/>
    <w:rsid w:val="00374CAF"/>
    <w:rsid w:val="00374DA2"/>
    <w:rsid w:val="00374E70"/>
    <w:rsid w:val="003762DA"/>
    <w:rsid w:val="003767DA"/>
    <w:rsid w:val="003778CD"/>
    <w:rsid w:val="00377A65"/>
    <w:rsid w:val="003801E2"/>
    <w:rsid w:val="00380274"/>
    <w:rsid w:val="0038072C"/>
    <w:rsid w:val="0038098A"/>
    <w:rsid w:val="0038133C"/>
    <w:rsid w:val="0038288B"/>
    <w:rsid w:val="00384982"/>
    <w:rsid w:val="0038517C"/>
    <w:rsid w:val="00385238"/>
    <w:rsid w:val="00385381"/>
    <w:rsid w:val="00385D73"/>
    <w:rsid w:val="00386826"/>
    <w:rsid w:val="00386FFB"/>
    <w:rsid w:val="003876AD"/>
    <w:rsid w:val="00390045"/>
    <w:rsid w:val="003908C1"/>
    <w:rsid w:val="003910CE"/>
    <w:rsid w:val="00391248"/>
    <w:rsid w:val="003919F9"/>
    <w:rsid w:val="00391D22"/>
    <w:rsid w:val="003921C8"/>
    <w:rsid w:val="0039249D"/>
    <w:rsid w:val="003933F9"/>
    <w:rsid w:val="00393BF6"/>
    <w:rsid w:val="00394A0E"/>
    <w:rsid w:val="00394DD0"/>
    <w:rsid w:val="0039599B"/>
    <w:rsid w:val="00395F1B"/>
    <w:rsid w:val="003961CF"/>
    <w:rsid w:val="00396AD9"/>
    <w:rsid w:val="003974B2"/>
    <w:rsid w:val="003977FE"/>
    <w:rsid w:val="003978A3"/>
    <w:rsid w:val="003A013A"/>
    <w:rsid w:val="003A02C5"/>
    <w:rsid w:val="003A05C5"/>
    <w:rsid w:val="003A074C"/>
    <w:rsid w:val="003A1CD5"/>
    <w:rsid w:val="003A23D8"/>
    <w:rsid w:val="003A32C1"/>
    <w:rsid w:val="003A3325"/>
    <w:rsid w:val="003A3837"/>
    <w:rsid w:val="003A4559"/>
    <w:rsid w:val="003A47FE"/>
    <w:rsid w:val="003A4975"/>
    <w:rsid w:val="003A4D47"/>
    <w:rsid w:val="003A5310"/>
    <w:rsid w:val="003A5325"/>
    <w:rsid w:val="003A6215"/>
    <w:rsid w:val="003A6234"/>
    <w:rsid w:val="003A64EB"/>
    <w:rsid w:val="003A7A3D"/>
    <w:rsid w:val="003A7AEC"/>
    <w:rsid w:val="003A7F50"/>
    <w:rsid w:val="003B025F"/>
    <w:rsid w:val="003B064B"/>
    <w:rsid w:val="003B09A0"/>
    <w:rsid w:val="003B36FF"/>
    <w:rsid w:val="003B39A4"/>
    <w:rsid w:val="003B3ABA"/>
    <w:rsid w:val="003B48F3"/>
    <w:rsid w:val="003B4B18"/>
    <w:rsid w:val="003B4B52"/>
    <w:rsid w:val="003B4FE7"/>
    <w:rsid w:val="003B5B2F"/>
    <w:rsid w:val="003B5D5C"/>
    <w:rsid w:val="003B5EF1"/>
    <w:rsid w:val="003B730B"/>
    <w:rsid w:val="003B7926"/>
    <w:rsid w:val="003B7B42"/>
    <w:rsid w:val="003B7C22"/>
    <w:rsid w:val="003C03B3"/>
    <w:rsid w:val="003C0758"/>
    <w:rsid w:val="003C1458"/>
    <w:rsid w:val="003C15ED"/>
    <w:rsid w:val="003C1D91"/>
    <w:rsid w:val="003C1DC3"/>
    <w:rsid w:val="003C1E86"/>
    <w:rsid w:val="003C26C5"/>
    <w:rsid w:val="003C2B6C"/>
    <w:rsid w:val="003C331A"/>
    <w:rsid w:val="003C38B5"/>
    <w:rsid w:val="003C3978"/>
    <w:rsid w:val="003C3B09"/>
    <w:rsid w:val="003C3C12"/>
    <w:rsid w:val="003C4759"/>
    <w:rsid w:val="003C4BE4"/>
    <w:rsid w:val="003C4C07"/>
    <w:rsid w:val="003C4FB7"/>
    <w:rsid w:val="003C5AA1"/>
    <w:rsid w:val="003C5D99"/>
    <w:rsid w:val="003C6AC6"/>
    <w:rsid w:val="003C72F1"/>
    <w:rsid w:val="003C746C"/>
    <w:rsid w:val="003C7822"/>
    <w:rsid w:val="003D0C8A"/>
    <w:rsid w:val="003D1879"/>
    <w:rsid w:val="003D1901"/>
    <w:rsid w:val="003D19AD"/>
    <w:rsid w:val="003D2394"/>
    <w:rsid w:val="003D291A"/>
    <w:rsid w:val="003D33C1"/>
    <w:rsid w:val="003D356B"/>
    <w:rsid w:val="003D3A36"/>
    <w:rsid w:val="003D3DDC"/>
    <w:rsid w:val="003D3F85"/>
    <w:rsid w:val="003D4909"/>
    <w:rsid w:val="003D55A4"/>
    <w:rsid w:val="003D66BF"/>
    <w:rsid w:val="003D6E71"/>
    <w:rsid w:val="003D6EAD"/>
    <w:rsid w:val="003D7798"/>
    <w:rsid w:val="003D7A6D"/>
    <w:rsid w:val="003E00D7"/>
    <w:rsid w:val="003E079F"/>
    <w:rsid w:val="003E0D26"/>
    <w:rsid w:val="003E1A99"/>
    <w:rsid w:val="003E20CC"/>
    <w:rsid w:val="003E307D"/>
    <w:rsid w:val="003E370E"/>
    <w:rsid w:val="003E3EC1"/>
    <w:rsid w:val="003E4409"/>
    <w:rsid w:val="003E4621"/>
    <w:rsid w:val="003E4D9E"/>
    <w:rsid w:val="003E4E7D"/>
    <w:rsid w:val="003E5466"/>
    <w:rsid w:val="003E5678"/>
    <w:rsid w:val="003E654C"/>
    <w:rsid w:val="003E6D66"/>
    <w:rsid w:val="003E7083"/>
    <w:rsid w:val="003E7467"/>
    <w:rsid w:val="003E7B3D"/>
    <w:rsid w:val="003E7BA9"/>
    <w:rsid w:val="003F010E"/>
    <w:rsid w:val="003F0170"/>
    <w:rsid w:val="003F0789"/>
    <w:rsid w:val="003F1265"/>
    <w:rsid w:val="003F1408"/>
    <w:rsid w:val="003F221A"/>
    <w:rsid w:val="003F2709"/>
    <w:rsid w:val="003F291E"/>
    <w:rsid w:val="003F2AA8"/>
    <w:rsid w:val="003F2E6F"/>
    <w:rsid w:val="003F38A6"/>
    <w:rsid w:val="003F442E"/>
    <w:rsid w:val="003F4492"/>
    <w:rsid w:val="003F46A4"/>
    <w:rsid w:val="003F4B53"/>
    <w:rsid w:val="003F5520"/>
    <w:rsid w:val="003F6669"/>
    <w:rsid w:val="003F668F"/>
    <w:rsid w:val="003F72E7"/>
    <w:rsid w:val="003F7372"/>
    <w:rsid w:val="003F7B9C"/>
    <w:rsid w:val="00400497"/>
    <w:rsid w:val="00400BA5"/>
    <w:rsid w:val="00400C09"/>
    <w:rsid w:val="00401882"/>
    <w:rsid w:val="004018C2"/>
    <w:rsid w:val="00401A77"/>
    <w:rsid w:val="00401ECC"/>
    <w:rsid w:val="00402342"/>
    <w:rsid w:val="004027F0"/>
    <w:rsid w:val="00402D8A"/>
    <w:rsid w:val="00403093"/>
    <w:rsid w:val="004030EF"/>
    <w:rsid w:val="00403DF3"/>
    <w:rsid w:val="00404251"/>
    <w:rsid w:val="00405B98"/>
    <w:rsid w:val="00405D39"/>
    <w:rsid w:val="00405E11"/>
    <w:rsid w:val="00405E5C"/>
    <w:rsid w:val="004060FA"/>
    <w:rsid w:val="00406776"/>
    <w:rsid w:val="00406C95"/>
    <w:rsid w:val="00406E1E"/>
    <w:rsid w:val="00407C33"/>
    <w:rsid w:val="004100C8"/>
    <w:rsid w:val="004102B9"/>
    <w:rsid w:val="00410708"/>
    <w:rsid w:val="004108A3"/>
    <w:rsid w:val="00410C23"/>
    <w:rsid w:val="00410E78"/>
    <w:rsid w:val="004113B6"/>
    <w:rsid w:val="00411CA6"/>
    <w:rsid w:val="00411CE1"/>
    <w:rsid w:val="004120C3"/>
    <w:rsid w:val="00412345"/>
    <w:rsid w:val="004125B1"/>
    <w:rsid w:val="00412ACE"/>
    <w:rsid w:val="00412C9F"/>
    <w:rsid w:val="00412E15"/>
    <w:rsid w:val="0041300A"/>
    <w:rsid w:val="00413B9C"/>
    <w:rsid w:val="00413EF1"/>
    <w:rsid w:val="00414668"/>
    <w:rsid w:val="00414E41"/>
    <w:rsid w:val="004154FF"/>
    <w:rsid w:val="004158D9"/>
    <w:rsid w:val="0041651C"/>
    <w:rsid w:val="00416D1E"/>
    <w:rsid w:val="00417B5D"/>
    <w:rsid w:val="00417B83"/>
    <w:rsid w:val="00420AF9"/>
    <w:rsid w:val="00420B1A"/>
    <w:rsid w:val="00420F09"/>
    <w:rsid w:val="00421047"/>
    <w:rsid w:val="004211A2"/>
    <w:rsid w:val="0042160D"/>
    <w:rsid w:val="00421A3D"/>
    <w:rsid w:val="004221A0"/>
    <w:rsid w:val="004227A9"/>
    <w:rsid w:val="00422B4B"/>
    <w:rsid w:val="00423838"/>
    <w:rsid w:val="00423AF4"/>
    <w:rsid w:val="00423F95"/>
    <w:rsid w:val="004245EF"/>
    <w:rsid w:val="00424FBD"/>
    <w:rsid w:val="004252CD"/>
    <w:rsid w:val="004252F1"/>
    <w:rsid w:val="004263F9"/>
    <w:rsid w:val="00426CD5"/>
    <w:rsid w:val="00426EB8"/>
    <w:rsid w:val="004270F7"/>
    <w:rsid w:val="00427CA5"/>
    <w:rsid w:val="00427D60"/>
    <w:rsid w:val="00427E6D"/>
    <w:rsid w:val="004304F8"/>
    <w:rsid w:val="00430B21"/>
    <w:rsid w:val="00431249"/>
    <w:rsid w:val="0043221D"/>
    <w:rsid w:val="00432FCF"/>
    <w:rsid w:val="0043331F"/>
    <w:rsid w:val="00434C19"/>
    <w:rsid w:val="00434FDF"/>
    <w:rsid w:val="004367F1"/>
    <w:rsid w:val="00437321"/>
    <w:rsid w:val="00437AF2"/>
    <w:rsid w:val="00440A0E"/>
    <w:rsid w:val="00441BF8"/>
    <w:rsid w:val="00441F81"/>
    <w:rsid w:val="00441F97"/>
    <w:rsid w:val="00442679"/>
    <w:rsid w:val="00442B84"/>
    <w:rsid w:val="00442CCF"/>
    <w:rsid w:val="0044356D"/>
    <w:rsid w:val="0044553F"/>
    <w:rsid w:val="004459AA"/>
    <w:rsid w:val="00445F81"/>
    <w:rsid w:val="00445FD5"/>
    <w:rsid w:val="004467A9"/>
    <w:rsid w:val="0044758E"/>
    <w:rsid w:val="00450810"/>
    <w:rsid w:val="0045082C"/>
    <w:rsid w:val="00451655"/>
    <w:rsid w:val="00452385"/>
    <w:rsid w:val="00452A6F"/>
    <w:rsid w:val="00452D1A"/>
    <w:rsid w:val="00453209"/>
    <w:rsid w:val="0045401F"/>
    <w:rsid w:val="0045427E"/>
    <w:rsid w:val="00454BB4"/>
    <w:rsid w:val="00454C6C"/>
    <w:rsid w:val="00454F05"/>
    <w:rsid w:val="00456E3F"/>
    <w:rsid w:val="004570D2"/>
    <w:rsid w:val="00460195"/>
    <w:rsid w:val="00460F62"/>
    <w:rsid w:val="00461882"/>
    <w:rsid w:val="00461C64"/>
    <w:rsid w:val="0046245C"/>
    <w:rsid w:val="00462DE8"/>
    <w:rsid w:val="0046333E"/>
    <w:rsid w:val="004633B4"/>
    <w:rsid w:val="00463792"/>
    <w:rsid w:val="00465F86"/>
    <w:rsid w:val="004667FD"/>
    <w:rsid w:val="004669CD"/>
    <w:rsid w:val="00466FC4"/>
    <w:rsid w:val="0047012B"/>
    <w:rsid w:val="004715BF"/>
    <w:rsid w:val="00471744"/>
    <w:rsid w:val="004719C5"/>
    <w:rsid w:val="00472343"/>
    <w:rsid w:val="004731C8"/>
    <w:rsid w:val="00473CFE"/>
    <w:rsid w:val="00473E14"/>
    <w:rsid w:val="004753EA"/>
    <w:rsid w:val="00475B47"/>
    <w:rsid w:val="00475B76"/>
    <w:rsid w:val="00476319"/>
    <w:rsid w:val="0047635C"/>
    <w:rsid w:val="00477144"/>
    <w:rsid w:val="00477315"/>
    <w:rsid w:val="0047796D"/>
    <w:rsid w:val="004779C9"/>
    <w:rsid w:val="004815AD"/>
    <w:rsid w:val="0048161A"/>
    <w:rsid w:val="00481A62"/>
    <w:rsid w:val="00481B96"/>
    <w:rsid w:val="00481F90"/>
    <w:rsid w:val="00482DBF"/>
    <w:rsid w:val="00482EFC"/>
    <w:rsid w:val="00482F42"/>
    <w:rsid w:val="00483607"/>
    <w:rsid w:val="00483B74"/>
    <w:rsid w:val="004849DD"/>
    <w:rsid w:val="00484F1C"/>
    <w:rsid w:val="004851D7"/>
    <w:rsid w:val="00485673"/>
    <w:rsid w:val="00485BC7"/>
    <w:rsid w:val="00486C73"/>
    <w:rsid w:val="00486F61"/>
    <w:rsid w:val="004907A5"/>
    <w:rsid w:val="0049147A"/>
    <w:rsid w:val="00491DC2"/>
    <w:rsid w:val="00492209"/>
    <w:rsid w:val="004925F0"/>
    <w:rsid w:val="00492722"/>
    <w:rsid w:val="00492982"/>
    <w:rsid w:val="0049459F"/>
    <w:rsid w:val="00495C39"/>
    <w:rsid w:val="00496097"/>
    <w:rsid w:val="0049679A"/>
    <w:rsid w:val="0049784D"/>
    <w:rsid w:val="00497A00"/>
    <w:rsid w:val="004A0532"/>
    <w:rsid w:val="004A0F32"/>
    <w:rsid w:val="004A25F4"/>
    <w:rsid w:val="004A38DD"/>
    <w:rsid w:val="004A47AC"/>
    <w:rsid w:val="004A4F58"/>
    <w:rsid w:val="004A5193"/>
    <w:rsid w:val="004A6137"/>
    <w:rsid w:val="004A61B2"/>
    <w:rsid w:val="004A6D32"/>
    <w:rsid w:val="004A7871"/>
    <w:rsid w:val="004A7D28"/>
    <w:rsid w:val="004A7E15"/>
    <w:rsid w:val="004B0117"/>
    <w:rsid w:val="004B0CEA"/>
    <w:rsid w:val="004B169F"/>
    <w:rsid w:val="004B1F12"/>
    <w:rsid w:val="004B20CF"/>
    <w:rsid w:val="004B3939"/>
    <w:rsid w:val="004B419A"/>
    <w:rsid w:val="004B424D"/>
    <w:rsid w:val="004B43AE"/>
    <w:rsid w:val="004B57FE"/>
    <w:rsid w:val="004B5BEE"/>
    <w:rsid w:val="004B5F0F"/>
    <w:rsid w:val="004B7117"/>
    <w:rsid w:val="004B778E"/>
    <w:rsid w:val="004B7A62"/>
    <w:rsid w:val="004B7FC7"/>
    <w:rsid w:val="004B7FCE"/>
    <w:rsid w:val="004C0EBD"/>
    <w:rsid w:val="004C14A4"/>
    <w:rsid w:val="004C1C35"/>
    <w:rsid w:val="004C2116"/>
    <w:rsid w:val="004C281E"/>
    <w:rsid w:val="004C29CB"/>
    <w:rsid w:val="004C2A4E"/>
    <w:rsid w:val="004C307C"/>
    <w:rsid w:val="004C30ED"/>
    <w:rsid w:val="004C3A83"/>
    <w:rsid w:val="004C3D42"/>
    <w:rsid w:val="004C4B63"/>
    <w:rsid w:val="004C509C"/>
    <w:rsid w:val="004C5896"/>
    <w:rsid w:val="004C59CE"/>
    <w:rsid w:val="004C5C3A"/>
    <w:rsid w:val="004C6288"/>
    <w:rsid w:val="004C68A1"/>
    <w:rsid w:val="004C715B"/>
    <w:rsid w:val="004C7610"/>
    <w:rsid w:val="004C79E2"/>
    <w:rsid w:val="004D1A7D"/>
    <w:rsid w:val="004D22DF"/>
    <w:rsid w:val="004D26AE"/>
    <w:rsid w:val="004D2851"/>
    <w:rsid w:val="004D2CCD"/>
    <w:rsid w:val="004D2E0E"/>
    <w:rsid w:val="004D2FCE"/>
    <w:rsid w:val="004D36F3"/>
    <w:rsid w:val="004D3813"/>
    <w:rsid w:val="004D392E"/>
    <w:rsid w:val="004D39E6"/>
    <w:rsid w:val="004D39F5"/>
    <w:rsid w:val="004D3A0A"/>
    <w:rsid w:val="004D3CE3"/>
    <w:rsid w:val="004D45D0"/>
    <w:rsid w:val="004D5675"/>
    <w:rsid w:val="004D678B"/>
    <w:rsid w:val="004D7A7C"/>
    <w:rsid w:val="004D7AE7"/>
    <w:rsid w:val="004E0A12"/>
    <w:rsid w:val="004E0C6F"/>
    <w:rsid w:val="004E121F"/>
    <w:rsid w:val="004E123E"/>
    <w:rsid w:val="004E14FF"/>
    <w:rsid w:val="004E1EB0"/>
    <w:rsid w:val="004E2A24"/>
    <w:rsid w:val="004E2C13"/>
    <w:rsid w:val="004E3196"/>
    <w:rsid w:val="004E3DBF"/>
    <w:rsid w:val="004E3F6C"/>
    <w:rsid w:val="004E4157"/>
    <w:rsid w:val="004E4210"/>
    <w:rsid w:val="004E44D1"/>
    <w:rsid w:val="004E453B"/>
    <w:rsid w:val="004E52C7"/>
    <w:rsid w:val="004E57A6"/>
    <w:rsid w:val="004E5A47"/>
    <w:rsid w:val="004E69E8"/>
    <w:rsid w:val="004E6D74"/>
    <w:rsid w:val="004E7315"/>
    <w:rsid w:val="004E74D0"/>
    <w:rsid w:val="004E76DF"/>
    <w:rsid w:val="004F05BC"/>
    <w:rsid w:val="004F0729"/>
    <w:rsid w:val="004F1C80"/>
    <w:rsid w:val="004F22C3"/>
    <w:rsid w:val="004F2634"/>
    <w:rsid w:val="004F3276"/>
    <w:rsid w:val="004F384C"/>
    <w:rsid w:val="004F447F"/>
    <w:rsid w:val="004F4933"/>
    <w:rsid w:val="004F5004"/>
    <w:rsid w:val="004F503B"/>
    <w:rsid w:val="004F6531"/>
    <w:rsid w:val="004F6BD2"/>
    <w:rsid w:val="004F6F07"/>
    <w:rsid w:val="004F703F"/>
    <w:rsid w:val="00501108"/>
    <w:rsid w:val="00502594"/>
    <w:rsid w:val="00502B94"/>
    <w:rsid w:val="00502F63"/>
    <w:rsid w:val="00503058"/>
    <w:rsid w:val="00503DFA"/>
    <w:rsid w:val="0050470D"/>
    <w:rsid w:val="005048DC"/>
    <w:rsid w:val="00504978"/>
    <w:rsid w:val="00506B96"/>
    <w:rsid w:val="00510B41"/>
    <w:rsid w:val="00510C56"/>
    <w:rsid w:val="00511443"/>
    <w:rsid w:val="00511DDF"/>
    <w:rsid w:val="005125A4"/>
    <w:rsid w:val="005127D5"/>
    <w:rsid w:val="00512D7C"/>
    <w:rsid w:val="00512F84"/>
    <w:rsid w:val="005131A3"/>
    <w:rsid w:val="005139E7"/>
    <w:rsid w:val="0051400D"/>
    <w:rsid w:val="0051429D"/>
    <w:rsid w:val="00515FFA"/>
    <w:rsid w:val="00516499"/>
    <w:rsid w:val="005168BF"/>
    <w:rsid w:val="0051706C"/>
    <w:rsid w:val="0052009C"/>
    <w:rsid w:val="00520624"/>
    <w:rsid w:val="00520EF6"/>
    <w:rsid w:val="005213C2"/>
    <w:rsid w:val="00521C2B"/>
    <w:rsid w:val="00522030"/>
    <w:rsid w:val="00523639"/>
    <w:rsid w:val="005238E6"/>
    <w:rsid w:val="00523A6C"/>
    <w:rsid w:val="005242CB"/>
    <w:rsid w:val="0052498B"/>
    <w:rsid w:val="005250BB"/>
    <w:rsid w:val="00525DD1"/>
    <w:rsid w:val="0052657B"/>
    <w:rsid w:val="005272CD"/>
    <w:rsid w:val="00527BDA"/>
    <w:rsid w:val="00530831"/>
    <w:rsid w:val="00531198"/>
    <w:rsid w:val="00531516"/>
    <w:rsid w:val="00531D52"/>
    <w:rsid w:val="00532248"/>
    <w:rsid w:val="00533378"/>
    <w:rsid w:val="00533557"/>
    <w:rsid w:val="00533999"/>
    <w:rsid w:val="005344A3"/>
    <w:rsid w:val="00534BA9"/>
    <w:rsid w:val="00534F4C"/>
    <w:rsid w:val="00537689"/>
    <w:rsid w:val="00537920"/>
    <w:rsid w:val="00540A37"/>
    <w:rsid w:val="00541060"/>
    <w:rsid w:val="00541560"/>
    <w:rsid w:val="00541B35"/>
    <w:rsid w:val="00541EA8"/>
    <w:rsid w:val="00542F3B"/>
    <w:rsid w:val="0054307C"/>
    <w:rsid w:val="005441CC"/>
    <w:rsid w:val="0054454F"/>
    <w:rsid w:val="00544892"/>
    <w:rsid w:val="00544D60"/>
    <w:rsid w:val="0054557B"/>
    <w:rsid w:val="005457EC"/>
    <w:rsid w:val="00545EAE"/>
    <w:rsid w:val="0054642E"/>
    <w:rsid w:val="00546D3B"/>
    <w:rsid w:val="005471BB"/>
    <w:rsid w:val="005476CF"/>
    <w:rsid w:val="00547EED"/>
    <w:rsid w:val="00551937"/>
    <w:rsid w:val="00551B86"/>
    <w:rsid w:val="00552557"/>
    <w:rsid w:val="005526AB"/>
    <w:rsid w:val="00552EC6"/>
    <w:rsid w:val="00552FC0"/>
    <w:rsid w:val="00553FA4"/>
    <w:rsid w:val="00553FE2"/>
    <w:rsid w:val="00554794"/>
    <w:rsid w:val="005548E4"/>
    <w:rsid w:val="00554A1E"/>
    <w:rsid w:val="00555474"/>
    <w:rsid w:val="00555638"/>
    <w:rsid w:val="005556AD"/>
    <w:rsid w:val="005563D3"/>
    <w:rsid w:val="005609A0"/>
    <w:rsid w:val="00560FA8"/>
    <w:rsid w:val="0056117F"/>
    <w:rsid w:val="0056132E"/>
    <w:rsid w:val="0056169E"/>
    <w:rsid w:val="00561979"/>
    <w:rsid w:val="00561C2C"/>
    <w:rsid w:val="00561EC6"/>
    <w:rsid w:val="00562158"/>
    <w:rsid w:val="0056235F"/>
    <w:rsid w:val="005631DF"/>
    <w:rsid w:val="005636D1"/>
    <w:rsid w:val="0056421E"/>
    <w:rsid w:val="00564E87"/>
    <w:rsid w:val="005655F4"/>
    <w:rsid w:val="00565F6C"/>
    <w:rsid w:val="0056627E"/>
    <w:rsid w:val="00566754"/>
    <w:rsid w:val="00567519"/>
    <w:rsid w:val="0056793E"/>
    <w:rsid w:val="005679A1"/>
    <w:rsid w:val="00567AD5"/>
    <w:rsid w:val="00567D69"/>
    <w:rsid w:val="00571126"/>
    <w:rsid w:val="00571FD9"/>
    <w:rsid w:val="00572195"/>
    <w:rsid w:val="00573223"/>
    <w:rsid w:val="00573862"/>
    <w:rsid w:val="00573C7A"/>
    <w:rsid w:val="00575637"/>
    <w:rsid w:val="00575D4F"/>
    <w:rsid w:val="00575D52"/>
    <w:rsid w:val="00575ED7"/>
    <w:rsid w:val="00577157"/>
    <w:rsid w:val="00577512"/>
    <w:rsid w:val="00577923"/>
    <w:rsid w:val="00577AE0"/>
    <w:rsid w:val="00577FAB"/>
    <w:rsid w:val="005813FA"/>
    <w:rsid w:val="00581415"/>
    <w:rsid w:val="00581D6D"/>
    <w:rsid w:val="00583094"/>
    <w:rsid w:val="005838C2"/>
    <w:rsid w:val="00583C39"/>
    <w:rsid w:val="00584B41"/>
    <w:rsid w:val="00586657"/>
    <w:rsid w:val="0058733D"/>
    <w:rsid w:val="00590634"/>
    <w:rsid w:val="0059073A"/>
    <w:rsid w:val="005909CF"/>
    <w:rsid w:val="00590F52"/>
    <w:rsid w:val="00591E71"/>
    <w:rsid w:val="0059279D"/>
    <w:rsid w:val="00592935"/>
    <w:rsid w:val="00592DFB"/>
    <w:rsid w:val="0059375C"/>
    <w:rsid w:val="0059404A"/>
    <w:rsid w:val="00595AFA"/>
    <w:rsid w:val="0059646D"/>
    <w:rsid w:val="0059654F"/>
    <w:rsid w:val="005971BD"/>
    <w:rsid w:val="005975FC"/>
    <w:rsid w:val="0059797D"/>
    <w:rsid w:val="005A0387"/>
    <w:rsid w:val="005A0D41"/>
    <w:rsid w:val="005A10E5"/>
    <w:rsid w:val="005A1669"/>
    <w:rsid w:val="005A16A6"/>
    <w:rsid w:val="005A197E"/>
    <w:rsid w:val="005A1E93"/>
    <w:rsid w:val="005A26C1"/>
    <w:rsid w:val="005A27CD"/>
    <w:rsid w:val="005A2B26"/>
    <w:rsid w:val="005A2BEB"/>
    <w:rsid w:val="005A3C11"/>
    <w:rsid w:val="005A3FA6"/>
    <w:rsid w:val="005A48EC"/>
    <w:rsid w:val="005A4952"/>
    <w:rsid w:val="005A51C9"/>
    <w:rsid w:val="005A553B"/>
    <w:rsid w:val="005A5926"/>
    <w:rsid w:val="005A5C55"/>
    <w:rsid w:val="005A5D63"/>
    <w:rsid w:val="005A67BB"/>
    <w:rsid w:val="005A745E"/>
    <w:rsid w:val="005A76ED"/>
    <w:rsid w:val="005A77F0"/>
    <w:rsid w:val="005A7B99"/>
    <w:rsid w:val="005A7E01"/>
    <w:rsid w:val="005B01E3"/>
    <w:rsid w:val="005B06CF"/>
    <w:rsid w:val="005B08D6"/>
    <w:rsid w:val="005B0E4D"/>
    <w:rsid w:val="005B1785"/>
    <w:rsid w:val="005B1FF5"/>
    <w:rsid w:val="005B22C1"/>
    <w:rsid w:val="005B2317"/>
    <w:rsid w:val="005B246F"/>
    <w:rsid w:val="005B2AA8"/>
    <w:rsid w:val="005B351C"/>
    <w:rsid w:val="005B380D"/>
    <w:rsid w:val="005B3A69"/>
    <w:rsid w:val="005B3CCF"/>
    <w:rsid w:val="005B3DF7"/>
    <w:rsid w:val="005B3E91"/>
    <w:rsid w:val="005B45B4"/>
    <w:rsid w:val="005B52FF"/>
    <w:rsid w:val="005B5FF0"/>
    <w:rsid w:val="005B6D78"/>
    <w:rsid w:val="005B6F94"/>
    <w:rsid w:val="005B7153"/>
    <w:rsid w:val="005B72B9"/>
    <w:rsid w:val="005B7326"/>
    <w:rsid w:val="005C01F9"/>
    <w:rsid w:val="005C1438"/>
    <w:rsid w:val="005C26CB"/>
    <w:rsid w:val="005C2AC4"/>
    <w:rsid w:val="005C366D"/>
    <w:rsid w:val="005C4FEE"/>
    <w:rsid w:val="005C5E8A"/>
    <w:rsid w:val="005C65BB"/>
    <w:rsid w:val="005C6F8E"/>
    <w:rsid w:val="005C72F4"/>
    <w:rsid w:val="005C73B1"/>
    <w:rsid w:val="005C75A7"/>
    <w:rsid w:val="005D06DA"/>
    <w:rsid w:val="005D167A"/>
    <w:rsid w:val="005D2320"/>
    <w:rsid w:val="005D2337"/>
    <w:rsid w:val="005D2BA8"/>
    <w:rsid w:val="005D3189"/>
    <w:rsid w:val="005D3D87"/>
    <w:rsid w:val="005D45D5"/>
    <w:rsid w:val="005D727E"/>
    <w:rsid w:val="005D730F"/>
    <w:rsid w:val="005D7E92"/>
    <w:rsid w:val="005E0226"/>
    <w:rsid w:val="005E0C1F"/>
    <w:rsid w:val="005E0D00"/>
    <w:rsid w:val="005E1C5D"/>
    <w:rsid w:val="005E3618"/>
    <w:rsid w:val="005E3B7E"/>
    <w:rsid w:val="005E4A7C"/>
    <w:rsid w:val="005E4C84"/>
    <w:rsid w:val="005E651B"/>
    <w:rsid w:val="005E6D65"/>
    <w:rsid w:val="005E6F61"/>
    <w:rsid w:val="005E7B52"/>
    <w:rsid w:val="005E7CCB"/>
    <w:rsid w:val="005F01D0"/>
    <w:rsid w:val="005F01DD"/>
    <w:rsid w:val="005F07C6"/>
    <w:rsid w:val="005F0951"/>
    <w:rsid w:val="005F0D0D"/>
    <w:rsid w:val="005F0F26"/>
    <w:rsid w:val="005F1293"/>
    <w:rsid w:val="005F12DC"/>
    <w:rsid w:val="005F18BC"/>
    <w:rsid w:val="005F19F8"/>
    <w:rsid w:val="005F271A"/>
    <w:rsid w:val="005F2D3A"/>
    <w:rsid w:val="005F300D"/>
    <w:rsid w:val="005F390A"/>
    <w:rsid w:val="005F4009"/>
    <w:rsid w:val="005F4AB6"/>
    <w:rsid w:val="005F4BCE"/>
    <w:rsid w:val="005F5876"/>
    <w:rsid w:val="005F5952"/>
    <w:rsid w:val="005F59CC"/>
    <w:rsid w:val="005F5EB7"/>
    <w:rsid w:val="005F6B4D"/>
    <w:rsid w:val="005F6FA5"/>
    <w:rsid w:val="005F76A4"/>
    <w:rsid w:val="00601490"/>
    <w:rsid w:val="00601592"/>
    <w:rsid w:val="0060195C"/>
    <w:rsid w:val="006028F9"/>
    <w:rsid w:val="0060292E"/>
    <w:rsid w:val="006034E4"/>
    <w:rsid w:val="006035D8"/>
    <w:rsid w:val="00604210"/>
    <w:rsid w:val="00604F02"/>
    <w:rsid w:val="00605C7B"/>
    <w:rsid w:val="00605CAB"/>
    <w:rsid w:val="006061B7"/>
    <w:rsid w:val="0060645A"/>
    <w:rsid w:val="00606AFF"/>
    <w:rsid w:val="00606DB6"/>
    <w:rsid w:val="00606EFD"/>
    <w:rsid w:val="00607346"/>
    <w:rsid w:val="0060734C"/>
    <w:rsid w:val="00607BF1"/>
    <w:rsid w:val="00610D8E"/>
    <w:rsid w:val="00611099"/>
    <w:rsid w:val="006111A3"/>
    <w:rsid w:val="006128CA"/>
    <w:rsid w:val="00614549"/>
    <w:rsid w:val="00614814"/>
    <w:rsid w:val="00614EEE"/>
    <w:rsid w:val="00615565"/>
    <w:rsid w:val="00615603"/>
    <w:rsid w:val="00615A42"/>
    <w:rsid w:val="00616BCC"/>
    <w:rsid w:val="00617765"/>
    <w:rsid w:val="00617E8A"/>
    <w:rsid w:val="00621C5F"/>
    <w:rsid w:val="00622C31"/>
    <w:rsid w:val="0062345D"/>
    <w:rsid w:val="00623BB4"/>
    <w:rsid w:val="00624881"/>
    <w:rsid w:val="00624908"/>
    <w:rsid w:val="006258F3"/>
    <w:rsid w:val="006259F4"/>
    <w:rsid w:val="0062621D"/>
    <w:rsid w:val="00626DBD"/>
    <w:rsid w:val="0062738E"/>
    <w:rsid w:val="00627576"/>
    <w:rsid w:val="00630D4D"/>
    <w:rsid w:val="00631218"/>
    <w:rsid w:val="00631427"/>
    <w:rsid w:val="00631EF2"/>
    <w:rsid w:val="0063200F"/>
    <w:rsid w:val="00632A74"/>
    <w:rsid w:val="00632EC7"/>
    <w:rsid w:val="00633437"/>
    <w:rsid w:val="00633942"/>
    <w:rsid w:val="00633C47"/>
    <w:rsid w:val="00634CC1"/>
    <w:rsid w:val="0063566E"/>
    <w:rsid w:val="00635A6F"/>
    <w:rsid w:val="00635A89"/>
    <w:rsid w:val="00636674"/>
    <w:rsid w:val="00636B18"/>
    <w:rsid w:val="00637317"/>
    <w:rsid w:val="00637413"/>
    <w:rsid w:val="00640C84"/>
    <w:rsid w:val="006412E8"/>
    <w:rsid w:val="00641AAE"/>
    <w:rsid w:val="00641BC6"/>
    <w:rsid w:val="00641C2D"/>
    <w:rsid w:val="00642662"/>
    <w:rsid w:val="006429FA"/>
    <w:rsid w:val="00642BBF"/>
    <w:rsid w:val="00642CCC"/>
    <w:rsid w:val="006432E6"/>
    <w:rsid w:val="00643569"/>
    <w:rsid w:val="00643F59"/>
    <w:rsid w:val="0064580A"/>
    <w:rsid w:val="006462B3"/>
    <w:rsid w:val="0064705A"/>
    <w:rsid w:val="006470C3"/>
    <w:rsid w:val="006472E8"/>
    <w:rsid w:val="0065000A"/>
    <w:rsid w:val="006500EC"/>
    <w:rsid w:val="00650443"/>
    <w:rsid w:val="00650C75"/>
    <w:rsid w:val="00650C7F"/>
    <w:rsid w:val="00651230"/>
    <w:rsid w:val="006514BB"/>
    <w:rsid w:val="00651800"/>
    <w:rsid w:val="006524A5"/>
    <w:rsid w:val="006525A3"/>
    <w:rsid w:val="0065395B"/>
    <w:rsid w:val="006544C7"/>
    <w:rsid w:val="00655F5B"/>
    <w:rsid w:val="006568DE"/>
    <w:rsid w:val="00656F0D"/>
    <w:rsid w:val="00656F10"/>
    <w:rsid w:val="006576F0"/>
    <w:rsid w:val="00657A18"/>
    <w:rsid w:val="00657CE8"/>
    <w:rsid w:val="00660040"/>
    <w:rsid w:val="006604A1"/>
    <w:rsid w:val="006605DE"/>
    <w:rsid w:val="00660A82"/>
    <w:rsid w:val="00661677"/>
    <w:rsid w:val="0066169C"/>
    <w:rsid w:val="00662259"/>
    <w:rsid w:val="0066240A"/>
    <w:rsid w:val="006624C3"/>
    <w:rsid w:val="0066266E"/>
    <w:rsid w:val="006627B4"/>
    <w:rsid w:val="00663B1F"/>
    <w:rsid w:val="00663D20"/>
    <w:rsid w:val="00665AAE"/>
    <w:rsid w:val="0066662E"/>
    <w:rsid w:val="006668F6"/>
    <w:rsid w:val="00666D85"/>
    <w:rsid w:val="00666E21"/>
    <w:rsid w:val="00666F67"/>
    <w:rsid w:val="00667668"/>
    <w:rsid w:val="0067043E"/>
    <w:rsid w:val="0067084F"/>
    <w:rsid w:val="00670D3B"/>
    <w:rsid w:val="0067115D"/>
    <w:rsid w:val="00671507"/>
    <w:rsid w:val="006725FB"/>
    <w:rsid w:val="00672C15"/>
    <w:rsid w:val="0067333A"/>
    <w:rsid w:val="006741D6"/>
    <w:rsid w:val="006742AD"/>
    <w:rsid w:val="0067434A"/>
    <w:rsid w:val="00674F5F"/>
    <w:rsid w:val="0067635F"/>
    <w:rsid w:val="0067665F"/>
    <w:rsid w:val="0067676D"/>
    <w:rsid w:val="006779DC"/>
    <w:rsid w:val="00677CD6"/>
    <w:rsid w:val="006801AF"/>
    <w:rsid w:val="006802F0"/>
    <w:rsid w:val="006808E7"/>
    <w:rsid w:val="00680FA8"/>
    <w:rsid w:val="0068122D"/>
    <w:rsid w:val="006813EB"/>
    <w:rsid w:val="00681FB9"/>
    <w:rsid w:val="006825B3"/>
    <w:rsid w:val="0068286F"/>
    <w:rsid w:val="006828DF"/>
    <w:rsid w:val="0068365E"/>
    <w:rsid w:val="00683BC4"/>
    <w:rsid w:val="00683BD4"/>
    <w:rsid w:val="00684C85"/>
    <w:rsid w:val="00685507"/>
    <w:rsid w:val="00686134"/>
    <w:rsid w:val="00687A9C"/>
    <w:rsid w:val="00687D54"/>
    <w:rsid w:val="00690800"/>
    <w:rsid w:val="00690A6E"/>
    <w:rsid w:val="00692903"/>
    <w:rsid w:val="00693017"/>
    <w:rsid w:val="0069319B"/>
    <w:rsid w:val="006932A0"/>
    <w:rsid w:val="00693BB6"/>
    <w:rsid w:val="00694DB4"/>
    <w:rsid w:val="00695249"/>
    <w:rsid w:val="00696621"/>
    <w:rsid w:val="00696BED"/>
    <w:rsid w:val="0069712E"/>
    <w:rsid w:val="00697A1E"/>
    <w:rsid w:val="00697C97"/>
    <w:rsid w:val="006A057C"/>
    <w:rsid w:val="006A0A61"/>
    <w:rsid w:val="006A113A"/>
    <w:rsid w:val="006A1356"/>
    <w:rsid w:val="006A15DD"/>
    <w:rsid w:val="006A1600"/>
    <w:rsid w:val="006A2332"/>
    <w:rsid w:val="006A36F2"/>
    <w:rsid w:val="006A39AA"/>
    <w:rsid w:val="006A39CF"/>
    <w:rsid w:val="006A4655"/>
    <w:rsid w:val="006A47EC"/>
    <w:rsid w:val="006A516A"/>
    <w:rsid w:val="006A5AD8"/>
    <w:rsid w:val="006A6959"/>
    <w:rsid w:val="006A6C41"/>
    <w:rsid w:val="006A7C74"/>
    <w:rsid w:val="006B0816"/>
    <w:rsid w:val="006B0B72"/>
    <w:rsid w:val="006B2788"/>
    <w:rsid w:val="006B2914"/>
    <w:rsid w:val="006B2B3C"/>
    <w:rsid w:val="006B2C4B"/>
    <w:rsid w:val="006B2D41"/>
    <w:rsid w:val="006B2EC5"/>
    <w:rsid w:val="006B309F"/>
    <w:rsid w:val="006B3104"/>
    <w:rsid w:val="006B3D55"/>
    <w:rsid w:val="006B3E34"/>
    <w:rsid w:val="006B4844"/>
    <w:rsid w:val="006B5D34"/>
    <w:rsid w:val="006B6301"/>
    <w:rsid w:val="006B6923"/>
    <w:rsid w:val="006B71EC"/>
    <w:rsid w:val="006B779A"/>
    <w:rsid w:val="006B7F95"/>
    <w:rsid w:val="006C05F9"/>
    <w:rsid w:val="006C120D"/>
    <w:rsid w:val="006C1ADA"/>
    <w:rsid w:val="006C26CA"/>
    <w:rsid w:val="006C283A"/>
    <w:rsid w:val="006C2FF1"/>
    <w:rsid w:val="006C4554"/>
    <w:rsid w:val="006C46E2"/>
    <w:rsid w:val="006C5AB6"/>
    <w:rsid w:val="006C5C49"/>
    <w:rsid w:val="006C5F1B"/>
    <w:rsid w:val="006C5F64"/>
    <w:rsid w:val="006C63A3"/>
    <w:rsid w:val="006C7038"/>
    <w:rsid w:val="006C7E2F"/>
    <w:rsid w:val="006D0511"/>
    <w:rsid w:val="006D1708"/>
    <w:rsid w:val="006D1BC9"/>
    <w:rsid w:val="006D1D68"/>
    <w:rsid w:val="006D258D"/>
    <w:rsid w:val="006D2FB4"/>
    <w:rsid w:val="006D33C4"/>
    <w:rsid w:val="006D3512"/>
    <w:rsid w:val="006D39CF"/>
    <w:rsid w:val="006D3B96"/>
    <w:rsid w:val="006D3BD2"/>
    <w:rsid w:val="006D404E"/>
    <w:rsid w:val="006D448A"/>
    <w:rsid w:val="006D4FD6"/>
    <w:rsid w:val="006D581B"/>
    <w:rsid w:val="006D5ACB"/>
    <w:rsid w:val="006D6294"/>
    <w:rsid w:val="006D65D5"/>
    <w:rsid w:val="006D70AD"/>
    <w:rsid w:val="006D7295"/>
    <w:rsid w:val="006D738C"/>
    <w:rsid w:val="006D796A"/>
    <w:rsid w:val="006E03DD"/>
    <w:rsid w:val="006E0BD0"/>
    <w:rsid w:val="006E1387"/>
    <w:rsid w:val="006E1849"/>
    <w:rsid w:val="006E1D4E"/>
    <w:rsid w:val="006E1FDB"/>
    <w:rsid w:val="006E1FE3"/>
    <w:rsid w:val="006E222C"/>
    <w:rsid w:val="006E27C1"/>
    <w:rsid w:val="006E2903"/>
    <w:rsid w:val="006E2A24"/>
    <w:rsid w:val="006E4700"/>
    <w:rsid w:val="006E47FD"/>
    <w:rsid w:val="006E4ADB"/>
    <w:rsid w:val="006E545F"/>
    <w:rsid w:val="006E6095"/>
    <w:rsid w:val="006E60BB"/>
    <w:rsid w:val="006E6714"/>
    <w:rsid w:val="006E6DE5"/>
    <w:rsid w:val="006E7144"/>
    <w:rsid w:val="006E73C5"/>
    <w:rsid w:val="006E73EF"/>
    <w:rsid w:val="006E74D5"/>
    <w:rsid w:val="006E7E5B"/>
    <w:rsid w:val="006F07E2"/>
    <w:rsid w:val="006F159D"/>
    <w:rsid w:val="006F15D1"/>
    <w:rsid w:val="006F2D64"/>
    <w:rsid w:val="006F30A1"/>
    <w:rsid w:val="006F352E"/>
    <w:rsid w:val="006F37BB"/>
    <w:rsid w:val="006F41AF"/>
    <w:rsid w:val="006F437C"/>
    <w:rsid w:val="006F44BF"/>
    <w:rsid w:val="006F4C28"/>
    <w:rsid w:val="006F4E9E"/>
    <w:rsid w:val="006F4F96"/>
    <w:rsid w:val="006F5AB1"/>
    <w:rsid w:val="006F5EE3"/>
    <w:rsid w:val="006F656B"/>
    <w:rsid w:val="006F66C0"/>
    <w:rsid w:val="006F68F1"/>
    <w:rsid w:val="006F7644"/>
    <w:rsid w:val="00700584"/>
    <w:rsid w:val="00700A5B"/>
    <w:rsid w:val="00700ECC"/>
    <w:rsid w:val="00702D9F"/>
    <w:rsid w:val="007030F8"/>
    <w:rsid w:val="00703D68"/>
    <w:rsid w:val="007043D5"/>
    <w:rsid w:val="007046C4"/>
    <w:rsid w:val="00704735"/>
    <w:rsid w:val="00704A78"/>
    <w:rsid w:val="00704ED1"/>
    <w:rsid w:val="00704F6D"/>
    <w:rsid w:val="0070519A"/>
    <w:rsid w:val="00705582"/>
    <w:rsid w:val="0070628D"/>
    <w:rsid w:val="00706B0E"/>
    <w:rsid w:val="00706F40"/>
    <w:rsid w:val="0070747E"/>
    <w:rsid w:val="00707710"/>
    <w:rsid w:val="00710481"/>
    <w:rsid w:val="007105D4"/>
    <w:rsid w:val="007109C7"/>
    <w:rsid w:val="007113A9"/>
    <w:rsid w:val="00711549"/>
    <w:rsid w:val="00713970"/>
    <w:rsid w:val="00713D33"/>
    <w:rsid w:val="00714757"/>
    <w:rsid w:val="00714880"/>
    <w:rsid w:val="00714D4D"/>
    <w:rsid w:val="00715518"/>
    <w:rsid w:val="00715C45"/>
    <w:rsid w:val="00715FAA"/>
    <w:rsid w:val="00716756"/>
    <w:rsid w:val="00716F2D"/>
    <w:rsid w:val="00717766"/>
    <w:rsid w:val="00717E0E"/>
    <w:rsid w:val="00717FD9"/>
    <w:rsid w:val="007201D8"/>
    <w:rsid w:val="007206BB"/>
    <w:rsid w:val="00721428"/>
    <w:rsid w:val="007220D1"/>
    <w:rsid w:val="007226F7"/>
    <w:rsid w:val="00723366"/>
    <w:rsid w:val="00723487"/>
    <w:rsid w:val="00723A60"/>
    <w:rsid w:val="00723D58"/>
    <w:rsid w:val="00724896"/>
    <w:rsid w:val="00724A73"/>
    <w:rsid w:val="007272B7"/>
    <w:rsid w:val="00727A6F"/>
    <w:rsid w:val="0073032F"/>
    <w:rsid w:val="00730447"/>
    <w:rsid w:val="00732587"/>
    <w:rsid w:val="00732B60"/>
    <w:rsid w:val="00732C68"/>
    <w:rsid w:val="007333DB"/>
    <w:rsid w:val="0073396C"/>
    <w:rsid w:val="00734016"/>
    <w:rsid w:val="0073507A"/>
    <w:rsid w:val="00735127"/>
    <w:rsid w:val="00735417"/>
    <w:rsid w:val="0073541E"/>
    <w:rsid w:val="00735FC4"/>
    <w:rsid w:val="007365AE"/>
    <w:rsid w:val="007369BB"/>
    <w:rsid w:val="00740128"/>
    <w:rsid w:val="00740413"/>
    <w:rsid w:val="007411C3"/>
    <w:rsid w:val="0074166F"/>
    <w:rsid w:val="007418E1"/>
    <w:rsid w:val="00741F8F"/>
    <w:rsid w:val="00742B44"/>
    <w:rsid w:val="0074386B"/>
    <w:rsid w:val="0074415B"/>
    <w:rsid w:val="007443D3"/>
    <w:rsid w:val="00744717"/>
    <w:rsid w:val="00745330"/>
    <w:rsid w:val="00745686"/>
    <w:rsid w:val="00745BF0"/>
    <w:rsid w:val="00745CB9"/>
    <w:rsid w:val="007465A9"/>
    <w:rsid w:val="00750323"/>
    <w:rsid w:val="00750379"/>
    <w:rsid w:val="00750482"/>
    <w:rsid w:val="007507C7"/>
    <w:rsid w:val="0075210E"/>
    <w:rsid w:val="00752D90"/>
    <w:rsid w:val="00752EC2"/>
    <w:rsid w:val="007537A9"/>
    <w:rsid w:val="00755D83"/>
    <w:rsid w:val="00755E20"/>
    <w:rsid w:val="00756EB2"/>
    <w:rsid w:val="00757483"/>
    <w:rsid w:val="00757A47"/>
    <w:rsid w:val="0076039A"/>
    <w:rsid w:val="007604BB"/>
    <w:rsid w:val="00761064"/>
    <w:rsid w:val="00761076"/>
    <w:rsid w:val="00761228"/>
    <w:rsid w:val="0076146E"/>
    <w:rsid w:val="007618A8"/>
    <w:rsid w:val="0076203F"/>
    <w:rsid w:val="00762173"/>
    <w:rsid w:val="0076230E"/>
    <w:rsid w:val="00763289"/>
    <w:rsid w:val="0076350E"/>
    <w:rsid w:val="007637D5"/>
    <w:rsid w:val="00763AD5"/>
    <w:rsid w:val="00764623"/>
    <w:rsid w:val="00764783"/>
    <w:rsid w:val="00764BDB"/>
    <w:rsid w:val="00765ECE"/>
    <w:rsid w:val="00765F75"/>
    <w:rsid w:val="007700B4"/>
    <w:rsid w:val="007707F6"/>
    <w:rsid w:val="00771764"/>
    <w:rsid w:val="007718C1"/>
    <w:rsid w:val="00772774"/>
    <w:rsid w:val="00772C7C"/>
    <w:rsid w:val="0077325A"/>
    <w:rsid w:val="00773391"/>
    <w:rsid w:val="0077351C"/>
    <w:rsid w:val="00773AA1"/>
    <w:rsid w:val="00773D9B"/>
    <w:rsid w:val="007745B9"/>
    <w:rsid w:val="00774CA7"/>
    <w:rsid w:val="00775130"/>
    <w:rsid w:val="00775DDB"/>
    <w:rsid w:val="00776317"/>
    <w:rsid w:val="0077633F"/>
    <w:rsid w:val="00776FAF"/>
    <w:rsid w:val="0077703B"/>
    <w:rsid w:val="00777536"/>
    <w:rsid w:val="0078147B"/>
    <w:rsid w:val="00781C7B"/>
    <w:rsid w:val="00782364"/>
    <w:rsid w:val="00782C24"/>
    <w:rsid w:val="00782E92"/>
    <w:rsid w:val="007830E9"/>
    <w:rsid w:val="0078369E"/>
    <w:rsid w:val="007840E7"/>
    <w:rsid w:val="00784760"/>
    <w:rsid w:val="00784D4D"/>
    <w:rsid w:val="00785007"/>
    <w:rsid w:val="00785232"/>
    <w:rsid w:val="00785384"/>
    <w:rsid w:val="007856E1"/>
    <w:rsid w:val="00785898"/>
    <w:rsid w:val="00786439"/>
    <w:rsid w:val="0078660A"/>
    <w:rsid w:val="007869C4"/>
    <w:rsid w:val="00790847"/>
    <w:rsid w:val="0079087E"/>
    <w:rsid w:val="00791587"/>
    <w:rsid w:val="00791830"/>
    <w:rsid w:val="00792103"/>
    <w:rsid w:val="007927DA"/>
    <w:rsid w:val="007929CB"/>
    <w:rsid w:val="00792F2C"/>
    <w:rsid w:val="0079484C"/>
    <w:rsid w:val="00794A2E"/>
    <w:rsid w:val="007951B9"/>
    <w:rsid w:val="007953FA"/>
    <w:rsid w:val="00795F7B"/>
    <w:rsid w:val="00796095"/>
    <w:rsid w:val="007961AF"/>
    <w:rsid w:val="0079623E"/>
    <w:rsid w:val="007962CB"/>
    <w:rsid w:val="00796968"/>
    <w:rsid w:val="00797FC4"/>
    <w:rsid w:val="007A0766"/>
    <w:rsid w:val="007A10DF"/>
    <w:rsid w:val="007A1219"/>
    <w:rsid w:val="007A18F0"/>
    <w:rsid w:val="007A1D9A"/>
    <w:rsid w:val="007A1E9A"/>
    <w:rsid w:val="007A21EB"/>
    <w:rsid w:val="007A241D"/>
    <w:rsid w:val="007A29FC"/>
    <w:rsid w:val="007A33B4"/>
    <w:rsid w:val="007A3F09"/>
    <w:rsid w:val="007A4A8A"/>
    <w:rsid w:val="007A59D0"/>
    <w:rsid w:val="007A6303"/>
    <w:rsid w:val="007A67E3"/>
    <w:rsid w:val="007A6DF3"/>
    <w:rsid w:val="007A7B37"/>
    <w:rsid w:val="007A7E1A"/>
    <w:rsid w:val="007B0675"/>
    <w:rsid w:val="007B06F7"/>
    <w:rsid w:val="007B07FE"/>
    <w:rsid w:val="007B086E"/>
    <w:rsid w:val="007B1583"/>
    <w:rsid w:val="007B25DA"/>
    <w:rsid w:val="007B3D77"/>
    <w:rsid w:val="007B5528"/>
    <w:rsid w:val="007B5777"/>
    <w:rsid w:val="007B7A54"/>
    <w:rsid w:val="007C05FE"/>
    <w:rsid w:val="007C17A9"/>
    <w:rsid w:val="007C17CD"/>
    <w:rsid w:val="007C17EE"/>
    <w:rsid w:val="007C1D89"/>
    <w:rsid w:val="007C2622"/>
    <w:rsid w:val="007C2E4F"/>
    <w:rsid w:val="007C2EF8"/>
    <w:rsid w:val="007C36C9"/>
    <w:rsid w:val="007C3876"/>
    <w:rsid w:val="007C4429"/>
    <w:rsid w:val="007C4A5A"/>
    <w:rsid w:val="007C4D60"/>
    <w:rsid w:val="007C5185"/>
    <w:rsid w:val="007C55A4"/>
    <w:rsid w:val="007C74DF"/>
    <w:rsid w:val="007D0586"/>
    <w:rsid w:val="007D0A28"/>
    <w:rsid w:val="007D0C46"/>
    <w:rsid w:val="007D0C53"/>
    <w:rsid w:val="007D1A11"/>
    <w:rsid w:val="007D2DE0"/>
    <w:rsid w:val="007D3E1D"/>
    <w:rsid w:val="007D41B4"/>
    <w:rsid w:val="007D4332"/>
    <w:rsid w:val="007D46CE"/>
    <w:rsid w:val="007D46FC"/>
    <w:rsid w:val="007D4765"/>
    <w:rsid w:val="007D521E"/>
    <w:rsid w:val="007D5802"/>
    <w:rsid w:val="007D5F01"/>
    <w:rsid w:val="007D631B"/>
    <w:rsid w:val="007D633B"/>
    <w:rsid w:val="007D6410"/>
    <w:rsid w:val="007D7DCA"/>
    <w:rsid w:val="007E01E4"/>
    <w:rsid w:val="007E0ECF"/>
    <w:rsid w:val="007E11EB"/>
    <w:rsid w:val="007E168F"/>
    <w:rsid w:val="007E1F14"/>
    <w:rsid w:val="007E3DDA"/>
    <w:rsid w:val="007E3DF0"/>
    <w:rsid w:val="007E44EA"/>
    <w:rsid w:val="007E4BD4"/>
    <w:rsid w:val="007E5201"/>
    <w:rsid w:val="007E5A7A"/>
    <w:rsid w:val="007E5E98"/>
    <w:rsid w:val="007E5F63"/>
    <w:rsid w:val="007E61D3"/>
    <w:rsid w:val="007E6A54"/>
    <w:rsid w:val="007E77BA"/>
    <w:rsid w:val="007E7896"/>
    <w:rsid w:val="007F0BD6"/>
    <w:rsid w:val="007F181E"/>
    <w:rsid w:val="007F1D59"/>
    <w:rsid w:val="007F1DC9"/>
    <w:rsid w:val="007F1E37"/>
    <w:rsid w:val="007F1EA7"/>
    <w:rsid w:val="007F31A2"/>
    <w:rsid w:val="007F3238"/>
    <w:rsid w:val="007F41E7"/>
    <w:rsid w:val="007F4D3F"/>
    <w:rsid w:val="007F4E39"/>
    <w:rsid w:val="007F52C2"/>
    <w:rsid w:val="007F61EC"/>
    <w:rsid w:val="007F6277"/>
    <w:rsid w:val="007F6581"/>
    <w:rsid w:val="007F6B0A"/>
    <w:rsid w:val="007F6F9B"/>
    <w:rsid w:val="007F7107"/>
    <w:rsid w:val="00800288"/>
    <w:rsid w:val="00800429"/>
    <w:rsid w:val="0080043A"/>
    <w:rsid w:val="00800645"/>
    <w:rsid w:val="0080218D"/>
    <w:rsid w:val="0080241B"/>
    <w:rsid w:val="008028F4"/>
    <w:rsid w:val="00802C53"/>
    <w:rsid w:val="00803619"/>
    <w:rsid w:val="008039D1"/>
    <w:rsid w:val="00805391"/>
    <w:rsid w:val="008055F0"/>
    <w:rsid w:val="00805A96"/>
    <w:rsid w:val="008068C9"/>
    <w:rsid w:val="0080747C"/>
    <w:rsid w:val="008076BA"/>
    <w:rsid w:val="0081030F"/>
    <w:rsid w:val="00810CBE"/>
    <w:rsid w:val="00810E61"/>
    <w:rsid w:val="008112A5"/>
    <w:rsid w:val="00811A5F"/>
    <w:rsid w:val="00811C1C"/>
    <w:rsid w:val="008129E7"/>
    <w:rsid w:val="00812A31"/>
    <w:rsid w:val="00812A9E"/>
    <w:rsid w:val="00812DC5"/>
    <w:rsid w:val="00812DDC"/>
    <w:rsid w:val="00813877"/>
    <w:rsid w:val="00814523"/>
    <w:rsid w:val="00814FB6"/>
    <w:rsid w:val="00815DED"/>
    <w:rsid w:val="0081643E"/>
    <w:rsid w:val="0081725E"/>
    <w:rsid w:val="00817810"/>
    <w:rsid w:val="00817E90"/>
    <w:rsid w:val="00817F0C"/>
    <w:rsid w:val="0082087D"/>
    <w:rsid w:val="00820FBE"/>
    <w:rsid w:val="00821385"/>
    <w:rsid w:val="0082205A"/>
    <w:rsid w:val="008226CA"/>
    <w:rsid w:val="008229ED"/>
    <w:rsid w:val="00822CC5"/>
    <w:rsid w:val="008233E1"/>
    <w:rsid w:val="00823922"/>
    <w:rsid w:val="00823B28"/>
    <w:rsid w:val="0082463A"/>
    <w:rsid w:val="0082526B"/>
    <w:rsid w:val="00825434"/>
    <w:rsid w:val="00825BD6"/>
    <w:rsid w:val="00825DE2"/>
    <w:rsid w:val="00825F2B"/>
    <w:rsid w:val="00826645"/>
    <w:rsid w:val="0082761E"/>
    <w:rsid w:val="008276BF"/>
    <w:rsid w:val="008276DE"/>
    <w:rsid w:val="008277F3"/>
    <w:rsid w:val="00827A21"/>
    <w:rsid w:val="00831332"/>
    <w:rsid w:val="0083181B"/>
    <w:rsid w:val="0083196A"/>
    <w:rsid w:val="00831F0D"/>
    <w:rsid w:val="008328D2"/>
    <w:rsid w:val="00832EAC"/>
    <w:rsid w:val="00833477"/>
    <w:rsid w:val="00833889"/>
    <w:rsid w:val="008338F7"/>
    <w:rsid w:val="00834128"/>
    <w:rsid w:val="00834460"/>
    <w:rsid w:val="00834FD2"/>
    <w:rsid w:val="00835B9F"/>
    <w:rsid w:val="0083660C"/>
    <w:rsid w:val="00837025"/>
    <w:rsid w:val="00837775"/>
    <w:rsid w:val="00837FC2"/>
    <w:rsid w:val="0084009A"/>
    <w:rsid w:val="00840548"/>
    <w:rsid w:val="00840C49"/>
    <w:rsid w:val="00841212"/>
    <w:rsid w:val="00842689"/>
    <w:rsid w:val="00842933"/>
    <w:rsid w:val="00842BE8"/>
    <w:rsid w:val="00842FC3"/>
    <w:rsid w:val="00843705"/>
    <w:rsid w:val="0084416C"/>
    <w:rsid w:val="008441C6"/>
    <w:rsid w:val="0084439C"/>
    <w:rsid w:val="00844A37"/>
    <w:rsid w:val="00844C89"/>
    <w:rsid w:val="00845AA3"/>
    <w:rsid w:val="00847873"/>
    <w:rsid w:val="00847D09"/>
    <w:rsid w:val="00850150"/>
    <w:rsid w:val="008505F3"/>
    <w:rsid w:val="00850920"/>
    <w:rsid w:val="00851213"/>
    <w:rsid w:val="0085236B"/>
    <w:rsid w:val="0085250E"/>
    <w:rsid w:val="00852C9D"/>
    <w:rsid w:val="00852E6A"/>
    <w:rsid w:val="0085325B"/>
    <w:rsid w:val="008533B2"/>
    <w:rsid w:val="00853F5A"/>
    <w:rsid w:val="0085459D"/>
    <w:rsid w:val="0085570B"/>
    <w:rsid w:val="00855803"/>
    <w:rsid w:val="00856A00"/>
    <w:rsid w:val="00856A20"/>
    <w:rsid w:val="00856EB6"/>
    <w:rsid w:val="008570A1"/>
    <w:rsid w:val="008577F9"/>
    <w:rsid w:val="008600E6"/>
    <w:rsid w:val="0086082C"/>
    <w:rsid w:val="00860C34"/>
    <w:rsid w:val="00860F08"/>
    <w:rsid w:val="00860F3A"/>
    <w:rsid w:val="008616F2"/>
    <w:rsid w:val="008617B9"/>
    <w:rsid w:val="00861BE5"/>
    <w:rsid w:val="00862057"/>
    <w:rsid w:val="008620BA"/>
    <w:rsid w:val="008628A4"/>
    <w:rsid w:val="00862947"/>
    <w:rsid w:val="00862BFA"/>
    <w:rsid w:val="00863ACF"/>
    <w:rsid w:val="00864116"/>
    <w:rsid w:val="008645BA"/>
    <w:rsid w:val="0086475D"/>
    <w:rsid w:val="008647CD"/>
    <w:rsid w:val="00864ADC"/>
    <w:rsid w:val="00864E73"/>
    <w:rsid w:val="0086582B"/>
    <w:rsid w:val="0086642F"/>
    <w:rsid w:val="00866676"/>
    <w:rsid w:val="00866981"/>
    <w:rsid w:val="00866F71"/>
    <w:rsid w:val="00867140"/>
    <w:rsid w:val="00867D39"/>
    <w:rsid w:val="00870E49"/>
    <w:rsid w:val="008714F5"/>
    <w:rsid w:val="0087157B"/>
    <w:rsid w:val="008724A9"/>
    <w:rsid w:val="008729D2"/>
    <w:rsid w:val="00872E71"/>
    <w:rsid w:val="00873166"/>
    <w:rsid w:val="00873932"/>
    <w:rsid w:val="008739D8"/>
    <w:rsid w:val="0087501F"/>
    <w:rsid w:val="008754BE"/>
    <w:rsid w:val="0087607E"/>
    <w:rsid w:val="00876145"/>
    <w:rsid w:val="0087715B"/>
    <w:rsid w:val="00880153"/>
    <w:rsid w:val="00880821"/>
    <w:rsid w:val="00880950"/>
    <w:rsid w:val="00880F97"/>
    <w:rsid w:val="0088101F"/>
    <w:rsid w:val="0088133A"/>
    <w:rsid w:val="00881736"/>
    <w:rsid w:val="00882411"/>
    <w:rsid w:val="00882783"/>
    <w:rsid w:val="0088295A"/>
    <w:rsid w:val="0088333D"/>
    <w:rsid w:val="00883CB6"/>
    <w:rsid w:val="00883DD8"/>
    <w:rsid w:val="00884836"/>
    <w:rsid w:val="00884FEC"/>
    <w:rsid w:val="00885994"/>
    <w:rsid w:val="00886061"/>
    <w:rsid w:val="00887023"/>
    <w:rsid w:val="00887602"/>
    <w:rsid w:val="008878A1"/>
    <w:rsid w:val="00887ADA"/>
    <w:rsid w:val="00887F30"/>
    <w:rsid w:val="008901C2"/>
    <w:rsid w:val="00890669"/>
    <w:rsid w:val="00891126"/>
    <w:rsid w:val="008913A8"/>
    <w:rsid w:val="008913F6"/>
    <w:rsid w:val="00891532"/>
    <w:rsid w:val="0089200C"/>
    <w:rsid w:val="00892035"/>
    <w:rsid w:val="0089219D"/>
    <w:rsid w:val="00892337"/>
    <w:rsid w:val="0089260F"/>
    <w:rsid w:val="008926A7"/>
    <w:rsid w:val="0089285E"/>
    <w:rsid w:val="00892892"/>
    <w:rsid w:val="00892ABA"/>
    <w:rsid w:val="00892ADF"/>
    <w:rsid w:val="00892FDD"/>
    <w:rsid w:val="0089336F"/>
    <w:rsid w:val="008935BD"/>
    <w:rsid w:val="008938A0"/>
    <w:rsid w:val="0089399E"/>
    <w:rsid w:val="00893ABB"/>
    <w:rsid w:val="00893C6B"/>
    <w:rsid w:val="0089436C"/>
    <w:rsid w:val="008958C8"/>
    <w:rsid w:val="00895AE4"/>
    <w:rsid w:val="00895E41"/>
    <w:rsid w:val="00895FDF"/>
    <w:rsid w:val="00896318"/>
    <w:rsid w:val="00896651"/>
    <w:rsid w:val="00896C4C"/>
    <w:rsid w:val="00896D07"/>
    <w:rsid w:val="00897508"/>
    <w:rsid w:val="00897704"/>
    <w:rsid w:val="008A048C"/>
    <w:rsid w:val="008A26C7"/>
    <w:rsid w:val="008A2907"/>
    <w:rsid w:val="008A29CE"/>
    <w:rsid w:val="008A3ADE"/>
    <w:rsid w:val="008A3C23"/>
    <w:rsid w:val="008A3E92"/>
    <w:rsid w:val="008A42A8"/>
    <w:rsid w:val="008A4558"/>
    <w:rsid w:val="008A5ECE"/>
    <w:rsid w:val="008A6618"/>
    <w:rsid w:val="008A6845"/>
    <w:rsid w:val="008A6F7F"/>
    <w:rsid w:val="008B0023"/>
    <w:rsid w:val="008B00CF"/>
    <w:rsid w:val="008B02B0"/>
    <w:rsid w:val="008B04F0"/>
    <w:rsid w:val="008B1488"/>
    <w:rsid w:val="008B1E4F"/>
    <w:rsid w:val="008B21A8"/>
    <w:rsid w:val="008B260A"/>
    <w:rsid w:val="008B2744"/>
    <w:rsid w:val="008B2B05"/>
    <w:rsid w:val="008B2F79"/>
    <w:rsid w:val="008B3470"/>
    <w:rsid w:val="008B3FCC"/>
    <w:rsid w:val="008B406E"/>
    <w:rsid w:val="008B5038"/>
    <w:rsid w:val="008B5065"/>
    <w:rsid w:val="008B51E9"/>
    <w:rsid w:val="008B524D"/>
    <w:rsid w:val="008B5FF3"/>
    <w:rsid w:val="008B602D"/>
    <w:rsid w:val="008B6176"/>
    <w:rsid w:val="008B64E8"/>
    <w:rsid w:val="008B6BD0"/>
    <w:rsid w:val="008B6EEA"/>
    <w:rsid w:val="008B6FFA"/>
    <w:rsid w:val="008B7718"/>
    <w:rsid w:val="008B77B7"/>
    <w:rsid w:val="008C0189"/>
    <w:rsid w:val="008C0A30"/>
    <w:rsid w:val="008C1F63"/>
    <w:rsid w:val="008C2512"/>
    <w:rsid w:val="008C276C"/>
    <w:rsid w:val="008C2AAA"/>
    <w:rsid w:val="008C2E0A"/>
    <w:rsid w:val="008C32C9"/>
    <w:rsid w:val="008C34D0"/>
    <w:rsid w:val="008C3750"/>
    <w:rsid w:val="008C3846"/>
    <w:rsid w:val="008C413C"/>
    <w:rsid w:val="008C4283"/>
    <w:rsid w:val="008C466B"/>
    <w:rsid w:val="008C4826"/>
    <w:rsid w:val="008C4D89"/>
    <w:rsid w:val="008C618F"/>
    <w:rsid w:val="008C6D12"/>
    <w:rsid w:val="008C6E3E"/>
    <w:rsid w:val="008C73A0"/>
    <w:rsid w:val="008C7441"/>
    <w:rsid w:val="008C7CAB"/>
    <w:rsid w:val="008D0998"/>
    <w:rsid w:val="008D206E"/>
    <w:rsid w:val="008D21D6"/>
    <w:rsid w:val="008D2E8B"/>
    <w:rsid w:val="008D364A"/>
    <w:rsid w:val="008D365C"/>
    <w:rsid w:val="008D380B"/>
    <w:rsid w:val="008D44FA"/>
    <w:rsid w:val="008D45D2"/>
    <w:rsid w:val="008D4A5B"/>
    <w:rsid w:val="008D5BAA"/>
    <w:rsid w:val="008D7808"/>
    <w:rsid w:val="008D7B32"/>
    <w:rsid w:val="008E01E2"/>
    <w:rsid w:val="008E0F3D"/>
    <w:rsid w:val="008E1035"/>
    <w:rsid w:val="008E17A6"/>
    <w:rsid w:val="008E1CBD"/>
    <w:rsid w:val="008E2268"/>
    <w:rsid w:val="008E22AE"/>
    <w:rsid w:val="008E2ED2"/>
    <w:rsid w:val="008E3AAD"/>
    <w:rsid w:val="008E472F"/>
    <w:rsid w:val="008E4B3B"/>
    <w:rsid w:val="008E4E79"/>
    <w:rsid w:val="008E582E"/>
    <w:rsid w:val="008E674C"/>
    <w:rsid w:val="008E7404"/>
    <w:rsid w:val="008F091E"/>
    <w:rsid w:val="008F0AD0"/>
    <w:rsid w:val="008F1E78"/>
    <w:rsid w:val="008F32FE"/>
    <w:rsid w:val="008F341F"/>
    <w:rsid w:val="008F353F"/>
    <w:rsid w:val="008F46B6"/>
    <w:rsid w:val="008F472A"/>
    <w:rsid w:val="008F54D3"/>
    <w:rsid w:val="008F55E9"/>
    <w:rsid w:val="008F6132"/>
    <w:rsid w:val="008F70D2"/>
    <w:rsid w:val="008F7889"/>
    <w:rsid w:val="008F7A49"/>
    <w:rsid w:val="009005D1"/>
    <w:rsid w:val="00900E67"/>
    <w:rsid w:val="009017DA"/>
    <w:rsid w:val="00901898"/>
    <w:rsid w:val="00901E20"/>
    <w:rsid w:val="009029EF"/>
    <w:rsid w:val="00902CB5"/>
    <w:rsid w:val="00902E64"/>
    <w:rsid w:val="009030BF"/>
    <w:rsid w:val="00903358"/>
    <w:rsid w:val="00903AFB"/>
    <w:rsid w:val="00903E2A"/>
    <w:rsid w:val="009042D4"/>
    <w:rsid w:val="00904574"/>
    <w:rsid w:val="00904891"/>
    <w:rsid w:val="00904D5D"/>
    <w:rsid w:val="00904E35"/>
    <w:rsid w:val="00904EEA"/>
    <w:rsid w:val="00905671"/>
    <w:rsid w:val="00905E11"/>
    <w:rsid w:val="00906572"/>
    <w:rsid w:val="009065A3"/>
    <w:rsid w:val="00906B17"/>
    <w:rsid w:val="00910A50"/>
    <w:rsid w:val="00910E71"/>
    <w:rsid w:val="009111F5"/>
    <w:rsid w:val="00911920"/>
    <w:rsid w:val="00912682"/>
    <w:rsid w:val="00914296"/>
    <w:rsid w:val="00914368"/>
    <w:rsid w:val="00916F14"/>
    <w:rsid w:val="00917062"/>
    <w:rsid w:val="00917821"/>
    <w:rsid w:val="00917B6E"/>
    <w:rsid w:val="00920C3C"/>
    <w:rsid w:val="009213E7"/>
    <w:rsid w:val="00921C46"/>
    <w:rsid w:val="00922202"/>
    <w:rsid w:val="00922839"/>
    <w:rsid w:val="009233A8"/>
    <w:rsid w:val="009236CE"/>
    <w:rsid w:val="00924066"/>
    <w:rsid w:val="00924B70"/>
    <w:rsid w:val="00924CCD"/>
    <w:rsid w:val="00924D31"/>
    <w:rsid w:val="009252CC"/>
    <w:rsid w:val="00925465"/>
    <w:rsid w:val="00925F33"/>
    <w:rsid w:val="00926BDB"/>
    <w:rsid w:val="00927313"/>
    <w:rsid w:val="00930202"/>
    <w:rsid w:val="00930BA9"/>
    <w:rsid w:val="00931076"/>
    <w:rsid w:val="00931300"/>
    <w:rsid w:val="0093196D"/>
    <w:rsid w:val="00931FFF"/>
    <w:rsid w:val="0093202B"/>
    <w:rsid w:val="009325F0"/>
    <w:rsid w:val="00932866"/>
    <w:rsid w:val="00932869"/>
    <w:rsid w:val="0093288F"/>
    <w:rsid w:val="009328E6"/>
    <w:rsid w:val="00932B45"/>
    <w:rsid w:val="009331CE"/>
    <w:rsid w:val="00933282"/>
    <w:rsid w:val="00933788"/>
    <w:rsid w:val="00933D3B"/>
    <w:rsid w:val="009345D9"/>
    <w:rsid w:val="0093468C"/>
    <w:rsid w:val="00934925"/>
    <w:rsid w:val="0093497A"/>
    <w:rsid w:val="00934B15"/>
    <w:rsid w:val="00935132"/>
    <w:rsid w:val="009358CE"/>
    <w:rsid w:val="00935C9B"/>
    <w:rsid w:val="00936E41"/>
    <w:rsid w:val="009370A7"/>
    <w:rsid w:val="00937F5F"/>
    <w:rsid w:val="00940697"/>
    <w:rsid w:val="00940C89"/>
    <w:rsid w:val="00940CCB"/>
    <w:rsid w:val="00941229"/>
    <w:rsid w:val="009418BB"/>
    <w:rsid w:val="00941F53"/>
    <w:rsid w:val="00941FC4"/>
    <w:rsid w:val="00942005"/>
    <w:rsid w:val="00942413"/>
    <w:rsid w:val="009425E6"/>
    <w:rsid w:val="00942B62"/>
    <w:rsid w:val="00942BF9"/>
    <w:rsid w:val="00942F37"/>
    <w:rsid w:val="00942F59"/>
    <w:rsid w:val="009430E4"/>
    <w:rsid w:val="00944C9B"/>
    <w:rsid w:val="00944DF5"/>
    <w:rsid w:val="009461DF"/>
    <w:rsid w:val="00946340"/>
    <w:rsid w:val="00947370"/>
    <w:rsid w:val="0094740E"/>
    <w:rsid w:val="009501A2"/>
    <w:rsid w:val="00951659"/>
    <w:rsid w:val="00951BA2"/>
    <w:rsid w:val="00951BD8"/>
    <w:rsid w:val="00951DE7"/>
    <w:rsid w:val="00952D10"/>
    <w:rsid w:val="00952F35"/>
    <w:rsid w:val="00952F4B"/>
    <w:rsid w:val="009531E2"/>
    <w:rsid w:val="00953822"/>
    <w:rsid w:val="009539D9"/>
    <w:rsid w:val="00954495"/>
    <w:rsid w:val="0095574C"/>
    <w:rsid w:val="00955D5E"/>
    <w:rsid w:val="00956A0C"/>
    <w:rsid w:val="00956BD9"/>
    <w:rsid w:val="0095749F"/>
    <w:rsid w:val="00957D4D"/>
    <w:rsid w:val="00960451"/>
    <w:rsid w:val="00961214"/>
    <w:rsid w:val="00961E67"/>
    <w:rsid w:val="00961E82"/>
    <w:rsid w:val="00962489"/>
    <w:rsid w:val="00962705"/>
    <w:rsid w:val="00962DAF"/>
    <w:rsid w:val="00962DE5"/>
    <w:rsid w:val="0096442A"/>
    <w:rsid w:val="009657BE"/>
    <w:rsid w:val="00965BE3"/>
    <w:rsid w:val="009666E3"/>
    <w:rsid w:val="009668D6"/>
    <w:rsid w:val="009674EB"/>
    <w:rsid w:val="00967944"/>
    <w:rsid w:val="0096799F"/>
    <w:rsid w:val="009679B3"/>
    <w:rsid w:val="00967A81"/>
    <w:rsid w:val="00970102"/>
    <w:rsid w:val="00970401"/>
    <w:rsid w:val="00970A37"/>
    <w:rsid w:val="00970C9A"/>
    <w:rsid w:val="009712F0"/>
    <w:rsid w:val="00971A39"/>
    <w:rsid w:val="00971DAF"/>
    <w:rsid w:val="00972565"/>
    <w:rsid w:val="009726A3"/>
    <w:rsid w:val="00972E60"/>
    <w:rsid w:val="00974298"/>
    <w:rsid w:val="009745BC"/>
    <w:rsid w:val="00975518"/>
    <w:rsid w:val="0097713B"/>
    <w:rsid w:val="00977C37"/>
    <w:rsid w:val="009800F8"/>
    <w:rsid w:val="00980364"/>
    <w:rsid w:val="00980D96"/>
    <w:rsid w:val="009819B1"/>
    <w:rsid w:val="0098265C"/>
    <w:rsid w:val="0098291D"/>
    <w:rsid w:val="00982F32"/>
    <w:rsid w:val="00983246"/>
    <w:rsid w:val="009834F7"/>
    <w:rsid w:val="00983804"/>
    <w:rsid w:val="00983931"/>
    <w:rsid w:val="009847BD"/>
    <w:rsid w:val="00984911"/>
    <w:rsid w:val="0098565D"/>
    <w:rsid w:val="009857F3"/>
    <w:rsid w:val="0098586B"/>
    <w:rsid w:val="009862B0"/>
    <w:rsid w:val="0099096F"/>
    <w:rsid w:val="00990C2C"/>
    <w:rsid w:val="00991202"/>
    <w:rsid w:val="00991344"/>
    <w:rsid w:val="00991B0F"/>
    <w:rsid w:val="00991DDE"/>
    <w:rsid w:val="00991FDA"/>
    <w:rsid w:val="00992145"/>
    <w:rsid w:val="00993830"/>
    <w:rsid w:val="00993A93"/>
    <w:rsid w:val="00994439"/>
    <w:rsid w:val="009946B3"/>
    <w:rsid w:val="009948B1"/>
    <w:rsid w:val="00994B12"/>
    <w:rsid w:val="00994CD3"/>
    <w:rsid w:val="00995F8C"/>
    <w:rsid w:val="00996052"/>
    <w:rsid w:val="00996E53"/>
    <w:rsid w:val="0099781D"/>
    <w:rsid w:val="00997D74"/>
    <w:rsid w:val="009A0463"/>
    <w:rsid w:val="009A0588"/>
    <w:rsid w:val="009A0B3C"/>
    <w:rsid w:val="009A1002"/>
    <w:rsid w:val="009A11CC"/>
    <w:rsid w:val="009A13D7"/>
    <w:rsid w:val="009A162D"/>
    <w:rsid w:val="009A2AAB"/>
    <w:rsid w:val="009A2DA0"/>
    <w:rsid w:val="009A2F3A"/>
    <w:rsid w:val="009A3F3F"/>
    <w:rsid w:val="009A3FED"/>
    <w:rsid w:val="009A43A5"/>
    <w:rsid w:val="009A4A14"/>
    <w:rsid w:val="009A5754"/>
    <w:rsid w:val="009A5E09"/>
    <w:rsid w:val="009A6148"/>
    <w:rsid w:val="009A663C"/>
    <w:rsid w:val="009A6AF2"/>
    <w:rsid w:val="009A6B09"/>
    <w:rsid w:val="009A6D56"/>
    <w:rsid w:val="009A7A91"/>
    <w:rsid w:val="009A7B35"/>
    <w:rsid w:val="009B06E9"/>
    <w:rsid w:val="009B16A6"/>
    <w:rsid w:val="009B20A3"/>
    <w:rsid w:val="009B2297"/>
    <w:rsid w:val="009B230D"/>
    <w:rsid w:val="009B24CD"/>
    <w:rsid w:val="009B2657"/>
    <w:rsid w:val="009B2C6B"/>
    <w:rsid w:val="009B2CF8"/>
    <w:rsid w:val="009B2D69"/>
    <w:rsid w:val="009B38A6"/>
    <w:rsid w:val="009B38B7"/>
    <w:rsid w:val="009B3EDE"/>
    <w:rsid w:val="009B4645"/>
    <w:rsid w:val="009B4936"/>
    <w:rsid w:val="009B4AFC"/>
    <w:rsid w:val="009B4E9D"/>
    <w:rsid w:val="009B52F4"/>
    <w:rsid w:val="009B536A"/>
    <w:rsid w:val="009B6668"/>
    <w:rsid w:val="009C46EE"/>
    <w:rsid w:val="009C48C9"/>
    <w:rsid w:val="009C4F47"/>
    <w:rsid w:val="009C502B"/>
    <w:rsid w:val="009C5922"/>
    <w:rsid w:val="009C5CB3"/>
    <w:rsid w:val="009C5F38"/>
    <w:rsid w:val="009C6003"/>
    <w:rsid w:val="009C61A2"/>
    <w:rsid w:val="009C654B"/>
    <w:rsid w:val="009C65E7"/>
    <w:rsid w:val="009C6C05"/>
    <w:rsid w:val="009C7DEB"/>
    <w:rsid w:val="009D009F"/>
    <w:rsid w:val="009D046F"/>
    <w:rsid w:val="009D0B2C"/>
    <w:rsid w:val="009D123A"/>
    <w:rsid w:val="009D1A4B"/>
    <w:rsid w:val="009D2063"/>
    <w:rsid w:val="009D497A"/>
    <w:rsid w:val="009D4D69"/>
    <w:rsid w:val="009D4E61"/>
    <w:rsid w:val="009D5778"/>
    <w:rsid w:val="009D6A2B"/>
    <w:rsid w:val="009D6D71"/>
    <w:rsid w:val="009D6E52"/>
    <w:rsid w:val="009D6F0A"/>
    <w:rsid w:val="009D77D7"/>
    <w:rsid w:val="009D7A74"/>
    <w:rsid w:val="009E0512"/>
    <w:rsid w:val="009E0C31"/>
    <w:rsid w:val="009E0FCF"/>
    <w:rsid w:val="009E1134"/>
    <w:rsid w:val="009E1D04"/>
    <w:rsid w:val="009E3525"/>
    <w:rsid w:val="009E49DC"/>
    <w:rsid w:val="009E569D"/>
    <w:rsid w:val="009E5731"/>
    <w:rsid w:val="009E5FDA"/>
    <w:rsid w:val="009E656B"/>
    <w:rsid w:val="009E6916"/>
    <w:rsid w:val="009E6E69"/>
    <w:rsid w:val="009E723B"/>
    <w:rsid w:val="009E7621"/>
    <w:rsid w:val="009F0232"/>
    <w:rsid w:val="009F1173"/>
    <w:rsid w:val="009F1D83"/>
    <w:rsid w:val="009F2946"/>
    <w:rsid w:val="009F3702"/>
    <w:rsid w:val="009F4BAF"/>
    <w:rsid w:val="009F4ED2"/>
    <w:rsid w:val="009F538E"/>
    <w:rsid w:val="009F55A3"/>
    <w:rsid w:val="009F56EB"/>
    <w:rsid w:val="009F696D"/>
    <w:rsid w:val="009F6BC6"/>
    <w:rsid w:val="009F75B6"/>
    <w:rsid w:val="009F7632"/>
    <w:rsid w:val="009F7D77"/>
    <w:rsid w:val="00A0036B"/>
    <w:rsid w:val="00A0140B"/>
    <w:rsid w:val="00A0199A"/>
    <w:rsid w:val="00A02601"/>
    <w:rsid w:val="00A0332D"/>
    <w:rsid w:val="00A03AC3"/>
    <w:rsid w:val="00A041F5"/>
    <w:rsid w:val="00A04545"/>
    <w:rsid w:val="00A04E07"/>
    <w:rsid w:val="00A04FD5"/>
    <w:rsid w:val="00A0543A"/>
    <w:rsid w:val="00A05C12"/>
    <w:rsid w:val="00A05FDF"/>
    <w:rsid w:val="00A06026"/>
    <w:rsid w:val="00A06EAA"/>
    <w:rsid w:val="00A0728C"/>
    <w:rsid w:val="00A07940"/>
    <w:rsid w:val="00A07D30"/>
    <w:rsid w:val="00A1080F"/>
    <w:rsid w:val="00A10902"/>
    <w:rsid w:val="00A11F5B"/>
    <w:rsid w:val="00A121EC"/>
    <w:rsid w:val="00A1231A"/>
    <w:rsid w:val="00A12648"/>
    <w:rsid w:val="00A12836"/>
    <w:rsid w:val="00A128EA"/>
    <w:rsid w:val="00A12CC8"/>
    <w:rsid w:val="00A13C37"/>
    <w:rsid w:val="00A14D4C"/>
    <w:rsid w:val="00A1672C"/>
    <w:rsid w:val="00A16E03"/>
    <w:rsid w:val="00A17328"/>
    <w:rsid w:val="00A17D31"/>
    <w:rsid w:val="00A20464"/>
    <w:rsid w:val="00A20973"/>
    <w:rsid w:val="00A20D0D"/>
    <w:rsid w:val="00A21259"/>
    <w:rsid w:val="00A21389"/>
    <w:rsid w:val="00A21400"/>
    <w:rsid w:val="00A22000"/>
    <w:rsid w:val="00A22047"/>
    <w:rsid w:val="00A2245B"/>
    <w:rsid w:val="00A22816"/>
    <w:rsid w:val="00A23435"/>
    <w:rsid w:val="00A23A20"/>
    <w:rsid w:val="00A23C27"/>
    <w:rsid w:val="00A23DCE"/>
    <w:rsid w:val="00A23DD0"/>
    <w:rsid w:val="00A26293"/>
    <w:rsid w:val="00A268B9"/>
    <w:rsid w:val="00A26BBC"/>
    <w:rsid w:val="00A26E9E"/>
    <w:rsid w:val="00A2703A"/>
    <w:rsid w:val="00A275B1"/>
    <w:rsid w:val="00A275B2"/>
    <w:rsid w:val="00A27E53"/>
    <w:rsid w:val="00A3036B"/>
    <w:rsid w:val="00A313EC"/>
    <w:rsid w:val="00A31910"/>
    <w:rsid w:val="00A31AF8"/>
    <w:rsid w:val="00A31B1D"/>
    <w:rsid w:val="00A3325C"/>
    <w:rsid w:val="00A3337E"/>
    <w:rsid w:val="00A33B31"/>
    <w:rsid w:val="00A33DEE"/>
    <w:rsid w:val="00A33DFF"/>
    <w:rsid w:val="00A34191"/>
    <w:rsid w:val="00A34BA7"/>
    <w:rsid w:val="00A34D63"/>
    <w:rsid w:val="00A34E1D"/>
    <w:rsid w:val="00A35115"/>
    <w:rsid w:val="00A353EB"/>
    <w:rsid w:val="00A359D0"/>
    <w:rsid w:val="00A36613"/>
    <w:rsid w:val="00A3665C"/>
    <w:rsid w:val="00A36703"/>
    <w:rsid w:val="00A36829"/>
    <w:rsid w:val="00A368BE"/>
    <w:rsid w:val="00A36BBE"/>
    <w:rsid w:val="00A36D0B"/>
    <w:rsid w:val="00A36EEC"/>
    <w:rsid w:val="00A37414"/>
    <w:rsid w:val="00A3757A"/>
    <w:rsid w:val="00A379DB"/>
    <w:rsid w:val="00A37BEE"/>
    <w:rsid w:val="00A402B1"/>
    <w:rsid w:val="00A40716"/>
    <w:rsid w:val="00A4110F"/>
    <w:rsid w:val="00A41618"/>
    <w:rsid w:val="00A41764"/>
    <w:rsid w:val="00A41808"/>
    <w:rsid w:val="00A41B95"/>
    <w:rsid w:val="00A42518"/>
    <w:rsid w:val="00A439AC"/>
    <w:rsid w:val="00A43ACB"/>
    <w:rsid w:val="00A44F2D"/>
    <w:rsid w:val="00A44F62"/>
    <w:rsid w:val="00A45808"/>
    <w:rsid w:val="00A45BB1"/>
    <w:rsid w:val="00A45EFA"/>
    <w:rsid w:val="00A46BFB"/>
    <w:rsid w:val="00A473AF"/>
    <w:rsid w:val="00A4745D"/>
    <w:rsid w:val="00A5055E"/>
    <w:rsid w:val="00A510A2"/>
    <w:rsid w:val="00A5148A"/>
    <w:rsid w:val="00A51ED1"/>
    <w:rsid w:val="00A5215F"/>
    <w:rsid w:val="00A529C4"/>
    <w:rsid w:val="00A52DA6"/>
    <w:rsid w:val="00A5343D"/>
    <w:rsid w:val="00A53530"/>
    <w:rsid w:val="00A53940"/>
    <w:rsid w:val="00A54E15"/>
    <w:rsid w:val="00A5507C"/>
    <w:rsid w:val="00A554AB"/>
    <w:rsid w:val="00A55B5B"/>
    <w:rsid w:val="00A55F46"/>
    <w:rsid w:val="00A57621"/>
    <w:rsid w:val="00A600F8"/>
    <w:rsid w:val="00A602FE"/>
    <w:rsid w:val="00A60575"/>
    <w:rsid w:val="00A60633"/>
    <w:rsid w:val="00A60A26"/>
    <w:rsid w:val="00A61D1C"/>
    <w:rsid w:val="00A61E18"/>
    <w:rsid w:val="00A622D3"/>
    <w:rsid w:val="00A622FA"/>
    <w:rsid w:val="00A62B39"/>
    <w:rsid w:val="00A62BFE"/>
    <w:rsid w:val="00A62EEF"/>
    <w:rsid w:val="00A62F42"/>
    <w:rsid w:val="00A63173"/>
    <w:rsid w:val="00A6359C"/>
    <w:rsid w:val="00A638FB"/>
    <w:rsid w:val="00A643EC"/>
    <w:rsid w:val="00A6468D"/>
    <w:rsid w:val="00A6491E"/>
    <w:rsid w:val="00A64A37"/>
    <w:rsid w:val="00A64E3F"/>
    <w:rsid w:val="00A65D60"/>
    <w:rsid w:val="00A66B34"/>
    <w:rsid w:val="00A66DD4"/>
    <w:rsid w:val="00A673AC"/>
    <w:rsid w:val="00A67ED2"/>
    <w:rsid w:val="00A70E71"/>
    <w:rsid w:val="00A714D2"/>
    <w:rsid w:val="00A71972"/>
    <w:rsid w:val="00A719F3"/>
    <w:rsid w:val="00A720E0"/>
    <w:rsid w:val="00A72182"/>
    <w:rsid w:val="00A723BB"/>
    <w:rsid w:val="00A7288A"/>
    <w:rsid w:val="00A72C35"/>
    <w:rsid w:val="00A733B7"/>
    <w:rsid w:val="00A739DB"/>
    <w:rsid w:val="00A73C6B"/>
    <w:rsid w:val="00A740AB"/>
    <w:rsid w:val="00A742A5"/>
    <w:rsid w:val="00A74359"/>
    <w:rsid w:val="00A745C0"/>
    <w:rsid w:val="00A748E8"/>
    <w:rsid w:val="00A750BD"/>
    <w:rsid w:val="00A75444"/>
    <w:rsid w:val="00A758B1"/>
    <w:rsid w:val="00A76A08"/>
    <w:rsid w:val="00A76BD1"/>
    <w:rsid w:val="00A76F6A"/>
    <w:rsid w:val="00A7783B"/>
    <w:rsid w:val="00A8025A"/>
    <w:rsid w:val="00A82623"/>
    <w:rsid w:val="00A82AE1"/>
    <w:rsid w:val="00A83AAF"/>
    <w:rsid w:val="00A83B7F"/>
    <w:rsid w:val="00A83C22"/>
    <w:rsid w:val="00A84BFC"/>
    <w:rsid w:val="00A84C7B"/>
    <w:rsid w:val="00A850D8"/>
    <w:rsid w:val="00A851E0"/>
    <w:rsid w:val="00A857C6"/>
    <w:rsid w:val="00A86004"/>
    <w:rsid w:val="00A86403"/>
    <w:rsid w:val="00A867EA"/>
    <w:rsid w:val="00A86AC7"/>
    <w:rsid w:val="00A86BE1"/>
    <w:rsid w:val="00A86CFD"/>
    <w:rsid w:val="00A8749F"/>
    <w:rsid w:val="00A87A9F"/>
    <w:rsid w:val="00A90380"/>
    <w:rsid w:val="00A90A76"/>
    <w:rsid w:val="00A90CF8"/>
    <w:rsid w:val="00A9120A"/>
    <w:rsid w:val="00A91315"/>
    <w:rsid w:val="00A91F26"/>
    <w:rsid w:val="00A91F8A"/>
    <w:rsid w:val="00A923F4"/>
    <w:rsid w:val="00A9242F"/>
    <w:rsid w:val="00A92B53"/>
    <w:rsid w:val="00A93270"/>
    <w:rsid w:val="00A94138"/>
    <w:rsid w:val="00A949E2"/>
    <w:rsid w:val="00A94FA6"/>
    <w:rsid w:val="00A95366"/>
    <w:rsid w:val="00A957C3"/>
    <w:rsid w:val="00A95AED"/>
    <w:rsid w:val="00A95BEA"/>
    <w:rsid w:val="00A961A9"/>
    <w:rsid w:val="00A96260"/>
    <w:rsid w:val="00A966EA"/>
    <w:rsid w:val="00A970C9"/>
    <w:rsid w:val="00A9760C"/>
    <w:rsid w:val="00A97629"/>
    <w:rsid w:val="00AA0980"/>
    <w:rsid w:val="00AA0E6A"/>
    <w:rsid w:val="00AA0EBD"/>
    <w:rsid w:val="00AA1A14"/>
    <w:rsid w:val="00AA20EA"/>
    <w:rsid w:val="00AA26F7"/>
    <w:rsid w:val="00AA2C19"/>
    <w:rsid w:val="00AA37A1"/>
    <w:rsid w:val="00AA3881"/>
    <w:rsid w:val="00AA4981"/>
    <w:rsid w:val="00AA49A0"/>
    <w:rsid w:val="00AA5587"/>
    <w:rsid w:val="00AA63DB"/>
    <w:rsid w:val="00AA6710"/>
    <w:rsid w:val="00AA6AAF"/>
    <w:rsid w:val="00AA7A39"/>
    <w:rsid w:val="00AA7EEB"/>
    <w:rsid w:val="00AB02EE"/>
    <w:rsid w:val="00AB05DC"/>
    <w:rsid w:val="00AB0681"/>
    <w:rsid w:val="00AB078A"/>
    <w:rsid w:val="00AB15FF"/>
    <w:rsid w:val="00AB2112"/>
    <w:rsid w:val="00AB2C4D"/>
    <w:rsid w:val="00AB2ED3"/>
    <w:rsid w:val="00AB3F3B"/>
    <w:rsid w:val="00AB447C"/>
    <w:rsid w:val="00AB587C"/>
    <w:rsid w:val="00AB5D57"/>
    <w:rsid w:val="00AB5D8A"/>
    <w:rsid w:val="00AB5FBA"/>
    <w:rsid w:val="00AB6BA2"/>
    <w:rsid w:val="00AB7103"/>
    <w:rsid w:val="00AB769D"/>
    <w:rsid w:val="00AB76F3"/>
    <w:rsid w:val="00AC06CC"/>
    <w:rsid w:val="00AC0BCC"/>
    <w:rsid w:val="00AC1760"/>
    <w:rsid w:val="00AC2569"/>
    <w:rsid w:val="00AC25EC"/>
    <w:rsid w:val="00AC2F34"/>
    <w:rsid w:val="00AC39C0"/>
    <w:rsid w:val="00AC408C"/>
    <w:rsid w:val="00AC40AC"/>
    <w:rsid w:val="00AC41CE"/>
    <w:rsid w:val="00AC505C"/>
    <w:rsid w:val="00AC5202"/>
    <w:rsid w:val="00AC5254"/>
    <w:rsid w:val="00AC63DB"/>
    <w:rsid w:val="00AC76AC"/>
    <w:rsid w:val="00AD0892"/>
    <w:rsid w:val="00AD1658"/>
    <w:rsid w:val="00AD1AED"/>
    <w:rsid w:val="00AD210F"/>
    <w:rsid w:val="00AD2AE9"/>
    <w:rsid w:val="00AD338B"/>
    <w:rsid w:val="00AD375B"/>
    <w:rsid w:val="00AD4254"/>
    <w:rsid w:val="00AD4FDB"/>
    <w:rsid w:val="00AD52A2"/>
    <w:rsid w:val="00AD706A"/>
    <w:rsid w:val="00AD7E9F"/>
    <w:rsid w:val="00AE0B92"/>
    <w:rsid w:val="00AE1B83"/>
    <w:rsid w:val="00AE24B8"/>
    <w:rsid w:val="00AE3450"/>
    <w:rsid w:val="00AE4695"/>
    <w:rsid w:val="00AE4ED7"/>
    <w:rsid w:val="00AE536B"/>
    <w:rsid w:val="00AE78E1"/>
    <w:rsid w:val="00AF0415"/>
    <w:rsid w:val="00AF0D34"/>
    <w:rsid w:val="00AF0F47"/>
    <w:rsid w:val="00AF1F93"/>
    <w:rsid w:val="00AF2503"/>
    <w:rsid w:val="00AF342F"/>
    <w:rsid w:val="00AF355F"/>
    <w:rsid w:val="00AF35AC"/>
    <w:rsid w:val="00AF3D06"/>
    <w:rsid w:val="00AF3ED2"/>
    <w:rsid w:val="00AF4193"/>
    <w:rsid w:val="00AF49F7"/>
    <w:rsid w:val="00AF4E44"/>
    <w:rsid w:val="00AF5357"/>
    <w:rsid w:val="00AF5EB3"/>
    <w:rsid w:val="00AF6E71"/>
    <w:rsid w:val="00AF746C"/>
    <w:rsid w:val="00B00052"/>
    <w:rsid w:val="00B0081D"/>
    <w:rsid w:val="00B01291"/>
    <w:rsid w:val="00B014DE"/>
    <w:rsid w:val="00B02513"/>
    <w:rsid w:val="00B029AA"/>
    <w:rsid w:val="00B02B8C"/>
    <w:rsid w:val="00B03E31"/>
    <w:rsid w:val="00B04149"/>
    <w:rsid w:val="00B04391"/>
    <w:rsid w:val="00B053FA"/>
    <w:rsid w:val="00B057BB"/>
    <w:rsid w:val="00B05884"/>
    <w:rsid w:val="00B05AAF"/>
    <w:rsid w:val="00B065F4"/>
    <w:rsid w:val="00B06AAD"/>
    <w:rsid w:val="00B1058F"/>
    <w:rsid w:val="00B106DD"/>
    <w:rsid w:val="00B107CF"/>
    <w:rsid w:val="00B10DA9"/>
    <w:rsid w:val="00B11266"/>
    <w:rsid w:val="00B11F13"/>
    <w:rsid w:val="00B12617"/>
    <w:rsid w:val="00B130A3"/>
    <w:rsid w:val="00B14A6A"/>
    <w:rsid w:val="00B14B74"/>
    <w:rsid w:val="00B14E69"/>
    <w:rsid w:val="00B15E00"/>
    <w:rsid w:val="00B166AC"/>
    <w:rsid w:val="00B16879"/>
    <w:rsid w:val="00B16CA8"/>
    <w:rsid w:val="00B16EDE"/>
    <w:rsid w:val="00B200E2"/>
    <w:rsid w:val="00B2018F"/>
    <w:rsid w:val="00B214C1"/>
    <w:rsid w:val="00B2275E"/>
    <w:rsid w:val="00B2287A"/>
    <w:rsid w:val="00B22E31"/>
    <w:rsid w:val="00B22F82"/>
    <w:rsid w:val="00B24557"/>
    <w:rsid w:val="00B2490F"/>
    <w:rsid w:val="00B251D0"/>
    <w:rsid w:val="00B2672A"/>
    <w:rsid w:val="00B27766"/>
    <w:rsid w:val="00B27F69"/>
    <w:rsid w:val="00B30669"/>
    <w:rsid w:val="00B30CEF"/>
    <w:rsid w:val="00B31209"/>
    <w:rsid w:val="00B31812"/>
    <w:rsid w:val="00B32AC1"/>
    <w:rsid w:val="00B331D3"/>
    <w:rsid w:val="00B3391C"/>
    <w:rsid w:val="00B34045"/>
    <w:rsid w:val="00B34BE3"/>
    <w:rsid w:val="00B34BFE"/>
    <w:rsid w:val="00B360D8"/>
    <w:rsid w:val="00B36A47"/>
    <w:rsid w:val="00B36BDA"/>
    <w:rsid w:val="00B36E04"/>
    <w:rsid w:val="00B375E7"/>
    <w:rsid w:val="00B37815"/>
    <w:rsid w:val="00B379D2"/>
    <w:rsid w:val="00B37ED4"/>
    <w:rsid w:val="00B4016C"/>
    <w:rsid w:val="00B402E3"/>
    <w:rsid w:val="00B40479"/>
    <w:rsid w:val="00B426DC"/>
    <w:rsid w:val="00B4341D"/>
    <w:rsid w:val="00B437F1"/>
    <w:rsid w:val="00B43A39"/>
    <w:rsid w:val="00B43AF4"/>
    <w:rsid w:val="00B43D5E"/>
    <w:rsid w:val="00B440AD"/>
    <w:rsid w:val="00B441F2"/>
    <w:rsid w:val="00B45838"/>
    <w:rsid w:val="00B4629F"/>
    <w:rsid w:val="00B4687D"/>
    <w:rsid w:val="00B46A91"/>
    <w:rsid w:val="00B47600"/>
    <w:rsid w:val="00B47A85"/>
    <w:rsid w:val="00B47A88"/>
    <w:rsid w:val="00B50738"/>
    <w:rsid w:val="00B51009"/>
    <w:rsid w:val="00B52493"/>
    <w:rsid w:val="00B5350A"/>
    <w:rsid w:val="00B53D0D"/>
    <w:rsid w:val="00B53E7E"/>
    <w:rsid w:val="00B54077"/>
    <w:rsid w:val="00B54187"/>
    <w:rsid w:val="00B54CA0"/>
    <w:rsid w:val="00B551CC"/>
    <w:rsid w:val="00B553B6"/>
    <w:rsid w:val="00B55703"/>
    <w:rsid w:val="00B55F34"/>
    <w:rsid w:val="00B565E1"/>
    <w:rsid w:val="00B56A53"/>
    <w:rsid w:val="00B56D6A"/>
    <w:rsid w:val="00B56E78"/>
    <w:rsid w:val="00B57D88"/>
    <w:rsid w:val="00B6035A"/>
    <w:rsid w:val="00B606AC"/>
    <w:rsid w:val="00B6173D"/>
    <w:rsid w:val="00B62079"/>
    <w:rsid w:val="00B62DD0"/>
    <w:rsid w:val="00B62ED3"/>
    <w:rsid w:val="00B631C1"/>
    <w:rsid w:val="00B6342E"/>
    <w:rsid w:val="00B63B58"/>
    <w:rsid w:val="00B655C0"/>
    <w:rsid w:val="00B65F9C"/>
    <w:rsid w:val="00B66D96"/>
    <w:rsid w:val="00B67F8F"/>
    <w:rsid w:val="00B7113F"/>
    <w:rsid w:val="00B71C0A"/>
    <w:rsid w:val="00B71C32"/>
    <w:rsid w:val="00B71D24"/>
    <w:rsid w:val="00B7259F"/>
    <w:rsid w:val="00B726C3"/>
    <w:rsid w:val="00B74769"/>
    <w:rsid w:val="00B747EC"/>
    <w:rsid w:val="00B76087"/>
    <w:rsid w:val="00B761D5"/>
    <w:rsid w:val="00B770A9"/>
    <w:rsid w:val="00B7786B"/>
    <w:rsid w:val="00B7797D"/>
    <w:rsid w:val="00B77C5A"/>
    <w:rsid w:val="00B80DE3"/>
    <w:rsid w:val="00B80F27"/>
    <w:rsid w:val="00B81F1B"/>
    <w:rsid w:val="00B82108"/>
    <w:rsid w:val="00B830C7"/>
    <w:rsid w:val="00B83457"/>
    <w:rsid w:val="00B837C3"/>
    <w:rsid w:val="00B83E0D"/>
    <w:rsid w:val="00B85A2D"/>
    <w:rsid w:val="00B85DD2"/>
    <w:rsid w:val="00B85F2C"/>
    <w:rsid w:val="00B86046"/>
    <w:rsid w:val="00B909D4"/>
    <w:rsid w:val="00B90A01"/>
    <w:rsid w:val="00B90DCA"/>
    <w:rsid w:val="00B90F91"/>
    <w:rsid w:val="00B91302"/>
    <w:rsid w:val="00B914B8"/>
    <w:rsid w:val="00B91F4F"/>
    <w:rsid w:val="00B92279"/>
    <w:rsid w:val="00B929CA"/>
    <w:rsid w:val="00B92D88"/>
    <w:rsid w:val="00B92F17"/>
    <w:rsid w:val="00B93374"/>
    <w:rsid w:val="00B939BD"/>
    <w:rsid w:val="00B93AD7"/>
    <w:rsid w:val="00B93EB5"/>
    <w:rsid w:val="00B94BDB"/>
    <w:rsid w:val="00B94D16"/>
    <w:rsid w:val="00B9538A"/>
    <w:rsid w:val="00B9595F"/>
    <w:rsid w:val="00B96BF7"/>
    <w:rsid w:val="00B973C9"/>
    <w:rsid w:val="00B974D0"/>
    <w:rsid w:val="00B97656"/>
    <w:rsid w:val="00BA0930"/>
    <w:rsid w:val="00BA0A55"/>
    <w:rsid w:val="00BA0DD4"/>
    <w:rsid w:val="00BA1096"/>
    <w:rsid w:val="00BA109A"/>
    <w:rsid w:val="00BA1791"/>
    <w:rsid w:val="00BA2085"/>
    <w:rsid w:val="00BA219C"/>
    <w:rsid w:val="00BA21BF"/>
    <w:rsid w:val="00BA27E3"/>
    <w:rsid w:val="00BA2EC4"/>
    <w:rsid w:val="00BA3F44"/>
    <w:rsid w:val="00BA4F55"/>
    <w:rsid w:val="00BA5116"/>
    <w:rsid w:val="00BA52AC"/>
    <w:rsid w:val="00BA5C07"/>
    <w:rsid w:val="00BA5D59"/>
    <w:rsid w:val="00BA6D1E"/>
    <w:rsid w:val="00BA73B6"/>
    <w:rsid w:val="00BA73EF"/>
    <w:rsid w:val="00BB069D"/>
    <w:rsid w:val="00BB0FF4"/>
    <w:rsid w:val="00BB1A3C"/>
    <w:rsid w:val="00BB1B99"/>
    <w:rsid w:val="00BB1FA0"/>
    <w:rsid w:val="00BB1FFA"/>
    <w:rsid w:val="00BB28DD"/>
    <w:rsid w:val="00BB295E"/>
    <w:rsid w:val="00BB2C23"/>
    <w:rsid w:val="00BB31DD"/>
    <w:rsid w:val="00BB3B8D"/>
    <w:rsid w:val="00BB3E5F"/>
    <w:rsid w:val="00BB3ECC"/>
    <w:rsid w:val="00BB45E5"/>
    <w:rsid w:val="00BB4DEC"/>
    <w:rsid w:val="00BB4FCD"/>
    <w:rsid w:val="00BB5818"/>
    <w:rsid w:val="00BB5A97"/>
    <w:rsid w:val="00BB6330"/>
    <w:rsid w:val="00BB6430"/>
    <w:rsid w:val="00BB6A00"/>
    <w:rsid w:val="00BB7552"/>
    <w:rsid w:val="00BB7960"/>
    <w:rsid w:val="00BB7B99"/>
    <w:rsid w:val="00BB7CCC"/>
    <w:rsid w:val="00BC05EA"/>
    <w:rsid w:val="00BC0C48"/>
    <w:rsid w:val="00BC1726"/>
    <w:rsid w:val="00BC193E"/>
    <w:rsid w:val="00BC1A3E"/>
    <w:rsid w:val="00BC2487"/>
    <w:rsid w:val="00BC3033"/>
    <w:rsid w:val="00BC32BE"/>
    <w:rsid w:val="00BC3805"/>
    <w:rsid w:val="00BC3B6A"/>
    <w:rsid w:val="00BC3BAA"/>
    <w:rsid w:val="00BC4D79"/>
    <w:rsid w:val="00BC5135"/>
    <w:rsid w:val="00BC5266"/>
    <w:rsid w:val="00BC5547"/>
    <w:rsid w:val="00BC5E2E"/>
    <w:rsid w:val="00BC6278"/>
    <w:rsid w:val="00BC6B0C"/>
    <w:rsid w:val="00BC716F"/>
    <w:rsid w:val="00BC7258"/>
    <w:rsid w:val="00BC7A5F"/>
    <w:rsid w:val="00BC7E56"/>
    <w:rsid w:val="00BD0EB4"/>
    <w:rsid w:val="00BD13EA"/>
    <w:rsid w:val="00BD1F8D"/>
    <w:rsid w:val="00BD24E1"/>
    <w:rsid w:val="00BD2583"/>
    <w:rsid w:val="00BD2EB5"/>
    <w:rsid w:val="00BD2F24"/>
    <w:rsid w:val="00BD35A6"/>
    <w:rsid w:val="00BD3879"/>
    <w:rsid w:val="00BD3F96"/>
    <w:rsid w:val="00BD4B8C"/>
    <w:rsid w:val="00BD5013"/>
    <w:rsid w:val="00BD7518"/>
    <w:rsid w:val="00BD771D"/>
    <w:rsid w:val="00BE04CD"/>
    <w:rsid w:val="00BE08EA"/>
    <w:rsid w:val="00BE0A79"/>
    <w:rsid w:val="00BE171B"/>
    <w:rsid w:val="00BE1ECA"/>
    <w:rsid w:val="00BE2261"/>
    <w:rsid w:val="00BE28C0"/>
    <w:rsid w:val="00BE29F4"/>
    <w:rsid w:val="00BE2B93"/>
    <w:rsid w:val="00BE3808"/>
    <w:rsid w:val="00BE387A"/>
    <w:rsid w:val="00BE3E8D"/>
    <w:rsid w:val="00BE432B"/>
    <w:rsid w:val="00BE4A30"/>
    <w:rsid w:val="00BE5094"/>
    <w:rsid w:val="00BF11C4"/>
    <w:rsid w:val="00BF19A5"/>
    <w:rsid w:val="00BF1C0A"/>
    <w:rsid w:val="00BF1C36"/>
    <w:rsid w:val="00BF20D9"/>
    <w:rsid w:val="00BF231F"/>
    <w:rsid w:val="00BF28CB"/>
    <w:rsid w:val="00BF2B23"/>
    <w:rsid w:val="00BF318C"/>
    <w:rsid w:val="00BF3532"/>
    <w:rsid w:val="00BF3786"/>
    <w:rsid w:val="00BF57C8"/>
    <w:rsid w:val="00BF5AE0"/>
    <w:rsid w:val="00BF6A43"/>
    <w:rsid w:val="00BF6CF9"/>
    <w:rsid w:val="00BF7276"/>
    <w:rsid w:val="00BF749E"/>
    <w:rsid w:val="00BF7C5C"/>
    <w:rsid w:val="00C0033B"/>
    <w:rsid w:val="00C0047A"/>
    <w:rsid w:val="00C00AB8"/>
    <w:rsid w:val="00C00D7D"/>
    <w:rsid w:val="00C01552"/>
    <w:rsid w:val="00C0155F"/>
    <w:rsid w:val="00C019FA"/>
    <w:rsid w:val="00C01D34"/>
    <w:rsid w:val="00C02280"/>
    <w:rsid w:val="00C03F80"/>
    <w:rsid w:val="00C0420C"/>
    <w:rsid w:val="00C054FD"/>
    <w:rsid w:val="00C05A53"/>
    <w:rsid w:val="00C05FE6"/>
    <w:rsid w:val="00C0609B"/>
    <w:rsid w:val="00C062E9"/>
    <w:rsid w:val="00C067D8"/>
    <w:rsid w:val="00C07607"/>
    <w:rsid w:val="00C07B64"/>
    <w:rsid w:val="00C07EF8"/>
    <w:rsid w:val="00C10A38"/>
    <w:rsid w:val="00C11EF5"/>
    <w:rsid w:val="00C12085"/>
    <w:rsid w:val="00C123A8"/>
    <w:rsid w:val="00C1366B"/>
    <w:rsid w:val="00C13721"/>
    <w:rsid w:val="00C14238"/>
    <w:rsid w:val="00C14554"/>
    <w:rsid w:val="00C156BF"/>
    <w:rsid w:val="00C15A0B"/>
    <w:rsid w:val="00C15AD3"/>
    <w:rsid w:val="00C1671A"/>
    <w:rsid w:val="00C16CDB"/>
    <w:rsid w:val="00C209AF"/>
    <w:rsid w:val="00C20BB4"/>
    <w:rsid w:val="00C20C1B"/>
    <w:rsid w:val="00C211E8"/>
    <w:rsid w:val="00C2148C"/>
    <w:rsid w:val="00C21BDD"/>
    <w:rsid w:val="00C2223B"/>
    <w:rsid w:val="00C2235B"/>
    <w:rsid w:val="00C22C08"/>
    <w:rsid w:val="00C2319F"/>
    <w:rsid w:val="00C233D0"/>
    <w:rsid w:val="00C2342D"/>
    <w:rsid w:val="00C23FA6"/>
    <w:rsid w:val="00C24237"/>
    <w:rsid w:val="00C24D29"/>
    <w:rsid w:val="00C26A5A"/>
    <w:rsid w:val="00C275F4"/>
    <w:rsid w:val="00C27871"/>
    <w:rsid w:val="00C30593"/>
    <w:rsid w:val="00C3066D"/>
    <w:rsid w:val="00C3083E"/>
    <w:rsid w:val="00C309CC"/>
    <w:rsid w:val="00C309F5"/>
    <w:rsid w:val="00C30D4B"/>
    <w:rsid w:val="00C30DF8"/>
    <w:rsid w:val="00C322DD"/>
    <w:rsid w:val="00C323D6"/>
    <w:rsid w:val="00C32644"/>
    <w:rsid w:val="00C32B39"/>
    <w:rsid w:val="00C32C2E"/>
    <w:rsid w:val="00C33029"/>
    <w:rsid w:val="00C33720"/>
    <w:rsid w:val="00C34EFC"/>
    <w:rsid w:val="00C3588E"/>
    <w:rsid w:val="00C3592D"/>
    <w:rsid w:val="00C369FC"/>
    <w:rsid w:val="00C36E38"/>
    <w:rsid w:val="00C400CB"/>
    <w:rsid w:val="00C40B44"/>
    <w:rsid w:val="00C40D26"/>
    <w:rsid w:val="00C4142B"/>
    <w:rsid w:val="00C41AAD"/>
    <w:rsid w:val="00C42606"/>
    <w:rsid w:val="00C42F5B"/>
    <w:rsid w:val="00C430D0"/>
    <w:rsid w:val="00C43A3E"/>
    <w:rsid w:val="00C443A6"/>
    <w:rsid w:val="00C44A94"/>
    <w:rsid w:val="00C44F5B"/>
    <w:rsid w:val="00C454AE"/>
    <w:rsid w:val="00C4653C"/>
    <w:rsid w:val="00C474EB"/>
    <w:rsid w:val="00C478F5"/>
    <w:rsid w:val="00C501D5"/>
    <w:rsid w:val="00C50CFE"/>
    <w:rsid w:val="00C51119"/>
    <w:rsid w:val="00C5268D"/>
    <w:rsid w:val="00C52694"/>
    <w:rsid w:val="00C52CC7"/>
    <w:rsid w:val="00C538EA"/>
    <w:rsid w:val="00C53B7A"/>
    <w:rsid w:val="00C543F4"/>
    <w:rsid w:val="00C55BEC"/>
    <w:rsid w:val="00C56B8F"/>
    <w:rsid w:val="00C578A6"/>
    <w:rsid w:val="00C57AE6"/>
    <w:rsid w:val="00C57B76"/>
    <w:rsid w:val="00C57EE9"/>
    <w:rsid w:val="00C60468"/>
    <w:rsid w:val="00C60532"/>
    <w:rsid w:val="00C60E24"/>
    <w:rsid w:val="00C6115C"/>
    <w:rsid w:val="00C61E15"/>
    <w:rsid w:val="00C620E4"/>
    <w:rsid w:val="00C6291C"/>
    <w:rsid w:val="00C633CB"/>
    <w:rsid w:val="00C63C1D"/>
    <w:rsid w:val="00C63EC4"/>
    <w:rsid w:val="00C645C2"/>
    <w:rsid w:val="00C647B7"/>
    <w:rsid w:val="00C647FA"/>
    <w:rsid w:val="00C65DB7"/>
    <w:rsid w:val="00C66795"/>
    <w:rsid w:val="00C669D7"/>
    <w:rsid w:val="00C70302"/>
    <w:rsid w:val="00C709F1"/>
    <w:rsid w:val="00C71216"/>
    <w:rsid w:val="00C7161C"/>
    <w:rsid w:val="00C716FE"/>
    <w:rsid w:val="00C7193A"/>
    <w:rsid w:val="00C7284F"/>
    <w:rsid w:val="00C72E65"/>
    <w:rsid w:val="00C742BC"/>
    <w:rsid w:val="00C74AF9"/>
    <w:rsid w:val="00C75616"/>
    <w:rsid w:val="00C75928"/>
    <w:rsid w:val="00C76661"/>
    <w:rsid w:val="00C768CD"/>
    <w:rsid w:val="00C76BD4"/>
    <w:rsid w:val="00C76E57"/>
    <w:rsid w:val="00C775AF"/>
    <w:rsid w:val="00C77990"/>
    <w:rsid w:val="00C77C52"/>
    <w:rsid w:val="00C77E9C"/>
    <w:rsid w:val="00C80009"/>
    <w:rsid w:val="00C806AA"/>
    <w:rsid w:val="00C807CA"/>
    <w:rsid w:val="00C81ADD"/>
    <w:rsid w:val="00C82060"/>
    <w:rsid w:val="00C82F2D"/>
    <w:rsid w:val="00C830A2"/>
    <w:rsid w:val="00C837D3"/>
    <w:rsid w:val="00C839A3"/>
    <w:rsid w:val="00C83DF1"/>
    <w:rsid w:val="00C83E98"/>
    <w:rsid w:val="00C84495"/>
    <w:rsid w:val="00C846F7"/>
    <w:rsid w:val="00C84D8E"/>
    <w:rsid w:val="00C8582B"/>
    <w:rsid w:val="00C872B3"/>
    <w:rsid w:val="00C872FC"/>
    <w:rsid w:val="00C874A0"/>
    <w:rsid w:val="00C8762C"/>
    <w:rsid w:val="00C87723"/>
    <w:rsid w:val="00C8779F"/>
    <w:rsid w:val="00C87ED3"/>
    <w:rsid w:val="00C90C54"/>
    <w:rsid w:val="00C90C64"/>
    <w:rsid w:val="00C910BF"/>
    <w:rsid w:val="00C913D3"/>
    <w:rsid w:val="00C91CB4"/>
    <w:rsid w:val="00C91F09"/>
    <w:rsid w:val="00C925DF"/>
    <w:rsid w:val="00C92F15"/>
    <w:rsid w:val="00C9358B"/>
    <w:rsid w:val="00C9448C"/>
    <w:rsid w:val="00C94652"/>
    <w:rsid w:val="00C947F6"/>
    <w:rsid w:val="00C94EE9"/>
    <w:rsid w:val="00C94F92"/>
    <w:rsid w:val="00C95F15"/>
    <w:rsid w:val="00C95F75"/>
    <w:rsid w:val="00C9692A"/>
    <w:rsid w:val="00C9722A"/>
    <w:rsid w:val="00C97BDD"/>
    <w:rsid w:val="00CA00F9"/>
    <w:rsid w:val="00CA027B"/>
    <w:rsid w:val="00CA1A15"/>
    <w:rsid w:val="00CA2122"/>
    <w:rsid w:val="00CA2961"/>
    <w:rsid w:val="00CA2E6B"/>
    <w:rsid w:val="00CA358F"/>
    <w:rsid w:val="00CA38CA"/>
    <w:rsid w:val="00CA390B"/>
    <w:rsid w:val="00CA46A1"/>
    <w:rsid w:val="00CA4BB7"/>
    <w:rsid w:val="00CA5884"/>
    <w:rsid w:val="00CA5B57"/>
    <w:rsid w:val="00CA60DA"/>
    <w:rsid w:val="00CA6A81"/>
    <w:rsid w:val="00CA6D60"/>
    <w:rsid w:val="00CA6D7A"/>
    <w:rsid w:val="00CA71DD"/>
    <w:rsid w:val="00CA7481"/>
    <w:rsid w:val="00CA78A2"/>
    <w:rsid w:val="00CA7E39"/>
    <w:rsid w:val="00CB0C02"/>
    <w:rsid w:val="00CB0DDD"/>
    <w:rsid w:val="00CB24A7"/>
    <w:rsid w:val="00CB27EE"/>
    <w:rsid w:val="00CB339E"/>
    <w:rsid w:val="00CB3828"/>
    <w:rsid w:val="00CB38B3"/>
    <w:rsid w:val="00CB3A4C"/>
    <w:rsid w:val="00CB3BA8"/>
    <w:rsid w:val="00CB3D2D"/>
    <w:rsid w:val="00CB50D7"/>
    <w:rsid w:val="00CB5B65"/>
    <w:rsid w:val="00CB641F"/>
    <w:rsid w:val="00CB658B"/>
    <w:rsid w:val="00CB7177"/>
    <w:rsid w:val="00CB7214"/>
    <w:rsid w:val="00CB72D6"/>
    <w:rsid w:val="00CB7498"/>
    <w:rsid w:val="00CB7FE9"/>
    <w:rsid w:val="00CC0823"/>
    <w:rsid w:val="00CC1584"/>
    <w:rsid w:val="00CC1998"/>
    <w:rsid w:val="00CC206D"/>
    <w:rsid w:val="00CC21C4"/>
    <w:rsid w:val="00CC2B8E"/>
    <w:rsid w:val="00CC2DC1"/>
    <w:rsid w:val="00CC38AA"/>
    <w:rsid w:val="00CC3D22"/>
    <w:rsid w:val="00CC3F19"/>
    <w:rsid w:val="00CC46F5"/>
    <w:rsid w:val="00CC4946"/>
    <w:rsid w:val="00CC569C"/>
    <w:rsid w:val="00CC5714"/>
    <w:rsid w:val="00CC5786"/>
    <w:rsid w:val="00CC5869"/>
    <w:rsid w:val="00CC586B"/>
    <w:rsid w:val="00CC5B45"/>
    <w:rsid w:val="00CC6896"/>
    <w:rsid w:val="00CC6EBC"/>
    <w:rsid w:val="00CC6F22"/>
    <w:rsid w:val="00CC7682"/>
    <w:rsid w:val="00CC7A86"/>
    <w:rsid w:val="00CD10E7"/>
    <w:rsid w:val="00CD1A9F"/>
    <w:rsid w:val="00CD1E48"/>
    <w:rsid w:val="00CD1F56"/>
    <w:rsid w:val="00CD2D8C"/>
    <w:rsid w:val="00CD2E1D"/>
    <w:rsid w:val="00CD2FB4"/>
    <w:rsid w:val="00CD3195"/>
    <w:rsid w:val="00CD31BA"/>
    <w:rsid w:val="00CD46C4"/>
    <w:rsid w:val="00CD4D00"/>
    <w:rsid w:val="00CD51C6"/>
    <w:rsid w:val="00CD6047"/>
    <w:rsid w:val="00CD6B4D"/>
    <w:rsid w:val="00CD6BA3"/>
    <w:rsid w:val="00CD6DD2"/>
    <w:rsid w:val="00CD7043"/>
    <w:rsid w:val="00CE03D7"/>
    <w:rsid w:val="00CE0801"/>
    <w:rsid w:val="00CE145A"/>
    <w:rsid w:val="00CE1908"/>
    <w:rsid w:val="00CE194E"/>
    <w:rsid w:val="00CE24FE"/>
    <w:rsid w:val="00CE2613"/>
    <w:rsid w:val="00CE43B6"/>
    <w:rsid w:val="00CE4464"/>
    <w:rsid w:val="00CE4676"/>
    <w:rsid w:val="00CE4811"/>
    <w:rsid w:val="00CE4C67"/>
    <w:rsid w:val="00CE5292"/>
    <w:rsid w:val="00CE6494"/>
    <w:rsid w:val="00CE676E"/>
    <w:rsid w:val="00CE6DA4"/>
    <w:rsid w:val="00CE71D3"/>
    <w:rsid w:val="00CE74A4"/>
    <w:rsid w:val="00CF0093"/>
    <w:rsid w:val="00CF06B9"/>
    <w:rsid w:val="00CF07A2"/>
    <w:rsid w:val="00CF07DE"/>
    <w:rsid w:val="00CF1316"/>
    <w:rsid w:val="00CF18FD"/>
    <w:rsid w:val="00CF19B3"/>
    <w:rsid w:val="00CF1F3A"/>
    <w:rsid w:val="00CF255D"/>
    <w:rsid w:val="00CF2596"/>
    <w:rsid w:val="00CF2727"/>
    <w:rsid w:val="00CF37C5"/>
    <w:rsid w:val="00CF3B0D"/>
    <w:rsid w:val="00CF47A0"/>
    <w:rsid w:val="00CF5493"/>
    <w:rsid w:val="00CF54C3"/>
    <w:rsid w:val="00CF63D4"/>
    <w:rsid w:val="00CF63F0"/>
    <w:rsid w:val="00CF66C1"/>
    <w:rsid w:val="00CF6867"/>
    <w:rsid w:val="00CF7231"/>
    <w:rsid w:val="00CF75E6"/>
    <w:rsid w:val="00CF7856"/>
    <w:rsid w:val="00CF7926"/>
    <w:rsid w:val="00D0003E"/>
    <w:rsid w:val="00D00540"/>
    <w:rsid w:val="00D00ADA"/>
    <w:rsid w:val="00D016EA"/>
    <w:rsid w:val="00D01C17"/>
    <w:rsid w:val="00D022C4"/>
    <w:rsid w:val="00D02D92"/>
    <w:rsid w:val="00D02DF0"/>
    <w:rsid w:val="00D02F25"/>
    <w:rsid w:val="00D03B15"/>
    <w:rsid w:val="00D03B17"/>
    <w:rsid w:val="00D03C4C"/>
    <w:rsid w:val="00D0430D"/>
    <w:rsid w:val="00D044BC"/>
    <w:rsid w:val="00D0462A"/>
    <w:rsid w:val="00D0499C"/>
    <w:rsid w:val="00D04FA1"/>
    <w:rsid w:val="00D05147"/>
    <w:rsid w:val="00D055F4"/>
    <w:rsid w:val="00D0621C"/>
    <w:rsid w:val="00D07C6A"/>
    <w:rsid w:val="00D07F32"/>
    <w:rsid w:val="00D1007D"/>
    <w:rsid w:val="00D10689"/>
    <w:rsid w:val="00D10FF5"/>
    <w:rsid w:val="00D114F4"/>
    <w:rsid w:val="00D1243C"/>
    <w:rsid w:val="00D134B4"/>
    <w:rsid w:val="00D14AD9"/>
    <w:rsid w:val="00D14B0F"/>
    <w:rsid w:val="00D14D23"/>
    <w:rsid w:val="00D15708"/>
    <w:rsid w:val="00D15C7D"/>
    <w:rsid w:val="00D165A7"/>
    <w:rsid w:val="00D16C9E"/>
    <w:rsid w:val="00D16F72"/>
    <w:rsid w:val="00D16FA1"/>
    <w:rsid w:val="00D174E8"/>
    <w:rsid w:val="00D201AB"/>
    <w:rsid w:val="00D2031B"/>
    <w:rsid w:val="00D20507"/>
    <w:rsid w:val="00D217F7"/>
    <w:rsid w:val="00D22350"/>
    <w:rsid w:val="00D23312"/>
    <w:rsid w:val="00D23765"/>
    <w:rsid w:val="00D255B6"/>
    <w:rsid w:val="00D25940"/>
    <w:rsid w:val="00D25991"/>
    <w:rsid w:val="00D25CAF"/>
    <w:rsid w:val="00D2646A"/>
    <w:rsid w:val="00D270A4"/>
    <w:rsid w:val="00D2711A"/>
    <w:rsid w:val="00D2745E"/>
    <w:rsid w:val="00D27B8A"/>
    <w:rsid w:val="00D27D9C"/>
    <w:rsid w:val="00D30184"/>
    <w:rsid w:val="00D30315"/>
    <w:rsid w:val="00D30395"/>
    <w:rsid w:val="00D3104D"/>
    <w:rsid w:val="00D31319"/>
    <w:rsid w:val="00D3175C"/>
    <w:rsid w:val="00D31B4A"/>
    <w:rsid w:val="00D327FC"/>
    <w:rsid w:val="00D32EFA"/>
    <w:rsid w:val="00D3476A"/>
    <w:rsid w:val="00D3486D"/>
    <w:rsid w:val="00D34E1B"/>
    <w:rsid w:val="00D354B8"/>
    <w:rsid w:val="00D358D8"/>
    <w:rsid w:val="00D35ACD"/>
    <w:rsid w:val="00D35D7D"/>
    <w:rsid w:val="00D368BD"/>
    <w:rsid w:val="00D376BA"/>
    <w:rsid w:val="00D37B7E"/>
    <w:rsid w:val="00D401C5"/>
    <w:rsid w:val="00D4082D"/>
    <w:rsid w:val="00D419AB"/>
    <w:rsid w:val="00D41A0A"/>
    <w:rsid w:val="00D41C82"/>
    <w:rsid w:val="00D423BC"/>
    <w:rsid w:val="00D42690"/>
    <w:rsid w:val="00D42EF4"/>
    <w:rsid w:val="00D431C0"/>
    <w:rsid w:val="00D4341C"/>
    <w:rsid w:val="00D437AF"/>
    <w:rsid w:val="00D4391A"/>
    <w:rsid w:val="00D43CBB"/>
    <w:rsid w:val="00D447BD"/>
    <w:rsid w:val="00D448E6"/>
    <w:rsid w:val="00D44C43"/>
    <w:rsid w:val="00D44F18"/>
    <w:rsid w:val="00D46002"/>
    <w:rsid w:val="00D46503"/>
    <w:rsid w:val="00D4696C"/>
    <w:rsid w:val="00D4698C"/>
    <w:rsid w:val="00D47418"/>
    <w:rsid w:val="00D476C9"/>
    <w:rsid w:val="00D47F6F"/>
    <w:rsid w:val="00D50635"/>
    <w:rsid w:val="00D50964"/>
    <w:rsid w:val="00D50E5C"/>
    <w:rsid w:val="00D51118"/>
    <w:rsid w:val="00D51CA0"/>
    <w:rsid w:val="00D51E1A"/>
    <w:rsid w:val="00D5288A"/>
    <w:rsid w:val="00D52E39"/>
    <w:rsid w:val="00D53CC9"/>
    <w:rsid w:val="00D53F32"/>
    <w:rsid w:val="00D5462B"/>
    <w:rsid w:val="00D54BE0"/>
    <w:rsid w:val="00D54ED8"/>
    <w:rsid w:val="00D54F6F"/>
    <w:rsid w:val="00D5568A"/>
    <w:rsid w:val="00D55C54"/>
    <w:rsid w:val="00D55FE5"/>
    <w:rsid w:val="00D57167"/>
    <w:rsid w:val="00D575C1"/>
    <w:rsid w:val="00D57959"/>
    <w:rsid w:val="00D6022E"/>
    <w:rsid w:val="00D602F6"/>
    <w:rsid w:val="00D615F7"/>
    <w:rsid w:val="00D61611"/>
    <w:rsid w:val="00D61F45"/>
    <w:rsid w:val="00D622D3"/>
    <w:rsid w:val="00D622DA"/>
    <w:rsid w:val="00D625F2"/>
    <w:rsid w:val="00D62EAB"/>
    <w:rsid w:val="00D63D73"/>
    <w:rsid w:val="00D64FB6"/>
    <w:rsid w:val="00D65E8F"/>
    <w:rsid w:val="00D66E1E"/>
    <w:rsid w:val="00D67263"/>
    <w:rsid w:val="00D67A17"/>
    <w:rsid w:val="00D67CC5"/>
    <w:rsid w:val="00D67ED6"/>
    <w:rsid w:val="00D67FCF"/>
    <w:rsid w:val="00D7078C"/>
    <w:rsid w:val="00D7078E"/>
    <w:rsid w:val="00D70CB5"/>
    <w:rsid w:val="00D711EE"/>
    <w:rsid w:val="00D721C2"/>
    <w:rsid w:val="00D72809"/>
    <w:rsid w:val="00D753D4"/>
    <w:rsid w:val="00D75722"/>
    <w:rsid w:val="00D7580B"/>
    <w:rsid w:val="00D761B6"/>
    <w:rsid w:val="00D766EE"/>
    <w:rsid w:val="00D7685A"/>
    <w:rsid w:val="00D7713E"/>
    <w:rsid w:val="00D77536"/>
    <w:rsid w:val="00D775FA"/>
    <w:rsid w:val="00D776CB"/>
    <w:rsid w:val="00D8027D"/>
    <w:rsid w:val="00D80446"/>
    <w:rsid w:val="00D80480"/>
    <w:rsid w:val="00D809BA"/>
    <w:rsid w:val="00D81D27"/>
    <w:rsid w:val="00D82A18"/>
    <w:rsid w:val="00D83C8F"/>
    <w:rsid w:val="00D8403B"/>
    <w:rsid w:val="00D84535"/>
    <w:rsid w:val="00D84943"/>
    <w:rsid w:val="00D84CF1"/>
    <w:rsid w:val="00D84F10"/>
    <w:rsid w:val="00D8580D"/>
    <w:rsid w:val="00D85B1C"/>
    <w:rsid w:val="00D85F59"/>
    <w:rsid w:val="00D86160"/>
    <w:rsid w:val="00D86924"/>
    <w:rsid w:val="00D86F29"/>
    <w:rsid w:val="00D90B81"/>
    <w:rsid w:val="00D92109"/>
    <w:rsid w:val="00D921FD"/>
    <w:rsid w:val="00D931CD"/>
    <w:rsid w:val="00D934F7"/>
    <w:rsid w:val="00D939EF"/>
    <w:rsid w:val="00D94F4C"/>
    <w:rsid w:val="00D94F84"/>
    <w:rsid w:val="00D95A7E"/>
    <w:rsid w:val="00D95DA0"/>
    <w:rsid w:val="00D968BF"/>
    <w:rsid w:val="00D9707D"/>
    <w:rsid w:val="00D97A0B"/>
    <w:rsid w:val="00DA0463"/>
    <w:rsid w:val="00DA097C"/>
    <w:rsid w:val="00DA1888"/>
    <w:rsid w:val="00DA220B"/>
    <w:rsid w:val="00DA3E71"/>
    <w:rsid w:val="00DA3EFF"/>
    <w:rsid w:val="00DA4007"/>
    <w:rsid w:val="00DA45D1"/>
    <w:rsid w:val="00DA47BB"/>
    <w:rsid w:val="00DA4A66"/>
    <w:rsid w:val="00DA5801"/>
    <w:rsid w:val="00DA5BBA"/>
    <w:rsid w:val="00DA5CED"/>
    <w:rsid w:val="00DA5FE4"/>
    <w:rsid w:val="00DA629C"/>
    <w:rsid w:val="00DA6AC6"/>
    <w:rsid w:val="00DB008F"/>
    <w:rsid w:val="00DB0ED4"/>
    <w:rsid w:val="00DB2037"/>
    <w:rsid w:val="00DB2061"/>
    <w:rsid w:val="00DB2189"/>
    <w:rsid w:val="00DB24A5"/>
    <w:rsid w:val="00DB2511"/>
    <w:rsid w:val="00DB2B36"/>
    <w:rsid w:val="00DB2EF6"/>
    <w:rsid w:val="00DB38C9"/>
    <w:rsid w:val="00DB4947"/>
    <w:rsid w:val="00DB5144"/>
    <w:rsid w:val="00DB533E"/>
    <w:rsid w:val="00DB535C"/>
    <w:rsid w:val="00DB54BF"/>
    <w:rsid w:val="00DB5828"/>
    <w:rsid w:val="00DB6738"/>
    <w:rsid w:val="00DB67C9"/>
    <w:rsid w:val="00DB7AD0"/>
    <w:rsid w:val="00DC0395"/>
    <w:rsid w:val="00DC09CA"/>
    <w:rsid w:val="00DC0C95"/>
    <w:rsid w:val="00DC10B7"/>
    <w:rsid w:val="00DC15B0"/>
    <w:rsid w:val="00DC1799"/>
    <w:rsid w:val="00DC199D"/>
    <w:rsid w:val="00DC22BC"/>
    <w:rsid w:val="00DC2FF7"/>
    <w:rsid w:val="00DC31DF"/>
    <w:rsid w:val="00DC4849"/>
    <w:rsid w:val="00DC4FD8"/>
    <w:rsid w:val="00DC5098"/>
    <w:rsid w:val="00DC52AC"/>
    <w:rsid w:val="00DC55E5"/>
    <w:rsid w:val="00DC5612"/>
    <w:rsid w:val="00DC62D9"/>
    <w:rsid w:val="00DC630D"/>
    <w:rsid w:val="00DC69DD"/>
    <w:rsid w:val="00DC7086"/>
    <w:rsid w:val="00DC76FD"/>
    <w:rsid w:val="00DD016A"/>
    <w:rsid w:val="00DD08E8"/>
    <w:rsid w:val="00DD130A"/>
    <w:rsid w:val="00DD1998"/>
    <w:rsid w:val="00DD1CA7"/>
    <w:rsid w:val="00DD1D55"/>
    <w:rsid w:val="00DD1DE3"/>
    <w:rsid w:val="00DD41A2"/>
    <w:rsid w:val="00DD4966"/>
    <w:rsid w:val="00DD4BB0"/>
    <w:rsid w:val="00DD4EC4"/>
    <w:rsid w:val="00DD4F78"/>
    <w:rsid w:val="00DD574D"/>
    <w:rsid w:val="00DD601C"/>
    <w:rsid w:val="00DD646A"/>
    <w:rsid w:val="00DD64B4"/>
    <w:rsid w:val="00DD64E9"/>
    <w:rsid w:val="00DD6580"/>
    <w:rsid w:val="00DD6E05"/>
    <w:rsid w:val="00DD6E92"/>
    <w:rsid w:val="00DD7047"/>
    <w:rsid w:val="00DD753E"/>
    <w:rsid w:val="00DD7559"/>
    <w:rsid w:val="00DD7D53"/>
    <w:rsid w:val="00DE025A"/>
    <w:rsid w:val="00DE0790"/>
    <w:rsid w:val="00DE0EF5"/>
    <w:rsid w:val="00DE1D3A"/>
    <w:rsid w:val="00DE1D93"/>
    <w:rsid w:val="00DE3019"/>
    <w:rsid w:val="00DE3106"/>
    <w:rsid w:val="00DE32C7"/>
    <w:rsid w:val="00DE34E7"/>
    <w:rsid w:val="00DE35E1"/>
    <w:rsid w:val="00DE3A44"/>
    <w:rsid w:val="00DE428F"/>
    <w:rsid w:val="00DE51F3"/>
    <w:rsid w:val="00DE520B"/>
    <w:rsid w:val="00DE5705"/>
    <w:rsid w:val="00DE5961"/>
    <w:rsid w:val="00DE6395"/>
    <w:rsid w:val="00DE656D"/>
    <w:rsid w:val="00DE6B0B"/>
    <w:rsid w:val="00DE6B1F"/>
    <w:rsid w:val="00DE6DDA"/>
    <w:rsid w:val="00DE77DF"/>
    <w:rsid w:val="00DE78C1"/>
    <w:rsid w:val="00DE7D2D"/>
    <w:rsid w:val="00DE7D7D"/>
    <w:rsid w:val="00DE7DF5"/>
    <w:rsid w:val="00DE7E3E"/>
    <w:rsid w:val="00DF01E7"/>
    <w:rsid w:val="00DF0E8E"/>
    <w:rsid w:val="00DF0EA9"/>
    <w:rsid w:val="00DF135D"/>
    <w:rsid w:val="00DF142F"/>
    <w:rsid w:val="00DF1939"/>
    <w:rsid w:val="00DF1FC7"/>
    <w:rsid w:val="00DF20BE"/>
    <w:rsid w:val="00DF2956"/>
    <w:rsid w:val="00DF2AF7"/>
    <w:rsid w:val="00DF2D51"/>
    <w:rsid w:val="00DF3B3B"/>
    <w:rsid w:val="00DF41D1"/>
    <w:rsid w:val="00DF41F0"/>
    <w:rsid w:val="00DF4FFF"/>
    <w:rsid w:val="00DF5286"/>
    <w:rsid w:val="00DF54A5"/>
    <w:rsid w:val="00DF5925"/>
    <w:rsid w:val="00DF5E39"/>
    <w:rsid w:val="00DF5E6E"/>
    <w:rsid w:val="00DF63E8"/>
    <w:rsid w:val="00DF65B2"/>
    <w:rsid w:val="00DF6E79"/>
    <w:rsid w:val="00DF706F"/>
    <w:rsid w:val="00DF70D3"/>
    <w:rsid w:val="00DF71E4"/>
    <w:rsid w:val="00DF7281"/>
    <w:rsid w:val="00DF74BF"/>
    <w:rsid w:val="00E00020"/>
    <w:rsid w:val="00E008CC"/>
    <w:rsid w:val="00E00ED2"/>
    <w:rsid w:val="00E01599"/>
    <w:rsid w:val="00E01D54"/>
    <w:rsid w:val="00E0213B"/>
    <w:rsid w:val="00E02BE0"/>
    <w:rsid w:val="00E02BEE"/>
    <w:rsid w:val="00E0303C"/>
    <w:rsid w:val="00E03AE8"/>
    <w:rsid w:val="00E03D27"/>
    <w:rsid w:val="00E03DFD"/>
    <w:rsid w:val="00E0426A"/>
    <w:rsid w:val="00E0446D"/>
    <w:rsid w:val="00E04678"/>
    <w:rsid w:val="00E049C0"/>
    <w:rsid w:val="00E051FD"/>
    <w:rsid w:val="00E06715"/>
    <w:rsid w:val="00E06C51"/>
    <w:rsid w:val="00E0787A"/>
    <w:rsid w:val="00E10340"/>
    <w:rsid w:val="00E108F2"/>
    <w:rsid w:val="00E1095F"/>
    <w:rsid w:val="00E113F2"/>
    <w:rsid w:val="00E123EA"/>
    <w:rsid w:val="00E14069"/>
    <w:rsid w:val="00E1425D"/>
    <w:rsid w:val="00E15263"/>
    <w:rsid w:val="00E15CC8"/>
    <w:rsid w:val="00E161AB"/>
    <w:rsid w:val="00E165BC"/>
    <w:rsid w:val="00E167EC"/>
    <w:rsid w:val="00E178BF"/>
    <w:rsid w:val="00E17C72"/>
    <w:rsid w:val="00E17DDE"/>
    <w:rsid w:val="00E20494"/>
    <w:rsid w:val="00E2090F"/>
    <w:rsid w:val="00E20C36"/>
    <w:rsid w:val="00E20E48"/>
    <w:rsid w:val="00E20FB9"/>
    <w:rsid w:val="00E212BD"/>
    <w:rsid w:val="00E21C54"/>
    <w:rsid w:val="00E21F45"/>
    <w:rsid w:val="00E21FC6"/>
    <w:rsid w:val="00E22005"/>
    <w:rsid w:val="00E228BC"/>
    <w:rsid w:val="00E2296E"/>
    <w:rsid w:val="00E23C03"/>
    <w:rsid w:val="00E243EE"/>
    <w:rsid w:val="00E25624"/>
    <w:rsid w:val="00E259D1"/>
    <w:rsid w:val="00E2614E"/>
    <w:rsid w:val="00E2645B"/>
    <w:rsid w:val="00E26656"/>
    <w:rsid w:val="00E26E2D"/>
    <w:rsid w:val="00E26EC2"/>
    <w:rsid w:val="00E27014"/>
    <w:rsid w:val="00E2724A"/>
    <w:rsid w:val="00E30114"/>
    <w:rsid w:val="00E30794"/>
    <w:rsid w:val="00E30959"/>
    <w:rsid w:val="00E32EF1"/>
    <w:rsid w:val="00E337D2"/>
    <w:rsid w:val="00E33A39"/>
    <w:rsid w:val="00E33C02"/>
    <w:rsid w:val="00E33ED7"/>
    <w:rsid w:val="00E34314"/>
    <w:rsid w:val="00E3461C"/>
    <w:rsid w:val="00E35F68"/>
    <w:rsid w:val="00E3648F"/>
    <w:rsid w:val="00E37006"/>
    <w:rsid w:val="00E37A15"/>
    <w:rsid w:val="00E37C50"/>
    <w:rsid w:val="00E4010E"/>
    <w:rsid w:val="00E409DB"/>
    <w:rsid w:val="00E40C1B"/>
    <w:rsid w:val="00E40DF2"/>
    <w:rsid w:val="00E40E70"/>
    <w:rsid w:val="00E41118"/>
    <w:rsid w:val="00E41CD9"/>
    <w:rsid w:val="00E42E77"/>
    <w:rsid w:val="00E4373F"/>
    <w:rsid w:val="00E43C01"/>
    <w:rsid w:val="00E455AA"/>
    <w:rsid w:val="00E455D8"/>
    <w:rsid w:val="00E4577D"/>
    <w:rsid w:val="00E468AF"/>
    <w:rsid w:val="00E469AA"/>
    <w:rsid w:val="00E475BE"/>
    <w:rsid w:val="00E47806"/>
    <w:rsid w:val="00E50318"/>
    <w:rsid w:val="00E50622"/>
    <w:rsid w:val="00E51B2C"/>
    <w:rsid w:val="00E51C81"/>
    <w:rsid w:val="00E521D9"/>
    <w:rsid w:val="00E52482"/>
    <w:rsid w:val="00E52B7C"/>
    <w:rsid w:val="00E534A0"/>
    <w:rsid w:val="00E53E43"/>
    <w:rsid w:val="00E53EF0"/>
    <w:rsid w:val="00E55543"/>
    <w:rsid w:val="00E560DB"/>
    <w:rsid w:val="00E56281"/>
    <w:rsid w:val="00E568B0"/>
    <w:rsid w:val="00E56A90"/>
    <w:rsid w:val="00E57499"/>
    <w:rsid w:val="00E610CA"/>
    <w:rsid w:val="00E6139C"/>
    <w:rsid w:val="00E6198F"/>
    <w:rsid w:val="00E61BB3"/>
    <w:rsid w:val="00E61CF9"/>
    <w:rsid w:val="00E61D14"/>
    <w:rsid w:val="00E6203D"/>
    <w:rsid w:val="00E6214A"/>
    <w:rsid w:val="00E624FF"/>
    <w:rsid w:val="00E633AF"/>
    <w:rsid w:val="00E6353A"/>
    <w:rsid w:val="00E63E7D"/>
    <w:rsid w:val="00E648E4"/>
    <w:rsid w:val="00E64D37"/>
    <w:rsid w:val="00E64EA2"/>
    <w:rsid w:val="00E65151"/>
    <w:rsid w:val="00E6522D"/>
    <w:rsid w:val="00E65A04"/>
    <w:rsid w:val="00E65BC3"/>
    <w:rsid w:val="00E65EB9"/>
    <w:rsid w:val="00E668E6"/>
    <w:rsid w:val="00E669E2"/>
    <w:rsid w:val="00E67D0B"/>
    <w:rsid w:val="00E709C6"/>
    <w:rsid w:val="00E71409"/>
    <w:rsid w:val="00E7195C"/>
    <w:rsid w:val="00E72710"/>
    <w:rsid w:val="00E742C2"/>
    <w:rsid w:val="00E74B23"/>
    <w:rsid w:val="00E74CEF"/>
    <w:rsid w:val="00E75511"/>
    <w:rsid w:val="00E758E9"/>
    <w:rsid w:val="00E76135"/>
    <w:rsid w:val="00E768A0"/>
    <w:rsid w:val="00E76C00"/>
    <w:rsid w:val="00E77177"/>
    <w:rsid w:val="00E77195"/>
    <w:rsid w:val="00E77871"/>
    <w:rsid w:val="00E77E78"/>
    <w:rsid w:val="00E80688"/>
    <w:rsid w:val="00E80700"/>
    <w:rsid w:val="00E81171"/>
    <w:rsid w:val="00E81A84"/>
    <w:rsid w:val="00E81E65"/>
    <w:rsid w:val="00E82B20"/>
    <w:rsid w:val="00E82B4B"/>
    <w:rsid w:val="00E832B8"/>
    <w:rsid w:val="00E838C6"/>
    <w:rsid w:val="00E861EE"/>
    <w:rsid w:val="00E868BE"/>
    <w:rsid w:val="00E86CB1"/>
    <w:rsid w:val="00E86D4E"/>
    <w:rsid w:val="00E87239"/>
    <w:rsid w:val="00E87F5A"/>
    <w:rsid w:val="00E9036B"/>
    <w:rsid w:val="00E90506"/>
    <w:rsid w:val="00E9054F"/>
    <w:rsid w:val="00E90926"/>
    <w:rsid w:val="00E90BA6"/>
    <w:rsid w:val="00E91B94"/>
    <w:rsid w:val="00E91C09"/>
    <w:rsid w:val="00E932A9"/>
    <w:rsid w:val="00E93565"/>
    <w:rsid w:val="00E93CA8"/>
    <w:rsid w:val="00E93E5D"/>
    <w:rsid w:val="00E94103"/>
    <w:rsid w:val="00E9448F"/>
    <w:rsid w:val="00E94E1C"/>
    <w:rsid w:val="00E95555"/>
    <w:rsid w:val="00E958F3"/>
    <w:rsid w:val="00E960AD"/>
    <w:rsid w:val="00E96270"/>
    <w:rsid w:val="00E96B68"/>
    <w:rsid w:val="00E96C14"/>
    <w:rsid w:val="00E97088"/>
    <w:rsid w:val="00E9715D"/>
    <w:rsid w:val="00E971F9"/>
    <w:rsid w:val="00E97DAD"/>
    <w:rsid w:val="00EA0B5D"/>
    <w:rsid w:val="00EA0DE6"/>
    <w:rsid w:val="00EA1255"/>
    <w:rsid w:val="00EA22FD"/>
    <w:rsid w:val="00EA6A95"/>
    <w:rsid w:val="00EA72EF"/>
    <w:rsid w:val="00EA7FFE"/>
    <w:rsid w:val="00EB03C5"/>
    <w:rsid w:val="00EB0D07"/>
    <w:rsid w:val="00EB1317"/>
    <w:rsid w:val="00EB1C25"/>
    <w:rsid w:val="00EB2234"/>
    <w:rsid w:val="00EB2239"/>
    <w:rsid w:val="00EB2F1D"/>
    <w:rsid w:val="00EB348F"/>
    <w:rsid w:val="00EB3BC2"/>
    <w:rsid w:val="00EB3F47"/>
    <w:rsid w:val="00EB44A4"/>
    <w:rsid w:val="00EB4847"/>
    <w:rsid w:val="00EB4903"/>
    <w:rsid w:val="00EB5226"/>
    <w:rsid w:val="00EB6A13"/>
    <w:rsid w:val="00EB71C9"/>
    <w:rsid w:val="00EB7D10"/>
    <w:rsid w:val="00EC07C8"/>
    <w:rsid w:val="00EC0E57"/>
    <w:rsid w:val="00EC0FE4"/>
    <w:rsid w:val="00EC0FF8"/>
    <w:rsid w:val="00EC2844"/>
    <w:rsid w:val="00EC28EC"/>
    <w:rsid w:val="00EC2A17"/>
    <w:rsid w:val="00EC2ADF"/>
    <w:rsid w:val="00EC3437"/>
    <w:rsid w:val="00EC3BA5"/>
    <w:rsid w:val="00EC3DCE"/>
    <w:rsid w:val="00EC3F04"/>
    <w:rsid w:val="00EC4839"/>
    <w:rsid w:val="00EC4BC1"/>
    <w:rsid w:val="00EC545B"/>
    <w:rsid w:val="00EC632F"/>
    <w:rsid w:val="00EC6553"/>
    <w:rsid w:val="00EC677C"/>
    <w:rsid w:val="00EC67DF"/>
    <w:rsid w:val="00EC68DC"/>
    <w:rsid w:val="00EC6BB0"/>
    <w:rsid w:val="00EC74C8"/>
    <w:rsid w:val="00ED012B"/>
    <w:rsid w:val="00ED0E81"/>
    <w:rsid w:val="00ED24FA"/>
    <w:rsid w:val="00ED2AE5"/>
    <w:rsid w:val="00ED34DA"/>
    <w:rsid w:val="00ED3B33"/>
    <w:rsid w:val="00ED4471"/>
    <w:rsid w:val="00ED60F8"/>
    <w:rsid w:val="00ED61DE"/>
    <w:rsid w:val="00ED6678"/>
    <w:rsid w:val="00ED6C34"/>
    <w:rsid w:val="00ED71D6"/>
    <w:rsid w:val="00ED7F4D"/>
    <w:rsid w:val="00EE0005"/>
    <w:rsid w:val="00EE07CB"/>
    <w:rsid w:val="00EE0839"/>
    <w:rsid w:val="00EE1474"/>
    <w:rsid w:val="00EE18E6"/>
    <w:rsid w:val="00EE1F2A"/>
    <w:rsid w:val="00EE2738"/>
    <w:rsid w:val="00EE3041"/>
    <w:rsid w:val="00EE3F93"/>
    <w:rsid w:val="00EE498B"/>
    <w:rsid w:val="00EE4D56"/>
    <w:rsid w:val="00EE518B"/>
    <w:rsid w:val="00EE51D3"/>
    <w:rsid w:val="00EE5751"/>
    <w:rsid w:val="00EE5BE9"/>
    <w:rsid w:val="00EE616A"/>
    <w:rsid w:val="00EF00FA"/>
    <w:rsid w:val="00EF29AF"/>
    <w:rsid w:val="00EF2F71"/>
    <w:rsid w:val="00EF3DF9"/>
    <w:rsid w:val="00EF4268"/>
    <w:rsid w:val="00EF4286"/>
    <w:rsid w:val="00EF4800"/>
    <w:rsid w:val="00EF4C3A"/>
    <w:rsid w:val="00EF54B8"/>
    <w:rsid w:val="00EF60CF"/>
    <w:rsid w:val="00EF6C6C"/>
    <w:rsid w:val="00EF781A"/>
    <w:rsid w:val="00EF7901"/>
    <w:rsid w:val="00EF792B"/>
    <w:rsid w:val="00EF792C"/>
    <w:rsid w:val="00EF7D97"/>
    <w:rsid w:val="00F00F88"/>
    <w:rsid w:val="00F01075"/>
    <w:rsid w:val="00F01357"/>
    <w:rsid w:val="00F01AA1"/>
    <w:rsid w:val="00F01F7D"/>
    <w:rsid w:val="00F01FC8"/>
    <w:rsid w:val="00F0218B"/>
    <w:rsid w:val="00F02468"/>
    <w:rsid w:val="00F02CFF"/>
    <w:rsid w:val="00F040BC"/>
    <w:rsid w:val="00F042F0"/>
    <w:rsid w:val="00F048F1"/>
    <w:rsid w:val="00F04A02"/>
    <w:rsid w:val="00F04A0D"/>
    <w:rsid w:val="00F05656"/>
    <w:rsid w:val="00F056FC"/>
    <w:rsid w:val="00F059C5"/>
    <w:rsid w:val="00F05D98"/>
    <w:rsid w:val="00F05FE8"/>
    <w:rsid w:val="00F060FC"/>
    <w:rsid w:val="00F0674E"/>
    <w:rsid w:val="00F06963"/>
    <w:rsid w:val="00F06E82"/>
    <w:rsid w:val="00F0792D"/>
    <w:rsid w:val="00F10476"/>
    <w:rsid w:val="00F10676"/>
    <w:rsid w:val="00F1102B"/>
    <w:rsid w:val="00F113BC"/>
    <w:rsid w:val="00F11F18"/>
    <w:rsid w:val="00F125D0"/>
    <w:rsid w:val="00F135D8"/>
    <w:rsid w:val="00F143D0"/>
    <w:rsid w:val="00F14A25"/>
    <w:rsid w:val="00F14FD2"/>
    <w:rsid w:val="00F15942"/>
    <w:rsid w:val="00F165B4"/>
    <w:rsid w:val="00F1669F"/>
    <w:rsid w:val="00F20E3A"/>
    <w:rsid w:val="00F21EB9"/>
    <w:rsid w:val="00F2247E"/>
    <w:rsid w:val="00F227B1"/>
    <w:rsid w:val="00F22F04"/>
    <w:rsid w:val="00F230F2"/>
    <w:rsid w:val="00F23362"/>
    <w:rsid w:val="00F23F31"/>
    <w:rsid w:val="00F24CE6"/>
    <w:rsid w:val="00F25354"/>
    <w:rsid w:val="00F25BD9"/>
    <w:rsid w:val="00F261AC"/>
    <w:rsid w:val="00F274DF"/>
    <w:rsid w:val="00F27626"/>
    <w:rsid w:val="00F303F0"/>
    <w:rsid w:val="00F31299"/>
    <w:rsid w:val="00F31319"/>
    <w:rsid w:val="00F31B9C"/>
    <w:rsid w:val="00F32128"/>
    <w:rsid w:val="00F324C9"/>
    <w:rsid w:val="00F324F1"/>
    <w:rsid w:val="00F32850"/>
    <w:rsid w:val="00F32DFC"/>
    <w:rsid w:val="00F33019"/>
    <w:rsid w:val="00F33ADE"/>
    <w:rsid w:val="00F33DAC"/>
    <w:rsid w:val="00F34325"/>
    <w:rsid w:val="00F345AC"/>
    <w:rsid w:val="00F3487D"/>
    <w:rsid w:val="00F34C65"/>
    <w:rsid w:val="00F35053"/>
    <w:rsid w:val="00F3534A"/>
    <w:rsid w:val="00F35BE5"/>
    <w:rsid w:val="00F35BEF"/>
    <w:rsid w:val="00F3736F"/>
    <w:rsid w:val="00F3796F"/>
    <w:rsid w:val="00F37C7C"/>
    <w:rsid w:val="00F405C7"/>
    <w:rsid w:val="00F40E81"/>
    <w:rsid w:val="00F40F9A"/>
    <w:rsid w:val="00F41220"/>
    <w:rsid w:val="00F4158A"/>
    <w:rsid w:val="00F41976"/>
    <w:rsid w:val="00F41B21"/>
    <w:rsid w:val="00F41CDE"/>
    <w:rsid w:val="00F41F35"/>
    <w:rsid w:val="00F42117"/>
    <w:rsid w:val="00F42347"/>
    <w:rsid w:val="00F42444"/>
    <w:rsid w:val="00F42C41"/>
    <w:rsid w:val="00F42C6F"/>
    <w:rsid w:val="00F42E3B"/>
    <w:rsid w:val="00F43131"/>
    <w:rsid w:val="00F438BF"/>
    <w:rsid w:val="00F43CB6"/>
    <w:rsid w:val="00F43F04"/>
    <w:rsid w:val="00F43FFF"/>
    <w:rsid w:val="00F4406C"/>
    <w:rsid w:val="00F445F7"/>
    <w:rsid w:val="00F4470B"/>
    <w:rsid w:val="00F44796"/>
    <w:rsid w:val="00F44FDE"/>
    <w:rsid w:val="00F4508E"/>
    <w:rsid w:val="00F45880"/>
    <w:rsid w:val="00F45953"/>
    <w:rsid w:val="00F45F91"/>
    <w:rsid w:val="00F46190"/>
    <w:rsid w:val="00F46505"/>
    <w:rsid w:val="00F46DCE"/>
    <w:rsid w:val="00F4748B"/>
    <w:rsid w:val="00F47AE3"/>
    <w:rsid w:val="00F47EA0"/>
    <w:rsid w:val="00F50AED"/>
    <w:rsid w:val="00F52118"/>
    <w:rsid w:val="00F52668"/>
    <w:rsid w:val="00F526D9"/>
    <w:rsid w:val="00F52ECB"/>
    <w:rsid w:val="00F53F76"/>
    <w:rsid w:val="00F54147"/>
    <w:rsid w:val="00F54288"/>
    <w:rsid w:val="00F5546B"/>
    <w:rsid w:val="00F5556A"/>
    <w:rsid w:val="00F55878"/>
    <w:rsid w:val="00F562DB"/>
    <w:rsid w:val="00F56993"/>
    <w:rsid w:val="00F5738D"/>
    <w:rsid w:val="00F573AF"/>
    <w:rsid w:val="00F574BC"/>
    <w:rsid w:val="00F600B9"/>
    <w:rsid w:val="00F607C0"/>
    <w:rsid w:val="00F609E1"/>
    <w:rsid w:val="00F61BE0"/>
    <w:rsid w:val="00F62B29"/>
    <w:rsid w:val="00F62D5C"/>
    <w:rsid w:val="00F62E22"/>
    <w:rsid w:val="00F65869"/>
    <w:rsid w:val="00F65887"/>
    <w:rsid w:val="00F65940"/>
    <w:rsid w:val="00F66284"/>
    <w:rsid w:val="00F66A25"/>
    <w:rsid w:val="00F6733B"/>
    <w:rsid w:val="00F67D3D"/>
    <w:rsid w:val="00F7005A"/>
    <w:rsid w:val="00F70115"/>
    <w:rsid w:val="00F70772"/>
    <w:rsid w:val="00F71146"/>
    <w:rsid w:val="00F7145B"/>
    <w:rsid w:val="00F714DD"/>
    <w:rsid w:val="00F71875"/>
    <w:rsid w:val="00F71B7D"/>
    <w:rsid w:val="00F723AE"/>
    <w:rsid w:val="00F72656"/>
    <w:rsid w:val="00F73145"/>
    <w:rsid w:val="00F7353B"/>
    <w:rsid w:val="00F74B1A"/>
    <w:rsid w:val="00F757C4"/>
    <w:rsid w:val="00F76D6D"/>
    <w:rsid w:val="00F76FAC"/>
    <w:rsid w:val="00F77380"/>
    <w:rsid w:val="00F779BC"/>
    <w:rsid w:val="00F77AAB"/>
    <w:rsid w:val="00F77DE0"/>
    <w:rsid w:val="00F77F6D"/>
    <w:rsid w:val="00F8069B"/>
    <w:rsid w:val="00F8073A"/>
    <w:rsid w:val="00F80AD0"/>
    <w:rsid w:val="00F81100"/>
    <w:rsid w:val="00F81A39"/>
    <w:rsid w:val="00F81C8C"/>
    <w:rsid w:val="00F82B83"/>
    <w:rsid w:val="00F8333F"/>
    <w:rsid w:val="00F835DE"/>
    <w:rsid w:val="00F83B7E"/>
    <w:rsid w:val="00F842B4"/>
    <w:rsid w:val="00F84D05"/>
    <w:rsid w:val="00F84D5A"/>
    <w:rsid w:val="00F8525A"/>
    <w:rsid w:val="00F85325"/>
    <w:rsid w:val="00F85330"/>
    <w:rsid w:val="00F85C35"/>
    <w:rsid w:val="00F85D18"/>
    <w:rsid w:val="00F865B4"/>
    <w:rsid w:val="00F867AB"/>
    <w:rsid w:val="00F86E22"/>
    <w:rsid w:val="00F87ADB"/>
    <w:rsid w:val="00F922DC"/>
    <w:rsid w:val="00F923BF"/>
    <w:rsid w:val="00F9262F"/>
    <w:rsid w:val="00F9282D"/>
    <w:rsid w:val="00F92D5B"/>
    <w:rsid w:val="00F93CAF"/>
    <w:rsid w:val="00F93CD9"/>
    <w:rsid w:val="00F93D86"/>
    <w:rsid w:val="00F94867"/>
    <w:rsid w:val="00F94BEB"/>
    <w:rsid w:val="00F94F30"/>
    <w:rsid w:val="00F957E2"/>
    <w:rsid w:val="00F958E2"/>
    <w:rsid w:val="00F95D53"/>
    <w:rsid w:val="00F96300"/>
    <w:rsid w:val="00F96521"/>
    <w:rsid w:val="00F97BAA"/>
    <w:rsid w:val="00FA0428"/>
    <w:rsid w:val="00FA0532"/>
    <w:rsid w:val="00FA07FF"/>
    <w:rsid w:val="00FA0D66"/>
    <w:rsid w:val="00FA1706"/>
    <w:rsid w:val="00FA17B7"/>
    <w:rsid w:val="00FA28C4"/>
    <w:rsid w:val="00FA28D3"/>
    <w:rsid w:val="00FA299C"/>
    <w:rsid w:val="00FA31F4"/>
    <w:rsid w:val="00FA3273"/>
    <w:rsid w:val="00FA3C41"/>
    <w:rsid w:val="00FA40A3"/>
    <w:rsid w:val="00FA517C"/>
    <w:rsid w:val="00FA547C"/>
    <w:rsid w:val="00FA65A9"/>
    <w:rsid w:val="00FA7813"/>
    <w:rsid w:val="00FA7CEA"/>
    <w:rsid w:val="00FB00E3"/>
    <w:rsid w:val="00FB07CD"/>
    <w:rsid w:val="00FB0C56"/>
    <w:rsid w:val="00FB150F"/>
    <w:rsid w:val="00FB1820"/>
    <w:rsid w:val="00FB2337"/>
    <w:rsid w:val="00FB24AB"/>
    <w:rsid w:val="00FB3809"/>
    <w:rsid w:val="00FB3951"/>
    <w:rsid w:val="00FB3F42"/>
    <w:rsid w:val="00FB530B"/>
    <w:rsid w:val="00FB56A7"/>
    <w:rsid w:val="00FB5DFB"/>
    <w:rsid w:val="00FB6845"/>
    <w:rsid w:val="00FB767F"/>
    <w:rsid w:val="00FB798A"/>
    <w:rsid w:val="00FB7990"/>
    <w:rsid w:val="00FB7D53"/>
    <w:rsid w:val="00FC0920"/>
    <w:rsid w:val="00FC0EE2"/>
    <w:rsid w:val="00FC0F1A"/>
    <w:rsid w:val="00FC19C3"/>
    <w:rsid w:val="00FC1EA4"/>
    <w:rsid w:val="00FC2713"/>
    <w:rsid w:val="00FC3F8E"/>
    <w:rsid w:val="00FC6606"/>
    <w:rsid w:val="00FC70A4"/>
    <w:rsid w:val="00FC7E68"/>
    <w:rsid w:val="00FD006F"/>
    <w:rsid w:val="00FD2159"/>
    <w:rsid w:val="00FD22B1"/>
    <w:rsid w:val="00FD2892"/>
    <w:rsid w:val="00FD32A5"/>
    <w:rsid w:val="00FD4376"/>
    <w:rsid w:val="00FD4831"/>
    <w:rsid w:val="00FD4BEE"/>
    <w:rsid w:val="00FD5832"/>
    <w:rsid w:val="00FD596E"/>
    <w:rsid w:val="00FD5A31"/>
    <w:rsid w:val="00FD6C0A"/>
    <w:rsid w:val="00FE0314"/>
    <w:rsid w:val="00FE0997"/>
    <w:rsid w:val="00FE11E6"/>
    <w:rsid w:val="00FE1904"/>
    <w:rsid w:val="00FE19A9"/>
    <w:rsid w:val="00FE19EB"/>
    <w:rsid w:val="00FE2001"/>
    <w:rsid w:val="00FE2310"/>
    <w:rsid w:val="00FE28B8"/>
    <w:rsid w:val="00FE293D"/>
    <w:rsid w:val="00FE29E5"/>
    <w:rsid w:val="00FE2C3E"/>
    <w:rsid w:val="00FE378F"/>
    <w:rsid w:val="00FE38C6"/>
    <w:rsid w:val="00FE411A"/>
    <w:rsid w:val="00FE416B"/>
    <w:rsid w:val="00FE507C"/>
    <w:rsid w:val="00FE5724"/>
    <w:rsid w:val="00FE596D"/>
    <w:rsid w:val="00FE5CBF"/>
    <w:rsid w:val="00FE69D5"/>
    <w:rsid w:val="00FE6A50"/>
    <w:rsid w:val="00FE6A92"/>
    <w:rsid w:val="00FE7AAC"/>
    <w:rsid w:val="00FE7D68"/>
    <w:rsid w:val="00FF003A"/>
    <w:rsid w:val="00FF03C7"/>
    <w:rsid w:val="00FF12AB"/>
    <w:rsid w:val="00FF167F"/>
    <w:rsid w:val="00FF1AEA"/>
    <w:rsid w:val="00FF1B60"/>
    <w:rsid w:val="00FF1D64"/>
    <w:rsid w:val="00FF2205"/>
    <w:rsid w:val="00FF25B1"/>
    <w:rsid w:val="00FF2D98"/>
    <w:rsid w:val="00FF3536"/>
    <w:rsid w:val="00FF3B60"/>
    <w:rsid w:val="00FF3E3B"/>
    <w:rsid w:val="00FF446F"/>
    <w:rsid w:val="00FF447D"/>
    <w:rsid w:val="00FF4D4A"/>
    <w:rsid w:val="00FF5093"/>
    <w:rsid w:val="00FF5307"/>
    <w:rsid w:val="00FF59B3"/>
    <w:rsid w:val="00FF5DEB"/>
    <w:rsid w:val="00FF6DEB"/>
    <w:rsid w:val="00FF7414"/>
    <w:rsid w:val="00FF7AC7"/>
    <w:rsid w:val="00FF7E3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30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1C1784"/>
    <w:rPr>
      <w:rFonts w:asciiTheme="minorHAnsi" w:eastAsiaTheme="minorHAnsi" w:hAnsiTheme="minorHAnsi" w:cstheme="minorBidi"/>
      <w:sz w:val="22"/>
      <w:szCs w:val="22"/>
      <w:lang w:eastAsia="en-US"/>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qForma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character" w:customStyle="1" w:styleId="BodyTextChar">
    <w:name w:val="Body Text Char"/>
    <w:basedOn w:val="DefaultParagraphFont"/>
    <w:link w:val="BodyText"/>
    <w:rsid w:val="00D8403B"/>
    <w:rPr>
      <w:sz w:val="26"/>
    </w:rPr>
  </w:style>
  <w:style w:type="character" w:customStyle="1" w:styleId="CommentTextChar">
    <w:name w:val="Comment Text Char"/>
    <w:basedOn w:val="DefaultParagraphFont"/>
    <w:link w:val="CommentText"/>
    <w:semiHidden/>
    <w:rsid w:val="00D8403B"/>
    <w:rPr>
      <w:szCs w:val="24"/>
    </w:rPr>
  </w:style>
  <w:style w:type="paragraph" w:styleId="CommentSubject">
    <w:name w:val="annotation subject"/>
    <w:basedOn w:val="CommentText"/>
    <w:next w:val="CommentText"/>
    <w:link w:val="CommentSubjectChar"/>
    <w:rsid w:val="007A3F09"/>
    <w:pPr>
      <w:spacing w:before="0" w:line="240" w:lineRule="auto"/>
      <w:ind w:left="0" w:firstLine="0"/>
    </w:pPr>
    <w:rPr>
      <w:b/>
      <w:bCs/>
      <w:szCs w:val="20"/>
    </w:rPr>
  </w:style>
  <w:style w:type="character" w:customStyle="1" w:styleId="CommentSubjectChar">
    <w:name w:val="Comment Subject Char"/>
    <w:basedOn w:val="CommentTextChar"/>
    <w:link w:val="CommentSubject"/>
    <w:rsid w:val="007A3F09"/>
    <w:rPr>
      <w:b/>
      <w:bCs/>
      <w:szCs w:val="24"/>
    </w:rPr>
  </w:style>
  <w:style w:type="character" w:styleId="Hyperlink">
    <w:name w:val="Hyperlink"/>
    <w:basedOn w:val="DefaultParagraphFont"/>
    <w:rsid w:val="0081643E"/>
    <w:rPr>
      <w:color w:val="0000FF" w:themeColor="hyperlink"/>
      <w:u w:val="single"/>
    </w:rPr>
  </w:style>
  <w:style w:type="paragraph" w:styleId="ListParagraph">
    <w:name w:val="List Paragraph"/>
    <w:basedOn w:val="Normal"/>
    <w:uiPriority w:val="34"/>
    <w:rsid w:val="00F31319"/>
    <w:pPr>
      <w:ind w:left="720"/>
    </w:pPr>
  </w:style>
  <w:style w:type="paragraph" w:styleId="NormalWeb">
    <w:name w:val="Normal (Web)"/>
    <w:basedOn w:val="Normal"/>
    <w:uiPriority w:val="99"/>
    <w:unhideWhenUsed/>
    <w:rsid w:val="001D35D1"/>
    <w:pPr>
      <w:spacing w:before="100" w:beforeAutospacing="1" w:after="100" w:afterAutospacing="1"/>
    </w:pPr>
    <w:rPr>
      <w:rFonts w:ascii="Times New Roman" w:eastAsia="Times New Roman" w:hAnsi="Times New Roman" w:cs="Times New Roman"/>
      <w:sz w:val="24"/>
      <w:szCs w:val="24"/>
      <w:lang w:eastAsia="en-AU"/>
    </w:rPr>
  </w:style>
  <w:style w:type="character" w:styleId="FollowedHyperlink">
    <w:name w:val="FollowedHyperlink"/>
    <w:basedOn w:val="DefaultParagraphFont"/>
    <w:rsid w:val="001C7AD9"/>
    <w:rPr>
      <w:color w:val="800080" w:themeColor="followedHyperlink"/>
      <w:u w:val="single"/>
    </w:rPr>
  </w:style>
  <w:style w:type="paragraph" w:customStyle="1" w:styleId="BoxSpaceAbove">
    <w:name w:val="Box Space Above"/>
    <w:basedOn w:val="BodyText"/>
    <w:rsid w:val="00A40716"/>
    <w:pPr>
      <w:keepNext/>
      <w:spacing w:before="360" w:line="80" w:lineRule="exact"/>
      <w:jc w:val="left"/>
    </w:pPr>
  </w:style>
  <w:style w:type="paragraph" w:customStyle="1" w:styleId="BoxSpaceBelow">
    <w:name w:val="Box Space Below"/>
    <w:basedOn w:val="Box"/>
    <w:rsid w:val="00A40716"/>
    <w:pPr>
      <w:keepNext w:val="0"/>
      <w:spacing w:before="60" w:after="60" w:line="80" w:lineRule="exact"/>
    </w:pPr>
    <w:rPr>
      <w:sz w:val="14"/>
    </w:rPr>
  </w:style>
  <w:style w:type="paragraph" w:customStyle="1" w:styleId="Table">
    <w:name w:val="Table"/>
    <w:basedOn w:val="TableColumnHeading"/>
    <w:rsid w:val="00C71216"/>
  </w:style>
  <w:style w:type="paragraph" w:styleId="Revision">
    <w:name w:val="Revision"/>
    <w:hidden/>
    <w:uiPriority w:val="99"/>
    <w:semiHidden/>
    <w:rsid w:val="00D57959"/>
    <w:rPr>
      <w:rFonts w:asciiTheme="minorHAnsi" w:eastAsiaTheme="minorHAnsi" w:hAnsiTheme="minorHAnsi" w:cstheme="minorBidi"/>
      <w:sz w:val="22"/>
      <w:szCs w:val="22"/>
      <w:lang w:eastAsia="en-US"/>
    </w:rPr>
  </w:style>
  <w:style w:type="character" w:customStyle="1" w:styleId="FootnoteTextChar">
    <w:name w:val="Footnote Text Char"/>
    <w:basedOn w:val="DefaultParagraphFont"/>
    <w:link w:val="FootnoteText"/>
    <w:rsid w:val="003E7B3D"/>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1C1784"/>
    <w:rPr>
      <w:rFonts w:asciiTheme="minorHAnsi" w:eastAsiaTheme="minorHAnsi" w:hAnsiTheme="minorHAnsi" w:cstheme="minorBidi"/>
      <w:sz w:val="22"/>
      <w:szCs w:val="22"/>
      <w:lang w:eastAsia="en-US"/>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qForma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character" w:customStyle="1" w:styleId="BodyTextChar">
    <w:name w:val="Body Text Char"/>
    <w:basedOn w:val="DefaultParagraphFont"/>
    <w:link w:val="BodyText"/>
    <w:rsid w:val="00D8403B"/>
    <w:rPr>
      <w:sz w:val="26"/>
    </w:rPr>
  </w:style>
  <w:style w:type="character" w:customStyle="1" w:styleId="CommentTextChar">
    <w:name w:val="Comment Text Char"/>
    <w:basedOn w:val="DefaultParagraphFont"/>
    <w:link w:val="CommentText"/>
    <w:semiHidden/>
    <w:rsid w:val="00D8403B"/>
    <w:rPr>
      <w:szCs w:val="24"/>
    </w:rPr>
  </w:style>
  <w:style w:type="paragraph" w:styleId="CommentSubject">
    <w:name w:val="annotation subject"/>
    <w:basedOn w:val="CommentText"/>
    <w:next w:val="CommentText"/>
    <w:link w:val="CommentSubjectChar"/>
    <w:rsid w:val="007A3F09"/>
    <w:pPr>
      <w:spacing w:before="0" w:line="240" w:lineRule="auto"/>
      <w:ind w:left="0" w:firstLine="0"/>
    </w:pPr>
    <w:rPr>
      <w:b/>
      <w:bCs/>
      <w:szCs w:val="20"/>
    </w:rPr>
  </w:style>
  <w:style w:type="character" w:customStyle="1" w:styleId="CommentSubjectChar">
    <w:name w:val="Comment Subject Char"/>
    <w:basedOn w:val="CommentTextChar"/>
    <w:link w:val="CommentSubject"/>
    <w:rsid w:val="007A3F09"/>
    <w:rPr>
      <w:b/>
      <w:bCs/>
      <w:szCs w:val="24"/>
    </w:rPr>
  </w:style>
  <w:style w:type="character" w:styleId="Hyperlink">
    <w:name w:val="Hyperlink"/>
    <w:basedOn w:val="DefaultParagraphFont"/>
    <w:rsid w:val="0081643E"/>
    <w:rPr>
      <w:color w:val="0000FF" w:themeColor="hyperlink"/>
      <w:u w:val="single"/>
    </w:rPr>
  </w:style>
  <w:style w:type="paragraph" w:styleId="ListParagraph">
    <w:name w:val="List Paragraph"/>
    <w:basedOn w:val="Normal"/>
    <w:uiPriority w:val="34"/>
    <w:rsid w:val="00F31319"/>
    <w:pPr>
      <w:ind w:left="720"/>
    </w:pPr>
  </w:style>
  <w:style w:type="paragraph" w:styleId="NormalWeb">
    <w:name w:val="Normal (Web)"/>
    <w:basedOn w:val="Normal"/>
    <w:uiPriority w:val="99"/>
    <w:unhideWhenUsed/>
    <w:rsid w:val="001D35D1"/>
    <w:pPr>
      <w:spacing w:before="100" w:beforeAutospacing="1" w:after="100" w:afterAutospacing="1"/>
    </w:pPr>
    <w:rPr>
      <w:rFonts w:ascii="Times New Roman" w:eastAsia="Times New Roman" w:hAnsi="Times New Roman" w:cs="Times New Roman"/>
      <w:sz w:val="24"/>
      <w:szCs w:val="24"/>
      <w:lang w:eastAsia="en-AU"/>
    </w:rPr>
  </w:style>
  <w:style w:type="character" w:styleId="FollowedHyperlink">
    <w:name w:val="FollowedHyperlink"/>
    <w:basedOn w:val="DefaultParagraphFont"/>
    <w:rsid w:val="001C7AD9"/>
    <w:rPr>
      <w:color w:val="800080" w:themeColor="followedHyperlink"/>
      <w:u w:val="single"/>
    </w:rPr>
  </w:style>
  <w:style w:type="paragraph" w:customStyle="1" w:styleId="BoxSpaceAbove">
    <w:name w:val="Box Space Above"/>
    <w:basedOn w:val="BodyText"/>
    <w:rsid w:val="00A40716"/>
    <w:pPr>
      <w:keepNext/>
      <w:spacing w:before="360" w:line="80" w:lineRule="exact"/>
      <w:jc w:val="left"/>
    </w:pPr>
  </w:style>
  <w:style w:type="paragraph" w:customStyle="1" w:styleId="BoxSpaceBelow">
    <w:name w:val="Box Space Below"/>
    <w:basedOn w:val="Box"/>
    <w:rsid w:val="00A40716"/>
    <w:pPr>
      <w:keepNext w:val="0"/>
      <w:spacing w:before="60" w:after="60" w:line="80" w:lineRule="exact"/>
    </w:pPr>
    <w:rPr>
      <w:sz w:val="14"/>
    </w:rPr>
  </w:style>
  <w:style w:type="paragraph" w:customStyle="1" w:styleId="Table">
    <w:name w:val="Table"/>
    <w:basedOn w:val="TableColumnHeading"/>
    <w:rsid w:val="00C71216"/>
  </w:style>
  <w:style w:type="paragraph" w:styleId="Revision">
    <w:name w:val="Revision"/>
    <w:hidden/>
    <w:uiPriority w:val="99"/>
    <w:semiHidden/>
    <w:rsid w:val="00D57959"/>
    <w:rPr>
      <w:rFonts w:asciiTheme="minorHAnsi" w:eastAsiaTheme="minorHAnsi" w:hAnsiTheme="minorHAnsi" w:cstheme="minorBidi"/>
      <w:sz w:val="22"/>
      <w:szCs w:val="22"/>
      <w:lang w:eastAsia="en-US"/>
    </w:rPr>
  </w:style>
  <w:style w:type="character" w:customStyle="1" w:styleId="FootnoteTextChar">
    <w:name w:val="Footnote Text Char"/>
    <w:basedOn w:val="DefaultParagraphFont"/>
    <w:link w:val="FootnoteText"/>
    <w:rsid w:val="003E7B3D"/>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447584">
      <w:bodyDiv w:val="1"/>
      <w:marLeft w:val="0"/>
      <w:marRight w:val="0"/>
      <w:marTop w:val="0"/>
      <w:marBottom w:val="0"/>
      <w:divBdr>
        <w:top w:val="none" w:sz="0" w:space="0" w:color="auto"/>
        <w:left w:val="none" w:sz="0" w:space="0" w:color="auto"/>
        <w:bottom w:val="none" w:sz="0" w:space="0" w:color="auto"/>
        <w:right w:val="none" w:sz="0" w:space="0" w:color="auto"/>
      </w:divBdr>
    </w:div>
    <w:div w:id="454062972">
      <w:bodyDiv w:val="1"/>
      <w:marLeft w:val="0"/>
      <w:marRight w:val="0"/>
      <w:marTop w:val="0"/>
      <w:marBottom w:val="0"/>
      <w:divBdr>
        <w:top w:val="none" w:sz="0" w:space="0" w:color="auto"/>
        <w:left w:val="none" w:sz="0" w:space="0" w:color="auto"/>
        <w:bottom w:val="none" w:sz="0" w:space="0" w:color="auto"/>
        <w:right w:val="none" w:sz="0" w:space="0" w:color="auto"/>
      </w:divBdr>
    </w:div>
    <w:div w:id="522865603">
      <w:bodyDiv w:val="1"/>
      <w:marLeft w:val="0"/>
      <w:marRight w:val="0"/>
      <w:marTop w:val="0"/>
      <w:marBottom w:val="0"/>
      <w:divBdr>
        <w:top w:val="none" w:sz="0" w:space="0" w:color="auto"/>
        <w:left w:val="none" w:sz="0" w:space="0" w:color="auto"/>
        <w:bottom w:val="none" w:sz="0" w:space="0" w:color="auto"/>
        <w:right w:val="none" w:sz="0" w:space="0" w:color="auto"/>
      </w:divBdr>
    </w:div>
    <w:div w:id="578753156">
      <w:bodyDiv w:val="1"/>
      <w:marLeft w:val="0"/>
      <w:marRight w:val="0"/>
      <w:marTop w:val="0"/>
      <w:marBottom w:val="0"/>
      <w:divBdr>
        <w:top w:val="none" w:sz="0" w:space="0" w:color="auto"/>
        <w:left w:val="none" w:sz="0" w:space="0" w:color="auto"/>
        <w:bottom w:val="none" w:sz="0" w:space="0" w:color="auto"/>
        <w:right w:val="none" w:sz="0" w:space="0" w:color="auto"/>
      </w:divBdr>
    </w:div>
    <w:div w:id="822090729">
      <w:bodyDiv w:val="1"/>
      <w:marLeft w:val="0"/>
      <w:marRight w:val="0"/>
      <w:marTop w:val="0"/>
      <w:marBottom w:val="0"/>
      <w:divBdr>
        <w:top w:val="none" w:sz="0" w:space="0" w:color="auto"/>
        <w:left w:val="none" w:sz="0" w:space="0" w:color="auto"/>
        <w:bottom w:val="none" w:sz="0" w:space="0" w:color="auto"/>
        <w:right w:val="none" w:sz="0" w:space="0" w:color="auto"/>
      </w:divBdr>
    </w:div>
    <w:div w:id="1557429675">
      <w:bodyDiv w:val="1"/>
      <w:marLeft w:val="0"/>
      <w:marRight w:val="0"/>
      <w:marTop w:val="0"/>
      <w:marBottom w:val="0"/>
      <w:divBdr>
        <w:top w:val="none" w:sz="0" w:space="0" w:color="auto"/>
        <w:left w:val="none" w:sz="0" w:space="0" w:color="auto"/>
        <w:bottom w:val="none" w:sz="0" w:space="0" w:color="auto"/>
        <w:right w:val="none" w:sz="0" w:space="0" w:color="auto"/>
      </w:divBdr>
    </w:div>
    <w:div w:id="1910797706">
      <w:bodyDiv w:val="1"/>
      <w:marLeft w:val="0"/>
      <w:marRight w:val="0"/>
      <w:marTop w:val="0"/>
      <w:marBottom w:val="0"/>
      <w:divBdr>
        <w:top w:val="none" w:sz="0" w:space="0" w:color="auto"/>
        <w:left w:val="none" w:sz="0" w:space="0" w:color="auto"/>
        <w:bottom w:val="none" w:sz="0" w:space="0" w:color="auto"/>
        <w:right w:val="none" w:sz="0" w:space="0" w:color="auto"/>
      </w:divBdr>
    </w:div>
    <w:div w:id="1937323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E667C5-6836-4C7A-8517-E841F63E2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32</Pages>
  <Words>7785</Words>
  <Characters>42567</Characters>
  <Application>Microsoft Office Word</Application>
  <DocSecurity>0</DocSecurity>
  <Lines>1216</Lines>
  <Paragraphs>653</Paragraphs>
  <ScaleCrop>false</ScaleCrop>
  <HeadingPairs>
    <vt:vector size="2" baseType="variant">
      <vt:variant>
        <vt:lpstr>Title</vt:lpstr>
      </vt:variant>
      <vt:variant>
        <vt:i4>1</vt:i4>
      </vt:variant>
    </vt:vector>
  </HeadingPairs>
  <TitlesOfParts>
    <vt:vector size="1" baseType="lpstr">
      <vt:lpstr>Productivity in [subsector x]</vt:lpstr>
    </vt:vector>
  </TitlesOfParts>
  <Company>Productivity Commission</Company>
  <LinksUpToDate>false</LinksUpToDate>
  <CharactersWithSpaces>49699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Productivity in [subsector x]</dc:title>
  <dc:subject>Productivity in manufacturing</dc:subject>
  <dc:creator>Productivity Commission</dc:creator>
  <dc:description>6.</dc:description>
  <cp:lastModifiedBy>Productivity Commission</cp:lastModifiedBy>
  <cp:revision>2</cp:revision>
  <cp:lastPrinted>2013-11-27T23:50:00Z</cp:lastPrinted>
  <dcterms:created xsi:type="dcterms:W3CDTF">2013-12-03T23:14:00Z</dcterms:created>
  <dcterms:modified xsi:type="dcterms:W3CDTF">2013-12-03T23:14:00Z</dcterms:modified>
</cp:coreProperties>
</file>