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A4091" w:rsidP="006A4091">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Growth accounting framework and data sources</w:t>
      </w:r>
      <w:bookmarkEnd w:id="3"/>
    </w:p>
    <w:p w:rsidR="00642402" w:rsidRDefault="006A4091" w:rsidP="008822F6">
      <w:pPr>
        <w:pStyle w:val="Heading2"/>
      </w:pPr>
      <w:bookmarkStart w:id="4" w:name="begin"/>
      <w:bookmarkEnd w:id="4"/>
      <w:proofErr w:type="spellStart"/>
      <w:r>
        <w:t>A.</w:t>
      </w:r>
      <w:r w:rsidR="001459D9">
        <w:rPr>
          <w:noProof/>
        </w:rPr>
        <w:t>1</w:t>
      </w:r>
      <w:proofErr w:type="spellEnd"/>
      <w:r w:rsidR="00642402">
        <w:tab/>
        <w:t>Growth accounting framework</w:t>
      </w:r>
    </w:p>
    <w:p w:rsidR="00C35E91" w:rsidRDefault="00C35E91" w:rsidP="00C35E91">
      <w:pPr>
        <w:pStyle w:val="BodyText"/>
      </w:pPr>
      <w:r>
        <w:t xml:space="preserve">The growth accounting framework, is an accounting exercise that breaks down output growth into input growth and attributes the residual to </w:t>
      </w:r>
      <w:r w:rsidR="00263B8C">
        <w:t xml:space="preserve">technical </w:t>
      </w:r>
      <w:r>
        <w:t xml:space="preserve">change. It examines </w:t>
      </w:r>
      <w:r w:rsidRPr="00B34063">
        <w:rPr>
          <w:i/>
        </w:rPr>
        <w:t>growth</w:t>
      </w:r>
      <w:r>
        <w:t xml:space="preserve"> in output rather than the </w:t>
      </w:r>
      <w:r w:rsidRPr="00B34063">
        <w:rPr>
          <w:i/>
        </w:rPr>
        <w:t>level</w:t>
      </w:r>
      <w:r>
        <w:t xml:space="preserve"> of output. </w:t>
      </w:r>
    </w:p>
    <w:p w:rsidR="00C35E91" w:rsidRDefault="00C35E91" w:rsidP="00C35E91">
      <w:pPr>
        <w:pStyle w:val="BodyText"/>
      </w:pPr>
      <w:r>
        <w:t xml:space="preserve">In the ABS official estimates of </w:t>
      </w:r>
      <w:r w:rsidR="00DC2AD0">
        <w:t>multifactor productivity (</w:t>
      </w:r>
      <w:r>
        <w:t>MFP</w:t>
      </w:r>
      <w:r w:rsidR="00DC2AD0">
        <w:t>)</w:t>
      </w:r>
      <w:r>
        <w:t xml:space="preserve"> growth for Australia, output is measured as gross value added (</w:t>
      </w:r>
      <w:r w:rsidR="00FC2EF1">
        <w:t>gross output</w:t>
      </w:r>
      <w:r>
        <w:t xml:space="preserve"> less intermediate inputs). In this case, the growth accounting framework says that value added growth is equal to a weighted average of capital growth and labour growth plus a residual not explained by growth in combined inputs. The residual is commonly referred to as MFP growth</w:t>
      </w:r>
      <w:r w:rsidR="000029EF">
        <w:t>.</w:t>
      </w:r>
      <w:r>
        <w:rPr>
          <w:rStyle w:val="FootnoteReference"/>
        </w:rPr>
        <w:footnoteReference w:id="1"/>
      </w:r>
      <w:r>
        <w:t xml:space="preserve"> </w:t>
      </w:r>
      <w:r w:rsidR="00FB5869" w:rsidRPr="00240299">
        <w:t>Although MFP growth is sometimes interpreted as a measure of technical progress, in practice it measures much more than this. Other influences on annual MFP growth include: economies of scale; changes in management practices</w:t>
      </w:r>
      <w:r w:rsidR="00FB5869">
        <w:t xml:space="preserve"> and the skill of the labour force</w:t>
      </w:r>
      <w:r w:rsidR="00FB5869" w:rsidRPr="00240299">
        <w:t xml:space="preserve">; </w:t>
      </w:r>
      <w:r w:rsidR="00FB5869">
        <w:t xml:space="preserve">climate, water and other natural resource availability; </w:t>
      </w:r>
      <w:r w:rsidR="00FB5869" w:rsidRPr="00240299">
        <w:t>variations in capacity utilisation; and any errors in the measurement of inputs and outputs.</w:t>
      </w:r>
    </w:p>
    <w:p w:rsidR="00C35E91" w:rsidRDefault="00FB5869" w:rsidP="00C35E91">
      <w:pPr>
        <w:pStyle w:val="BodyText"/>
      </w:pPr>
      <w:r>
        <w:t xml:space="preserve">Growth accounting is based on a number of important </w:t>
      </w:r>
      <w:r w:rsidR="00C35E91">
        <w:t>assumptions:</w:t>
      </w:r>
    </w:p>
    <w:p w:rsidR="00C35E91" w:rsidRDefault="00C35E91" w:rsidP="00C35E91">
      <w:pPr>
        <w:pStyle w:val="ListBullet"/>
      </w:pPr>
      <w:r>
        <w:t>constant returns to scale in the underlying production function</w:t>
      </w:r>
    </w:p>
    <w:p w:rsidR="00C35E91" w:rsidRDefault="00C35E91" w:rsidP="00C35E91">
      <w:pPr>
        <w:pStyle w:val="ListBullet"/>
      </w:pPr>
      <w:r>
        <w:t>output markets are competitive</w:t>
      </w:r>
    </w:p>
    <w:p w:rsidR="00C35E91" w:rsidRDefault="00C35E91" w:rsidP="00C35E91">
      <w:pPr>
        <w:pStyle w:val="ListBullet"/>
      </w:pPr>
      <w:r>
        <w:t>inputs markets are competitive (that is, factor inputs are paid their marginal products)</w:t>
      </w:r>
    </w:p>
    <w:p w:rsidR="00C35E91" w:rsidRDefault="00C35E91" w:rsidP="00C35E91">
      <w:pPr>
        <w:pStyle w:val="ListBullet"/>
      </w:pPr>
      <w:r>
        <w:t>inputs are fully divisible</w:t>
      </w:r>
    </w:p>
    <w:p w:rsidR="00C35E91" w:rsidRDefault="00C35E91" w:rsidP="00C35E91">
      <w:pPr>
        <w:pStyle w:val="ListBullet"/>
      </w:pPr>
      <w:r>
        <w:t>inputs are fully utilised</w:t>
      </w:r>
    </w:p>
    <w:p w:rsidR="00977863" w:rsidRDefault="00C35E91" w:rsidP="00C35E91">
      <w:pPr>
        <w:pStyle w:val="ListBullet"/>
      </w:pPr>
      <w:r>
        <w:t>the economy is in equilibrium.</w:t>
      </w:r>
    </w:p>
    <w:p w:rsidR="00C35E91" w:rsidRDefault="00C334CC" w:rsidP="00884CE4">
      <w:pPr>
        <w:pStyle w:val="BodyText"/>
      </w:pPr>
      <w:r>
        <w:lastRenderedPageBreak/>
        <w:t xml:space="preserve">The following sections discuss the </w:t>
      </w:r>
      <w:r w:rsidR="00884CE4">
        <w:t xml:space="preserve">methodology and data sources used to estimate the variables required </w:t>
      </w:r>
      <w:r w:rsidR="00784763">
        <w:t xml:space="preserve">to calculate </w:t>
      </w:r>
      <w:r w:rsidR="00884CE4">
        <w:t>MF</w:t>
      </w:r>
      <w:r>
        <w:t>P growth at the subsector level.</w:t>
      </w:r>
    </w:p>
    <w:p w:rsidR="00C96D49" w:rsidRDefault="006A4091" w:rsidP="008822F6">
      <w:pPr>
        <w:pStyle w:val="Heading2"/>
      </w:pPr>
      <w:bookmarkStart w:id="5" w:name="OLE_LINK20"/>
      <w:proofErr w:type="spellStart"/>
      <w:r>
        <w:t>A.</w:t>
      </w:r>
      <w:r w:rsidR="001459D9">
        <w:rPr>
          <w:noProof/>
        </w:rPr>
        <w:t>2</w:t>
      </w:r>
      <w:bookmarkEnd w:id="5"/>
      <w:proofErr w:type="spellEnd"/>
      <w:r w:rsidR="00C96D49">
        <w:tab/>
        <w:t>Industry classification</w:t>
      </w:r>
    </w:p>
    <w:p w:rsidR="00721E2D" w:rsidRDefault="00721E2D" w:rsidP="00156AA6">
      <w:pPr>
        <w:pStyle w:val="BodyText"/>
      </w:pPr>
      <w:r>
        <w:t xml:space="preserve">MFP estimates for </w:t>
      </w:r>
      <w:r w:rsidR="002E6911">
        <w:t>M</w:t>
      </w:r>
      <w:r>
        <w:t xml:space="preserve">anufacturing </w:t>
      </w:r>
      <w:r w:rsidR="002E6911">
        <w:t xml:space="preserve">in aggregate </w:t>
      </w:r>
      <w:r w:rsidR="00296AC9">
        <w:t>are available from 1985</w:t>
      </w:r>
      <w:r w:rsidR="00FF62BB">
        <w:noBreakHyphen/>
      </w:r>
      <w:r w:rsidR="00296AC9">
        <w:t>86 to 2010</w:t>
      </w:r>
      <w:r w:rsidR="007D3374">
        <w:noBreakHyphen/>
      </w:r>
      <w:r w:rsidR="00296AC9">
        <w:t xml:space="preserve">11 in ABS </w:t>
      </w:r>
      <w:r w:rsidR="00296AC9" w:rsidRPr="00D83539">
        <w:rPr>
          <w:i/>
        </w:rPr>
        <w:t xml:space="preserve">Experimental Estimates of Industry Multifactor </w:t>
      </w:r>
      <w:r w:rsidR="005569A9">
        <w:rPr>
          <w:i/>
        </w:rPr>
        <w:t>P</w:t>
      </w:r>
      <w:r w:rsidR="00D54932">
        <w:rPr>
          <w:i/>
        </w:rPr>
        <w:t>roduct</w:t>
      </w:r>
      <w:r w:rsidR="00296AC9" w:rsidRPr="00D83539">
        <w:rPr>
          <w:i/>
        </w:rPr>
        <w:t>ivity</w:t>
      </w:r>
      <w:r w:rsidR="00296AC9">
        <w:rPr>
          <w:i/>
        </w:rPr>
        <w:t>, 2010</w:t>
      </w:r>
      <w:r w:rsidR="007D3374">
        <w:rPr>
          <w:i/>
        </w:rPr>
        <w:noBreakHyphen/>
      </w:r>
      <w:r w:rsidR="00296AC9">
        <w:rPr>
          <w:i/>
        </w:rPr>
        <w:t>11</w:t>
      </w:r>
      <w:r w:rsidR="00296AC9">
        <w:t xml:space="preserve"> (Cat. no. 5260.0.55.002). These estimates are the industry division of Manufacturing as defined in the</w:t>
      </w:r>
      <w:r>
        <w:t xml:space="preserve"> </w:t>
      </w:r>
      <w:r w:rsidR="00795038">
        <w:t xml:space="preserve">2006 edition of the </w:t>
      </w:r>
      <w:r w:rsidRPr="00833FBC">
        <w:rPr>
          <w:i/>
        </w:rPr>
        <w:t xml:space="preserve">Australian and New Zealand Standard Industrial Classification </w:t>
      </w:r>
      <w:r>
        <w:t>(</w:t>
      </w:r>
      <w:proofErr w:type="spellStart"/>
      <w:r>
        <w:t>ANZSIC06</w:t>
      </w:r>
      <w:proofErr w:type="spellEnd"/>
      <w:r>
        <w:t>)</w:t>
      </w:r>
      <w:r w:rsidR="00795038">
        <w:t xml:space="preserve"> (</w:t>
      </w:r>
      <w:r w:rsidR="00795038" w:rsidRPr="0007454F">
        <w:t xml:space="preserve">ABS </w:t>
      </w:r>
      <w:proofErr w:type="spellStart"/>
      <w:r w:rsidR="00795038" w:rsidRPr="0007454F">
        <w:t>2006</w:t>
      </w:r>
      <w:r w:rsidR="00214E90">
        <w:t>b</w:t>
      </w:r>
      <w:proofErr w:type="spellEnd"/>
      <w:r w:rsidR="00795038">
        <w:t>)</w:t>
      </w:r>
      <w:r>
        <w:t>.</w:t>
      </w:r>
    </w:p>
    <w:p w:rsidR="00156AA6" w:rsidRDefault="00156AA6" w:rsidP="00156AA6">
      <w:pPr>
        <w:pStyle w:val="BodyText"/>
      </w:pPr>
      <w:r>
        <w:t xml:space="preserve">The main disaggregation of </w:t>
      </w:r>
      <w:r w:rsidR="002E6911">
        <w:t>Manufacturing</w:t>
      </w:r>
      <w:r>
        <w:t xml:space="preserve"> used in this paper is </w:t>
      </w:r>
      <w:r w:rsidR="00B968C6">
        <w:t xml:space="preserve">based on </w:t>
      </w:r>
      <w:r>
        <w:t xml:space="preserve">the eight </w:t>
      </w:r>
      <w:r w:rsidR="002E6911">
        <w:t>Manufacturing</w:t>
      </w:r>
      <w:r>
        <w:t xml:space="preserve"> subsectors reported in the </w:t>
      </w:r>
      <w:r w:rsidR="002E6911">
        <w:t xml:space="preserve">annual </w:t>
      </w:r>
      <w:r>
        <w:t xml:space="preserve">ABS </w:t>
      </w:r>
      <w:r w:rsidR="002E6911">
        <w:t>N</w:t>
      </w:r>
      <w:r>
        <w:t xml:space="preserve">ational </w:t>
      </w:r>
      <w:r w:rsidR="002E6911">
        <w:t>A</w:t>
      </w:r>
      <w:r>
        <w:t xml:space="preserve">ccounts publication (Cat. no. 5204.0). Table </w:t>
      </w:r>
      <w:proofErr w:type="spellStart"/>
      <w:r w:rsidR="00BD23C5">
        <w:t>A.1</w:t>
      </w:r>
      <w:proofErr w:type="spellEnd"/>
      <w:r w:rsidR="00BD23C5">
        <w:t xml:space="preserve"> </w:t>
      </w:r>
      <w:r w:rsidR="00E35FDB">
        <w:t>shows the relationship between</w:t>
      </w:r>
      <w:r>
        <w:t xml:space="preserve"> these eight subsectors and the </w:t>
      </w:r>
      <w:r w:rsidR="002E6911">
        <w:t>Manufacturing</w:t>
      </w:r>
      <w:r w:rsidR="00E35FDB">
        <w:t xml:space="preserve"> </w:t>
      </w:r>
      <w:r>
        <w:t xml:space="preserve">subdivisions </w:t>
      </w:r>
      <w:r w:rsidR="00E35FDB">
        <w:t>in</w:t>
      </w:r>
      <w:r>
        <w:t xml:space="preserve"> the </w:t>
      </w:r>
      <w:proofErr w:type="spellStart"/>
      <w:r>
        <w:t>ANZSIC06</w:t>
      </w:r>
      <w:proofErr w:type="spellEnd"/>
      <w:r w:rsidR="00FF177D">
        <w:t>.</w:t>
      </w:r>
      <w:r>
        <w:t xml:space="preserve"> </w:t>
      </w:r>
      <w:r w:rsidR="007D3374">
        <w:t xml:space="preserve">These subdivisions include a wide range of activities (box </w:t>
      </w:r>
      <w:proofErr w:type="spellStart"/>
      <w:r w:rsidR="00DE50AD">
        <w:t>A.1</w:t>
      </w:r>
      <w:proofErr w:type="spellEnd"/>
      <w:r w:rsidR="009D6C4A">
        <w:t>).</w:t>
      </w:r>
      <w:r w:rsidR="007D3374">
        <w:t xml:space="preserve"> </w:t>
      </w:r>
    </w:p>
    <w:p w:rsidR="00F73010" w:rsidRDefault="00F73010" w:rsidP="00E35FDB">
      <w:pPr>
        <w:pStyle w:val="TableTitle"/>
      </w:pPr>
      <w:r>
        <w:rPr>
          <w:b w:val="0"/>
        </w:rPr>
        <w:t xml:space="preserve">Table </w:t>
      </w:r>
      <w:bookmarkStart w:id="6" w:name="OLE_LINK1"/>
      <w:proofErr w:type="spellStart"/>
      <w:r w:rsidR="006A4091">
        <w:rPr>
          <w:b w:val="0"/>
        </w:rPr>
        <w:t>A.</w:t>
      </w:r>
      <w:r w:rsidR="001459D9">
        <w:rPr>
          <w:b w:val="0"/>
          <w:noProof/>
        </w:rPr>
        <w:t>1</w:t>
      </w:r>
      <w:bookmarkEnd w:id="6"/>
      <w:proofErr w:type="spellEnd"/>
      <w:r>
        <w:tab/>
      </w:r>
      <w:r w:rsidR="00E35FDB">
        <w:t xml:space="preserve">Manufacturing subsectors and </w:t>
      </w:r>
      <w:proofErr w:type="spellStart"/>
      <w:r w:rsidR="00E35FDB">
        <w:t>ANZSIC06</w:t>
      </w:r>
      <w:proofErr w:type="spellEnd"/>
      <w:r w:rsidR="00E35FDB">
        <w:t xml:space="preserve"> </w:t>
      </w:r>
      <w:r w:rsidR="002E6911">
        <w:t>Manufacturing</w:t>
      </w:r>
      <w:r w:rsidR="00E35FDB">
        <w:t xml:space="preserve"> subdivisions</w:t>
      </w:r>
    </w:p>
    <w:tbl>
      <w:tblPr>
        <w:tblW w:w="5001" w:type="pct"/>
        <w:tblCellMar>
          <w:left w:w="0" w:type="dxa"/>
          <w:right w:w="0" w:type="dxa"/>
        </w:tblCellMar>
        <w:tblLook w:val="0000" w:firstRow="0" w:lastRow="0" w:firstColumn="0" w:lastColumn="0" w:noHBand="0" w:noVBand="0"/>
      </w:tblPr>
      <w:tblGrid>
        <w:gridCol w:w="4111"/>
        <w:gridCol w:w="4680"/>
      </w:tblGrid>
      <w:tr w:rsidR="00E35FDB" w:rsidTr="00E35FDB">
        <w:tc>
          <w:tcPr>
            <w:tcW w:w="2338" w:type="pct"/>
            <w:tcBorders>
              <w:top w:val="single" w:sz="6" w:space="0" w:color="auto"/>
              <w:bottom w:val="single" w:sz="6" w:space="0" w:color="auto"/>
            </w:tcBorders>
          </w:tcPr>
          <w:p w:rsidR="00E35FDB" w:rsidRPr="00F73010" w:rsidRDefault="00E35FDB" w:rsidP="002E6911">
            <w:pPr>
              <w:pStyle w:val="TableColumnHeading"/>
              <w:jc w:val="left"/>
            </w:pPr>
            <w:r>
              <w:t xml:space="preserve">Manufacturing subsectors </w:t>
            </w:r>
            <w:r>
              <w:br/>
              <w:t>(</w:t>
            </w:r>
            <w:proofErr w:type="spellStart"/>
            <w:r w:rsidR="002E6911">
              <w:t>ANZSIC06</w:t>
            </w:r>
            <w:proofErr w:type="spellEnd"/>
            <w:r w:rsidR="002E6911">
              <w:t xml:space="preserve"> N</w:t>
            </w:r>
            <w:r w:rsidRPr="00F73010">
              <w:t xml:space="preserve">ational </w:t>
            </w:r>
            <w:r w:rsidR="002E6911">
              <w:t>A</w:t>
            </w:r>
            <w:r w:rsidRPr="00F73010">
              <w:t>ccounts groupings</w:t>
            </w:r>
            <w:r>
              <w:t>)</w:t>
            </w:r>
          </w:p>
        </w:tc>
        <w:tc>
          <w:tcPr>
            <w:tcW w:w="2662" w:type="pct"/>
            <w:tcBorders>
              <w:top w:val="single" w:sz="6" w:space="0" w:color="auto"/>
              <w:bottom w:val="single" w:sz="6" w:space="0" w:color="auto"/>
            </w:tcBorders>
            <w:shd w:val="clear" w:color="auto" w:fill="auto"/>
          </w:tcPr>
          <w:p w:rsidR="00E35FDB" w:rsidRPr="00F73010" w:rsidRDefault="00E35FDB" w:rsidP="002E6911">
            <w:pPr>
              <w:pStyle w:val="TableColumnHeading"/>
              <w:jc w:val="left"/>
            </w:pPr>
            <w:r>
              <w:br/>
            </w:r>
            <w:proofErr w:type="spellStart"/>
            <w:r w:rsidRPr="00F73010">
              <w:t>ANZSIC06</w:t>
            </w:r>
            <w:proofErr w:type="spellEnd"/>
            <w:r w:rsidRPr="00F73010">
              <w:t xml:space="preserve"> </w:t>
            </w:r>
            <w:r w:rsidR="002E6911">
              <w:t>M</w:t>
            </w:r>
            <w:r>
              <w:t xml:space="preserve">anufacturing </w:t>
            </w:r>
            <w:r w:rsidRPr="00F73010">
              <w:t>subdivisions</w:t>
            </w:r>
          </w:p>
        </w:tc>
      </w:tr>
      <w:tr w:rsidR="00E35FDB" w:rsidTr="00246512">
        <w:tc>
          <w:tcPr>
            <w:tcW w:w="2338" w:type="pct"/>
            <w:tcBorders>
              <w:top w:val="single" w:sz="6" w:space="0" w:color="auto"/>
            </w:tcBorders>
            <w:shd w:val="clear" w:color="auto" w:fill="D9D9D9" w:themeFill="background1" w:themeFillShade="D9"/>
          </w:tcPr>
          <w:p w:rsidR="00E35FDB" w:rsidRDefault="00E35FDB" w:rsidP="00D45F95">
            <w:pPr>
              <w:pStyle w:val="TableBodyText"/>
              <w:spacing w:before="80"/>
              <w:jc w:val="left"/>
            </w:pPr>
            <w:r w:rsidRPr="00A97688">
              <w:t xml:space="preserve">Food, beverage </w:t>
            </w:r>
            <w:r>
              <w:t>&amp;</w:t>
            </w:r>
            <w:r w:rsidRPr="00A97688">
              <w:t xml:space="preserve"> tobacco products</w:t>
            </w:r>
            <w:r w:rsidR="00E41CE3">
              <w:t xml:space="preserve"> (</w:t>
            </w:r>
            <w:proofErr w:type="spellStart"/>
            <w:r w:rsidR="00E41CE3">
              <w:t>FBT</w:t>
            </w:r>
            <w:proofErr w:type="spellEnd"/>
            <w:r w:rsidR="00E41CE3">
              <w:t>)</w:t>
            </w:r>
          </w:p>
        </w:tc>
        <w:tc>
          <w:tcPr>
            <w:tcW w:w="2662" w:type="pct"/>
            <w:tcBorders>
              <w:top w:val="single" w:sz="6" w:space="0" w:color="auto"/>
            </w:tcBorders>
            <w:shd w:val="clear" w:color="auto" w:fill="D9D9D9" w:themeFill="background1" w:themeFillShade="D9"/>
          </w:tcPr>
          <w:p w:rsidR="00E35FDB" w:rsidRPr="00F73010" w:rsidRDefault="00E35FDB" w:rsidP="00D45F95">
            <w:pPr>
              <w:pStyle w:val="TableBodyText"/>
              <w:spacing w:before="80"/>
              <w:jc w:val="left"/>
            </w:pPr>
            <w:r w:rsidRPr="00F73010">
              <w:t>11 Food product manufacturing</w:t>
            </w:r>
          </w:p>
        </w:tc>
      </w:tr>
      <w:tr w:rsidR="00E35FDB" w:rsidTr="00246512">
        <w:tc>
          <w:tcPr>
            <w:tcW w:w="2338" w:type="pct"/>
            <w:shd w:val="clear" w:color="auto" w:fill="D9D9D9" w:themeFill="background1" w:themeFillShade="D9"/>
          </w:tcPr>
          <w:p w:rsidR="00E35FDB" w:rsidRDefault="00E35FDB" w:rsidP="00D45F95">
            <w:pPr>
              <w:pStyle w:val="TableBodyText"/>
              <w:spacing w:before="40"/>
              <w:jc w:val="left"/>
            </w:pPr>
          </w:p>
        </w:tc>
        <w:tc>
          <w:tcPr>
            <w:tcW w:w="2662" w:type="pct"/>
            <w:shd w:val="clear" w:color="auto" w:fill="D9D9D9" w:themeFill="background1" w:themeFillShade="D9"/>
          </w:tcPr>
          <w:p w:rsidR="00E35FDB" w:rsidRPr="00F73010" w:rsidRDefault="00E35FDB" w:rsidP="00D45F95">
            <w:pPr>
              <w:pStyle w:val="TableBodyText"/>
              <w:spacing w:before="40"/>
              <w:jc w:val="left"/>
            </w:pPr>
            <w:r w:rsidRPr="00F73010">
              <w:t xml:space="preserve">12 Beverage </w:t>
            </w:r>
            <w:r>
              <w:t>&amp;</w:t>
            </w:r>
            <w:r w:rsidRPr="00F73010">
              <w:t xml:space="preserve"> tobacco product manufacturing</w:t>
            </w:r>
          </w:p>
        </w:tc>
      </w:tr>
      <w:tr w:rsidR="00E35FDB" w:rsidTr="00246512">
        <w:tc>
          <w:tcPr>
            <w:tcW w:w="2338" w:type="pct"/>
          </w:tcPr>
          <w:p w:rsidR="00E35FDB" w:rsidRPr="00F73010" w:rsidRDefault="00E35FDB" w:rsidP="00D45F95">
            <w:pPr>
              <w:pStyle w:val="TableBodyText"/>
              <w:spacing w:before="80"/>
              <w:ind w:right="0"/>
              <w:jc w:val="left"/>
            </w:pPr>
            <w:r w:rsidRPr="00F73010">
              <w:t xml:space="preserve">Textile, clothing </w:t>
            </w:r>
            <w:r>
              <w:t>&amp;</w:t>
            </w:r>
            <w:r w:rsidRPr="00F73010">
              <w:t xml:space="preserve"> other manufacturing</w:t>
            </w:r>
            <w:r w:rsidR="00E41CE3">
              <w:t xml:space="preserve"> </w:t>
            </w:r>
            <w:r w:rsidR="00D45F95">
              <w:t>(</w:t>
            </w:r>
            <w:proofErr w:type="spellStart"/>
            <w:r w:rsidR="00E41CE3">
              <w:t>TCO</w:t>
            </w:r>
            <w:proofErr w:type="spellEnd"/>
            <w:r w:rsidR="00E41CE3">
              <w:t>)</w:t>
            </w:r>
          </w:p>
        </w:tc>
        <w:tc>
          <w:tcPr>
            <w:tcW w:w="2662" w:type="pct"/>
            <w:shd w:val="clear" w:color="auto" w:fill="auto"/>
          </w:tcPr>
          <w:p w:rsidR="00E35FDB" w:rsidRPr="00F73010" w:rsidRDefault="00E35FDB" w:rsidP="004A790D">
            <w:pPr>
              <w:pStyle w:val="TableBodyText"/>
              <w:spacing w:before="80"/>
              <w:jc w:val="left"/>
            </w:pPr>
            <w:r w:rsidRPr="00F73010">
              <w:t xml:space="preserve">13 Textile, leather, clothing </w:t>
            </w:r>
            <w:r>
              <w:t>&amp;</w:t>
            </w:r>
            <w:r w:rsidRPr="00F73010">
              <w:t xml:space="preserve"> footwear </w:t>
            </w:r>
            <w:proofErr w:type="spellStart"/>
            <w:r w:rsidR="004A790D">
              <w:t>mfg</w:t>
            </w:r>
            <w:proofErr w:type="spellEnd"/>
          </w:p>
        </w:tc>
      </w:tr>
      <w:tr w:rsidR="00E35FDB" w:rsidTr="00246512">
        <w:tc>
          <w:tcPr>
            <w:tcW w:w="2338" w:type="pct"/>
            <w:vAlign w:val="center"/>
          </w:tcPr>
          <w:p w:rsidR="00E35FDB" w:rsidRPr="00F73010" w:rsidRDefault="00E35FDB" w:rsidP="00D45F95">
            <w:pPr>
              <w:pStyle w:val="TableBodyText"/>
              <w:spacing w:before="40"/>
              <w:jc w:val="left"/>
            </w:pPr>
          </w:p>
        </w:tc>
        <w:tc>
          <w:tcPr>
            <w:tcW w:w="2662" w:type="pct"/>
            <w:shd w:val="clear" w:color="auto" w:fill="auto"/>
          </w:tcPr>
          <w:p w:rsidR="00E35FDB" w:rsidRPr="00F73010" w:rsidRDefault="00E35FDB" w:rsidP="00D45F95">
            <w:pPr>
              <w:pStyle w:val="TableBodyText"/>
              <w:spacing w:before="40"/>
              <w:jc w:val="left"/>
            </w:pPr>
            <w:r w:rsidRPr="00F73010">
              <w:t xml:space="preserve">25 Furniture </w:t>
            </w:r>
            <w:r>
              <w:t>&amp;</w:t>
            </w:r>
            <w:r w:rsidRPr="00F73010">
              <w:t xml:space="preserve"> other manufacturing</w:t>
            </w:r>
          </w:p>
        </w:tc>
      </w:tr>
      <w:tr w:rsidR="00E35FDB" w:rsidTr="00246512">
        <w:tc>
          <w:tcPr>
            <w:tcW w:w="2338" w:type="pct"/>
            <w:shd w:val="clear" w:color="auto" w:fill="D9D9D9" w:themeFill="background1" w:themeFillShade="D9"/>
          </w:tcPr>
          <w:p w:rsidR="00E35FDB" w:rsidRPr="00F73010" w:rsidRDefault="00E35FDB" w:rsidP="00D45F95">
            <w:pPr>
              <w:pStyle w:val="TableBodyText"/>
              <w:spacing w:before="80"/>
              <w:jc w:val="left"/>
            </w:pPr>
            <w:r w:rsidRPr="00F73010">
              <w:t xml:space="preserve">Wood </w:t>
            </w:r>
            <w:r>
              <w:t>&amp;</w:t>
            </w:r>
            <w:r w:rsidRPr="00F73010">
              <w:t xml:space="preserve"> paper products</w:t>
            </w:r>
            <w:r w:rsidR="00E41CE3">
              <w:t xml:space="preserve"> (WP)</w:t>
            </w:r>
          </w:p>
        </w:tc>
        <w:tc>
          <w:tcPr>
            <w:tcW w:w="2662" w:type="pct"/>
            <w:shd w:val="clear" w:color="auto" w:fill="D9D9D9" w:themeFill="background1" w:themeFillShade="D9"/>
          </w:tcPr>
          <w:p w:rsidR="00E35FDB" w:rsidRPr="00F73010" w:rsidRDefault="00E35FDB" w:rsidP="00D45F95">
            <w:pPr>
              <w:pStyle w:val="TableBodyText"/>
              <w:spacing w:before="80"/>
              <w:jc w:val="left"/>
            </w:pPr>
            <w:r w:rsidRPr="00F73010">
              <w:t>14 Wood product manufacturing</w:t>
            </w:r>
          </w:p>
        </w:tc>
      </w:tr>
      <w:tr w:rsidR="00E35FDB" w:rsidTr="00246512">
        <w:tc>
          <w:tcPr>
            <w:tcW w:w="2338" w:type="pct"/>
            <w:shd w:val="clear" w:color="auto" w:fill="D9D9D9" w:themeFill="background1" w:themeFillShade="D9"/>
            <w:vAlign w:val="center"/>
          </w:tcPr>
          <w:p w:rsidR="00E35FDB" w:rsidRPr="00F73010" w:rsidRDefault="00E35FDB" w:rsidP="00D45F95">
            <w:pPr>
              <w:pStyle w:val="TableBodyText"/>
              <w:spacing w:before="40"/>
              <w:jc w:val="left"/>
            </w:pPr>
          </w:p>
        </w:tc>
        <w:tc>
          <w:tcPr>
            <w:tcW w:w="2662" w:type="pct"/>
            <w:shd w:val="clear" w:color="auto" w:fill="D9D9D9" w:themeFill="background1" w:themeFillShade="D9"/>
          </w:tcPr>
          <w:p w:rsidR="00E35FDB" w:rsidRPr="00F73010" w:rsidRDefault="00E35FDB" w:rsidP="00D45F95">
            <w:pPr>
              <w:pStyle w:val="TableBodyText"/>
              <w:spacing w:before="40"/>
              <w:jc w:val="left"/>
            </w:pPr>
            <w:r w:rsidRPr="00F73010">
              <w:t xml:space="preserve">15 Pulp, paper </w:t>
            </w:r>
            <w:r>
              <w:t>&amp;</w:t>
            </w:r>
            <w:r w:rsidRPr="00F73010">
              <w:t xml:space="preserve"> converted paper product </w:t>
            </w:r>
            <w:proofErr w:type="spellStart"/>
            <w:r w:rsidRPr="00F73010">
              <w:t>m</w:t>
            </w:r>
            <w:r w:rsidR="00D45F95">
              <w:t>fg</w:t>
            </w:r>
            <w:proofErr w:type="spellEnd"/>
          </w:p>
        </w:tc>
      </w:tr>
      <w:tr w:rsidR="00E35FDB" w:rsidTr="00246512">
        <w:tc>
          <w:tcPr>
            <w:tcW w:w="2338" w:type="pct"/>
          </w:tcPr>
          <w:p w:rsidR="00E35FDB" w:rsidRPr="00F73010" w:rsidRDefault="00E35FDB" w:rsidP="00D45F95">
            <w:pPr>
              <w:pStyle w:val="TableBodyText"/>
              <w:spacing w:before="80"/>
              <w:jc w:val="left"/>
            </w:pPr>
            <w:r w:rsidRPr="00F73010">
              <w:t xml:space="preserve">Printing </w:t>
            </w:r>
            <w:r>
              <w:t>&amp;</w:t>
            </w:r>
            <w:r w:rsidRPr="00F73010">
              <w:t xml:space="preserve"> recorded media</w:t>
            </w:r>
            <w:r w:rsidR="00E41CE3">
              <w:t xml:space="preserve"> (</w:t>
            </w:r>
            <w:proofErr w:type="spellStart"/>
            <w:r w:rsidR="00E41CE3">
              <w:t>PRM</w:t>
            </w:r>
            <w:proofErr w:type="spellEnd"/>
            <w:r w:rsidR="00E41CE3">
              <w:t>)</w:t>
            </w:r>
          </w:p>
        </w:tc>
        <w:tc>
          <w:tcPr>
            <w:tcW w:w="2662" w:type="pct"/>
            <w:shd w:val="clear" w:color="auto" w:fill="auto"/>
          </w:tcPr>
          <w:p w:rsidR="00E35FDB" w:rsidRPr="00F73010" w:rsidRDefault="00E35FDB" w:rsidP="004A790D">
            <w:pPr>
              <w:pStyle w:val="TableBodyText"/>
              <w:spacing w:before="80"/>
              <w:jc w:val="left"/>
            </w:pPr>
            <w:r w:rsidRPr="00F73010">
              <w:t>16 Printing (incl</w:t>
            </w:r>
            <w:r w:rsidR="004A790D">
              <w:t>.</w:t>
            </w:r>
            <w:r w:rsidRPr="00F73010">
              <w:t xml:space="preserve"> reproduction of recorded media)</w:t>
            </w:r>
          </w:p>
        </w:tc>
      </w:tr>
      <w:tr w:rsidR="00E35FDB" w:rsidTr="00246512">
        <w:tc>
          <w:tcPr>
            <w:tcW w:w="2338" w:type="pct"/>
            <w:shd w:val="clear" w:color="auto" w:fill="D9D9D9" w:themeFill="background1" w:themeFillShade="D9"/>
          </w:tcPr>
          <w:p w:rsidR="00E35FDB" w:rsidRPr="00F73010" w:rsidRDefault="00E35FDB" w:rsidP="00D45F95">
            <w:pPr>
              <w:pStyle w:val="TableBodyText"/>
              <w:spacing w:before="80"/>
              <w:jc w:val="left"/>
            </w:pPr>
            <w:r w:rsidRPr="00F73010">
              <w:t xml:space="preserve">Petroleum, coal, chemical </w:t>
            </w:r>
            <w:r>
              <w:t>&amp;</w:t>
            </w:r>
            <w:r w:rsidRPr="00F73010">
              <w:t xml:space="preserve"> rubber products</w:t>
            </w:r>
          </w:p>
        </w:tc>
        <w:tc>
          <w:tcPr>
            <w:tcW w:w="2662" w:type="pct"/>
            <w:shd w:val="clear" w:color="auto" w:fill="D9D9D9" w:themeFill="background1" w:themeFillShade="D9"/>
          </w:tcPr>
          <w:p w:rsidR="00E35FDB" w:rsidRPr="00F73010" w:rsidRDefault="00E35FDB" w:rsidP="00D45F95">
            <w:pPr>
              <w:pStyle w:val="TableBodyText"/>
              <w:spacing w:before="80"/>
              <w:jc w:val="left"/>
            </w:pPr>
            <w:r w:rsidRPr="00F73010">
              <w:t xml:space="preserve">17 Petroleum </w:t>
            </w:r>
            <w:r>
              <w:t>&amp;</w:t>
            </w:r>
            <w:r w:rsidRPr="00F73010">
              <w:t xml:space="preserve"> coal product manufacturing</w:t>
            </w:r>
          </w:p>
        </w:tc>
      </w:tr>
      <w:tr w:rsidR="00E35FDB" w:rsidTr="00246512">
        <w:tc>
          <w:tcPr>
            <w:tcW w:w="2338" w:type="pct"/>
            <w:shd w:val="clear" w:color="auto" w:fill="D9D9D9" w:themeFill="background1" w:themeFillShade="D9"/>
          </w:tcPr>
          <w:p w:rsidR="00E35FDB" w:rsidRPr="00F73010" w:rsidRDefault="00E41CE3" w:rsidP="001459D9">
            <w:pPr>
              <w:pStyle w:val="TableBodyText"/>
              <w:jc w:val="left"/>
            </w:pPr>
            <w:r>
              <w:t>(</w:t>
            </w:r>
            <w:proofErr w:type="spellStart"/>
            <w:r>
              <w:t>PCCR</w:t>
            </w:r>
            <w:proofErr w:type="spellEnd"/>
            <w:r>
              <w:t>)</w:t>
            </w:r>
          </w:p>
        </w:tc>
        <w:tc>
          <w:tcPr>
            <w:tcW w:w="2662" w:type="pct"/>
            <w:shd w:val="clear" w:color="auto" w:fill="D9D9D9" w:themeFill="background1" w:themeFillShade="D9"/>
          </w:tcPr>
          <w:p w:rsidR="00E35FDB" w:rsidRPr="00F73010" w:rsidRDefault="00E35FDB" w:rsidP="00D45F95">
            <w:pPr>
              <w:pStyle w:val="TableBodyText"/>
              <w:spacing w:before="40"/>
              <w:jc w:val="left"/>
            </w:pPr>
            <w:r w:rsidRPr="00F73010">
              <w:t xml:space="preserve">18 Basic chemical </w:t>
            </w:r>
            <w:r>
              <w:t>&amp;</w:t>
            </w:r>
            <w:r w:rsidRPr="00F73010">
              <w:t xml:space="preserve"> chemical product </w:t>
            </w:r>
            <w:proofErr w:type="spellStart"/>
            <w:r w:rsidR="00D45F95">
              <w:t>mfg</w:t>
            </w:r>
            <w:proofErr w:type="spellEnd"/>
          </w:p>
        </w:tc>
      </w:tr>
      <w:tr w:rsidR="00E35FDB" w:rsidTr="00246512">
        <w:tc>
          <w:tcPr>
            <w:tcW w:w="2338" w:type="pct"/>
            <w:shd w:val="clear" w:color="auto" w:fill="D9D9D9" w:themeFill="background1" w:themeFillShade="D9"/>
          </w:tcPr>
          <w:p w:rsidR="00E35FDB" w:rsidRPr="00F73010" w:rsidRDefault="00E35FDB" w:rsidP="00D45F95">
            <w:pPr>
              <w:pStyle w:val="TableBodyText"/>
              <w:spacing w:before="40"/>
              <w:jc w:val="left"/>
            </w:pPr>
          </w:p>
        </w:tc>
        <w:tc>
          <w:tcPr>
            <w:tcW w:w="2662" w:type="pct"/>
            <w:shd w:val="clear" w:color="auto" w:fill="D9D9D9" w:themeFill="background1" w:themeFillShade="D9"/>
          </w:tcPr>
          <w:p w:rsidR="00E35FDB" w:rsidRPr="00F73010" w:rsidRDefault="00E35FDB" w:rsidP="00D45F95">
            <w:pPr>
              <w:pStyle w:val="TableBodyText"/>
              <w:spacing w:before="40"/>
              <w:jc w:val="left"/>
            </w:pPr>
            <w:r w:rsidRPr="00F73010">
              <w:t xml:space="preserve">19 Polymer product </w:t>
            </w:r>
            <w:r>
              <w:t>&amp;</w:t>
            </w:r>
            <w:r w:rsidRPr="00F73010">
              <w:t xml:space="preserve"> rubber product </w:t>
            </w:r>
            <w:proofErr w:type="spellStart"/>
            <w:r w:rsidRPr="00F73010">
              <w:t>m</w:t>
            </w:r>
            <w:r w:rsidR="00D45F95">
              <w:t>fg</w:t>
            </w:r>
            <w:proofErr w:type="spellEnd"/>
          </w:p>
        </w:tc>
      </w:tr>
      <w:tr w:rsidR="00E35FDB" w:rsidRPr="00C147B8" w:rsidTr="00246512">
        <w:tc>
          <w:tcPr>
            <w:tcW w:w="2338" w:type="pct"/>
          </w:tcPr>
          <w:p w:rsidR="00E35FDB" w:rsidRPr="00F73010" w:rsidRDefault="00E35FDB" w:rsidP="00D45F95">
            <w:pPr>
              <w:pStyle w:val="TableBodyText"/>
              <w:spacing w:before="80"/>
              <w:jc w:val="left"/>
            </w:pPr>
            <w:r w:rsidRPr="00F73010">
              <w:t>Non-metallic mineral products</w:t>
            </w:r>
            <w:r w:rsidR="00E41CE3">
              <w:t xml:space="preserve"> (NM)</w:t>
            </w:r>
          </w:p>
        </w:tc>
        <w:tc>
          <w:tcPr>
            <w:tcW w:w="2662" w:type="pct"/>
            <w:shd w:val="clear" w:color="auto" w:fill="auto"/>
          </w:tcPr>
          <w:p w:rsidR="00E35FDB" w:rsidRPr="00F73010" w:rsidRDefault="00E35FDB" w:rsidP="00D45F95">
            <w:pPr>
              <w:pStyle w:val="TableBodyText"/>
              <w:spacing w:before="80"/>
              <w:jc w:val="left"/>
            </w:pPr>
            <w:r w:rsidRPr="00F73010">
              <w:t>20 Non-metallic mineral product manufacturing</w:t>
            </w:r>
          </w:p>
        </w:tc>
      </w:tr>
      <w:tr w:rsidR="00E35FDB" w:rsidTr="00246512">
        <w:tc>
          <w:tcPr>
            <w:tcW w:w="2338" w:type="pct"/>
            <w:shd w:val="clear" w:color="auto" w:fill="D9D9D9" w:themeFill="background1" w:themeFillShade="D9"/>
          </w:tcPr>
          <w:p w:rsidR="00E35FDB" w:rsidRPr="00F73010" w:rsidRDefault="00E35FDB" w:rsidP="00D45F95">
            <w:pPr>
              <w:pStyle w:val="TableBodyText"/>
              <w:spacing w:before="80"/>
              <w:jc w:val="left"/>
            </w:pPr>
            <w:r w:rsidRPr="00F73010">
              <w:t>Metal products</w:t>
            </w:r>
            <w:r w:rsidR="00E41CE3">
              <w:t xml:space="preserve"> (MP)</w:t>
            </w:r>
          </w:p>
        </w:tc>
        <w:tc>
          <w:tcPr>
            <w:tcW w:w="2662" w:type="pct"/>
            <w:shd w:val="clear" w:color="auto" w:fill="D9D9D9" w:themeFill="background1" w:themeFillShade="D9"/>
          </w:tcPr>
          <w:p w:rsidR="00E35FDB" w:rsidRPr="00F73010" w:rsidRDefault="00E35FDB" w:rsidP="00D45F95">
            <w:pPr>
              <w:pStyle w:val="TableBodyText"/>
              <w:spacing w:before="80"/>
              <w:jc w:val="left"/>
            </w:pPr>
            <w:r w:rsidRPr="00F73010">
              <w:t xml:space="preserve">21 Primary metal </w:t>
            </w:r>
            <w:r>
              <w:t>&amp;</w:t>
            </w:r>
            <w:r w:rsidRPr="00F73010">
              <w:t xml:space="preserve"> metal product manufacturing</w:t>
            </w:r>
          </w:p>
        </w:tc>
      </w:tr>
      <w:tr w:rsidR="00E35FDB" w:rsidTr="00246512">
        <w:tc>
          <w:tcPr>
            <w:tcW w:w="2338" w:type="pct"/>
            <w:shd w:val="clear" w:color="auto" w:fill="D9D9D9" w:themeFill="background1" w:themeFillShade="D9"/>
          </w:tcPr>
          <w:p w:rsidR="00E35FDB" w:rsidRDefault="00E35FDB" w:rsidP="00D45F95">
            <w:pPr>
              <w:pStyle w:val="TableBodyText"/>
              <w:spacing w:before="40"/>
              <w:jc w:val="left"/>
            </w:pPr>
          </w:p>
        </w:tc>
        <w:tc>
          <w:tcPr>
            <w:tcW w:w="2662" w:type="pct"/>
            <w:shd w:val="clear" w:color="auto" w:fill="D9D9D9" w:themeFill="background1" w:themeFillShade="D9"/>
          </w:tcPr>
          <w:p w:rsidR="00E35FDB" w:rsidRPr="00F73010" w:rsidRDefault="00E35FDB" w:rsidP="00D45F95">
            <w:pPr>
              <w:pStyle w:val="TableBodyText"/>
              <w:spacing w:before="40"/>
              <w:jc w:val="left"/>
            </w:pPr>
            <w:r w:rsidRPr="00F73010">
              <w:t>22 Fabricated metal product manufacturing</w:t>
            </w:r>
          </w:p>
        </w:tc>
      </w:tr>
      <w:tr w:rsidR="00E35FDB" w:rsidTr="00246512">
        <w:tc>
          <w:tcPr>
            <w:tcW w:w="2338" w:type="pct"/>
          </w:tcPr>
          <w:p w:rsidR="00E35FDB" w:rsidRDefault="00E35FDB" w:rsidP="00D45F95">
            <w:pPr>
              <w:pStyle w:val="TableBodyText"/>
              <w:spacing w:before="80"/>
              <w:jc w:val="left"/>
            </w:pPr>
            <w:r w:rsidRPr="00F73010">
              <w:t xml:space="preserve">Machinery </w:t>
            </w:r>
            <w:r>
              <w:t>&amp;</w:t>
            </w:r>
            <w:r w:rsidRPr="00F73010">
              <w:t xml:space="preserve"> equipment</w:t>
            </w:r>
            <w:r w:rsidR="00E41CE3">
              <w:t xml:space="preserve"> (ME)</w:t>
            </w:r>
          </w:p>
        </w:tc>
        <w:tc>
          <w:tcPr>
            <w:tcW w:w="2662" w:type="pct"/>
            <w:shd w:val="clear" w:color="auto" w:fill="auto"/>
          </w:tcPr>
          <w:p w:rsidR="00E35FDB" w:rsidRPr="00F73010" w:rsidRDefault="00E35FDB" w:rsidP="00D45F95">
            <w:pPr>
              <w:pStyle w:val="TableBodyText"/>
              <w:spacing w:before="80"/>
              <w:jc w:val="left"/>
            </w:pPr>
            <w:r w:rsidRPr="00F73010">
              <w:t>23 Transport equipment manufacturing</w:t>
            </w:r>
          </w:p>
        </w:tc>
      </w:tr>
      <w:tr w:rsidR="00E35FDB" w:rsidTr="00E35FDB">
        <w:tc>
          <w:tcPr>
            <w:tcW w:w="2338" w:type="pct"/>
            <w:tcBorders>
              <w:bottom w:val="single" w:sz="4" w:space="0" w:color="auto"/>
            </w:tcBorders>
          </w:tcPr>
          <w:p w:rsidR="00E35FDB" w:rsidRDefault="00E35FDB" w:rsidP="00D45F95">
            <w:pPr>
              <w:pStyle w:val="TableBodyText"/>
              <w:spacing w:before="40"/>
              <w:jc w:val="left"/>
            </w:pPr>
          </w:p>
        </w:tc>
        <w:tc>
          <w:tcPr>
            <w:tcW w:w="2662" w:type="pct"/>
            <w:tcBorders>
              <w:bottom w:val="single" w:sz="4" w:space="0" w:color="auto"/>
            </w:tcBorders>
            <w:shd w:val="clear" w:color="auto" w:fill="auto"/>
          </w:tcPr>
          <w:p w:rsidR="00E35FDB" w:rsidRPr="00F73010" w:rsidRDefault="00E35FDB" w:rsidP="00D45F95">
            <w:pPr>
              <w:pStyle w:val="TableBodyText"/>
              <w:spacing w:before="40"/>
              <w:jc w:val="left"/>
            </w:pPr>
            <w:r w:rsidRPr="00F73010">
              <w:t xml:space="preserve">24 Machinery </w:t>
            </w:r>
            <w:r>
              <w:t>&amp;</w:t>
            </w:r>
            <w:r w:rsidRPr="00F73010">
              <w:t xml:space="preserve"> equipment manufacturing</w:t>
            </w:r>
          </w:p>
        </w:tc>
      </w:tr>
    </w:tbl>
    <w:p w:rsidR="00CC2A36" w:rsidRDefault="00CC2A36" w:rsidP="005F059C">
      <w:pPr>
        <w:pStyle w:val="BodyText"/>
      </w:pPr>
      <w:bookmarkStart w:id="7" w:name="_Ref431114006"/>
    </w:p>
    <w:p w:rsidR="00CC2A36" w:rsidRDefault="00CC2A36" w:rsidP="00CC2A3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32A2" w:rsidRPr="00BD1002" w:rsidTr="00512336">
        <w:tc>
          <w:tcPr>
            <w:tcW w:w="8771" w:type="dxa"/>
            <w:tcBorders>
              <w:top w:val="single" w:sz="6" w:space="0" w:color="auto"/>
              <w:bottom w:val="nil"/>
            </w:tcBorders>
          </w:tcPr>
          <w:p w:rsidR="008B32A2" w:rsidRPr="00007E04" w:rsidRDefault="008B32A2" w:rsidP="008B32A2">
            <w:pPr>
              <w:pStyle w:val="BoxTitle"/>
              <w:rPr>
                <w:sz w:val="24"/>
                <w:szCs w:val="24"/>
              </w:rPr>
            </w:pPr>
            <w:r w:rsidRPr="00007E04">
              <w:rPr>
                <w:b w:val="0"/>
                <w:sz w:val="24"/>
                <w:szCs w:val="24"/>
              </w:rPr>
              <w:t xml:space="preserve">Box </w:t>
            </w:r>
            <w:bookmarkStart w:id="8" w:name="OLE_LINK45"/>
            <w:proofErr w:type="spellStart"/>
            <w:r w:rsidRPr="008B32A2">
              <w:rPr>
                <w:b w:val="0"/>
                <w:sz w:val="24"/>
                <w:szCs w:val="24"/>
              </w:rPr>
              <w:t>A.</w:t>
            </w:r>
            <w:r w:rsidR="001459D9">
              <w:rPr>
                <w:b w:val="0"/>
                <w:noProof/>
                <w:sz w:val="24"/>
                <w:szCs w:val="24"/>
              </w:rPr>
              <w:t>1</w:t>
            </w:r>
            <w:bookmarkEnd w:id="8"/>
            <w:proofErr w:type="spellEnd"/>
            <w:r w:rsidRPr="00007E04">
              <w:rPr>
                <w:sz w:val="24"/>
                <w:szCs w:val="24"/>
              </w:rPr>
              <w:tab/>
            </w:r>
            <w:proofErr w:type="spellStart"/>
            <w:r w:rsidRPr="008B32A2">
              <w:rPr>
                <w:sz w:val="24"/>
                <w:szCs w:val="24"/>
              </w:rPr>
              <w:t>ANZSIC06</w:t>
            </w:r>
            <w:proofErr w:type="spellEnd"/>
            <w:r w:rsidRPr="008B32A2">
              <w:rPr>
                <w:sz w:val="24"/>
                <w:szCs w:val="24"/>
              </w:rPr>
              <w:t xml:space="preserve"> Manufacturing subdivisions and groups</w:t>
            </w:r>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8D0FE6" w:rsidRDefault="008D0FE6" w:rsidP="00D54932">
            <w:pPr>
              <w:pStyle w:val="Box"/>
              <w:tabs>
                <w:tab w:val="left" w:pos="4372"/>
              </w:tabs>
              <w:spacing w:line="230" w:lineRule="atLeast"/>
              <w:jc w:val="left"/>
              <w:rPr>
                <w:sz w:val="20"/>
              </w:rPr>
            </w:pPr>
            <w:r w:rsidRPr="00412F74">
              <w:rPr>
                <w:b/>
                <w:sz w:val="20"/>
              </w:rPr>
              <w:t xml:space="preserve">11 </w:t>
            </w:r>
            <w:r>
              <w:rPr>
                <w:b/>
                <w:sz w:val="20"/>
              </w:rPr>
              <w:t xml:space="preserve">  </w:t>
            </w:r>
            <w:r w:rsidRPr="00412F74">
              <w:rPr>
                <w:b/>
                <w:sz w:val="20"/>
              </w:rPr>
              <w:t xml:space="preserve">Food </w:t>
            </w:r>
            <w:r w:rsidR="00D54932">
              <w:rPr>
                <w:b/>
                <w:sz w:val="20"/>
              </w:rPr>
              <w:t>p</w:t>
            </w:r>
            <w:r w:rsidRPr="00412F74">
              <w:rPr>
                <w:b/>
                <w:sz w:val="20"/>
              </w:rPr>
              <w:t xml:space="preserve">roduct </w:t>
            </w:r>
            <w:proofErr w:type="spellStart"/>
            <w:r w:rsidR="00D54932">
              <w:rPr>
                <w:b/>
                <w:sz w:val="20"/>
              </w:rPr>
              <w:t>mfg</w:t>
            </w:r>
            <w:proofErr w:type="spellEnd"/>
            <w:r>
              <w:rPr>
                <w:sz w:val="20"/>
              </w:rPr>
              <w:br/>
            </w:r>
            <w:r w:rsidRPr="002F3E32">
              <w:rPr>
                <w:sz w:val="20"/>
              </w:rPr>
              <w:t>111</w:t>
            </w:r>
            <w:r>
              <w:rPr>
                <w:sz w:val="20"/>
              </w:rPr>
              <w:t xml:space="preserve"> </w:t>
            </w:r>
            <w:r w:rsidRPr="002F3E32">
              <w:rPr>
                <w:sz w:val="20"/>
              </w:rPr>
              <w:t xml:space="preserve">Meat </w:t>
            </w:r>
            <w:r>
              <w:rPr>
                <w:sz w:val="20"/>
              </w:rPr>
              <w:t>&amp;</w:t>
            </w:r>
            <w:r w:rsidRPr="002F3E32">
              <w:rPr>
                <w:sz w:val="20"/>
              </w:rPr>
              <w:t xml:space="preserve"> </w:t>
            </w:r>
            <w:r w:rsidR="00D54932">
              <w:rPr>
                <w:sz w:val="20"/>
              </w:rPr>
              <w:t>m</w:t>
            </w:r>
            <w:r w:rsidRPr="002F3E32">
              <w:rPr>
                <w:sz w:val="20"/>
              </w:rPr>
              <w:t xml:space="preserve">eat </w:t>
            </w:r>
            <w:r w:rsidR="00D54932">
              <w:rPr>
                <w:sz w:val="20"/>
              </w:rPr>
              <w:t>p</w:t>
            </w:r>
            <w:r w:rsidRPr="002F3E32">
              <w:rPr>
                <w:sz w:val="20"/>
              </w:rPr>
              <w:t xml:space="preserve">roduct </w:t>
            </w:r>
            <w:proofErr w:type="spellStart"/>
            <w:r w:rsidR="00D54932">
              <w:rPr>
                <w:sz w:val="20"/>
              </w:rPr>
              <w:t>mfg</w:t>
            </w:r>
            <w:proofErr w:type="spellEnd"/>
            <w:r w:rsidRPr="002F3E32">
              <w:rPr>
                <w:sz w:val="20"/>
              </w:rPr>
              <w:tab/>
              <w:t xml:space="preserve">112 Seafood </w:t>
            </w:r>
            <w:r w:rsidR="00D54932">
              <w:rPr>
                <w:sz w:val="20"/>
              </w:rPr>
              <w:t>p</w:t>
            </w:r>
            <w:r w:rsidRPr="002F3E32">
              <w:rPr>
                <w:sz w:val="20"/>
              </w:rPr>
              <w:t xml:space="preserve">rocessing                           </w:t>
            </w:r>
            <w:r>
              <w:rPr>
                <w:sz w:val="20"/>
              </w:rPr>
              <w:br/>
            </w:r>
            <w:r w:rsidRPr="002F3E32">
              <w:rPr>
                <w:sz w:val="20"/>
              </w:rPr>
              <w:t>113</w:t>
            </w:r>
            <w:r>
              <w:rPr>
                <w:sz w:val="20"/>
              </w:rPr>
              <w:t xml:space="preserve"> </w:t>
            </w:r>
            <w:r w:rsidRPr="002F3E32">
              <w:rPr>
                <w:sz w:val="20"/>
              </w:rPr>
              <w:t xml:space="preserve">Dairy </w:t>
            </w:r>
            <w:r w:rsidR="00D54932">
              <w:rPr>
                <w:sz w:val="20"/>
              </w:rPr>
              <w:t>p</w:t>
            </w:r>
            <w:r w:rsidRPr="002F3E32">
              <w:rPr>
                <w:sz w:val="20"/>
              </w:rPr>
              <w:t xml:space="preserve">roduct </w:t>
            </w:r>
            <w:proofErr w:type="spellStart"/>
            <w:r w:rsidR="00D54932">
              <w:rPr>
                <w:sz w:val="20"/>
              </w:rPr>
              <w:t>mfg</w:t>
            </w:r>
            <w:proofErr w:type="spellEnd"/>
            <w:r w:rsidRPr="002F3E32">
              <w:rPr>
                <w:sz w:val="20"/>
              </w:rPr>
              <w:t xml:space="preserve">                           </w:t>
            </w:r>
            <w:r w:rsidRPr="002F3E32">
              <w:rPr>
                <w:sz w:val="20"/>
              </w:rPr>
              <w:tab/>
              <w:t>114</w:t>
            </w:r>
            <w:r>
              <w:rPr>
                <w:sz w:val="20"/>
              </w:rPr>
              <w:t xml:space="preserve"> </w:t>
            </w:r>
            <w:r w:rsidRPr="002F3E32">
              <w:rPr>
                <w:sz w:val="20"/>
              </w:rPr>
              <w:t xml:space="preserve">Fruit </w:t>
            </w:r>
            <w:r>
              <w:rPr>
                <w:sz w:val="20"/>
              </w:rPr>
              <w:t>&amp;</w:t>
            </w:r>
            <w:r w:rsidRPr="002F3E32">
              <w:rPr>
                <w:sz w:val="20"/>
              </w:rPr>
              <w:t xml:space="preserve"> </w:t>
            </w:r>
            <w:r w:rsidR="00D54932">
              <w:rPr>
                <w:sz w:val="20"/>
              </w:rPr>
              <w:t>v</w:t>
            </w:r>
            <w:r w:rsidRPr="002F3E32">
              <w:rPr>
                <w:sz w:val="20"/>
              </w:rPr>
              <w:t xml:space="preserve">egetable </w:t>
            </w:r>
            <w:r w:rsidR="00D54932">
              <w:rPr>
                <w:sz w:val="20"/>
              </w:rPr>
              <w:t>p</w:t>
            </w:r>
            <w:r w:rsidRPr="002F3E32">
              <w:rPr>
                <w:sz w:val="20"/>
              </w:rPr>
              <w:t>rocessing                           115</w:t>
            </w:r>
            <w:r>
              <w:rPr>
                <w:sz w:val="20"/>
              </w:rPr>
              <w:t xml:space="preserve"> </w:t>
            </w:r>
            <w:r w:rsidRPr="002F3E32">
              <w:rPr>
                <w:sz w:val="20"/>
              </w:rPr>
              <w:t xml:space="preserve">Oil </w:t>
            </w:r>
            <w:r>
              <w:rPr>
                <w:sz w:val="20"/>
              </w:rPr>
              <w:t>&amp;</w:t>
            </w:r>
            <w:r w:rsidRPr="002F3E32">
              <w:rPr>
                <w:sz w:val="20"/>
              </w:rPr>
              <w:t xml:space="preserve"> </w:t>
            </w:r>
            <w:r w:rsidR="00D54932">
              <w:rPr>
                <w:sz w:val="20"/>
              </w:rPr>
              <w:t>f</w:t>
            </w:r>
            <w:r w:rsidRPr="002F3E32">
              <w:rPr>
                <w:sz w:val="20"/>
              </w:rPr>
              <w:t xml:space="preserve">at </w:t>
            </w:r>
            <w:proofErr w:type="spellStart"/>
            <w:r w:rsidR="00D54932">
              <w:rPr>
                <w:sz w:val="20"/>
              </w:rPr>
              <w:t>mfg</w:t>
            </w:r>
            <w:proofErr w:type="spellEnd"/>
            <w:r w:rsidRPr="002F3E32">
              <w:rPr>
                <w:sz w:val="20"/>
              </w:rPr>
              <w:t xml:space="preserve">                           </w:t>
            </w:r>
            <w:r w:rsidRPr="002F3E32">
              <w:rPr>
                <w:sz w:val="20"/>
              </w:rPr>
              <w:tab/>
              <w:t>116</w:t>
            </w:r>
            <w:r>
              <w:rPr>
                <w:sz w:val="20"/>
              </w:rPr>
              <w:t xml:space="preserve"> </w:t>
            </w:r>
            <w:r w:rsidRPr="002F3E32">
              <w:rPr>
                <w:sz w:val="20"/>
              </w:rPr>
              <w:t xml:space="preserve">Grain </w:t>
            </w:r>
            <w:r w:rsidR="00D54932">
              <w:rPr>
                <w:sz w:val="20"/>
              </w:rPr>
              <w:t>m</w:t>
            </w:r>
            <w:r w:rsidRPr="002F3E32">
              <w:rPr>
                <w:sz w:val="20"/>
              </w:rPr>
              <w:t xml:space="preserve">ill </w:t>
            </w:r>
            <w:r>
              <w:rPr>
                <w:sz w:val="20"/>
              </w:rPr>
              <w:t>&amp;</w:t>
            </w:r>
            <w:r w:rsidRPr="002F3E32">
              <w:rPr>
                <w:sz w:val="20"/>
              </w:rPr>
              <w:t xml:space="preserve"> </w:t>
            </w:r>
            <w:r w:rsidR="00D54932">
              <w:rPr>
                <w:sz w:val="20"/>
              </w:rPr>
              <w:t>c</w:t>
            </w:r>
            <w:r w:rsidRPr="002F3E32">
              <w:rPr>
                <w:sz w:val="20"/>
              </w:rPr>
              <w:t xml:space="preserve">ereal </w:t>
            </w:r>
            <w:r w:rsidR="00D54932">
              <w:rPr>
                <w:sz w:val="20"/>
              </w:rPr>
              <w:t>p</w:t>
            </w:r>
            <w:r w:rsidRPr="002F3E32">
              <w:rPr>
                <w:sz w:val="20"/>
              </w:rPr>
              <w:t xml:space="preserve">roduct </w:t>
            </w:r>
            <w:proofErr w:type="spellStart"/>
            <w:r w:rsidR="00D54932">
              <w:rPr>
                <w:sz w:val="20"/>
              </w:rPr>
              <w:t>mfg</w:t>
            </w:r>
            <w:proofErr w:type="spellEnd"/>
            <w:r w:rsidRPr="002F3E32">
              <w:rPr>
                <w:sz w:val="20"/>
              </w:rPr>
              <w:t xml:space="preserve">                           117</w:t>
            </w:r>
            <w:r>
              <w:rPr>
                <w:sz w:val="20"/>
              </w:rPr>
              <w:t xml:space="preserve"> </w:t>
            </w:r>
            <w:r w:rsidRPr="002F3E32">
              <w:rPr>
                <w:sz w:val="20"/>
              </w:rPr>
              <w:t xml:space="preserve">Bakery </w:t>
            </w:r>
            <w:r w:rsidR="00D54932">
              <w:rPr>
                <w:sz w:val="20"/>
              </w:rPr>
              <w:t>p</w:t>
            </w:r>
            <w:r w:rsidRPr="002F3E32">
              <w:rPr>
                <w:sz w:val="20"/>
              </w:rPr>
              <w:t xml:space="preserve">roduct </w:t>
            </w:r>
            <w:proofErr w:type="spellStart"/>
            <w:r w:rsidR="00D54932">
              <w:rPr>
                <w:sz w:val="20"/>
              </w:rPr>
              <w:t>mfg</w:t>
            </w:r>
            <w:proofErr w:type="spellEnd"/>
            <w:r w:rsidRPr="002F3E32">
              <w:rPr>
                <w:sz w:val="20"/>
              </w:rPr>
              <w:t xml:space="preserve">                           </w:t>
            </w:r>
            <w:r>
              <w:rPr>
                <w:sz w:val="20"/>
              </w:rPr>
              <w:tab/>
            </w:r>
            <w:r w:rsidRPr="002F3E32">
              <w:rPr>
                <w:sz w:val="20"/>
              </w:rPr>
              <w:t>118</w:t>
            </w:r>
            <w:r>
              <w:rPr>
                <w:sz w:val="20"/>
              </w:rPr>
              <w:t xml:space="preserve"> </w:t>
            </w:r>
            <w:r w:rsidRPr="002F3E32">
              <w:rPr>
                <w:sz w:val="20"/>
              </w:rPr>
              <w:t xml:space="preserve">Sugar </w:t>
            </w:r>
            <w:r>
              <w:rPr>
                <w:sz w:val="20"/>
              </w:rPr>
              <w:t>&amp;</w:t>
            </w:r>
            <w:r w:rsidRPr="002F3E32">
              <w:rPr>
                <w:sz w:val="20"/>
              </w:rPr>
              <w:t xml:space="preserve"> </w:t>
            </w:r>
            <w:r w:rsidR="00D54932">
              <w:rPr>
                <w:sz w:val="20"/>
              </w:rPr>
              <w:t>c</w:t>
            </w:r>
            <w:r w:rsidRPr="002F3E32">
              <w:rPr>
                <w:sz w:val="20"/>
              </w:rPr>
              <w:t xml:space="preserve">onfectionery </w:t>
            </w:r>
            <w:proofErr w:type="spellStart"/>
            <w:r w:rsidR="00D54932">
              <w:rPr>
                <w:sz w:val="20"/>
              </w:rPr>
              <w:t>mfg</w:t>
            </w:r>
            <w:proofErr w:type="spellEnd"/>
            <w:r w:rsidRPr="002F3E32">
              <w:rPr>
                <w:sz w:val="20"/>
              </w:rPr>
              <w:t xml:space="preserve">                           </w:t>
            </w:r>
            <w:r>
              <w:rPr>
                <w:sz w:val="20"/>
              </w:rPr>
              <w:br/>
            </w:r>
            <w:r w:rsidRPr="002F3E32">
              <w:rPr>
                <w:sz w:val="20"/>
              </w:rPr>
              <w:t>119</w:t>
            </w:r>
            <w:r>
              <w:rPr>
                <w:sz w:val="20"/>
              </w:rPr>
              <w:t xml:space="preserve"> </w:t>
            </w:r>
            <w:r w:rsidRPr="002F3E32">
              <w:rPr>
                <w:sz w:val="20"/>
              </w:rPr>
              <w:t xml:space="preserve">Other </w:t>
            </w:r>
            <w:r w:rsidR="00D54932">
              <w:rPr>
                <w:sz w:val="20"/>
              </w:rPr>
              <w:t>f</w:t>
            </w:r>
            <w:r w:rsidRPr="002F3E32">
              <w:rPr>
                <w:sz w:val="20"/>
              </w:rPr>
              <w:t xml:space="preserve">ood </w:t>
            </w:r>
            <w:r w:rsidR="00D54932">
              <w:rPr>
                <w:sz w:val="20"/>
              </w:rPr>
              <w:t>p</w:t>
            </w:r>
            <w:r w:rsidRPr="002F3E32">
              <w:rPr>
                <w:sz w:val="20"/>
              </w:rPr>
              <w:t xml:space="preserve">roduct </w:t>
            </w:r>
            <w:proofErr w:type="spellStart"/>
            <w:r w:rsidR="00D54932">
              <w:rPr>
                <w:sz w:val="20"/>
              </w:rPr>
              <w:t>mfg</w:t>
            </w:r>
            <w:proofErr w:type="spellEnd"/>
            <w:r w:rsidRPr="002F3E32">
              <w:rPr>
                <w:sz w:val="20"/>
              </w:rPr>
              <w:t xml:space="preserve"> </w:t>
            </w:r>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D54932">
            <w:pPr>
              <w:pStyle w:val="Box"/>
              <w:tabs>
                <w:tab w:val="left" w:pos="4372"/>
              </w:tabs>
              <w:spacing w:line="230" w:lineRule="atLeast"/>
              <w:jc w:val="left"/>
              <w:rPr>
                <w:sz w:val="20"/>
              </w:rPr>
            </w:pPr>
            <w:r w:rsidRPr="00412F74">
              <w:rPr>
                <w:b/>
                <w:sz w:val="20"/>
              </w:rPr>
              <w:t xml:space="preserve">12 </w:t>
            </w:r>
            <w:r>
              <w:rPr>
                <w:b/>
                <w:sz w:val="20"/>
              </w:rPr>
              <w:t xml:space="preserve">  </w:t>
            </w:r>
            <w:r w:rsidRPr="00412F74">
              <w:rPr>
                <w:b/>
                <w:sz w:val="20"/>
              </w:rPr>
              <w:t xml:space="preserve">Beverage &amp; </w:t>
            </w:r>
            <w:r w:rsidR="00D54932">
              <w:rPr>
                <w:b/>
                <w:sz w:val="20"/>
              </w:rPr>
              <w:t>t</w:t>
            </w:r>
            <w:r w:rsidRPr="00412F74">
              <w:rPr>
                <w:b/>
                <w:sz w:val="20"/>
              </w:rPr>
              <w:t xml:space="preserve">obacco </w:t>
            </w:r>
            <w:r w:rsidR="00D54932">
              <w:rPr>
                <w:b/>
                <w:sz w:val="20"/>
              </w:rPr>
              <w:t>product</w:t>
            </w:r>
            <w:r w:rsidRPr="00412F74">
              <w:rPr>
                <w:b/>
                <w:sz w:val="20"/>
              </w:rPr>
              <w:t xml:space="preserve"> </w:t>
            </w:r>
            <w:proofErr w:type="spellStart"/>
            <w:r w:rsidR="00D54932">
              <w:rPr>
                <w:b/>
                <w:sz w:val="20"/>
              </w:rPr>
              <w:t>mfg</w:t>
            </w:r>
            <w:proofErr w:type="spellEnd"/>
            <w:r>
              <w:rPr>
                <w:sz w:val="20"/>
              </w:rPr>
              <w:br/>
            </w:r>
            <w:r w:rsidRPr="002F3E32">
              <w:rPr>
                <w:sz w:val="20"/>
              </w:rPr>
              <w:t>121</w:t>
            </w:r>
            <w:r>
              <w:rPr>
                <w:sz w:val="20"/>
              </w:rPr>
              <w:t xml:space="preserve"> </w:t>
            </w:r>
            <w:r w:rsidRPr="002F3E32">
              <w:rPr>
                <w:sz w:val="20"/>
              </w:rPr>
              <w:t xml:space="preserve">Beverage </w:t>
            </w:r>
            <w:proofErr w:type="spellStart"/>
            <w:r w:rsidR="00D54932">
              <w:rPr>
                <w:sz w:val="20"/>
              </w:rPr>
              <w:t>mfg</w:t>
            </w:r>
            <w:proofErr w:type="spellEnd"/>
            <w:r w:rsidRPr="002F3E32">
              <w:rPr>
                <w:sz w:val="20"/>
              </w:rPr>
              <w:t xml:space="preserve">                           </w:t>
            </w:r>
            <w:r w:rsidRPr="002F3E32">
              <w:rPr>
                <w:sz w:val="20"/>
              </w:rPr>
              <w:tab/>
              <w:t xml:space="preserve">122 Cigarette </w:t>
            </w:r>
            <w:r>
              <w:rPr>
                <w:sz w:val="20"/>
              </w:rPr>
              <w:t>&amp;</w:t>
            </w:r>
            <w:r w:rsidRPr="002F3E32">
              <w:rPr>
                <w:sz w:val="20"/>
              </w:rPr>
              <w:t xml:space="preserve"> </w:t>
            </w:r>
            <w:r w:rsidR="00D54932">
              <w:rPr>
                <w:sz w:val="20"/>
              </w:rPr>
              <w:t>t</w:t>
            </w:r>
            <w:r w:rsidRPr="002F3E32">
              <w:rPr>
                <w:sz w:val="20"/>
              </w:rPr>
              <w:t xml:space="preserve">obacco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412F74" w:rsidRDefault="008D0FE6" w:rsidP="00D54932">
            <w:pPr>
              <w:pStyle w:val="Box"/>
              <w:tabs>
                <w:tab w:val="left" w:pos="4372"/>
              </w:tabs>
              <w:spacing w:line="230" w:lineRule="atLeast"/>
              <w:jc w:val="left"/>
              <w:rPr>
                <w:b/>
                <w:sz w:val="20"/>
              </w:rPr>
            </w:pPr>
            <w:r w:rsidRPr="00412F74">
              <w:rPr>
                <w:b/>
                <w:sz w:val="20"/>
              </w:rPr>
              <w:t xml:space="preserve">13 </w:t>
            </w:r>
            <w:r>
              <w:rPr>
                <w:b/>
                <w:sz w:val="20"/>
              </w:rPr>
              <w:t xml:space="preserve">  </w:t>
            </w:r>
            <w:r w:rsidRPr="00412F74">
              <w:rPr>
                <w:b/>
                <w:sz w:val="20"/>
              </w:rPr>
              <w:t xml:space="preserve">Textile, </w:t>
            </w:r>
            <w:r w:rsidR="00D54932">
              <w:rPr>
                <w:b/>
                <w:sz w:val="20"/>
              </w:rPr>
              <w:t>l</w:t>
            </w:r>
            <w:r w:rsidRPr="00412F74">
              <w:rPr>
                <w:b/>
                <w:sz w:val="20"/>
              </w:rPr>
              <w:t xml:space="preserve">eather, </w:t>
            </w:r>
            <w:r w:rsidR="00D54932">
              <w:rPr>
                <w:b/>
                <w:sz w:val="20"/>
              </w:rPr>
              <w:t>c</w:t>
            </w:r>
            <w:r w:rsidRPr="00412F74">
              <w:rPr>
                <w:b/>
                <w:sz w:val="20"/>
              </w:rPr>
              <w:t xml:space="preserve">lothing &amp; </w:t>
            </w:r>
            <w:r w:rsidR="00D54932">
              <w:rPr>
                <w:b/>
                <w:sz w:val="20"/>
              </w:rPr>
              <w:t>f</w:t>
            </w:r>
            <w:r w:rsidRPr="00412F74">
              <w:rPr>
                <w:b/>
                <w:sz w:val="20"/>
              </w:rPr>
              <w:t xml:space="preserve">ootwear </w:t>
            </w:r>
            <w:proofErr w:type="spellStart"/>
            <w:r w:rsidR="00D54932">
              <w:rPr>
                <w:b/>
                <w:sz w:val="20"/>
              </w:rPr>
              <w:t>mfg</w:t>
            </w:r>
            <w:proofErr w:type="spellEnd"/>
            <w:r>
              <w:rPr>
                <w:sz w:val="20"/>
              </w:rPr>
              <w:br/>
            </w:r>
            <w:r w:rsidRPr="002F3E32">
              <w:rPr>
                <w:sz w:val="20"/>
              </w:rPr>
              <w:t>131</w:t>
            </w:r>
            <w:r>
              <w:rPr>
                <w:sz w:val="20"/>
              </w:rPr>
              <w:t xml:space="preserve"> </w:t>
            </w:r>
            <w:r w:rsidRPr="002F3E32">
              <w:rPr>
                <w:sz w:val="20"/>
              </w:rPr>
              <w:t xml:space="preserve">Textile </w:t>
            </w:r>
            <w:proofErr w:type="spellStart"/>
            <w:r w:rsidR="00D54932">
              <w:rPr>
                <w:sz w:val="20"/>
              </w:rPr>
              <w:t>mfg</w:t>
            </w:r>
            <w:proofErr w:type="spellEnd"/>
            <w:r w:rsidRPr="002F3E32">
              <w:rPr>
                <w:sz w:val="20"/>
              </w:rPr>
              <w:t xml:space="preserve">                           </w:t>
            </w:r>
            <w:r w:rsidRPr="002F3E32">
              <w:rPr>
                <w:sz w:val="20"/>
              </w:rPr>
              <w:tab/>
              <w:t xml:space="preserve">132 Leather </w:t>
            </w:r>
            <w:r w:rsidR="00D54932">
              <w:rPr>
                <w:sz w:val="20"/>
              </w:rPr>
              <w:t>t</w:t>
            </w:r>
            <w:r w:rsidRPr="002F3E32">
              <w:rPr>
                <w:sz w:val="20"/>
              </w:rPr>
              <w:t xml:space="preserve">anning, </w:t>
            </w:r>
            <w:r w:rsidR="00D54932">
              <w:rPr>
                <w:sz w:val="20"/>
              </w:rPr>
              <w:t>f</w:t>
            </w:r>
            <w:r w:rsidRPr="002F3E32">
              <w:rPr>
                <w:sz w:val="20"/>
              </w:rPr>
              <w:t xml:space="preserve">ur </w:t>
            </w:r>
            <w:r w:rsidR="00D54932">
              <w:rPr>
                <w:sz w:val="20"/>
              </w:rPr>
              <w:t>d</w:t>
            </w:r>
            <w:r w:rsidRPr="002F3E32">
              <w:rPr>
                <w:sz w:val="20"/>
              </w:rPr>
              <w:t xml:space="preserve">ressing </w:t>
            </w:r>
            <w:r>
              <w:rPr>
                <w:sz w:val="20"/>
              </w:rPr>
              <w:t>&amp;</w:t>
            </w:r>
            <w:r w:rsidRPr="002F3E32">
              <w:rPr>
                <w:sz w:val="20"/>
              </w:rPr>
              <w:t xml:space="preserve"> </w:t>
            </w:r>
            <w:r w:rsidR="00D54932">
              <w:rPr>
                <w:sz w:val="20"/>
              </w:rPr>
              <w:t>l</w:t>
            </w:r>
            <w:r w:rsidRPr="002F3E32">
              <w:rPr>
                <w:sz w:val="20"/>
              </w:rPr>
              <w:t xml:space="preserve">eather          133 Textile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w:t>
            </w:r>
            <w:r>
              <w:rPr>
                <w:sz w:val="20"/>
              </w:rPr>
              <w:tab/>
            </w:r>
            <w:r w:rsidRPr="002F3E32">
              <w:rPr>
                <w:sz w:val="20"/>
              </w:rPr>
              <w:t>134</w:t>
            </w:r>
            <w:r>
              <w:rPr>
                <w:sz w:val="20"/>
              </w:rPr>
              <w:t xml:space="preserve"> </w:t>
            </w:r>
            <w:r w:rsidRPr="002F3E32">
              <w:rPr>
                <w:sz w:val="20"/>
              </w:rPr>
              <w:t xml:space="preserve">Knitted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w:t>
            </w:r>
            <w:r>
              <w:rPr>
                <w:sz w:val="20"/>
              </w:rPr>
              <w:br/>
            </w:r>
            <w:r w:rsidRPr="002F3E32">
              <w:rPr>
                <w:sz w:val="20"/>
              </w:rPr>
              <w:t xml:space="preserve">135 Clothing </w:t>
            </w:r>
            <w:r>
              <w:rPr>
                <w:sz w:val="20"/>
              </w:rPr>
              <w:t>&amp;</w:t>
            </w:r>
            <w:r w:rsidRPr="002F3E32">
              <w:rPr>
                <w:sz w:val="20"/>
              </w:rPr>
              <w:t xml:space="preserve"> </w:t>
            </w:r>
            <w:r w:rsidR="00D54932">
              <w:rPr>
                <w:sz w:val="20"/>
              </w:rPr>
              <w:t>f</w:t>
            </w:r>
            <w:r w:rsidRPr="002F3E32">
              <w:rPr>
                <w:sz w:val="20"/>
              </w:rPr>
              <w:t xml:space="preserve">ootwear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D54932">
            <w:pPr>
              <w:pStyle w:val="Box"/>
              <w:tabs>
                <w:tab w:val="left" w:pos="4372"/>
              </w:tabs>
              <w:spacing w:line="230" w:lineRule="atLeast"/>
              <w:jc w:val="left"/>
              <w:rPr>
                <w:sz w:val="20"/>
              </w:rPr>
            </w:pPr>
            <w:r w:rsidRPr="00412F74">
              <w:rPr>
                <w:b/>
                <w:sz w:val="20"/>
              </w:rPr>
              <w:t xml:space="preserve">14 </w:t>
            </w:r>
            <w:r>
              <w:rPr>
                <w:b/>
                <w:sz w:val="20"/>
              </w:rPr>
              <w:t xml:space="preserve">  </w:t>
            </w:r>
            <w:r w:rsidRPr="00412F74">
              <w:rPr>
                <w:b/>
                <w:sz w:val="20"/>
              </w:rPr>
              <w:t xml:space="preserve">Wood </w:t>
            </w:r>
            <w:r w:rsidR="00D54932">
              <w:rPr>
                <w:b/>
                <w:sz w:val="20"/>
              </w:rPr>
              <w:t>product</w:t>
            </w:r>
            <w:r w:rsidRPr="00412F74">
              <w:rPr>
                <w:b/>
                <w:sz w:val="20"/>
              </w:rPr>
              <w:t xml:space="preserve"> </w:t>
            </w:r>
            <w:proofErr w:type="spellStart"/>
            <w:r w:rsidR="00D54932">
              <w:rPr>
                <w:b/>
                <w:sz w:val="20"/>
              </w:rPr>
              <w:t>mfg</w:t>
            </w:r>
            <w:proofErr w:type="spellEnd"/>
            <w:r w:rsidRPr="00412F74">
              <w:rPr>
                <w:b/>
                <w:sz w:val="20"/>
              </w:rPr>
              <w:br/>
            </w:r>
            <w:r w:rsidRPr="002F3E32">
              <w:rPr>
                <w:sz w:val="20"/>
              </w:rPr>
              <w:t xml:space="preserve">141 Log </w:t>
            </w:r>
            <w:r w:rsidR="00D54932">
              <w:rPr>
                <w:sz w:val="20"/>
              </w:rPr>
              <w:t>s</w:t>
            </w:r>
            <w:r w:rsidRPr="002F3E32">
              <w:rPr>
                <w:sz w:val="20"/>
              </w:rPr>
              <w:t xml:space="preserve">awmilling </w:t>
            </w:r>
            <w:r>
              <w:rPr>
                <w:sz w:val="20"/>
              </w:rPr>
              <w:t>&amp;</w:t>
            </w:r>
            <w:r w:rsidRPr="002F3E32">
              <w:rPr>
                <w:sz w:val="20"/>
              </w:rPr>
              <w:t xml:space="preserve"> </w:t>
            </w:r>
            <w:r w:rsidR="00D54932">
              <w:rPr>
                <w:sz w:val="20"/>
              </w:rPr>
              <w:t>t</w:t>
            </w:r>
            <w:r w:rsidRPr="002F3E32">
              <w:rPr>
                <w:sz w:val="20"/>
              </w:rPr>
              <w:t xml:space="preserve">imber </w:t>
            </w:r>
            <w:r w:rsidR="00D54932">
              <w:rPr>
                <w:sz w:val="20"/>
              </w:rPr>
              <w:t>d</w:t>
            </w:r>
            <w:r w:rsidRPr="002F3E32">
              <w:rPr>
                <w:sz w:val="20"/>
              </w:rPr>
              <w:t>ressing</w:t>
            </w:r>
            <w:r w:rsidRPr="002F3E32">
              <w:rPr>
                <w:sz w:val="20"/>
              </w:rPr>
              <w:tab/>
              <w:t xml:space="preserve">149 Other </w:t>
            </w:r>
            <w:r w:rsidR="00D54932">
              <w:rPr>
                <w:sz w:val="20"/>
              </w:rPr>
              <w:t>w</w:t>
            </w:r>
            <w:r w:rsidRPr="002F3E32">
              <w:rPr>
                <w:sz w:val="20"/>
              </w:rPr>
              <w:t xml:space="preserve">ood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8D0FE6" w:rsidRDefault="008D0FE6" w:rsidP="00D54932">
            <w:pPr>
              <w:pStyle w:val="Box"/>
              <w:tabs>
                <w:tab w:val="left" w:pos="4372"/>
              </w:tabs>
              <w:spacing w:line="230" w:lineRule="atLeast"/>
              <w:jc w:val="left"/>
              <w:rPr>
                <w:sz w:val="20"/>
              </w:rPr>
            </w:pPr>
            <w:r w:rsidRPr="00412F74">
              <w:rPr>
                <w:b/>
                <w:sz w:val="20"/>
              </w:rPr>
              <w:t xml:space="preserve">15 </w:t>
            </w:r>
            <w:r>
              <w:rPr>
                <w:b/>
                <w:sz w:val="20"/>
              </w:rPr>
              <w:t xml:space="preserve">  </w:t>
            </w:r>
            <w:r w:rsidRPr="00412F74">
              <w:rPr>
                <w:b/>
                <w:sz w:val="20"/>
              </w:rPr>
              <w:t xml:space="preserve">Pulp, </w:t>
            </w:r>
            <w:r w:rsidR="00D54932">
              <w:rPr>
                <w:b/>
                <w:sz w:val="20"/>
              </w:rPr>
              <w:t>p</w:t>
            </w:r>
            <w:r w:rsidRPr="00412F74">
              <w:rPr>
                <w:b/>
                <w:sz w:val="20"/>
              </w:rPr>
              <w:t xml:space="preserve">aper &amp; </w:t>
            </w:r>
            <w:r w:rsidR="00D54932">
              <w:rPr>
                <w:b/>
                <w:sz w:val="20"/>
              </w:rPr>
              <w:t>c</w:t>
            </w:r>
            <w:r w:rsidRPr="00412F74">
              <w:rPr>
                <w:b/>
                <w:sz w:val="20"/>
              </w:rPr>
              <w:t xml:space="preserve">onverted </w:t>
            </w:r>
            <w:r w:rsidR="00D54932">
              <w:rPr>
                <w:b/>
                <w:sz w:val="20"/>
              </w:rPr>
              <w:t>p</w:t>
            </w:r>
            <w:r w:rsidRPr="00412F74">
              <w:rPr>
                <w:b/>
                <w:sz w:val="20"/>
              </w:rPr>
              <w:t xml:space="preserve">aper </w:t>
            </w:r>
            <w:r w:rsidR="00D54932">
              <w:rPr>
                <w:b/>
                <w:sz w:val="20"/>
              </w:rPr>
              <w:t>product</w:t>
            </w:r>
            <w:r w:rsidRPr="00412F74">
              <w:rPr>
                <w:b/>
                <w:sz w:val="20"/>
              </w:rPr>
              <w:t xml:space="preserve"> </w:t>
            </w:r>
            <w:proofErr w:type="spellStart"/>
            <w:r w:rsidR="00D54932">
              <w:rPr>
                <w:b/>
                <w:sz w:val="20"/>
              </w:rPr>
              <w:t>mfg</w:t>
            </w:r>
            <w:proofErr w:type="spellEnd"/>
            <w:r w:rsidRPr="00412F74">
              <w:rPr>
                <w:b/>
                <w:sz w:val="20"/>
              </w:rPr>
              <w:br/>
            </w:r>
            <w:r w:rsidRPr="002F3E32">
              <w:rPr>
                <w:sz w:val="20"/>
              </w:rPr>
              <w:t xml:space="preserve">151 Pulp, </w:t>
            </w:r>
            <w:r w:rsidR="00D54932">
              <w:rPr>
                <w:sz w:val="20"/>
              </w:rPr>
              <w:t>p</w:t>
            </w:r>
            <w:r w:rsidRPr="002F3E32">
              <w:rPr>
                <w:sz w:val="20"/>
              </w:rPr>
              <w:t xml:space="preserve">aper </w:t>
            </w:r>
            <w:r>
              <w:rPr>
                <w:sz w:val="20"/>
              </w:rPr>
              <w:t>&amp;</w:t>
            </w:r>
            <w:r w:rsidRPr="002F3E32">
              <w:rPr>
                <w:sz w:val="20"/>
              </w:rPr>
              <w:t xml:space="preserve"> </w:t>
            </w:r>
            <w:r w:rsidR="00D54932">
              <w:rPr>
                <w:sz w:val="20"/>
              </w:rPr>
              <w:t>p</w:t>
            </w:r>
            <w:r w:rsidRPr="002F3E32">
              <w:rPr>
                <w:sz w:val="20"/>
              </w:rPr>
              <w:t xml:space="preserve">aperboard </w:t>
            </w:r>
            <w:proofErr w:type="spellStart"/>
            <w:r w:rsidR="00D54932">
              <w:rPr>
                <w:sz w:val="20"/>
              </w:rPr>
              <w:t>mfg</w:t>
            </w:r>
            <w:proofErr w:type="spellEnd"/>
            <w:r w:rsidRPr="002F3E32">
              <w:rPr>
                <w:sz w:val="20"/>
              </w:rPr>
              <w:tab/>
              <w:t xml:space="preserve">152 Converted </w:t>
            </w:r>
            <w:r w:rsidR="00D54932">
              <w:rPr>
                <w:sz w:val="20"/>
              </w:rPr>
              <w:t>p</w:t>
            </w:r>
            <w:r w:rsidRPr="002F3E32">
              <w:rPr>
                <w:sz w:val="20"/>
              </w:rPr>
              <w:t xml:space="preserve">aper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CC4256">
            <w:pPr>
              <w:pStyle w:val="Box"/>
              <w:tabs>
                <w:tab w:val="left" w:pos="4372"/>
              </w:tabs>
              <w:spacing w:line="230" w:lineRule="atLeast"/>
              <w:jc w:val="left"/>
              <w:rPr>
                <w:sz w:val="20"/>
              </w:rPr>
            </w:pPr>
            <w:r w:rsidRPr="00412F74">
              <w:rPr>
                <w:b/>
                <w:sz w:val="20"/>
              </w:rPr>
              <w:t xml:space="preserve">16 </w:t>
            </w:r>
            <w:r>
              <w:rPr>
                <w:b/>
                <w:sz w:val="20"/>
              </w:rPr>
              <w:t xml:space="preserve">  </w:t>
            </w:r>
            <w:r w:rsidRPr="00412F74">
              <w:rPr>
                <w:b/>
                <w:sz w:val="20"/>
              </w:rPr>
              <w:t xml:space="preserve">Printing (including the </w:t>
            </w:r>
            <w:r w:rsidR="00CC4256">
              <w:rPr>
                <w:b/>
                <w:sz w:val="20"/>
              </w:rPr>
              <w:t>r</w:t>
            </w:r>
            <w:r w:rsidRPr="00412F74">
              <w:rPr>
                <w:b/>
                <w:sz w:val="20"/>
              </w:rPr>
              <w:t xml:space="preserve">eproduction of </w:t>
            </w:r>
            <w:r w:rsidR="00CC4256">
              <w:rPr>
                <w:b/>
                <w:sz w:val="20"/>
              </w:rPr>
              <w:t>r</w:t>
            </w:r>
            <w:r w:rsidRPr="00412F74">
              <w:rPr>
                <w:b/>
                <w:sz w:val="20"/>
              </w:rPr>
              <w:t xml:space="preserve">ecorded </w:t>
            </w:r>
            <w:r w:rsidR="00CC4256">
              <w:rPr>
                <w:b/>
                <w:sz w:val="20"/>
              </w:rPr>
              <w:t>m</w:t>
            </w:r>
            <w:r w:rsidRPr="00412F74">
              <w:rPr>
                <w:b/>
                <w:sz w:val="20"/>
              </w:rPr>
              <w:t>edia)</w:t>
            </w:r>
            <w:r w:rsidRPr="00412F74">
              <w:rPr>
                <w:b/>
                <w:sz w:val="20"/>
              </w:rPr>
              <w:br/>
            </w:r>
            <w:r w:rsidRPr="002F3E32">
              <w:rPr>
                <w:sz w:val="20"/>
              </w:rPr>
              <w:t xml:space="preserve">161 Printing </w:t>
            </w:r>
            <w:r>
              <w:rPr>
                <w:sz w:val="20"/>
              </w:rPr>
              <w:t>&amp;</w:t>
            </w:r>
            <w:r w:rsidRPr="002F3E32">
              <w:rPr>
                <w:sz w:val="20"/>
              </w:rPr>
              <w:t xml:space="preserve"> </w:t>
            </w:r>
            <w:r w:rsidR="00CC4256">
              <w:rPr>
                <w:sz w:val="20"/>
              </w:rPr>
              <w:t>p</w:t>
            </w:r>
            <w:r w:rsidRPr="002F3E32">
              <w:rPr>
                <w:sz w:val="20"/>
              </w:rPr>
              <w:t xml:space="preserve">rinting </w:t>
            </w:r>
            <w:r w:rsidR="00CC4256">
              <w:rPr>
                <w:sz w:val="20"/>
              </w:rPr>
              <w:t>s</w:t>
            </w:r>
            <w:r w:rsidRPr="002F3E32">
              <w:rPr>
                <w:sz w:val="20"/>
              </w:rPr>
              <w:t xml:space="preserve">upport </w:t>
            </w:r>
            <w:r w:rsidR="00CC4256">
              <w:rPr>
                <w:sz w:val="20"/>
              </w:rPr>
              <w:t>s</w:t>
            </w:r>
            <w:r w:rsidRPr="002F3E32">
              <w:rPr>
                <w:sz w:val="20"/>
              </w:rPr>
              <w:t>ervices</w:t>
            </w:r>
            <w:r w:rsidRPr="002F3E32">
              <w:rPr>
                <w:sz w:val="20"/>
              </w:rPr>
              <w:tab/>
              <w:t xml:space="preserve">162 Reproduction of </w:t>
            </w:r>
            <w:r w:rsidR="00CC4256">
              <w:rPr>
                <w:sz w:val="20"/>
              </w:rPr>
              <w:t>r</w:t>
            </w:r>
            <w:r w:rsidRPr="002F3E32">
              <w:rPr>
                <w:sz w:val="20"/>
              </w:rPr>
              <w:t xml:space="preserve">ecorded </w:t>
            </w:r>
            <w:r w:rsidR="00CC4256">
              <w:rPr>
                <w:sz w:val="20"/>
              </w:rPr>
              <w:t>m</w:t>
            </w:r>
            <w:r w:rsidRPr="002F3E32">
              <w:rPr>
                <w:sz w:val="20"/>
              </w:rPr>
              <w:t>edia</w:t>
            </w:r>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8D0FE6" w:rsidRDefault="008D0FE6" w:rsidP="00CC4256">
            <w:pPr>
              <w:pStyle w:val="Box"/>
              <w:tabs>
                <w:tab w:val="left" w:pos="4372"/>
              </w:tabs>
              <w:spacing w:line="230" w:lineRule="atLeast"/>
              <w:jc w:val="left"/>
              <w:rPr>
                <w:sz w:val="20"/>
              </w:rPr>
            </w:pPr>
            <w:r w:rsidRPr="00412F74">
              <w:rPr>
                <w:b/>
                <w:sz w:val="20"/>
              </w:rPr>
              <w:t xml:space="preserve">17 Petroleum &amp; </w:t>
            </w:r>
            <w:r w:rsidR="00CC4256">
              <w:rPr>
                <w:b/>
                <w:sz w:val="20"/>
              </w:rPr>
              <w:t>c</w:t>
            </w:r>
            <w:r w:rsidRPr="00412F74">
              <w:rPr>
                <w:b/>
                <w:sz w:val="20"/>
              </w:rPr>
              <w:t xml:space="preserve">oal </w:t>
            </w:r>
            <w:r w:rsidR="00D54932">
              <w:rPr>
                <w:b/>
                <w:sz w:val="20"/>
              </w:rPr>
              <w:t>product</w:t>
            </w:r>
            <w:r w:rsidRPr="00412F74">
              <w:rPr>
                <w:b/>
                <w:sz w:val="20"/>
              </w:rPr>
              <w:t xml:space="preserve"> </w:t>
            </w:r>
            <w:proofErr w:type="spellStart"/>
            <w:r w:rsidR="00D54932">
              <w:rPr>
                <w:b/>
                <w:sz w:val="20"/>
              </w:rPr>
              <w:t>mfg</w:t>
            </w:r>
            <w:proofErr w:type="spellEnd"/>
            <w:r>
              <w:rPr>
                <w:sz w:val="20"/>
              </w:rPr>
              <w:br/>
            </w:r>
            <w:r w:rsidRPr="002F3E32">
              <w:rPr>
                <w:sz w:val="20"/>
              </w:rPr>
              <w:t xml:space="preserve">170 Petroleum </w:t>
            </w:r>
            <w:r>
              <w:rPr>
                <w:sz w:val="20"/>
              </w:rPr>
              <w:t>&amp;</w:t>
            </w:r>
            <w:r w:rsidRPr="002F3E32">
              <w:rPr>
                <w:sz w:val="20"/>
              </w:rPr>
              <w:t xml:space="preserve"> </w:t>
            </w:r>
            <w:r w:rsidR="00CC4256">
              <w:rPr>
                <w:sz w:val="20"/>
              </w:rPr>
              <w:t>c</w:t>
            </w:r>
            <w:r w:rsidRPr="002F3E32">
              <w:rPr>
                <w:sz w:val="20"/>
              </w:rPr>
              <w:t xml:space="preserve">oal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CC4256">
            <w:pPr>
              <w:pStyle w:val="Box"/>
              <w:tabs>
                <w:tab w:val="left" w:pos="4372"/>
              </w:tabs>
              <w:spacing w:line="230" w:lineRule="atLeast"/>
              <w:jc w:val="left"/>
              <w:rPr>
                <w:sz w:val="20"/>
              </w:rPr>
            </w:pPr>
            <w:r w:rsidRPr="00412F74">
              <w:rPr>
                <w:b/>
                <w:sz w:val="20"/>
              </w:rPr>
              <w:t xml:space="preserve">18 </w:t>
            </w:r>
            <w:r>
              <w:rPr>
                <w:b/>
                <w:sz w:val="20"/>
              </w:rPr>
              <w:t xml:space="preserve">  </w:t>
            </w:r>
            <w:r w:rsidRPr="00412F74">
              <w:rPr>
                <w:b/>
                <w:sz w:val="20"/>
              </w:rPr>
              <w:t xml:space="preserve">Basic </w:t>
            </w:r>
            <w:r w:rsidR="00CC4256">
              <w:rPr>
                <w:b/>
                <w:sz w:val="20"/>
              </w:rPr>
              <w:t>c</w:t>
            </w:r>
            <w:r w:rsidRPr="00412F74">
              <w:rPr>
                <w:b/>
                <w:sz w:val="20"/>
              </w:rPr>
              <w:t xml:space="preserve">hemical &amp; </w:t>
            </w:r>
            <w:r w:rsidR="00CC4256">
              <w:rPr>
                <w:b/>
                <w:sz w:val="20"/>
              </w:rPr>
              <w:t>c</w:t>
            </w:r>
            <w:r w:rsidRPr="00412F74">
              <w:rPr>
                <w:b/>
                <w:sz w:val="20"/>
              </w:rPr>
              <w:t xml:space="preserve">hemical </w:t>
            </w:r>
            <w:r w:rsidR="00D54932">
              <w:rPr>
                <w:b/>
                <w:sz w:val="20"/>
              </w:rPr>
              <w:t>product</w:t>
            </w:r>
            <w:r w:rsidRPr="00412F74">
              <w:rPr>
                <w:b/>
                <w:sz w:val="20"/>
              </w:rPr>
              <w:t xml:space="preserve"> </w:t>
            </w:r>
            <w:proofErr w:type="spellStart"/>
            <w:r w:rsidR="00D54932">
              <w:rPr>
                <w:b/>
                <w:sz w:val="20"/>
              </w:rPr>
              <w:t>mfg</w:t>
            </w:r>
            <w:proofErr w:type="spellEnd"/>
            <w:r w:rsidRPr="00412F74">
              <w:rPr>
                <w:b/>
                <w:sz w:val="20"/>
              </w:rPr>
              <w:br/>
            </w:r>
            <w:r w:rsidRPr="002F3E32">
              <w:rPr>
                <w:sz w:val="20"/>
              </w:rPr>
              <w:t xml:space="preserve">181 Basic </w:t>
            </w:r>
            <w:r w:rsidR="00CC4256">
              <w:rPr>
                <w:sz w:val="20"/>
              </w:rPr>
              <w:t>c</w:t>
            </w:r>
            <w:r w:rsidRPr="002F3E32">
              <w:rPr>
                <w:sz w:val="20"/>
              </w:rPr>
              <w:t xml:space="preserve">hemical </w:t>
            </w:r>
            <w:proofErr w:type="spellStart"/>
            <w:r w:rsidR="00D54932">
              <w:rPr>
                <w:sz w:val="20"/>
              </w:rPr>
              <w:t>mfg</w:t>
            </w:r>
            <w:proofErr w:type="spellEnd"/>
            <w:r w:rsidRPr="002F3E32">
              <w:rPr>
                <w:sz w:val="20"/>
              </w:rPr>
              <w:tab/>
              <w:t xml:space="preserve">182 Basic </w:t>
            </w:r>
            <w:r w:rsidR="00CC4256">
              <w:rPr>
                <w:sz w:val="20"/>
              </w:rPr>
              <w:t>p</w:t>
            </w:r>
            <w:r w:rsidRPr="002F3E32">
              <w:rPr>
                <w:sz w:val="20"/>
              </w:rPr>
              <w:t xml:space="preserve">olymer </w:t>
            </w:r>
            <w:proofErr w:type="spellStart"/>
            <w:r w:rsidR="00D54932">
              <w:rPr>
                <w:sz w:val="20"/>
              </w:rPr>
              <w:t>mfg</w:t>
            </w:r>
            <w:proofErr w:type="spellEnd"/>
            <w:r>
              <w:rPr>
                <w:sz w:val="20"/>
              </w:rPr>
              <w:br/>
            </w:r>
            <w:r w:rsidRPr="002F3E32">
              <w:rPr>
                <w:sz w:val="20"/>
              </w:rPr>
              <w:t xml:space="preserve">183 Fertiliser </w:t>
            </w:r>
            <w:r>
              <w:rPr>
                <w:sz w:val="20"/>
              </w:rPr>
              <w:t>&amp;</w:t>
            </w:r>
            <w:r w:rsidRPr="002F3E32">
              <w:rPr>
                <w:sz w:val="20"/>
              </w:rPr>
              <w:t xml:space="preserve"> </w:t>
            </w:r>
            <w:r w:rsidR="00CC4256">
              <w:rPr>
                <w:sz w:val="20"/>
              </w:rPr>
              <w:t>p</w:t>
            </w:r>
            <w:r w:rsidRPr="002F3E32">
              <w:rPr>
                <w:sz w:val="20"/>
              </w:rPr>
              <w:t xml:space="preserve">esticide </w:t>
            </w:r>
            <w:proofErr w:type="spellStart"/>
            <w:r w:rsidR="00D54932">
              <w:rPr>
                <w:sz w:val="20"/>
              </w:rPr>
              <w:t>mfg</w:t>
            </w:r>
            <w:proofErr w:type="spellEnd"/>
            <w:r w:rsidRPr="002F3E32">
              <w:rPr>
                <w:sz w:val="20"/>
              </w:rPr>
              <w:tab/>
              <w:t xml:space="preserve">184 Pharmaceutical </w:t>
            </w:r>
            <w:r>
              <w:rPr>
                <w:sz w:val="20"/>
              </w:rPr>
              <w:t>&amp;</w:t>
            </w:r>
            <w:r w:rsidRPr="002F3E32">
              <w:rPr>
                <w:sz w:val="20"/>
              </w:rPr>
              <w:t xml:space="preserve"> </w:t>
            </w:r>
            <w:r w:rsidR="00CC4256">
              <w:rPr>
                <w:sz w:val="20"/>
              </w:rPr>
              <w:t>m</w:t>
            </w:r>
            <w:r w:rsidRPr="002F3E32">
              <w:rPr>
                <w:sz w:val="20"/>
              </w:rPr>
              <w:t xml:space="preserve">edicinal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185 Cleaning </w:t>
            </w:r>
            <w:r w:rsidR="00CC4256">
              <w:rPr>
                <w:sz w:val="20"/>
              </w:rPr>
              <w:t>c</w:t>
            </w:r>
            <w:r w:rsidRPr="002F3E32">
              <w:rPr>
                <w:sz w:val="20"/>
              </w:rPr>
              <w:t xml:space="preserve">ompound </w:t>
            </w:r>
            <w:r>
              <w:rPr>
                <w:sz w:val="20"/>
              </w:rPr>
              <w:t>&amp;</w:t>
            </w:r>
            <w:r w:rsidRPr="002F3E32">
              <w:rPr>
                <w:sz w:val="20"/>
              </w:rPr>
              <w:t xml:space="preserve"> </w:t>
            </w:r>
            <w:r w:rsidR="00CC4256">
              <w:rPr>
                <w:sz w:val="20"/>
              </w:rPr>
              <w:t>t</w:t>
            </w:r>
            <w:r w:rsidRPr="002F3E32">
              <w:rPr>
                <w:sz w:val="20"/>
              </w:rPr>
              <w:t xml:space="preserve">oiletry </w:t>
            </w:r>
            <w:proofErr w:type="spellStart"/>
            <w:r w:rsidR="00CC4256">
              <w:rPr>
                <w:sz w:val="20"/>
              </w:rPr>
              <w:t>p</w:t>
            </w:r>
            <w:r w:rsidRPr="002F3E32">
              <w:rPr>
                <w:sz w:val="20"/>
              </w:rPr>
              <w:t>rep</w:t>
            </w:r>
            <w:r>
              <w:rPr>
                <w:sz w:val="20"/>
              </w:rPr>
              <w:t>’</w:t>
            </w:r>
            <w:r w:rsidRPr="002F3E32">
              <w:rPr>
                <w:sz w:val="20"/>
              </w:rPr>
              <w:t>n</w:t>
            </w:r>
            <w:proofErr w:type="spellEnd"/>
            <w:r w:rsidRPr="002F3E32">
              <w:rPr>
                <w:sz w:val="20"/>
              </w:rPr>
              <w:t xml:space="preserve"> </w:t>
            </w:r>
            <w:proofErr w:type="spellStart"/>
            <w:r w:rsidR="00D54932">
              <w:rPr>
                <w:sz w:val="20"/>
              </w:rPr>
              <w:t>mfg</w:t>
            </w:r>
            <w:proofErr w:type="spellEnd"/>
            <w:r w:rsidRPr="002F3E32">
              <w:rPr>
                <w:sz w:val="20"/>
              </w:rPr>
              <w:tab/>
              <w:t xml:space="preserve">189 Other </w:t>
            </w:r>
            <w:r w:rsidR="00CC4256">
              <w:rPr>
                <w:sz w:val="20"/>
              </w:rPr>
              <w:t>b</w:t>
            </w:r>
            <w:r w:rsidRPr="002F3E32">
              <w:rPr>
                <w:sz w:val="20"/>
              </w:rPr>
              <w:t xml:space="preserve">asic </w:t>
            </w:r>
            <w:r w:rsidR="00CC4256">
              <w:rPr>
                <w:sz w:val="20"/>
              </w:rPr>
              <w:t>c</w:t>
            </w:r>
            <w:r w:rsidRPr="002F3E32">
              <w:rPr>
                <w:sz w:val="20"/>
              </w:rPr>
              <w:t xml:space="preserve">hemical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8D0FE6" w:rsidRDefault="008D0FE6" w:rsidP="00CC4256">
            <w:pPr>
              <w:pStyle w:val="Box"/>
              <w:tabs>
                <w:tab w:val="left" w:pos="4372"/>
              </w:tabs>
              <w:spacing w:line="230" w:lineRule="atLeast"/>
              <w:jc w:val="left"/>
              <w:rPr>
                <w:sz w:val="20"/>
              </w:rPr>
            </w:pPr>
            <w:r w:rsidRPr="00412F74">
              <w:rPr>
                <w:b/>
                <w:sz w:val="20"/>
              </w:rPr>
              <w:t xml:space="preserve">19 </w:t>
            </w:r>
            <w:r>
              <w:rPr>
                <w:b/>
                <w:sz w:val="20"/>
              </w:rPr>
              <w:t xml:space="preserve">  </w:t>
            </w:r>
            <w:r w:rsidRPr="00412F74">
              <w:rPr>
                <w:b/>
                <w:sz w:val="20"/>
              </w:rPr>
              <w:t xml:space="preserve">Polymer </w:t>
            </w:r>
            <w:r w:rsidR="00D54932">
              <w:rPr>
                <w:b/>
                <w:sz w:val="20"/>
              </w:rPr>
              <w:t>product</w:t>
            </w:r>
            <w:r w:rsidRPr="00412F74">
              <w:rPr>
                <w:b/>
                <w:sz w:val="20"/>
              </w:rPr>
              <w:t xml:space="preserve"> &amp; </w:t>
            </w:r>
            <w:r w:rsidR="00CC4256">
              <w:rPr>
                <w:b/>
                <w:sz w:val="20"/>
              </w:rPr>
              <w:t>r</w:t>
            </w:r>
            <w:r w:rsidRPr="00412F74">
              <w:rPr>
                <w:b/>
                <w:sz w:val="20"/>
              </w:rPr>
              <w:t xml:space="preserve">ubber </w:t>
            </w:r>
            <w:r w:rsidR="00D54932">
              <w:rPr>
                <w:b/>
                <w:sz w:val="20"/>
              </w:rPr>
              <w:t>product</w:t>
            </w:r>
            <w:r w:rsidRPr="00412F74">
              <w:rPr>
                <w:b/>
                <w:sz w:val="20"/>
              </w:rPr>
              <w:t xml:space="preserve"> </w:t>
            </w:r>
            <w:proofErr w:type="spellStart"/>
            <w:r w:rsidR="00D54932">
              <w:rPr>
                <w:b/>
                <w:sz w:val="20"/>
              </w:rPr>
              <w:t>mfg</w:t>
            </w:r>
            <w:proofErr w:type="spellEnd"/>
            <w:r>
              <w:rPr>
                <w:sz w:val="20"/>
              </w:rPr>
              <w:br/>
            </w:r>
            <w:r w:rsidRPr="002F3E32">
              <w:rPr>
                <w:sz w:val="20"/>
              </w:rPr>
              <w:t xml:space="preserve">191 Polymer </w:t>
            </w:r>
            <w:r w:rsidR="00D54932">
              <w:rPr>
                <w:sz w:val="20"/>
              </w:rPr>
              <w:t>product</w:t>
            </w:r>
            <w:r w:rsidRPr="002F3E32">
              <w:rPr>
                <w:sz w:val="20"/>
              </w:rPr>
              <w:t xml:space="preserve"> </w:t>
            </w:r>
            <w:proofErr w:type="spellStart"/>
            <w:r w:rsidR="00D54932">
              <w:rPr>
                <w:sz w:val="20"/>
              </w:rPr>
              <w:t>mfg</w:t>
            </w:r>
            <w:proofErr w:type="spellEnd"/>
            <w:r w:rsidRPr="002F3E32">
              <w:rPr>
                <w:sz w:val="20"/>
              </w:rPr>
              <w:tab/>
              <w:t xml:space="preserve">192 Natural </w:t>
            </w:r>
            <w:r w:rsidR="00CC4256">
              <w:rPr>
                <w:sz w:val="20"/>
              </w:rPr>
              <w:t>r</w:t>
            </w:r>
            <w:r w:rsidRPr="002F3E32">
              <w:rPr>
                <w:sz w:val="20"/>
              </w:rPr>
              <w:t xml:space="preserve">ubber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w:t>
            </w:r>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CC4256">
            <w:pPr>
              <w:pStyle w:val="Box"/>
              <w:tabs>
                <w:tab w:val="left" w:pos="4372"/>
              </w:tabs>
              <w:spacing w:line="230" w:lineRule="atLeast"/>
              <w:jc w:val="left"/>
              <w:rPr>
                <w:sz w:val="20"/>
              </w:rPr>
            </w:pPr>
            <w:r w:rsidRPr="00412F74">
              <w:rPr>
                <w:b/>
                <w:sz w:val="20"/>
              </w:rPr>
              <w:t xml:space="preserve">20 </w:t>
            </w:r>
            <w:r>
              <w:rPr>
                <w:b/>
                <w:sz w:val="20"/>
              </w:rPr>
              <w:t xml:space="preserve">  </w:t>
            </w:r>
            <w:r w:rsidRPr="00412F74">
              <w:rPr>
                <w:b/>
                <w:sz w:val="20"/>
              </w:rPr>
              <w:t>Non-</w:t>
            </w:r>
            <w:r w:rsidR="00CC4256">
              <w:rPr>
                <w:b/>
                <w:sz w:val="20"/>
              </w:rPr>
              <w:t>m</w:t>
            </w:r>
            <w:r w:rsidRPr="00412F74">
              <w:rPr>
                <w:b/>
                <w:sz w:val="20"/>
              </w:rPr>
              <w:t xml:space="preserve">etallic </w:t>
            </w:r>
            <w:r w:rsidR="00CC4256">
              <w:rPr>
                <w:b/>
                <w:sz w:val="20"/>
              </w:rPr>
              <w:t>m</w:t>
            </w:r>
            <w:r w:rsidRPr="00412F74">
              <w:rPr>
                <w:b/>
                <w:sz w:val="20"/>
              </w:rPr>
              <w:t xml:space="preserve">ineral </w:t>
            </w:r>
            <w:r w:rsidR="00D54932">
              <w:rPr>
                <w:b/>
                <w:sz w:val="20"/>
              </w:rPr>
              <w:t>product</w:t>
            </w:r>
            <w:r w:rsidRPr="00412F74">
              <w:rPr>
                <w:b/>
                <w:sz w:val="20"/>
              </w:rPr>
              <w:t xml:space="preserve"> </w:t>
            </w:r>
            <w:proofErr w:type="spellStart"/>
            <w:r w:rsidR="00D54932">
              <w:rPr>
                <w:b/>
                <w:sz w:val="20"/>
              </w:rPr>
              <w:t>mfg</w:t>
            </w:r>
            <w:proofErr w:type="spellEnd"/>
            <w:r w:rsidRPr="00412F74">
              <w:rPr>
                <w:b/>
                <w:sz w:val="20"/>
              </w:rPr>
              <w:br/>
            </w:r>
            <w:r w:rsidRPr="002F3E32">
              <w:rPr>
                <w:sz w:val="20"/>
              </w:rPr>
              <w:t xml:space="preserve">201 Glass </w:t>
            </w:r>
            <w:r>
              <w:rPr>
                <w:sz w:val="20"/>
              </w:rPr>
              <w:t>&amp;</w:t>
            </w:r>
            <w:r w:rsidRPr="002F3E32">
              <w:rPr>
                <w:sz w:val="20"/>
              </w:rPr>
              <w:t xml:space="preserve"> </w:t>
            </w:r>
            <w:r w:rsidR="00CC4256">
              <w:rPr>
                <w:sz w:val="20"/>
              </w:rPr>
              <w:t>g</w:t>
            </w:r>
            <w:r w:rsidRPr="002F3E32">
              <w:rPr>
                <w:sz w:val="20"/>
              </w:rPr>
              <w:t xml:space="preserve">lass </w:t>
            </w:r>
            <w:r w:rsidR="00D54932">
              <w:rPr>
                <w:sz w:val="20"/>
              </w:rPr>
              <w:t>product</w:t>
            </w:r>
            <w:r w:rsidRPr="002F3E32">
              <w:rPr>
                <w:sz w:val="20"/>
              </w:rPr>
              <w:t xml:space="preserve"> </w:t>
            </w:r>
            <w:proofErr w:type="spellStart"/>
            <w:r w:rsidR="00D54932">
              <w:rPr>
                <w:sz w:val="20"/>
              </w:rPr>
              <w:t>mfg</w:t>
            </w:r>
            <w:proofErr w:type="spellEnd"/>
            <w:r w:rsidRPr="002F3E32">
              <w:rPr>
                <w:sz w:val="20"/>
              </w:rPr>
              <w:tab/>
              <w:t xml:space="preserve">202 Ceramic </w:t>
            </w:r>
            <w:r w:rsidR="00D54932">
              <w:rPr>
                <w:sz w:val="20"/>
              </w:rPr>
              <w:t>product</w:t>
            </w:r>
            <w:r w:rsidRPr="002F3E32">
              <w:rPr>
                <w:sz w:val="20"/>
              </w:rPr>
              <w:t xml:space="preserve"> </w:t>
            </w:r>
            <w:proofErr w:type="spellStart"/>
            <w:r w:rsidR="00D54932">
              <w:rPr>
                <w:sz w:val="20"/>
              </w:rPr>
              <w:t>mfg</w:t>
            </w:r>
            <w:proofErr w:type="spellEnd"/>
            <w:r>
              <w:rPr>
                <w:sz w:val="20"/>
              </w:rPr>
              <w:br/>
            </w:r>
            <w:r w:rsidRPr="002F3E32">
              <w:rPr>
                <w:sz w:val="20"/>
              </w:rPr>
              <w:t xml:space="preserve">203 Cement, </w:t>
            </w:r>
            <w:r w:rsidR="00CC4256">
              <w:rPr>
                <w:sz w:val="20"/>
              </w:rPr>
              <w:t>l</w:t>
            </w:r>
            <w:r w:rsidRPr="002F3E32">
              <w:rPr>
                <w:sz w:val="20"/>
              </w:rPr>
              <w:t xml:space="preserve">ime, </w:t>
            </w:r>
            <w:r w:rsidR="00CC4256">
              <w:rPr>
                <w:sz w:val="20"/>
              </w:rPr>
              <w:t>p</w:t>
            </w:r>
            <w:r w:rsidRPr="002F3E32">
              <w:rPr>
                <w:sz w:val="20"/>
              </w:rPr>
              <w:t xml:space="preserve">laster &amp; </w:t>
            </w:r>
            <w:r w:rsidR="00CC4256">
              <w:rPr>
                <w:sz w:val="20"/>
              </w:rPr>
              <w:t>c</w:t>
            </w:r>
            <w:r w:rsidRPr="002F3E32">
              <w:rPr>
                <w:sz w:val="20"/>
              </w:rPr>
              <w:t>oncrete Prod</w:t>
            </w:r>
            <w:r>
              <w:rPr>
                <w:sz w:val="20"/>
              </w:rPr>
              <w:t>.</w:t>
            </w:r>
            <w:r w:rsidRPr="002F3E32">
              <w:rPr>
                <w:sz w:val="20"/>
              </w:rPr>
              <w:t xml:space="preserve"> </w:t>
            </w:r>
            <w:r>
              <w:rPr>
                <w:sz w:val="20"/>
              </w:rPr>
              <w:tab/>
            </w:r>
            <w:r w:rsidRPr="002F3E32">
              <w:rPr>
                <w:sz w:val="20"/>
              </w:rPr>
              <w:t xml:space="preserve">209 Other </w:t>
            </w:r>
            <w:proofErr w:type="spellStart"/>
            <w:r w:rsidR="00CC4256">
              <w:rPr>
                <w:sz w:val="20"/>
              </w:rPr>
              <w:t>n</w:t>
            </w:r>
            <w:r w:rsidRPr="002F3E32">
              <w:rPr>
                <w:sz w:val="20"/>
              </w:rPr>
              <w:t>on-</w:t>
            </w:r>
            <w:r w:rsidR="00CC4256">
              <w:rPr>
                <w:sz w:val="20"/>
              </w:rPr>
              <w:t>m</w:t>
            </w:r>
            <w:r w:rsidRPr="002F3E32">
              <w:rPr>
                <w:sz w:val="20"/>
              </w:rPr>
              <w:t>etallic</w:t>
            </w:r>
            <w:proofErr w:type="spellEnd"/>
            <w:r w:rsidRPr="002F3E32">
              <w:rPr>
                <w:sz w:val="20"/>
              </w:rPr>
              <w:t xml:space="preserve"> </w:t>
            </w:r>
            <w:r w:rsidR="00CC4256">
              <w:rPr>
                <w:sz w:val="20"/>
              </w:rPr>
              <w:t>m</w:t>
            </w:r>
            <w:r w:rsidRPr="002F3E32">
              <w:rPr>
                <w:sz w:val="20"/>
              </w:rPr>
              <w:t xml:space="preserve">ineral </w:t>
            </w:r>
            <w:r w:rsidR="00CC4256">
              <w:rPr>
                <w:sz w:val="20"/>
              </w:rPr>
              <w:t>p</w:t>
            </w:r>
            <w:r w:rsidRPr="002F3E32">
              <w:rPr>
                <w:sz w:val="20"/>
              </w:rPr>
              <w:t>rod</w:t>
            </w:r>
            <w:r>
              <w:rPr>
                <w:sz w:val="20"/>
              </w:rPr>
              <w: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8D0FE6" w:rsidRDefault="008D0FE6" w:rsidP="00CC4256">
            <w:pPr>
              <w:pStyle w:val="Box"/>
              <w:tabs>
                <w:tab w:val="left" w:pos="4372"/>
              </w:tabs>
              <w:spacing w:line="230" w:lineRule="atLeast"/>
              <w:jc w:val="left"/>
              <w:rPr>
                <w:sz w:val="20"/>
              </w:rPr>
            </w:pPr>
            <w:r w:rsidRPr="00412F74">
              <w:rPr>
                <w:b/>
                <w:sz w:val="20"/>
              </w:rPr>
              <w:t xml:space="preserve">21 </w:t>
            </w:r>
            <w:r>
              <w:rPr>
                <w:b/>
                <w:sz w:val="20"/>
              </w:rPr>
              <w:t xml:space="preserve">  </w:t>
            </w:r>
            <w:r w:rsidRPr="00412F74">
              <w:rPr>
                <w:b/>
                <w:sz w:val="20"/>
              </w:rPr>
              <w:t xml:space="preserve">Primary </w:t>
            </w:r>
            <w:r w:rsidR="00CC4256">
              <w:rPr>
                <w:b/>
                <w:sz w:val="20"/>
              </w:rPr>
              <w:t>m</w:t>
            </w:r>
            <w:r w:rsidRPr="00412F74">
              <w:rPr>
                <w:b/>
                <w:sz w:val="20"/>
              </w:rPr>
              <w:t xml:space="preserve">etal &amp; </w:t>
            </w:r>
            <w:r w:rsidR="00CC4256">
              <w:rPr>
                <w:b/>
                <w:sz w:val="20"/>
              </w:rPr>
              <w:t>m</w:t>
            </w:r>
            <w:r w:rsidRPr="00412F74">
              <w:rPr>
                <w:b/>
                <w:sz w:val="20"/>
              </w:rPr>
              <w:t xml:space="preserve">etal </w:t>
            </w:r>
            <w:r w:rsidR="00D54932">
              <w:rPr>
                <w:b/>
                <w:sz w:val="20"/>
              </w:rPr>
              <w:t>product</w:t>
            </w:r>
            <w:r w:rsidRPr="00412F74">
              <w:rPr>
                <w:b/>
                <w:sz w:val="20"/>
              </w:rPr>
              <w:t xml:space="preserve"> </w:t>
            </w:r>
            <w:proofErr w:type="spellStart"/>
            <w:r w:rsidR="00D54932">
              <w:rPr>
                <w:b/>
                <w:sz w:val="20"/>
              </w:rPr>
              <w:t>mfg</w:t>
            </w:r>
            <w:proofErr w:type="spellEnd"/>
            <w:r>
              <w:rPr>
                <w:sz w:val="20"/>
              </w:rPr>
              <w:br/>
            </w:r>
            <w:r w:rsidRPr="002F3E32">
              <w:rPr>
                <w:sz w:val="20"/>
              </w:rPr>
              <w:t>211</w:t>
            </w:r>
            <w:r>
              <w:rPr>
                <w:sz w:val="20"/>
              </w:rPr>
              <w:t xml:space="preserve"> </w:t>
            </w:r>
            <w:r w:rsidRPr="002F3E32">
              <w:rPr>
                <w:sz w:val="20"/>
              </w:rPr>
              <w:t xml:space="preserve">Basic </w:t>
            </w:r>
            <w:r w:rsidR="00CC4256">
              <w:rPr>
                <w:sz w:val="20"/>
              </w:rPr>
              <w:t>f</w:t>
            </w:r>
            <w:r w:rsidRPr="002F3E32">
              <w:rPr>
                <w:sz w:val="20"/>
              </w:rPr>
              <w:t xml:space="preserve">errous </w:t>
            </w:r>
            <w:r w:rsidR="00CC4256">
              <w:rPr>
                <w:sz w:val="20"/>
              </w:rPr>
              <w:t>m</w:t>
            </w:r>
            <w:r w:rsidRPr="002F3E32">
              <w:rPr>
                <w:sz w:val="20"/>
              </w:rPr>
              <w:t xml:space="preserve">etal </w:t>
            </w:r>
            <w:proofErr w:type="spellStart"/>
            <w:r w:rsidR="00D54932">
              <w:rPr>
                <w:sz w:val="20"/>
              </w:rPr>
              <w:t>mfg</w:t>
            </w:r>
            <w:proofErr w:type="spellEnd"/>
            <w:r w:rsidRPr="002F3E32">
              <w:rPr>
                <w:sz w:val="20"/>
              </w:rPr>
              <w:t xml:space="preserve">                           </w:t>
            </w:r>
            <w:r>
              <w:rPr>
                <w:sz w:val="20"/>
              </w:rPr>
              <w:tab/>
            </w:r>
            <w:r w:rsidRPr="002F3E32">
              <w:rPr>
                <w:sz w:val="20"/>
              </w:rPr>
              <w:t>212</w:t>
            </w:r>
            <w:r>
              <w:rPr>
                <w:sz w:val="20"/>
              </w:rPr>
              <w:t xml:space="preserve"> </w:t>
            </w:r>
            <w:r w:rsidRPr="002F3E32">
              <w:rPr>
                <w:sz w:val="20"/>
              </w:rPr>
              <w:t xml:space="preserve">Basic </w:t>
            </w:r>
            <w:r w:rsidR="00CC4256">
              <w:rPr>
                <w:sz w:val="20"/>
              </w:rPr>
              <w:t>f</w:t>
            </w:r>
            <w:r w:rsidRPr="002F3E32">
              <w:rPr>
                <w:sz w:val="20"/>
              </w:rPr>
              <w:t xml:space="preserve">errous </w:t>
            </w:r>
            <w:r w:rsidR="00CC4256">
              <w:rPr>
                <w:sz w:val="20"/>
              </w:rPr>
              <w:t>m</w:t>
            </w:r>
            <w:r w:rsidRPr="002F3E32">
              <w:rPr>
                <w:sz w:val="20"/>
              </w:rPr>
              <w:t xml:space="preserve">etal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213</w:t>
            </w:r>
            <w:r>
              <w:rPr>
                <w:sz w:val="20"/>
              </w:rPr>
              <w:t xml:space="preserve"> </w:t>
            </w:r>
            <w:r w:rsidRPr="002F3E32">
              <w:rPr>
                <w:sz w:val="20"/>
              </w:rPr>
              <w:t xml:space="preserve">Basic </w:t>
            </w:r>
            <w:r w:rsidR="00CC4256">
              <w:rPr>
                <w:sz w:val="20"/>
              </w:rPr>
              <w:t>n</w:t>
            </w:r>
            <w:r w:rsidRPr="002F3E32">
              <w:rPr>
                <w:sz w:val="20"/>
              </w:rPr>
              <w:t>on-</w:t>
            </w:r>
            <w:r w:rsidR="00CC4256">
              <w:rPr>
                <w:sz w:val="20"/>
              </w:rPr>
              <w:t>f</w:t>
            </w:r>
            <w:r w:rsidRPr="002F3E32">
              <w:rPr>
                <w:sz w:val="20"/>
              </w:rPr>
              <w:t xml:space="preserve">errous </w:t>
            </w:r>
            <w:r w:rsidR="00CC4256">
              <w:rPr>
                <w:sz w:val="20"/>
              </w:rPr>
              <w:t>m</w:t>
            </w:r>
            <w:r w:rsidRPr="002F3E32">
              <w:rPr>
                <w:sz w:val="20"/>
              </w:rPr>
              <w:t xml:space="preserve">etal </w:t>
            </w:r>
            <w:proofErr w:type="spellStart"/>
            <w:r w:rsidR="00D54932">
              <w:rPr>
                <w:sz w:val="20"/>
              </w:rPr>
              <w:t>mfg</w:t>
            </w:r>
            <w:proofErr w:type="spellEnd"/>
            <w:r w:rsidRPr="002F3E32">
              <w:rPr>
                <w:sz w:val="20"/>
              </w:rPr>
              <w:t xml:space="preserve">                  </w:t>
            </w:r>
            <w:r>
              <w:rPr>
                <w:sz w:val="20"/>
              </w:rPr>
              <w:t xml:space="preserve">  </w:t>
            </w:r>
            <w:r>
              <w:rPr>
                <w:sz w:val="20"/>
              </w:rPr>
              <w:tab/>
            </w:r>
            <w:r w:rsidRPr="002F3E32">
              <w:rPr>
                <w:sz w:val="20"/>
              </w:rPr>
              <w:t>214</w:t>
            </w:r>
            <w:r>
              <w:rPr>
                <w:sz w:val="20"/>
              </w:rPr>
              <w:t xml:space="preserve"> </w:t>
            </w:r>
            <w:r w:rsidRPr="002F3E32">
              <w:rPr>
                <w:sz w:val="20"/>
              </w:rPr>
              <w:t xml:space="preserve">Basic </w:t>
            </w:r>
            <w:r w:rsidR="00CC4256">
              <w:rPr>
                <w:sz w:val="20"/>
              </w:rPr>
              <w:t>n</w:t>
            </w:r>
            <w:r w:rsidRPr="002F3E32">
              <w:rPr>
                <w:sz w:val="20"/>
              </w:rPr>
              <w:t>on-</w:t>
            </w:r>
            <w:r w:rsidR="00CC4256">
              <w:rPr>
                <w:sz w:val="20"/>
              </w:rPr>
              <w:t>f</w:t>
            </w:r>
            <w:r w:rsidRPr="002F3E32">
              <w:rPr>
                <w:sz w:val="20"/>
              </w:rPr>
              <w:t xml:space="preserve">errous </w:t>
            </w:r>
            <w:r w:rsidR="00CC4256">
              <w:rPr>
                <w:sz w:val="20"/>
              </w:rPr>
              <w:t>m</w:t>
            </w:r>
            <w:r w:rsidRPr="002F3E32">
              <w:rPr>
                <w:sz w:val="20"/>
              </w:rPr>
              <w:t xml:space="preserve">etal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CC4256">
            <w:pPr>
              <w:pStyle w:val="Box"/>
              <w:tabs>
                <w:tab w:val="left" w:pos="4372"/>
                <w:tab w:val="left" w:pos="6855"/>
              </w:tabs>
              <w:spacing w:line="230" w:lineRule="atLeast"/>
              <w:jc w:val="left"/>
              <w:rPr>
                <w:sz w:val="20"/>
              </w:rPr>
            </w:pPr>
            <w:r w:rsidRPr="00412F74">
              <w:rPr>
                <w:b/>
                <w:sz w:val="20"/>
              </w:rPr>
              <w:t xml:space="preserve">22 </w:t>
            </w:r>
            <w:r>
              <w:rPr>
                <w:b/>
                <w:sz w:val="20"/>
              </w:rPr>
              <w:t xml:space="preserve">  </w:t>
            </w:r>
            <w:r w:rsidRPr="00412F74">
              <w:rPr>
                <w:b/>
                <w:sz w:val="20"/>
              </w:rPr>
              <w:t xml:space="preserve">Fabricated </w:t>
            </w:r>
            <w:r w:rsidR="00CC4256">
              <w:rPr>
                <w:b/>
                <w:sz w:val="20"/>
              </w:rPr>
              <w:t>m</w:t>
            </w:r>
            <w:r w:rsidRPr="00412F74">
              <w:rPr>
                <w:b/>
                <w:sz w:val="20"/>
              </w:rPr>
              <w:t xml:space="preserve">etal </w:t>
            </w:r>
            <w:r w:rsidR="00D54932">
              <w:rPr>
                <w:b/>
                <w:sz w:val="20"/>
              </w:rPr>
              <w:t>product</w:t>
            </w:r>
            <w:r w:rsidRPr="00412F74">
              <w:rPr>
                <w:b/>
                <w:sz w:val="20"/>
              </w:rPr>
              <w:t xml:space="preserve"> </w:t>
            </w:r>
            <w:proofErr w:type="spellStart"/>
            <w:r w:rsidR="00D54932">
              <w:rPr>
                <w:b/>
                <w:sz w:val="20"/>
              </w:rPr>
              <w:t>mfg</w:t>
            </w:r>
            <w:proofErr w:type="spellEnd"/>
            <w:r>
              <w:rPr>
                <w:sz w:val="20"/>
              </w:rPr>
              <w:tab/>
            </w:r>
            <w:r>
              <w:rPr>
                <w:sz w:val="20"/>
              </w:rPr>
              <w:tab/>
            </w:r>
            <w:r>
              <w:rPr>
                <w:sz w:val="20"/>
              </w:rPr>
              <w:br/>
            </w:r>
            <w:r w:rsidRPr="002F3E32">
              <w:rPr>
                <w:sz w:val="20"/>
              </w:rPr>
              <w:t>221</w:t>
            </w:r>
            <w:r>
              <w:rPr>
                <w:sz w:val="20"/>
              </w:rPr>
              <w:t xml:space="preserve"> </w:t>
            </w:r>
            <w:r w:rsidRPr="002F3E32">
              <w:rPr>
                <w:sz w:val="20"/>
              </w:rPr>
              <w:t xml:space="preserve">Iron </w:t>
            </w:r>
            <w:r>
              <w:rPr>
                <w:sz w:val="20"/>
              </w:rPr>
              <w:t>&amp;</w:t>
            </w:r>
            <w:r w:rsidRPr="002F3E32">
              <w:rPr>
                <w:sz w:val="20"/>
              </w:rPr>
              <w:t xml:space="preserve"> </w:t>
            </w:r>
            <w:r w:rsidR="00CC4256">
              <w:rPr>
                <w:sz w:val="20"/>
              </w:rPr>
              <w:t>s</w:t>
            </w:r>
            <w:r w:rsidRPr="002F3E32">
              <w:rPr>
                <w:sz w:val="20"/>
              </w:rPr>
              <w:t xml:space="preserve">teel </w:t>
            </w:r>
            <w:r w:rsidR="00CC4256">
              <w:rPr>
                <w:sz w:val="20"/>
              </w:rPr>
              <w:t>f</w:t>
            </w:r>
            <w:r w:rsidRPr="002F3E32">
              <w:rPr>
                <w:sz w:val="20"/>
              </w:rPr>
              <w:t>orging</w:t>
            </w:r>
            <w:r>
              <w:rPr>
                <w:sz w:val="20"/>
              </w:rPr>
              <w:tab/>
            </w:r>
            <w:r w:rsidRPr="002F3E32">
              <w:rPr>
                <w:sz w:val="20"/>
              </w:rPr>
              <w:t>222</w:t>
            </w:r>
            <w:r>
              <w:rPr>
                <w:sz w:val="20"/>
              </w:rPr>
              <w:t xml:space="preserve"> </w:t>
            </w:r>
            <w:r w:rsidRPr="002F3E32">
              <w:rPr>
                <w:sz w:val="20"/>
              </w:rPr>
              <w:t xml:space="preserve">Structural </w:t>
            </w:r>
            <w:r w:rsidR="00CC4256">
              <w:rPr>
                <w:sz w:val="20"/>
              </w:rPr>
              <w:t>m</w:t>
            </w:r>
            <w:r w:rsidRPr="002F3E32">
              <w:rPr>
                <w:sz w:val="20"/>
              </w:rPr>
              <w:t xml:space="preserve">etal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w:t>
            </w:r>
            <w:r>
              <w:rPr>
                <w:sz w:val="20"/>
              </w:rPr>
              <w:t xml:space="preserve">  </w:t>
            </w:r>
            <w:r w:rsidRPr="002F3E32">
              <w:rPr>
                <w:sz w:val="20"/>
              </w:rPr>
              <w:t>223</w:t>
            </w:r>
            <w:r>
              <w:rPr>
                <w:sz w:val="20"/>
              </w:rPr>
              <w:t xml:space="preserve"> </w:t>
            </w:r>
            <w:r w:rsidRPr="002F3E32">
              <w:rPr>
                <w:sz w:val="20"/>
              </w:rPr>
              <w:t xml:space="preserve">Metal </w:t>
            </w:r>
            <w:r w:rsidR="00CC4256">
              <w:rPr>
                <w:sz w:val="20"/>
              </w:rPr>
              <w:t>c</w:t>
            </w:r>
            <w:r w:rsidRPr="002F3E32">
              <w:rPr>
                <w:sz w:val="20"/>
              </w:rPr>
              <w:t xml:space="preserve">ontainer </w:t>
            </w:r>
            <w:proofErr w:type="spellStart"/>
            <w:r w:rsidR="00D54932">
              <w:rPr>
                <w:sz w:val="20"/>
              </w:rPr>
              <w:t>mfg</w:t>
            </w:r>
            <w:proofErr w:type="spellEnd"/>
            <w:r>
              <w:rPr>
                <w:sz w:val="20"/>
              </w:rPr>
              <w:tab/>
            </w:r>
            <w:r w:rsidRPr="002F3E32">
              <w:rPr>
                <w:sz w:val="20"/>
              </w:rPr>
              <w:t>224</w:t>
            </w:r>
            <w:r>
              <w:rPr>
                <w:sz w:val="20"/>
              </w:rPr>
              <w:t xml:space="preserve"> </w:t>
            </w:r>
            <w:r w:rsidRPr="002F3E32">
              <w:rPr>
                <w:sz w:val="20"/>
              </w:rPr>
              <w:t xml:space="preserve">Sheet </w:t>
            </w:r>
            <w:r w:rsidR="00CC4256">
              <w:rPr>
                <w:sz w:val="20"/>
              </w:rPr>
              <w:t>m</w:t>
            </w:r>
            <w:r w:rsidRPr="002F3E32">
              <w:rPr>
                <w:sz w:val="20"/>
              </w:rPr>
              <w:t xml:space="preserve">etal </w:t>
            </w:r>
            <w:r w:rsidR="00D54932">
              <w:rPr>
                <w:sz w:val="20"/>
              </w:rPr>
              <w:t>product</w:t>
            </w:r>
            <w:r w:rsidRPr="002F3E32">
              <w:rPr>
                <w:sz w:val="20"/>
              </w:rPr>
              <w:t xml:space="preserve"> </w:t>
            </w:r>
            <w:proofErr w:type="spellStart"/>
            <w:r w:rsidR="00D54932">
              <w:rPr>
                <w:sz w:val="20"/>
              </w:rPr>
              <w:t>mfg</w:t>
            </w:r>
            <w:proofErr w:type="spellEnd"/>
            <w:r w:rsidRPr="002F3E32">
              <w:rPr>
                <w:sz w:val="20"/>
              </w:rPr>
              <w:t xml:space="preserve">                      </w:t>
            </w:r>
            <w:r>
              <w:rPr>
                <w:sz w:val="20"/>
              </w:rPr>
              <w:t xml:space="preserve">     </w:t>
            </w:r>
            <w:r w:rsidRPr="002F3E32">
              <w:rPr>
                <w:sz w:val="20"/>
              </w:rPr>
              <w:t>229</w:t>
            </w:r>
            <w:r>
              <w:rPr>
                <w:sz w:val="20"/>
              </w:rPr>
              <w:t xml:space="preserve"> </w:t>
            </w:r>
            <w:r w:rsidRPr="002F3E32">
              <w:rPr>
                <w:sz w:val="20"/>
              </w:rPr>
              <w:t xml:space="preserve">Other </w:t>
            </w:r>
            <w:r w:rsidR="00CC4256">
              <w:rPr>
                <w:sz w:val="20"/>
              </w:rPr>
              <w:t>f</w:t>
            </w:r>
            <w:r w:rsidRPr="002F3E32">
              <w:rPr>
                <w:sz w:val="20"/>
              </w:rPr>
              <w:t xml:space="preserve">abricated </w:t>
            </w:r>
            <w:r w:rsidR="00CC4256">
              <w:rPr>
                <w:sz w:val="20"/>
              </w:rPr>
              <w:t>m</w:t>
            </w:r>
            <w:r w:rsidRPr="002F3E32">
              <w:rPr>
                <w:sz w:val="20"/>
              </w:rPr>
              <w:t xml:space="preserve">etal </w:t>
            </w:r>
            <w:r w:rsidR="00D54932">
              <w:rPr>
                <w:sz w:val="20"/>
              </w:rPr>
              <w:t>product</w:t>
            </w:r>
            <w:r w:rsidRPr="002F3E32">
              <w:rPr>
                <w:sz w:val="20"/>
              </w:rPr>
              <w:t xml:space="preserve">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8D0FE6" w:rsidRDefault="008D0FE6" w:rsidP="00CC4256">
            <w:pPr>
              <w:pStyle w:val="Box"/>
              <w:tabs>
                <w:tab w:val="left" w:pos="4372"/>
              </w:tabs>
              <w:spacing w:line="230" w:lineRule="atLeast"/>
              <w:jc w:val="left"/>
              <w:rPr>
                <w:sz w:val="20"/>
              </w:rPr>
            </w:pPr>
            <w:r w:rsidRPr="00412F74">
              <w:rPr>
                <w:b/>
                <w:sz w:val="20"/>
              </w:rPr>
              <w:t xml:space="preserve">23 </w:t>
            </w:r>
            <w:r>
              <w:rPr>
                <w:b/>
                <w:sz w:val="20"/>
              </w:rPr>
              <w:t xml:space="preserve">  </w:t>
            </w:r>
            <w:r w:rsidRPr="00412F74">
              <w:rPr>
                <w:b/>
                <w:sz w:val="20"/>
              </w:rPr>
              <w:t xml:space="preserve">Transport </w:t>
            </w:r>
            <w:r w:rsidR="00CC4256">
              <w:rPr>
                <w:b/>
                <w:sz w:val="20"/>
              </w:rPr>
              <w:t>e</w:t>
            </w:r>
            <w:r w:rsidRPr="00412F74">
              <w:rPr>
                <w:b/>
                <w:sz w:val="20"/>
              </w:rPr>
              <w:t xml:space="preserve">quipment </w:t>
            </w:r>
            <w:proofErr w:type="spellStart"/>
            <w:r w:rsidR="00D54932">
              <w:rPr>
                <w:b/>
                <w:sz w:val="20"/>
              </w:rPr>
              <w:t>mfg</w:t>
            </w:r>
            <w:proofErr w:type="spellEnd"/>
            <w:r>
              <w:rPr>
                <w:sz w:val="20"/>
              </w:rPr>
              <w:tab/>
            </w:r>
            <w:r>
              <w:rPr>
                <w:sz w:val="20"/>
              </w:rPr>
              <w:br/>
            </w:r>
            <w:r w:rsidRPr="002F3E32">
              <w:rPr>
                <w:sz w:val="20"/>
              </w:rPr>
              <w:t>231</w:t>
            </w:r>
            <w:r>
              <w:rPr>
                <w:sz w:val="20"/>
              </w:rPr>
              <w:t xml:space="preserve"> </w:t>
            </w:r>
            <w:r w:rsidRPr="002F3E32">
              <w:rPr>
                <w:sz w:val="20"/>
              </w:rPr>
              <w:t xml:space="preserve">Motor </w:t>
            </w:r>
            <w:r w:rsidR="00CC4256">
              <w:rPr>
                <w:sz w:val="20"/>
              </w:rPr>
              <w:t>v</w:t>
            </w:r>
            <w:r w:rsidRPr="002F3E32">
              <w:rPr>
                <w:sz w:val="20"/>
              </w:rPr>
              <w:t xml:space="preserve">ehicle </w:t>
            </w:r>
            <w:r>
              <w:rPr>
                <w:sz w:val="20"/>
              </w:rPr>
              <w:t>&amp;</w:t>
            </w:r>
            <w:r w:rsidRPr="002F3E32">
              <w:rPr>
                <w:sz w:val="20"/>
              </w:rPr>
              <w:t xml:space="preserve"> </w:t>
            </w:r>
            <w:r w:rsidR="00CC4256">
              <w:rPr>
                <w:sz w:val="20"/>
              </w:rPr>
              <w:t>m</w:t>
            </w:r>
            <w:r w:rsidRPr="002F3E32">
              <w:rPr>
                <w:sz w:val="20"/>
              </w:rPr>
              <w:t xml:space="preserve">otor </w:t>
            </w:r>
            <w:r w:rsidR="00CC4256">
              <w:rPr>
                <w:sz w:val="20"/>
              </w:rPr>
              <w:t>v</w:t>
            </w:r>
            <w:r w:rsidRPr="002F3E32">
              <w:rPr>
                <w:sz w:val="20"/>
              </w:rPr>
              <w:t xml:space="preserve">ehicle </w:t>
            </w:r>
            <w:r w:rsidR="00CC4256">
              <w:rPr>
                <w:sz w:val="20"/>
              </w:rPr>
              <w:t>p</w:t>
            </w:r>
            <w:r w:rsidRPr="002F3E32">
              <w:rPr>
                <w:sz w:val="20"/>
              </w:rPr>
              <w:t xml:space="preserve">art </w:t>
            </w:r>
            <w:proofErr w:type="spellStart"/>
            <w:r w:rsidR="00D54932">
              <w:rPr>
                <w:sz w:val="20"/>
              </w:rPr>
              <w:t>mfg</w:t>
            </w:r>
            <w:proofErr w:type="spellEnd"/>
            <w:r>
              <w:rPr>
                <w:sz w:val="20"/>
              </w:rPr>
              <w:tab/>
            </w:r>
            <w:r w:rsidRPr="002F3E32">
              <w:rPr>
                <w:sz w:val="20"/>
              </w:rPr>
              <w:t xml:space="preserve"> 239</w:t>
            </w:r>
            <w:r>
              <w:rPr>
                <w:sz w:val="20"/>
              </w:rPr>
              <w:t xml:space="preserve"> </w:t>
            </w:r>
            <w:r w:rsidRPr="002F3E32">
              <w:rPr>
                <w:sz w:val="20"/>
              </w:rPr>
              <w:t xml:space="preserve">Other </w:t>
            </w:r>
            <w:r w:rsidR="00CC4256">
              <w:rPr>
                <w:sz w:val="20"/>
              </w:rPr>
              <w:t>t</w:t>
            </w:r>
            <w:r w:rsidRPr="002F3E32">
              <w:rPr>
                <w:sz w:val="20"/>
              </w:rPr>
              <w:t xml:space="preserve">ransport </w:t>
            </w:r>
            <w:r w:rsidR="00CC4256">
              <w:rPr>
                <w:sz w:val="20"/>
              </w:rPr>
              <w:t>e</w:t>
            </w:r>
            <w:r w:rsidRPr="002F3E32">
              <w:rPr>
                <w:sz w:val="20"/>
              </w:rPr>
              <w:t xml:space="preserve">quipment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auto"/>
          </w:tcPr>
          <w:p w:rsidR="008D0FE6" w:rsidRPr="008D0FE6" w:rsidRDefault="008D0FE6" w:rsidP="00CC4256">
            <w:pPr>
              <w:pStyle w:val="Box"/>
              <w:tabs>
                <w:tab w:val="left" w:pos="4372"/>
              </w:tabs>
              <w:spacing w:line="230" w:lineRule="atLeast"/>
              <w:jc w:val="left"/>
              <w:rPr>
                <w:sz w:val="20"/>
              </w:rPr>
            </w:pPr>
            <w:r w:rsidRPr="00412F74">
              <w:rPr>
                <w:b/>
                <w:sz w:val="20"/>
              </w:rPr>
              <w:t>24</w:t>
            </w:r>
            <w:r>
              <w:rPr>
                <w:b/>
                <w:sz w:val="20"/>
              </w:rPr>
              <w:t xml:space="preserve">  </w:t>
            </w:r>
            <w:r w:rsidRPr="00412F74">
              <w:rPr>
                <w:b/>
                <w:sz w:val="20"/>
              </w:rPr>
              <w:t xml:space="preserve"> Machinery &amp; </w:t>
            </w:r>
            <w:r w:rsidR="00CC4256">
              <w:rPr>
                <w:b/>
                <w:sz w:val="20"/>
              </w:rPr>
              <w:t>e</w:t>
            </w:r>
            <w:r w:rsidRPr="00412F74">
              <w:rPr>
                <w:b/>
                <w:sz w:val="20"/>
              </w:rPr>
              <w:t xml:space="preserve">quipment </w:t>
            </w:r>
            <w:proofErr w:type="spellStart"/>
            <w:r w:rsidR="00D54932">
              <w:rPr>
                <w:b/>
                <w:sz w:val="20"/>
              </w:rPr>
              <w:t>mfg</w:t>
            </w:r>
            <w:proofErr w:type="spellEnd"/>
            <w:r>
              <w:rPr>
                <w:sz w:val="20"/>
              </w:rPr>
              <w:tab/>
            </w:r>
            <w:r>
              <w:rPr>
                <w:sz w:val="20"/>
              </w:rPr>
              <w:br/>
            </w:r>
            <w:r w:rsidRPr="002F3E32">
              <w:rPr>
                <w:sz w:val="20"/>
              </w:rPr>
              <w:t>241</w:t>
            </w:r>
            <w:r>
              <w:rPr>
                <w:sz w:val="20"/>
              </w:rPr>
              <w:t xml:space="preserve"> </w:t>
            </w:r>
            <w:r w:rsidRPr="002F3E32">
              <w:rPr>
                <w:sz w:val="20"/>
              </w:rPr>
              <w:t xml:space="preserve">Professional </w:t>
            </w:r>
            <w:r>
              <w:rPr>
                <w:sz w:val="20"/>
              </w:rPr>
              <w:t>&amp;</w:t>
            </w:r>
            <w:r w:rsidRPr="002F3E32">
              <w:rPr>
                <w:sz w:val="20"/>
              </w:rPr>
              <w:t xml:space="preserve"> </w:t>
            </w:r>
            <w:r w:rsidR="00CC4256">
              <w:rPr>
                <w:sz w:val="20"/>
              </w:rPr>
              <w:t>s</w:t>
            </w:r>
            <w:r w:rsidRPr="002F3E32">
              <w:rPr>
                <w:sz w:val="20"/>
              </w:rPr>
              <w:t xml:space="preserve">cientific </w:t>
            </w:r>
            <w:r w:rsidR="00CC4256">
              <w:rPr>
                <w:sz w:val="20"/>
              </w:rPr>
              <w:t>e</w:t>
            </w:r>
            <w:r w:rsidRPr="002F3E32">
              <w:rPr>
                <w:sz w:val="20"/>
              </w:rPr>
              <w:t xml:space="preserve">quipment </w:t>
            </w:r>
            <w:proofErr w:type="spellStart"/>
            <w:r w:rsidR="00D54932">
              <w:rPr>
                <w:sz w:val="20"/>
              </w:rPr>
              <w:t>mfg</w:t>
            </w:r>
            <w:proofErr w:type="spellEnd"/>
            <w:r>
              <w:rPr>
                <w:sz w:val="20"/>
              </w:rPr>
              <w:tab/>
            </w:r>
            <w:r w:rsidRPr="002F3E32">
              <w:rPr>
                <w:sz w:val="20"/>
              </w:rPr>
              <w:t>242</w:t>
            </w:r>
            <w:r>
              <w:rPr>
                <w:sz w:val="20"/>
              </w:rPr>
              <w:t xml:space="preserve"> </w:t>
            </w:r>
            <w:r w:rsidRPr="002F3E32">
              <w:rPr>
                <w:sz w:val="20"/>
              </w:rPr>
              <w:t xml:space="preserve">Computer </w:t>
            </w:r>
            <w:r>
              <w:rPr>
                <w:sz w:val="20"/>
              </w:rPr>
              <w:t>&amp;</w:t>
            </w:r>
            <w:r w:rsidRPr="002F3E32">
              <w:rPr>
                <w:sz w:val="20"/>
              </w:rPr>
              <w:t xml:space="preserve"> </w:t>
            </w:r>
            <w:r w:rsidR="00CC4256">
              <w:rPr>
                <w:sz w:val="20"/>
              </w:rPr>
              <w:t>e</w:t>
            </w:r>
            <w:r w:rsidRPr="002F3E32">
              <w:rPr>
                <w:sz w:val="20"/>
              </w:rPr>
              <w:t xml:space="preserve">lectronic </w:t>
            </w:r>
            <w:r w:rsidR="00CC4256">
              <w:rPr>
                <w:sz w:val="20"/>
              </w:rPr>
              <w:t>e</w:t>
            </w:r>
            <w:r w:rsidRPr="002F3E32">
              <w:rPr>
                <w:sz w:val="20"/>
              </w:rPr>
              <w:t xml:space="preserve">quipment </w:t>
            </w:r>
            <w:proofErr w:type="spellStart"/>
            <w:r w:rsidR="00D54932">
              <w:rPr>
                <w:sz w:val="20"/>
              </w:rPr>
              <w:t>mfg</w:t>
            </w:r>
            <w:proofErr w:type="spellEnd"/>
            <w:r>
              <w:rPr>
                <w:sz w:val="20"/>
              </w:rPr>
              <w:br/>
            </w:r>
            <w:r w:rsidRPr="002F3E32">
              <w:rPr>
                <w:sz w:val="20"/>
              </w:rPr>
              <w:t>243</w:t>
            </w:r>
            <w:r>
              <w:rPr>
                <w:sz w:val="20"/>
              </w:rPr>
              <w:t xml:space="preserve"> </w:t>
            </w:r>
            <w:r w:rsidRPr="002F3E32">
              <w:rPr>
                <w:sz w:val="20"/>
              </w:rPr>
              <w:t xml:space="preserve">Electrical </w:t>
            </w:r>
            <w:r w:rsidR="00CC4256">
              <w:rPr>
                <w:sz w:val="20"/>
              </w:rPr>
              <w:t>e</w:t>
            </w:r>
            <w:r w:rsidRPr="002F3E32">
              <w:rPr>
                <w:sz w:val="20"/>
              </w:rPr>
              <w:t xml:space="preserve">quipment </w:t>
            </w:r>
            <w:proofErr w:type="spellStart"/>
            <w:r w:rsidR="00D54932">
              <w:rPr>
                <w:sz w:val="20"/>
              </w:rPr>
              <w:t>mfg</w:t>
            </w:r>
            <w:proofErr w:type="spellEnd"/>
            <w:r>
              <w:rPr>
                <w:sz w:val="20"/>
              </w:rPr>
              <w:tab/>
            </w:r>
            <w:r w:rsidRPr="002F3E32">
              <w:rPr>
                <w:sz w:val="20"/>
              </w:rPr>
              <w:t>244</w:t>
            </w:r>
            <w:r>
              <w:rPr>
                <w:sz w:val="20"/>
              </w:rPr>
              <w:t xml:space="preserve"> </w:t>
            </w:r>
            <w:r w:rsidRPr="002F3E32">
              <w:rPr>
                <w:sz w:val="20"/>
              </w:rPr>
              <w:t xml:space="preserve">Domestic </w:t>
            </w:r>
            <w:r w:rsidR="00CC4256">
              <w:rPr>
                <w:sz w:val="20"/>
              </w:rPr>
              <w:t>a</w:t>
            </w:r>
            <w:r w:rsidRPr="002F3E32">
              <w:rPr>
                <w:sz w:val="20"/>
              </w:rPr>
              <w:t xml:space="preserve">ppliance </w:t>
            </w:r>
            <w:proofErr w:type="spellStart"/>
            <w:r w:rsidR="00D54932">
              <w:rPr>
                <w:sz w:val="20"/>
              </w:rPr>
              <w:t>mfg</w:t>
            </w:r>
            <w:proofErr w:type="spellEnd"/>
            <w:r>
              <w:rPr>
                <w:sz w:val="20"/>
              </w:rPr>
              <w:br/>
            </w:r>
            <w:r w:rsidRPr="002F3E32">
              <w:rPr>
                <w:sz w:val="20"/>
              </w:rPr>
              <w:t>245</w:t>
            </w:r>
            <w:r>
              <w:rPr>
                <w:sz w:val="20"/>
              </w:rPr>
              <w:t xml:space="preserve"> </w:t>
            </w:r>
            <w:r w:rsidRPr="002F3E32">
              <w:rPr>
                <w:sz w:val="20"/>
              </w:rPr>
              <w:t xml:space="preserve">Pump, </w:t>
            </w:r>
            <w:r w:rsidR="00CC4256">
              <w:rPr>
                <w:sz w:val="20"/>
              </w:rPr>
              <w:t>c</w:t>
            </w:r>
            <w:r w:rsidRPr="002F3E32">
              <w:rPr>
                <w:sz w:val="20"/>
              </w:rPr>
              <w:t xml:space="preserve">ompressor, </w:t>
            </w:r>
            <w:r w:rsidR="00CC4256">
              <w:rPr>
                <w:sz w:val="20"/>
              </w:rPr>
              <w:t>h</w:t>
            </w:r>
            <w:r w:rsidRPr="002F3E32">
              <w:rPr>
                <w:sz w:val="20"/>
              </w:rPr>
              <w:t xml:space="preserve">eating </w:t>
            </w:r>
            <w:r>
              <w:rPr>
                <w:sz w:val="20"/>
              </w:rPr>
              <w:t>&amp;</w:t>
            </w:r>
            <w:r w:rsidRPr="002F3E32">
              <w:rPr>
                <w:sz w:val="20"/>
              </w:rPr>
              <w:t xml:space="preserve"> </w:t>
            </w:r>
            <w:r w:rsidR="00CC4256">
              <w:rPr>
                <w:sz w:val="20"/>
              </w:rPr>
              <w:t>v</w:t>
            </w:r>
            <w:r w:rsidRPr="002F3E32">
              <w:rPr>
                <w:sz w:val="20"/>
              </w:rPr>
              <w:t>entilation</w:t>
            </w:r>
            <w:r>
              <w:rPr>
                <w:sz w:val="20"/>
              </w:rPr>
              <w:tab/>
            </w:r>
            <w:r w:rsidRPr="002F3E32">
              <w:rPr>
                <w:sz w:val="20"/>
              </w:rPr>
              <w:t>246</w:t>
            </w:r>
            <w:r>
              <w:rPr>
                <w:sz w:val="20"/>
              </w:rPr>
              <w:t xml:space="preserve"> </w:t>
            </w:r>
            <w:r w:rsidRPr="002F3E32">
              <w:rPr>
                <w:sz w:val="20"/>
              </w:rPr>
              <w:t xml:space="preserve">Specialised </w:t>
            </w:r>
            <w:r w:rsidR="00CC4256">
              <w:rPr>
                <w:sz w:val="20"/>
              </w:rPr>
              <w:t>m</w:t>
            </w:r>
            <w:r w:rsidRPr="002F3E32">
              <w:rPr>
                <w:sz w:val="20"/>
              </w:rPr>
              <w:t xml:space="preserve">achinery </w:t>
            </w:r>
            <w:r>
              <w:rPr>
                <w:sz w:val="20"/>
              </w:rPr>
              <w:t>&amp;</w:t>
            </w:r>
            <w:r w:rsidRPr="002F3E32">
              <w:rPr>
                <w:sz w:val="20"/>
              </w:rPr>
              <w:t xml:space="preserve"> </w:t>
            </w:r>
            <w:r w:rsidR="00CC4256">
              <w:rPr>
                <w:sz w:val="20"/>
              </w:rPr>
              <w:t>e</w:t>
            </w:r>
            <w:r w:rsidRPr="002F3E32">
              <w:rPr>
                <w:sz w:val="20"/>
              </w:rPr>
              <w:t xml:space="preserve">quipment </w:t>
            </w:r>
            <w:proofErr w:type="spellStart"/>
            <w:r w:rsidR="00D54932">
              <w:rPr>
                <w:sz w:val="20"/>
              </w:rPr>
              <w:t>mfg</w:t>
            </w:r>
            <w:proofErr w:type="spellEnd"/>
            <w:r>
              <w:rPr>
                <w:sz w:val="20"/>
              </w:rPr>
              <w:br/>
            </w:r>
            <w:r w:rsidRPr="002F3E32">
              <w:rPr>
                <w:sz w:val="20"/>
              </w:rPr>
              <w:t>249</w:t>
            </w:r>
            <w:r>
              <w:rPr>
                <w:sz w:val="20"/>
              </w:rPr>
              <w:t xml:space="preserve"> </w:t>
            </w:r>
            <w:r w:rsidRPr="002F3E32">
              <w:rPr>
                <w:sz w:val="20"/>
              </w:rPr>
              <w:t xml:space="preserve">Other </w:t>
            </w:r>
            <w:r w:rsidR="00CC4256">
              <w:rPr>
                <w:sz w:val="20"/>
              </w:rPr>
              <w:t>m</w:t>
            </w:r>
            <w:r w:rsidRPr="002F3E32">
              <w:rPr>
                <w:sz w:val="20"/>
              </w:rPr>
              <w:t xml:space="preserve">achinery </w:t>
            </w:r>
            <w:r>
              <w:rPr>
                <w:sz w:val="20"/>
              </w:rPr>
              <w:t>&amp;</w:t>
            </w:r>
            <w:r w:rsidRPr="002F3E32">
              <w:rPr>
                <w:sz w:val="20"/>
              </w:rPr>
              <w:t xml:space="preserve"> </w:t>
            </w:r>
            <w:r w:rsidR="00CC4256">
              <w:rPr>
                <w:sz w:val="20"/>
              </w:rPr>
              <w:t>e</w:t>
            </w:r>
            <w:r w:rsidRPr="002F3E32">
              <w:rPr>
                <w:sz w:val="20"/>
              </w:rPr>
              <w:t xml:space="preserve">quipment </w:t>
            </w:r>
            <w:proofErr w:type="spellStart"/>
            <w:r w:rsidR="00D54932">
              <w:rPr>
                <w:sz w:val="20"/>
              </w:rPr>
              <w:t>mfg</w:t>
            </w:r>
            <w:proofErr w:type="spellEnd"/>
          </w:p>
        </w:tc>
      </w:tr>
      <w:tr w:rsidR="008D0FE6" w:rsidRPr="002F3E32" w:rsidTr="00B270CB">
        <w:trPr>
          <w:cantSplit/>
        </w:trPr>
        <w:tc>
          <w:tcPr>
            <w:tcW w:w="8771" w:type="dxa"/>
            <w:tcBorders>
              <w:top w:val="nil"/>
              <w:left w:val="single" w:sz="6" w:space="0" w:color="auto"/>
              <w:bottom w:val="nil"/>
              <w:right w:val="single" w:sz="6" w:space="0" w:color="auto"/>
            </w:tcBorders>
            <w:shd w:val="clear" w:color="auto" w:fill="D9D9D9" w:themeFill="background1" w:themeFillShade="D9"/>
          </w:tcPr>
          <w:p w:rsidR="008D0FE6" w:rsidRPr="00412F74" w:rsidRDefault="008D0FE6" w:rsidP="00C87BBF">
            <w:pPr>
              <w:pStyle w:val="Box"/>
              <w:tabs>
                <w:tab w:val="left" w:pos="4372"/>
              </w:tabs>
              <w:spacing w:line="230" w:lineRule="atLeast"/>
              <w:jc w:val="left"/>
              <w:rPr>
                <w:b/>
                <w:sz w:val="20"/>
              </w:rPr>
            </w:pPr>
            <w:r w:rsidRPr="00412F74">
              <w:rPr>
                <w:b/>
                <w:sz w:val="20"/>
              </w:rPr>
              <w:t xml:space="preserve">25 </w:t>
            </w:r>
            <w:r>
              <w:rPr>
                <w:b/>
                <w:sz w:val="20"/>
              </w:rPr>
              <w:t xml:space="preserve">  </w:t>
            </w:r>
            <w:r w:rsidRPr="00412F74">
              <w:rPr>
                <w:b/>
                <w:sz w:val="20"/>
              </w:rPr>
              <w:t xml:space="preserve">Furniture &amp; </w:t>
            </w:r>
            <w:r w:rsidR="00CC4256">
              <w:rPr>
                <w:b/>
                <w:sz w:val="20"/>
              </w:rPr>
              <w:t>o</w:t>
            </w:r>
            <w:r w:rsidRPr="00412F74">
              <w:rPr>
                <w:b/>
                <w:sz w:val="20"/>
              </w:rPr>
              <w:t xml:space="preserve">ther </w:t>
            </w:r>
            <w:proofErr w:type="spellStart"/>
            <w:r w:rsidR="00D54932">
              <w:rPr>
                <w:b/>
                <w:sz w:val="20"/>
              </w:rPr>
              <w:t>Mfg</w:t>
            </w:r>
            <w:proofErr w:type="spellEnd"/>
            <w:r>
              <w:rPr>
                <w:sz w:val="20"/>
              </w:rPr>
              <w:tab/>
            </w:r>
            <w:r>
              <w:rPr>
                <w:sz w:val="20"/>
              </w:rPr>
              <w:br/>
            </w:r>
            <w:r w:rsidRPr="002F3E32">
              <w:rPr>
                <w:sz w:val="20"/>
              </w:rPr>
              <w:t>251</w:t>
            </w:r>
            <w:r>
              <w:rPr>
                <w:sz w:val="20"/>
              </w:rPr>
              <w:t xml:space="preserve"> </w:t>
            </w:r>
            <w:r w:rsidRPr="002F3E32">
              <w:rPr>
                <w:sz w:val="20"/>
              </w:rPr>
              <w:t xml:space="preserve">Furniture </w:t>
            </w:r>
            <w:proofErr w:type="spellStart"/>
            <w:r w:rsidR="00774F74">
              <w:rPr>
                <w:sz w:val="20"/>
              </w:rPr>
              <w:t>m</w:t>
            </w:r>
            <w:r w:rsidR="00D54932">
              <w:rPr>
                <w:sz w:val="20"/>
              </w:rPr>
              <w:t>fg</w:t>
            </w:r>
            <w:proofErr w:type="spellEnd"/>
            <w:r>
              <w:rPr>
                <w:sz w:val="20"/>
              </w:rPr>
              <w:tab/>
            </w:r>
            <w:r w:rsidRPr="002F3E32">
              <w:rPr>
                <w:sz w:val="20"/>
              </w:rPr>
              <w:t>259</w:t>
            </w:r>
            <w:r>
              <w:rPr>
                <w:sz w:val="20"/>
              </w:rPr>
              <w:t xml:space="preserve"> </w:t>
            </w:r>
            <w:r w:rsidRPr="002F3E32">
              <w:rPr>
                <w:sz w:val="20"/>
              </w:rPr>
              <w:t xml:space="preserve">Other </w:t>
            </w:r>
            <w:proofErr w:type="spellStart"/>
            <w:r w:rsidR="00C87BBF">
              <w:rPr>
                <w:sz w:val="20"/>
              </w:rPr>
              <w:t>m</w:t>
            </w:r>
            <w:r w:rsidR="00D54932">
              <w:rPr>
                <w:sz w:val="20"/>
              </w:rPr>
              <w:t>fg</w:t>
            </w:r>
            <w:proofErr w:type="spellEnd"/>
          </w:p>
        </w:tc>
      </w:tr>
      <w:tr w:rsidR="00CC2A36" w:rsidTr="003F215F">
        <w:trPr>
          <w:cantSplit/>
        </w:trPr>
        <w:tc>
          <w:tcPr>
            <w:tcW w:w="8771" w:type="dxa"/>
            <w:tcBorders>
              <w:top w:val="nil"/>
              <w:left w:val="single" w:sz="6" w:space="0" w:color="auto"/>
              <w:bottom w:val="nil"/>
              <w:right w:val="single" w:sz="6" w:space="0" w:color="auto"/>
            </w:tcBorders>
          </w:tcPr>
          <w:p w:rsidR="00CC2A36" w:rsidRDefault="00B40D44" w:rsidP="00E32ABF">
            <w:pPr>
              <w:pStyle w:val="BoxSource"/>
              <w:spacing w:before="120"/>
            </w:pPr>
            <w:r>
              <w:rPr>
                <w:i/>
              </w:rPr>
              <w:t>Source</w:t>
            </w:r>
            <w:r w:rsidR="00CC2A36" w:rsidRPr="00167F06">
              <w:t xml:space="preserve">: </w:t>
            </w:r>
            <w:r>
              <w:t>ABS (</w:t>
            </w:r>
            <w:r>
              <w:rPr>
                <w:i/>
              </w:rPr>
              <w:t>Australian and New Zealand Standard Industrial Classification 2006,</w:t>
            </w:r>
            <w:r>
              <w:t xml:space="preserve"> Cat. no. 1292.0).</w:t>
            </w:r>
          </w:p>
        </w:tc>
      </w:tr>
      <w:tr w:rsidR="00984DF4" w:rsidTr="00A11E20">
        <w:trPr>
          <w:cantSplit/>
        </w:trPr>
        <w:tc>
          <w:tcPr>
            <w:tcW w:w="8771" w:type="dxa"/>
            <w:tcBorders>
              <w:top w:val="nil"/>
              <w:left w:val="single" w:sz="6" w:space="0" w:color="auto"/>
              <w:bottom w:val="single" w:sz="6" w:space="0" w:color="auto"/>
              <w:right w:val="single" w:sz="6" w:space="0" w:color="auto"/>
            </w:tcBorders>
          </w:tcPr>
          <w:p w:rsidR="00984DF4" w:rsidRDefault="00984DF4" w:rsidP="00A11E20">
            <w:pPr>
              <w:pStyle w:val="Box"/>
              <w:spacing w:before="0" w:line="120" w:lineRule="exact"/>
            </w:pPr>
          </w:p>
        </w:tc>
      </w:tr>
      <w:tr w:rsidR="00CC2A36" w:rsidRPr="000863A5" w:rsidTr="003F215F">
        <w:tc>
          <w:tcPr>
            <w:tcW w:w="8771" w:type="dxa"/>
            <w:tcBorders>
              <w:top w:val="nil"/>
              <w:left w:val="nil"/>
              <w:bottom w:val="nil"/>
              <w:right w:val="nil"/>
            </w:tcBorders>
          </w:tcPr>
          <w:p w:rsidR="00CC2A36" w:rsidRPr="00626D32" w:rsidRDefault="00CC2A36" w:rsidP="00412F74">
            <w:pPr>
              <w:pStyle w:val="BoxSpaceBelow"/>
              <w:spacing w:before="0" w:after="0" w:line="20" w:lineRule="exact"/>
              <w:rPr>
                <w:i/>
              </w:rPr>
            </w:pPr>
          </w:p>
        </w:tc>
      </w:tr>
    </w:tbl>
    <w:p w:rsidR="005F059C" w:rsidRDefault="009D160E" w:rsidP="005F059C">
      <w:pPr>
        <w:pStyle w:val="BodyText"/>
      </w:pPr>
      <w:r>
        <w:lastRenderedPageBreak/>
        <w:t xml:space="preserve">To construct a </w:t>
      </w:r>
      <w:r w:rsidR="00296AC9">
        <w:t xml:space="preserve">time </w:t>
      </w:r>
      <w:r>
        <w:t xml:space="preserve">series </w:t>
      </w:r>
      <w:r w:rsidR="00296AC9">
        <w:t>from 1985</w:t>
      </w:r>
      <w:r w:rsidR="00FF62BB">
        <w:noBreakHyphen/>
      </w:r>
      <w:r w:rsidR="00296AC9">
        <w:t>86 to 2010</w:t>
      </w:r>
      <w:r w:rsidR="00FF62BB">
        <w:noBreakHyphen/>
      </w:r>
      <w:r w:rsidR="00296AC9">
        <w:t xml:space="preserve">11 </w:t>
      </w:r>
      <w:r>
        <w:t xml:space="preserve">for some </w:t>
      </w:r>
      <w:r w:rsidR="00296AC9">
        <w:t xml:space="preserve">of the </w:t>
      </w:r>
      <w:r>
        <w:t>variables</w:t>
      </w:r>
      <w:r w:rsidR="00296AC9">
        <w:t xml:space="preserve"> required to estimate subsector MFP, it was necessary to use some data </w:t>
      </w:r>
      <w:r w:rsidR="00116F90">
        <w:t>collected under the</w:t>
      </w:r>
      <w:r w:rsidR="00296AC9">
        <w:t xml:space="preserve"> previous industry classifications. </w:t>
      </w:r>
      <w:r w:rsidR="008D605E">
        <w:t xml:space="preserve">Subsector data based on </w:t>
      </w:r>
      <w:proofErr w:type="spellStart"/>
      <w:r w:rsidR="0095579E">
        <w:t>ANZSIC06</w:t>
      </w:r>
      <w:proofErr w:type="spellEnd"/>
      <w:r w:rsidR="0095579E">
        <w:t xml:space="preserve"> </w:t>
      </w:r>
      <w:r w:rsidR="008D605E">
        <w:t>were</w:t>
      </w:r>
      <w:r w:rsidR="00296AC9">
        <w:t xml:space="preserve"> </w:t>
      </w:r>
      <w:proofErr w:type="spellStart"/>
      <w:r w:rsidR="00296AC9">
        <w:t>backcast</w:t>
      </w:r>
      <w:proofErr w:type="spellEnd"/>
      <w:r w:rsidR="00296AC9">
        <w:t xml:space="preserve"> </w:t>
      </w:r>
      <w:r w:rsidR="008D605E">
        <w:t xml:space="preserve">to earlier years using </w:t>
      </w:r>
      <w:r>
        <w:t xml:space="preserve">the growth rate in </w:t>
      </w:r>
      <w:r w:rsidR="0095579E">
        <w:t xml:space="preserve">data under </w:t>
      </w:r>
      <w:r w:rsidR="00721124">
        <w:t xml:space="preserve">the 1993 edition of the </w:t>
      </w:r>
      <w:r w:rsidR="00296AC9" w:rsidRPr="00833FBC">
        <w:rPr>
          <w:i/>
        </w:rPr>
        <w:t xml:space="preserve">Australian and New Zealand Standard Industrial Classification </w:t>
      </w:r>
      <w:r w:rsidR="00296AC9">
        <w:t>(</w:t>
      </w:r>
      <w:proofErr w:type="spellStart"/>
      <w:r w:rsidR="00296AC9">
        <w:t>ANZSIC</w:t>
      </w:r>
      <w:r w:rsidR="003072C7">
        <w:t>93</w:t>
      </w:r>
      <w:proofErr w:type="spellEnd"/>
      <w:r w:rsidR="00296AC9">
        <w:t xml:space="preserve">) and </w:t>
      </w:r>
      <w:r w:rsidR="00296AC9" w:rsidRPr="00833FBC">
        <w:rPr>
          <w:i/>
        </w:rPr>
        <w:t xml:space="preserve">Australian Standard Industrial Classification </w:t>
      </w:r>
      <w:r w:rsidR="00296AC9">
        <w:t>(</w:t>
      </w:r>
      <w:proofErr w:type="spellStart"/>
      <w:r w:rsidR="00DA3625">
        <w:t>ASIC</w:t>
      </w:r>
      <w:proofErr w:type="spellEnd"/>
      <w:r w:rsidR="00296AC9">
        <w:t>)</w:t>
      </w:r>
      <w:r w:rsidR="0095579E">
        <w:t xml:space="preserve">. </w:t>
      </w:r>
      <w:r w:rsidR="00B968C6">
        <w:t xml:space="preserve">In a broad sense, the </w:t>
      </w:r>
      <w:r w:rsidR="002E6911">
        <w:t>Manufacturing</w:t>
      </w:r>
      <w:r w:rsidR="00B968C6">
        <w:t xml:space="preserve"> subdivisions </w:t>
      </w:r>
      <w:r w:rsidR="008D605E">
        <w:t xml:space="preserve">under previous industry classifications </w:t>
      </w:r>
      <w:r w:rsidR="00B968C6">
        <w:t xml:space="preserve">correspond fairly closely to the eight subsectors under </w:t>
      </w:r>
      <w:proofErr w:type="spellStart"/>
      <w:r w:rsidR="00B968C6">
        <w:t>ANZSIC06</w:t>
      </w:r>
      <w:proofErr w:type="spellEnd"/>
      <w:r w:rsidR="00B968C6">
        <w:t xml:space="preserve">. </w:t>
      </w:r>
      <w:r w:rsidR="0095579E">
        <w:t xml:space="preserve">Table </w:t>
      </w:r>
      <w:proofErr w:type="spellStart"/>
      <w:r w:rsidR="006A4091">
        <w:t>A.2</w:t>
      </w:r>
      <w:proofErr w:type="spellEnd"/>
      <w:r w:rsidR="0095579E">
        <w:t xml:space="preserve"> </w:t>
      </w:r>
      <w:r w:rsidR="005F059C">
        <w:t xml:space="preserve">provides the broad correspondence </w:t>
      </w:r>
      <w:r>
        <w:t xml:space="preserve">between the two industry classifications that was </w:t>
      </w:r>
      <w:r w:rsidR="005F059C">
        <w:t xml:space="preserve">used. Precise concordances were not possible due to limited availability of data. </w:t>
      </w:r>
    </w:p>
    <w:p w:rsidR="00FF177D" w:rsidRDefault="00FF177D" w:rsidP="00FF177D">
      <w:pPr>
        <w:pStyle w:val="TableTitle"/>
      </w:pPr>
      <w:r>
        <w:rPr>
          <w:b w:val="0"/>
        </w:rPr>
        <w:t xml:space="preserve">Table </w:t>
      </w:r>
      <w:bookmarkStart w:id="9" w:name="OLE_LINK2"/>
      <w:proofErr w:type="spellStart"/>
      <w:r w:rsidR="006A4091">
        <w:rPr>
          <w:b w:val="0"/>
        </w:rPr>
        <w:t>A.</w:t>
      </w:r>
      <w:r w:rsidR="001459D9">
        <w:rPr>
          <w:b w:val="0"/>
          <w:noProof/>
        </w:rPr>
        <w:t>2</w:t>
      </w:r>
      <w:bookmarkEnd w:id="9"/>
      <w:proofErr w:type="spellEnd"/>
      <w:r>
        <w:tab/>
      </w:r>
      <w:bookmarkEnd w:id="7"/>
      <w:proofErr w:type="spellStart"/>
      <w:r>
        <w:t>ANZSIC93</w:t>
      </w:r>
      <w:proofErr w:type="spellEnd"/>
      <w:r>
        <w:t xml:space="preserve"> </w:t>
      </w:r>
      <w:r w:rsidR="008728FA">
        <w:t xml:space="preserve">correspondence to </w:t>
      </w:r>
      <w:proofErr w:type="spellStart"/>
      <w:r w:rsidR="008728FA">
        <w:t>ANZSIC06</w:t>
      </w:r>
      <w:proofErr w:type="spellEnd"/>
      <w:r w:rsidR="008728FA">
        <w:t xml:space="preserve"> </w:t>
      </w:r>
      <w:r w:rsidR="002E6911">
        <w:t>Manufacturing</w:t>
      </w:r>
      <w:r w:rsidR="00E67B99">
        <w:t xml:space="preserve"> subsectors</w:t>
      </w:r>
      <w:r w:rsidR="00272810" w:rsidRPr="00272810">
        <w:rPr>
          <w:rStyle w:val="NoteLabel"/>
          <w:b/>
        </w:rPr>
        <w:t>a</w:t>
      </w:r>
    </w:p>
    <w:tbl>
      <w:tblPr>
        <w:tblW w:w="0" w:type="auto"/>
        <w:tblLayout w:type="fixed"/>
        <w:tblCellMar>
          <w:left w:w="0" w:type="dxa"/>
          <w:right w:w="0" w:type="dxa"/>
        </w:tblCellMar>
        <w:tblLook w:val="04A0" w:firstRow="1" w:lastRow="0" w:firstColumn="1" w:lastColumn="0" w:noHBand="0" w:noVBand="1"/>
      </w:tblPr>
      <w:tblGrid>
        <w:gridCol w:w="2929"/>
        <w:gridCol w:w="3053"/>
        <w:gridCol w:w="2806"/>
      </w:tblGrid>
      <w:tr w:rsidR="00DA3625" w:rsidTr="00A87D4F">
        <w:tc>
          <w:tcPr>
            <w:tcW w:w="2929" w:type="dxa"/>
            <w:tcBorders>
              <w:top w:val="single" w:sz="6" w:space="0" w:color="auto"/>
              <w:left w:val="nil"/>
              <w:bottom w:val="single" w:sz="6" w:space="0" w:color="auto"/>
              <w:right w:val="nil"/>
            </w:tcBorders>
            <w:vAlign w:val="bottom"/>
            <w:hideMark/>
          </w:tcPr>
          <w:p w:rsidR="00DA3625" w:rsidRDefault="003F1C5D" w:rsidP="006B189A">
            <w:pPr>
              <w:pStyle w:val="TableColumnHeading"/>
              <w:jc w:val="left"/>
            </w:pPr>
            <w:r>
              <w:br/>
            </w:r>
            <w:proofErr w:type="spellStart"/>
            <w:r w:rsidR="00DA3625">
              <w:t>ANZSIC06</w:t>
            </w:r>
            <w:proofErr w:type="spellEnd"/>
            <w:r w:rsidR="00DA3625">
              <w:t>-based subsectors</w:t>
            </w:r>
          </w:p>
        </w:tc>
        <w:tc>
          <w:tcPr>
            <w:tcW w:w="3053" w:type="dxa"/>
            <w:tcBorders>
              <w:top w:val="single" w:sz="6" w:space="0" w:color="auto"/>
              <w:left w:val="nil"/>
              <w:bottom w:val="single" w:sz="6" w:space="0" w:color="auto"/>
              <w:right w:val="nil"/>
            </w:tcBorders>
            <w:vAlign w:val="bottom"/>
            <w:hideMark/>
          </w:tcPr>
          <w:p w:rsidR="00DA3625" w:rsidRDefault="00DA3625" w:rsidP="006B189A">
            <w:pPr>
              <w:pStyle w:val="TableColumnHeading"/>
              <w:jc w:val="left"/>
            </w:pPr>
            <w:r>
              <w:t xml:space="preserve">Main corresponding </w:t>
            </w:r>
            <w:r w:rsidR="006B189A">
              <w:br/>
            </w:r>
            <w:proofErr w:type="spellStart"/>
            <w:r>
              <w:t>ANZSIC93</w:t>
            </w:r>
            <w:proofErr w:type="spellEnd"/>
            <w:r>
              <w:t xml:space="preserve"> subdivision(s)</w:t>
            </w:r>
            <w:r>
              <w:rPr>
                <w:rStyle w:val="NoteLabel"/>
                <w:i w:val="0"/>
              </w:rPr>
              <w:t>a</w:t>
            </w:r>
          </w:p>
        </w:tc>
        <w:tc>
          <w:tcPr>
            <w:tcW w:w="2806" w:type="dxa"/>
            <w:tcBorders>
              <w:top w:val="single" w:sz="6" w:space="0" w:color="auto"/>
              <w:left w:val="nil"/>
              <w:bottom w:val="single" w:sz="6" w:space="0" w:color="auto"/>
              <w:right w:val="nil"/>
            </w:tcBorders>
            <w:vAlign w:val="bottom"/>
          </w:tcPr>
          <w:p w:rsidR="00DA3625" w:rsidRDefault="00DA3625" w:rsidP="006B189A">
            <w:pPr>
              <w:pStyle w:val="TableColumnHeading"/>
              <w:jc w:val="left"/>
            </w:pPr>
            <w:r>
              <w:t xml:space="preserve">Main corresponding </w:t>
            </w:r>
            <w:r w:rsidR="006B189A">
              <w:br/>
            </w:r>
            <w:proofErr w:type="spellStart"/>
            <w:r>
              <w:t>ASIC</w:t>
            </w:r>
            <w:proofErr w:type="spellEnd"/>
            <w:r>
              <w:t xml:space="preserve"> subdivision</w:t>
            </w:r>
            <w:r w:rsidR="001459D9">
              <w:t>(s)</w:t>
            </w:r>
          </w:p>
        </w:tc>
      </w:tr>
      <w:tr w:rsidR="00DA3625" w:rsidTr="00A87D4F">
        <w:tc>
          <w:tcPr>
            <w:tcW w:w="2929" w:type="dxa"/>
            <w:shd w:val="clear" w:color="auto" w:fill="D9D9D9" w:themeFill="background1" w:themeFillShade="D9"/>
            <w:hideMark/>
          </w:tcPr>
          <w:p w:rsidR="00DA3625" w:rsidRDefault="00DA3625" w:rsidP="00786DBA">
            <w:pPr>
              <w:pStyle w:val="TableBodyText"/>
              <w:spacing w:before="80"/>
              <w:jc w:val="left"/>
            </w:pPr>
            <w:r w:rsidRPr="00A97688">
              <w:t xml:space="preserve">Food, beverage </w:t>
            </w:r>
            <w:r>
              <w:t>&amp;</w:t>
            </w:r>
            <w:r w:rsidRPr="00A97688">
              <w:t xml:space="preserve"> tobacco products</w:t>
            </w:r>
            <w:r w:rsidR="00D86322">
              <w:t xml:space="preserve"> (</w:t>
            </w:r>
            <w:proofErr w:type="spellStart"/>
            <w:r w:rsidR="00D86322">
              <w:t>FBT</w:t>
            </w:r>
            <w:proofErr w:type="spellEnd"/>
            <w:r w:rsidR="00D86322">
              <w:t>)</w:t>
            </w:r>
          </w:p>
        </w:tc>
        <w:tc>
          <w:tcPr>
            <w:tcW w:w="3053" w:type="dxa"/>
            <w:shd w:val="clear" w:color="auto" w:fill="D9D9D9" w:themeFill="background1" w:themeFillShade="D9"/>
            <w:vAlign w:val="bottom"/>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21 </w:t>
            </w:r>
            <w:r w:rsidR="00100246">
              <w:rPr>
                <w:rFonts w:ascii="Arial" w:hAnsi="Arial" w:cs="Arial"/>
                <w:color w:val="000000"/>
                <w:sz w:val="20"/>
              </w:rPr>
              <w:tab/>
            </w:r>
            <w:r>
              <w:rPr>
                <w:rFonts w:ascii="Arial" w:hAnsi="Arial" w:cs="Arial"/>
                <w:color w:val="000000"/>
                <w:sz w:val="20"/>
              </w:rPr>
              <w:t xml:space="preserve">Food, beverage </w:t>
            </w:r>
            <w:r w:rsidR="002F0361">
              <w:rPr>
                <w:rFonts w:ascii="Arial" w:hAnsi="Arial" w:cs="Arial"/>
                <w:color w:val="000000"/>
                <w:sz w:val="20"/>
              </w:rPr>
              <w:t>&amp;</w:t>
            </w:r>
            <w:r>
              <w:rPr>
                <w:rFonts w:ascii="Arial" w:hAnsi="Arial" w:cs="Arial"/>
                <w:color w:val="000000"/>
                <w:sz w:val="20"/>
              </w:rPr>
              <w:t xml:space="preserve"> tobacco </w:t>
            </w:r>
            <w:proofErr w:type="spellStart"/>
            <w:r>
              <w:rPr>
                <w:rFonts w:ascii="Arial" w:hAnsi="Arial" w:cs="Arial"/>
                <w:color w:val="000000"/>
                <w:sz w:val="20"/>
              </w:rPr>
              <w:t>mfg</w:t>
            </w:r>
            <w:proofErr w:type="spellEnd"/>
          </w:p>
        </w:tc>
        <w:tc>
          <w:tcPr>
            <w:tcW w:w="2806" w:type="dxa"/>
            <w:shd w:val="clear" w:color="auto" w:fill="D9D9D9" w:themeFill="background1" w:themeFillShade="D9"/>
          </w:tcPr>
          <w:p w:rsidR="00DA3625" w:rsidRPr="00100246" w:rsidRDefault="00DA3625" w:rsidP="00100246">
            <w:pPr>
              <w:spacing w:before="80"/>
              <w:ind w:left="332" w:hanging="332"/>
              <w:rPr>
                <w:rFonts w:ascii="Arial" w:hAnsi="Arial" w:cs="Arial"/>
                <w:color w:val="000000"/>
                <w:sz w:val="20"/>
              </w:rPr>
            </w:pPr>
            <w:r w:rsidRPr="00100246">
              <w:rPr>
                <w:rFonts w:ascii="Arial" w:hAnsi="Arial" w:cs="Arial"/>
                <w:color w:val="000000"/>
                <w:sz w:val="20"/>
              </w:rPr>
              <w:t xml:space="preserve">21 </w:t>
            </w:r>
            <w:r w:rsidR="00100246">
              <w:rPr>
                <w:rFonts w:ascii="Arial" w:hAnsi="Arial" w:cs="Arial"/>
                <w:color w:val="000000"/>
                <w:sz w:val="20"/>
              </w:rPr>
              <w:tab/>
            </w:r>
            <w:r w:rsidRPr="00100246">
              <w:rPr>
                <w:rFonts w:ascii="Arial" w:hAnsi="Arial" w:cs="Arial"/>
                <w:color w:val="000000"/>
                <w:sz w:val="20"/>
              </w:rPr>
              <w:t>F</w:t>
            </w:r>
            <w:r w:rsidR="003E5CF5" w:rsidRPr="00100246">
              <w:rPr>
                <w:rFonts w:ascii="Arial" w:hAnsi="Arial" w:cs="Arial"/>
                <w:color w:val="000000"/>
                <w:sz w:val="20"/>
              </w:rPr>
              <w:t xml:space="preserve">ood, beverages </w:t>
            </w:r>
            <w:r w:rsidR="002F0361" w:rsidRPr="00100246">
              <w:rPr>
                <w:rFonts w:ascii="Arial" w:hAnsi="Arial" w:cs="Arial"/>
                <w:color w:val="000000"/>
                <w:sz w:val="20"/>
              </w:rPr>
              <w:t>&amp;</w:t>
            </w:r>
            <w:r w:rsidR="003E5CF5" w:rsidRPr="00100246">
              <w:rPr>
                <w:rFonts w:ascii="Arial" w:hAnsi="Arial" w:cs="Arial"/>
                <w:color w:val="000000"/>
                <w:sz w:val="20"/>
              </w:rPr>
              <w:t xml:space="preserve"> tobacco</w:t>
            </w:r>
          </w:p>
        </w:tc>
      </w:tr>
      <w:tr w:rsidR="00DA3625" w:rsidTr="00A87D4F">
        <w:tc>
          <w:tcPr>
            <w:tcW w:w="2929" w:type="dxa"/>
            <w:hideMark/>
          </w:tcPr>
          <w:p w:rsidR="00DA3625" w:rsidRPr="00F73010" w:rsidRDefault="00DA3625" w:rsidP="00786DBA">
            <w:pPr>
              <w:pStyle w:val="TableBodyText"/>
              <w:spacing w:before="80"/>
              <w:jc w:val="left"/>
            </w:pPr>
            <w:r w:rsidRPr="00F73010">
              <w:t xml:space="preserve">Textile, clothing </w:t>
            </w:r>
            <w:r>
              <w:t>&amp;</w:t>
            </w:r>
            <w:r w:rsidRPr="00F73010">
              <w:t xml:space="preserve"> other manufacturing</w:t>
            </w:r>
            <w:r w:rsidR="00D86322">
              <w:t xml:space="preserve"> (</w:t>
            </w:r>
            <w:proofErr w:type="spellStart"/>
            <w:r w:rsidR="00D86322">
              <w:t>TCO</w:t>
            </w:r>
            <w:proofErr w:type="spellEnd"/>
            <w:r w:rsidR="00D86322">
              <w:t>)</w:t>
            </w:r>
          </w:p>
        </w:tc>
        <w:tc>
          <w:tcPr>
            <w:tcW w:w="3053" w:type="dxa"/>
            <w:vAlign w:val="bottom"/>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22 </w:t>
            </w:r>
            <w:r w:rsidR="00100246">
              <w:rPr>
                <w:rFonts w:ascii="Arial" w:hAnsi="Arial" w:cs="Arial"/>
                <w:color w:val="000000"/>
                <w:sz w:val="20"/>
              </w:rPr>
              <w:tab/>
            </w:r>
            <w:r>
              <w:rPr>
                <w:rFonts w:ascii="Arial" w:hAnsi="Arial" w:cs="Arial"/>
                <w:color w:val="000000"/>
                <w:sz w:val="20"/>
              </w:rPr>
              <w:t xml:space="preserve">Textile, clothing, footwear </w:t>
            </w:r>
            <w:r w:rsidR="002F0361">
              <w:rPr>
                <w:rFonts w:ascii="Arial" w:hAnsi="Arial" w:cs="Arial"/>
                <w:color w:val="000000"/>
                <w:sz w:val="20"/>
              </w:rPr>
              <w:t>&amp;</w:t>
            </w:r>
            <w:r>
              <w:rPr>
                <w:rFonts w:ascii="Arial" w:hAnsi="Arial" w:cs="Arial"/>
                <w:color w:val="000000"/>
                <w:sz w:val="20"/>
              </w:rPr>
              <w:t xml:space="preserve"> leather </w:t>
            </w:r>
            <w:proofErr w:type="spellStart"/>
            <w:r>
              <w:rPr>
                <w:rFonts w:ascii="Arial" w:hAnsi="Arial" w:cs="Arial"/>
                <w:color w:val="000000"/>
                <w:sz w:val="20"/>
              </w:rPr>
              <w:t>mfg</w:t>
            </w:r>
            <w:proofErr w:type="spellEnd"/>
          </w:p>
        </w:tc>
        <w:tc>
          <w:tcPr>
            <w:tcW w:w="2806" w:type="dxa"/>
            <w:vAlign w:val="bottom"/>
          </w:tcPr>
          <w:p w:rsidR="00100246" w:rsidRDefault="00DA3625" w:rsidP="00100246">
            <w:pPr>
              <w:spacing w:before="80"/>
              <w:ind w:left="332" w:hanging="332"/>
              <w:rPr>
                <w:rFonts w:ascii="Arial" w:hAnsi="Arial" w:cs="Arial"/>
                <w:color w:val="000000"/>
                <w:sz w:val="20"/>
              </w:rPr>
            </w:pPr>
            <w:r w:rsidRPr="00100246">
              <w:rPr>
                <w:rFonts w:ascii="Arial" w:hAnsi="Arial" w:cs="Arial"/>
                <w:color w:val="000000"/>
                <w:sz w:val="20"/>
              </w:rPr>
              <w:t xml:space="preserve">23 </w:t>
            </w:r>
            <w:r w:rsidR="00100246">
              <w:rPr>
                <w:rFonts w:ascii="Arial" w:hAnsi="Arial" w:cs="Arial"/>
                <w:color w:val="000000"/>
                <w:sz w:val="20"/>
              </w:rPr>
              <w:tab/>
            </w:r>
            <w:r w:rsidRPr="00100246">
              <w:rPr>
                <w:rFonts w:ascii="Arial" w:hAnsi="Arial" w:cs="Arial"/>
                <w:color w:val="000000"/>
                <w:sz w:val="20"/>
              </w:rPr>
              <w:t>T</w:t>
            </w:r>
            <w:r w:rsidR="003E5CF5" w:rsidRPr="00100246">
              <w:rPr>
                <w:rFonts w:ascii="Arial" w:hAnsi="Arial" w:cs="Arial"/>
                <w:color w:val="000000"/>
                <w:sz w:val="20"/>
              </w:rPr>
              <w:t>extiles</w:t>
            </w:r>
          </w:p>
          <w:p w:rsidR="00DA3625" w:rsidRPr="00100246" w:rsidRDefault="002B6079" w:rsidP="00100246">
            <w:pPr>
              <w:ind w:left="335" w:hanging="335"/>
              <w:rPr>
                <w:rFonts w:ascii="Arial" w:hAnsi="Arial" w:cs="Arial"/>
                <w:color w:val="000000"/>
                <w:sz w:val="20"/>
              </w:rPr>
            </w:pPr>
            <w:r w:rsidRPr="00100246">
              <w:rPr>
                <w:rFonts w:ascii="Arial" w:hAnsi="Arial" w:cs="Arial"/>
                <w:color w:val="000000"/>
                <w:sz w:val="20"/>
              </w:rPr>
              <w:t xml:space="preserve">24 </w:t>
            </w:r>
            <w:r w:rsidR="00100246">
              <w:rPr>
                <w:rFonts w:ascii="Arial" w:hAnsi="Arial" w:cs="Arial"/>
                <w:color w:val="000000"/>
                <w:sz w:val="20"/>
              </w:rPr>
              <w:tab/>
            </w:r>
            <w:r w:rsidR="00DA3625" w:rsidRPr="00100246">
              <w:rPr>
                <w:rFonts w:ascii="Arial" w:hAnsi="Arial" w:cs="Arial"/>
                <w:color w:val="000000"/>
                <w:sz w:val="20"/>
              </w:rPr>
              <w:t>C</w:t>
            </w:r>
            <w:r w:rsidR="003E5CF5" w:rsidRPr="00100246">
              <w:rPr>
                <w:rFonts w:ascii="Arial" w:hAnsi="Arial" w:cs="Arial"/>
                <w:color w:val="000000"/>
                <w:sz w:val="20"/>
              </w:rPr>
              <w:t xml:space="preserve">lothing </w:t>
            </w:r>
            <w:r w:rsidR="002F0361" w:rsidRPr="00100246">
              <w:rPr>
                <w:rFonts w:ascii="Arial" w:hAnsi="Arial" w:cs="Arial"/>
                <w:color w:val="000000"/>
                <w:sz w:val="20"/>
              </w:rPr>
              <w:t>&amp;</w:t>
            </w:r>
            <w:r w:rsidR="003E5CF5" w:rsidRPr="00100246">
              <w:rPr>
                <w:rFonts w:ascii="Arial" w:hAnsi="Arial" w:cs="Arial"/>
                <w:color w:val="000000"/>
                <w:sz w:val="20"/>
              </w:rPr>
              <w:t xml:space="preserve"> footwear</w:t>
            </w:r>
            <w:r w:rsidR="00DA3625" w:rsidRPr="00100246">
              <w:rPr>
                <w:rFonts w:ascii="Arial" w:hAnsi="Arial" w:cs="Arial"/>
                <w:color w:val="000000"/>
                <w:sz w:val="20"/>
              </w:rPr>
              <w:t xml:space="preserve"> </w:t>
            </w:r>
          </w:p>
        </w:tc>
      </w:tr>
      <w:tr w:rsidR="00DA3625" w:rsidTr="00A87D4F">
        <w:tc>
          <w:tcPr>
            <w:tcW w:w="2929" w:type="dxa"/>
            <w:vAlign w:val="center"/>
            <w:hideMark/>
          </w:tcPr>
          <w:p w:rsidR="00DA3625" w:rsidRPr="00F73010" w:rsidRDefault="00DA3625" w:rsidP="00100246">
            <w:pPr>
              <w:pStyle w:val="TableBodyText"/>
              <w:jc w:val="left"/>
            </w:pPr>
          </w:p>
        </w:tc>
        <w:tc>
          <w:tcPr>
            <w:tcW w:w="3053" w:type="dxa"/>
            <w:vAlign w:val="bottom"/>
          </w:tcPr>
          <w:p w:rsidR="00DA3625" w:rsidRDefault="003E5CF5" w:rsidP="00100246">
            <w:pPr>
              <w:ind w:left="332" w:hanging="332"/>
              <w:rPr>
                <w:rFonts w:ascii="Arial" w:hAnsi="Arial" w:cs="Arial"/>
                <w:color w:val="000000"/>
                <w:sz w:val="20"/>
              </w:rPr>
            </w:pPr>
            <w:r>
              <w:rPr>
                <w:rFonts w:ascii="Arial" w:hAnsi="Arial" w:cs="Arial"/>
                <w:color w:val="000000"/>
                <w:sz w:val="20"/>
              </w:rPr>
              <w:t xml:space="preserve">29 </w:t>
            </w:r>
            <w:r w:rsidR="00100246">
              <w:rPr>
                <w:rFonts w:ascii="Arial" w:hAnsi="Arial" w:cs="Arial"/>
                <w:color w:val="000000"/>
                <w:sz w:val="20"/>
              </w:rPr>
              <w:tab/>
            </w:r>
            <w:r>
              <w:rPr>
                <w:rFonts w:ascii="Arial" w:hAnsi="Arial" w:cs="Arial"/>
                <w:color w:val="000000"/>
                <w:sz w:val="20"/>
              </w:rPr>
              <w:t>Other manufacturing</w:t>
            </w:r>
          </w:p>
        </w:tc>
        <w:tc>
          <w:tcPr>
            <w:tcW w:w="2806" w:type="dxa"/>
            <w:vAlign w:val="bottom"/>
          </w:tcPr>
          <w:p w:rsidR="00DA3625" w:rsidRPr="00100246" w:rsidRDefault="003E5CF5" w:rsidP="00100246">
            <w:pPr>
              <w:ind w:left="332" w:hanging="332"/>
              <w:rPr>
                <w:rFonts w:ascii="Arial" w:hAnsi="Arial" w:cs="Arial"/>
                <w:color w:val="000000"/>
                <w:sz w:val="20"/>
              </w:rPr>
            </w:pPr>
            <w:r w:rsidRPr="00100246">
              <w:rPr>
                <w:rFonts w:ascii="Arial" w:hAnsi="Arial" w:cs="Arial"/>
                <w:color w:val="000000"/>
                <w:sz w:val="20"/>
              </w:rPr>
              <w:t xml:space="preserve">34 </w:t>
            </w:r>
            <w:r w:rsidR="00100246">
              <w:rPr>
                <w:rFonts w:ascii="Arial" w:hAnsi="Arial" w:cs="Arial"/>
                <w:color w:val="000000"/>
                <w:sz w:val="20"/>
              </w:rPr>
              <w:tab/>
            </w:r>
            <w:r w:rsidRPr="00100246">
              <w:rPr>
                <w:rFonts w:ascii="Arial" w:hAnsi="Arial" w:cs="Arial"/>
                <w:color w:val="000000"/>
                <w:sz w:val="20"/>
              </w:rPr>
              <w:t xml:space="preserve">Miscellaneous </w:t>
            </w:r>
            <w:proofErr w:type="spellStart"/>
            <w:r w:rsidRPr="00100246">
              <w:rPr>
                <w:rFonts w:ascii="Arial" w:hAnsi="Arial" w:cs="Arial"/>
                <w:color w:val="000000"/>
                <w:sz w:val="20"/>
              </w:rPr>
              <w:t>mfg</w:t>
            </w:r>
            <w:proofErr w:type="spellEnd"/>
          </w:p>
        </w:tc>
      </w:tr>
      <w:tr w:rsidR="00DA3625" w:rsidTr="00A87D4F">
        <w:tc>
          <w:tcPr>
            <w:tcW w:w="2929" w:type="dxa"/>
            <w:shd w:val="clear" w:color="auto" w:fill="D9D9D9" w:themeFill="background1" w:themeFillShade="D9"/>
            <w:hideMark/>
          </w:tcPr>
          <w:p w:rsidR="00DA3625" w:rsidRPr="00F73010" w:rsidRDefault="00DA3625" w:rsidP="00786DBA">
            <w:pPr>
              <w:pStyle w:val="TableBodyText"/>
              <w:spacing w:before="80"/>
              <w:jc w:val="left"/>
            </w:pPr>
            <w:r w:rsidRPr="00F73010">
              <w:t xml:space="preserve">Wood </w:t>
            </w:r>
            <w:r>
              <w:t>&amp;</w:t>
            </w:r>
            <w:r w:rsidRPr="00F73010">
              <w:t xml:space="preserve"> paper products</w:t>
            </w:r>
            <w:r w:rsidR="00D86322">
              <w:t xml:space="preserve"> (WP)</w:t>
            </w:r>
          </w:p>
        </w:tc>
        <w:tc>
          <w:tcPr>
            <w:tcW w:w="3053" w:type="dxa"/>
            <w:shd w:val="clear" w:color="auto" w:fill="D9D9D9" w:themeFill="background1" w:themeFillShade="D9"/>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23 </w:t>
            </w:r>
            <w:r w:rsidR="00100246">
              <w:rPr>
                <w:rFonts w:ascii="Arial" w:hAnsi="Arial" w:cs="Arial"/>
                <w:color w:val="000000"/>
                <w:sz w:val="20"/>
              </w:rPr>
              <w:tab/>
            </w:r>
            <w:r>
              <w:rPr>
                <w:rFonts w:ascii="Arial" w:hAnsi="Arial" w:cs="Arial"/>
                <w:color w:val="000000"/>
                <w:sz w:val="20"/>
              </w:rPr>
              <w:t xml:space="preserve">Wood </w:t>
            </w:r>
            <w:r w:rsidR="002F0361">
              <w:rPr>
                <w:rFonts w:ascii="Arial" w:hAnsi="Arial" w:cs="Arial"/>
                <w:color w:val="000000"/>
                <w:sz w:val="20"/>
              </w:rPr>
              <w:t>&amp;</w:t>
            </w:r>
            <w:r>
              <w:rPr>
                <w:rFonts w:ascii="Arial" w:hAnsi="Arial" w:cs="Arial"/>
                <w:color w:val="000000"/>
                <w:sz w:val="20"/>
              </w:rPr>
              <w:t xml:space="preserve"> paper product </w:t>
            </w:r>
            <w:proofErr w:type="spellStart"/>
            <w:r>
              <w:rPr>
                <w:rFonts w:ascii="Arial" w:hAnsi="Arial" w:cs="Arial"/>
                <w:color w:val="000000"/>
                <w:sz w:val="20"/>
              </w:rPr>
              <w:t>mfg</w:t>
            </w:r>
            <w:proofErr w:type="spellEnd"/>
          </w:p>
        </w:tc>
        <w:tc>
          <w:tcPr>
            <w:tcW w:w="2806" w:type="dxa"/>
            <w:shd w:val="clear" w:color="auto" w:fill="D9D9D9" w:themeFill="background1" w:themeFillShade="D9"/>
            <w:vAlign w:val="bottom"/>
          </w:tcPr>
          <w:p w:rsidR="00DA3625" w:rsidRPr="00100246" w:rsidRDefault="00DA3625" w:rsidP="00100246">
            <w:pPr>
              <w:spacing w:before="80"/>
              <w:ind w:left="332" w:hanging="332"/>
              <w:rPr>
                <w:rFonts w:ascii="Arial" w:hAnsi="Arial" w:cs="Arial"/>
                <w:color w:val="000000"/>
                <w:sz w:val="20"/>
              </w:rPr>
            </w:pPr>
            <w:r w:rsidRPr="00196686">
              <w:rPr>
                <w:rFonts w:ascii="Arial" w:hAnsi="Arial" w:cs="Arial"/>
                <w:color w:val="000000"/>
                <w:sz w:val="20"/>
              </w:rPr>
              <w:t xml:space="preserve">25 </w:t>
            </w:r>
            <w:r w:rsidR="00100246">
              <w:rPr>
                <w:rFonts w:ascii="Arial" w:hAnsi="Arial" w:cs="Arial"/>
                <w:color w:val="000000"/>
                <w:sz w:val="20"/>
              </w:rPr>
              <w:tab/>
            </w:r>
            <w:r w:rsidRPr="00196686">
              <w:rPr>
                <w:rFonts w:ascii="Arial" w:hAnsi="Arial" w:cs="Arial"/>
                <w:color w:val="000000"/>
                <w:sz w:val="20"/>
              </w:rPr>
              <w:t>Wood</w:t>
            </w:r>
            <w:r w:rsidR="003E5CF5">
              <w:rPr>
                <w:rFonts w:ascii="Arial" w:hAnsi="Arial" w:cs="Arial"/>
                <w:color w:val="000000"/>
                <w:sz w:val="20"/>
              </w:rPr>
              <w:t xml:space="preserve">, wood products </w:t>
            </w:r>
            <w:r w:rsidR="002F0361">
              <w:rPr>
                <w:rFonts w:ascii="Arial" w:hAnsi="Arial" w:cs="Arial"/>
                <w:color w:val="000000"/>
                <w:sz w:val="20"/>
              </w:rPr>
              <w:t>&amp;</w:t>
            </w:r>
            <w:r w:rsidRPr="00100246">
              <w:rPr>
                <w:rFonts w:ascii="Arial" w:hAnsi="Arial" w:cs="Arial"/>
                <w:color w:val="000000"/>
                <w:sz w:val="20"/>
              </w:rPr>
              <w:t xml:space="preserve"> </w:t>
            </w:r>
            <w:r w:rsidR="00100246" w:rsidRPr="00A731C8">
              <w:rPr>
                <w:rFonts w:ascii="Arial" w:hAnsi="Arial" w:cs="Arial"/>
                <w:color w:val="000000"/>
                <w:sz w:val="20"/>
              </w:rPr>
              <w:t>furniture</w:t>
            </w:r>
          </w:p>
        </w:tc>
      </w:tr>
      <w:tr w:rsidR="00DA3625" w:rsidTr="00A87D4F">
        <w:tc>
          <w:tcPr>
            <w:tcW w:w="2929" w:type="dxa"/>
            <w:hideMark/>
          </w:tcPr>
          <w:p w:rsidR="00DA3625" w:rsidRPr="00F73010" w:rsidRDefault="00DA3625" w:rsidP="00786DBA">
            <w:pPr>
              <w:pStyle w:val="TableBodyText"/>
              <w:spacing w:before="80"/>
              <w:jc w:val="left"/>
            </w:pPr>
            <w:r w:rsidRPr="00F73010">
              <w:t xml:space="preserve">Printing </w:t>
            </w:r>
            <w:r>
              <w:t>&amp;</w:t>
            </w:r>
            <w:r w:rsidRPr="00F73010">
              <w:t xml:space="preserve"> recorded media</w:t>
            </w:r>
            <w:r w:rsidR="00D86322">
              <w:t xml:space="preserve"> (</w:t>
            </w:r>
            <w:proofErr w:type="spellStart"/>
            <w:r w:rsidR="00D86322">
              <w:t>PRM</w:t>
            </w:r>
            <w:proofErr w:type="spellEnd"/>
            <w:r w:rsidR="00D86322">
              <w:t>)</w:t>
            </w:r>
          </w:p>
        </w:tc>
        <w:tc>
          <w:tcPr>
            <w:tcW w:w="3053" w:type="dxa"/>
            <w:vAlign w:val="bottom"/>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24 </w:t>
            </w:r>
            <w:r w:rsidR="00100246">
              <w:rPr>
                <w:rFonts w:ascii="Arial" w:hAnsi="Arial" w:cs="Arial"/>
                <w:color w:val="000000"/>
                <w:sz w:val="20"/>
              </w:rPr>
              <w:tab/>
            </w:r>
            <w:r>
              <w:rPr>
                <w:rFonts w:ascii="Arial" w:hAnsi="Arial" w:cs="Arial"/>
                <w:color w:val="000000"/>
                <w:sz w:val="20"/>
              </w:rPr>
              <w:t xml:space="preserve">Printing, publishing </w:t>
            </w:r>
            <w:r w:rsidR="002F0361">
              <w:rPr>
                <w:rFonts w:ascii="Arial" w:hAnsi="Arial" w:cs="Arial"/>
                <w:color w:val="000000"/>
                <w:sz w:val="20"/>
              </w:rPr>
              <w:t>&amp;</w:t>
            </w:r>
            <w:r>
              <w:rPr>
                <w:rFonts w:ascii="Arial" w:hAnsi="Arial" w:cs="Arial"/>
                <w:color w:val="000000"/>
                <w:sz w:val="20"/>
              </w:rPr>
              <w:t xml:space="preserve"> </w:t>
            </w:r>
            <w:r w:rsidR="003E5CF5">
              <w:rPr>
                <w:rFonts w:ascii="Arial" w:hAnsi="Arial" w:cs="Arial"/>
                <w:color w:val="000000"/>
                <w:sz w:val="20"/>
              </w:rPr>
              <w:t>recorded media</w:t>
            </w:r>
            <w:r w:rsidR="003E5CF5">
              <w:rPr>
                <w:rStyle w:val="NoteLabel"/>
              </w:rPr>
              <w:t>b</w:t>
            </w:r>
          </w:p>
        </w:tc>
        <w:tc>
          <w:tcPr>
            <w:tcW w:w="2806" w:type="dxa"/>
            <w:vAlign w:val="bottom"/>
          </w:tcPr>
          <w:p w:rsidR="00DA3625" w:rsidRPr="00100246" w:rsidRDefault="00DA3625" w:rsidP="00100246">
            <w:pPr>
              <w:spacing w:before="80"/>
              <w:ind w:left="332" w:hanging="332"/>
              <w:rPr>
                <w:rFonts w:ascii="Arial" w:hAnsi="Arial" w:cs="Arial"/>
                <w:color w:val="000000"/>
                <w:sz w:val="20"/>
              </w:rPr>
            </w:pPr>
            <w:r w:rsidRPr="00100246">
              <w:rPr>
                <w:rFonts w:ascii="Arial" w:hAnsi="Arial" w:cs="Arial"/>
                <w:color w:val="000000"/>
                <w:sz w:val="20"/>
              </w:rPr>
              <w:t xml:space="preserve">26 </w:t>
            </w:r>
            <w:r w:rsidR="00100246">
              <w:rPr>
                <w:rFonts w:ascii="Arial" w:hAnsi="Arial" w:cs="Arial"/>
                <w:color w:val="000000"/>
                <w:sz w:val="20"/>
              </w:rPr>
              <w:tab/>
            </w:r>
            <w:r w:rsidRPr="00100246">
              <w:rPr>
                <w:rFonts w:ascii="Arial" w:hAnsi="Arial" w:cs="Arial"/>
                <w:color w:val="000000"/>
                <w:sz w:val="20"/>
              </w:rPr>
              <w:t xml:space="preserve">Paper, </w:t>
            </w:r>
            <w:r w:rsidR="003E5CF5" w:rsidRPr="00100246">
              <w:rPr>
                <w:rFonts w:ascii="Arial" w:hAnsi="Arial" w:cs="Arial"/>
                <w:color w:val="000000"/>
                <w:sz w:val="20"/>
              </w:rPr>
              <w:t>paper products, printing &amp; publishing</w:t>
            </w:r>
            <w:r w:rsidR="003E5CF5" w:rsidRPr="00A11035">
              <w:rPr>
                <w:rStyle w:val="NoteLabel"/>
              </w:rPr>
              <w:t>c</w:t>
            </w:r>
          </w:p>
        </w:tc>
      </w:tr>
      <w:tr w:rsidR="00DA3625" w:rsidTr="00A87D4F">
        <w:tc>
          <w:tcPr>
            <w:tcW w:w="2929" w:type="dxa"/>
            <w:shd w:val="clear" w:color="auto" w:fill="D9D9D9" w:themeFill="background1" w:themeFillShade="D9"/>
            <w:hideMark/>
          </w:tcPr>
          <w:p w:rsidR="00DA3625" w:rsidRPr="00F73010" w:rsidRDefault="00DA3625" w:rsidP="00786DBA">
            <w:pPr>
              <w:pStyle w:val="TableBodyText"/>
              <w:spacing w:before="80"/>
              <w:jc w:val="left"/>
            </w:pPr>
            <w:r w:rsidRPr="00F73010">
              <w:t xml:space="preserve">Petroleum, coal, chemical </w:t>
            </w:r>
            <w:r>
              <w:t>&amp;</w:t>
            </w:r>
            <w:r w:rsidRPr="00F73010">
              <w:t xml:space="preserve"> rubber products</w:t>
            </w:r>
            <w:r w:rsidR="00D86322">
              <w:t xml:space="preserve"> (</w:t>
            </w:r>
            <w:proofErr w:type="spellStart"/>
            <w:r w:rsidR="00D86322">
              <w:t>PCCR</w:t>
            </w:r>
            <w:proofErr w:type="spellEnd"/>
            <w:r w:rsidR="00D86322">
              <w:t>)</w:t>
            </w:r>
          </w:p>
        </w:tc>
        <w:tc>
          <w:tcPr>
            <w:tcW w:w="3053" w:type="dxa"/>
            <w:shd w:val="clear" w:color="auto" w:fill="D9D9D9" w:themeFill="background1" w:themeFillShade="D9"/>
            <w:vAlign w:val="bottom"/>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25 </w:t>
            </w:r>
            <w:r w:rsidR="00100246">
              <w:rPr>
                <w:rFonts w:ascii="Arial" w:hAnsi="Arial" w:cs="Arial"/>
                <w:color w:val="000000"/>
                <w:sz w:val="20"/>
              </w:rPr>
              <w:tab/>
            </w:r>
            <w:r>
              <w:rPr>
                <w:rFonts w:ascii="Arial" w:hAnsi="Arial" w:cs="Arial"/>
                <w:color w:val="000000"/>
                <w:sz w:val="20"/>
              </w:rPr>
              <w:t xml:space="preserve">Petroleum, coal, chemical </w:t>
            </w:r>
            <w:r w:rsidR="002F0361">
              <w:rPr>
                <w:rFonts w:ascii="Arial" w:hAnsi="Arial" w:cs="Arial"/>
                <w:color w:val="000000"/>
                <w:sz w:val="20"/>
              </w:rPr>
              <w:t>&amp;</w:t>
            </w:r>
            <w:r w:rsidR="003E5CF5">
              <w:rPr>
                <w:rFonts w:ascii="Arial" w:hAnsi="Arial" w:cs="Arial"/>
                <w:color w:val="000000"/>
                <w:sz w:val="20"/>
              </w:rPr>
              <w:t xml:space="preserve"> associated product </w:t>
            </w:r>
            <w:proofErr w:type="spellStart"/>
            <w:r w:rsidR="003E5CF5">
              <w:rPr>
                <w:rFonts w:ascii="Arial" w:hAnsi="Arial" w:cs="Arial"/>
                <w:color w:val="000000"/>
                <w:sz w:val="20"/>
              </w:rPr>
              <w:t>mfg</w:t>
            </w:r>
            <w:proofErr w:type="spellEnd"/>
          </w:p>
        </w:tc>
        <w:tc>
          <w:tcPr>
            <w:tcW w:w="2806" w:type="dxa"/>
            <w:shd w:val="clear" w:color="auto" w:fill="D9D9D9" w:themeFill="background1" w:themeFillShade="D9"/>
            <w:vAlign w:val="bottom"/>
          </w:tcPr>
          <w:p w:rsidR="00DA3625" w:rsidRPr="00100246" w:rsidRDefault="003E5CF5" w:rsidP="00100246">
            <w:pPr>
              <w:spacing w:before="80"/>
              <w:ind w:left="332" w:hanging="332"/>
              <w:rPr>
                <w:rFonts w:ascii="Arial" w:hAnsi="Arial" w:cs="Arial"/>
                <w:color w:val="000000"/>
                <w:sz w:val="20"/>
              </w:rPr>
            </w:pPr>
            <w:r w:rsidRPr="00100246">
              <w:rPr>
                <w:rFonts w:ascii="Arial" w:hAnsi="Arial" w:cs="Arial"/>
                <w:color w:val="000000"/>
                <w:sz w:val="20"/>
              </w:rPr>
              <w:t xml:space="preserve">27 </w:t>
            </w:r>
            <w:r w:rsidR="00100246">
              <w:rPr>
                <w:rFonts w:ascii="Arial" w:hAnsi="Arial" w:cs="Arial"/>
                <w:color w:val="000000"/>
                <w:sz w:val="20"/>
              </w:rPr>
              <w:tab/>
            </w:r>
            <w:r w:rsidRPr="00100246">
              <w:rPr>
                <w:rFonts w:ascii="Arial" w:hAnsi="Arial" w:cs="Arial"/>
                <w:color w:val="000000"/>
                <w:sz w:val="20"/>
              </w:rPr>
              <w:t xml:space="preserve">Chemical, petroleum </w:t>
            </w:r>
            <w:r w:rsidR="002F0361" w:rsidRPr="00100246">
              <w:rPr>
                <w:rFonts w:ascii="Arial" w:hAnsi="Arial" w:cs="Arial"/>
                <w:color w:val="000000"/>
                <w:sz w:val="20"/>
              </w:rPr>
              <w:t>&amp;</w:t>
            </w:r>
            <w:r w:rsidRPr="00100246">
              <w:rPr>
                <w:rFonts w:ascii="Arial" w:hAnsi="Arial" w:cs="Arial"/>
                <w:color w:val="000000"/>
                <w:sz w:val="20"/>
              </w:rPr>
              <w:t xml:space="preserve"> coal products</w:t>
            </w:r>
          </w:p>
        </w:tc>
      </w:tr>
      <w:tr w:rsidR="00DA3625" w:rsidTr="00A87D4F">
        <w:tc>
          <w:tcPr>
            <w:tcW w:w="2929" w:type="dxa"/>
            <w:hideMark/>
          </w:tcPr>
          <w:p w:rsidR="00DA3625" w:rsidRPr="00F73010" w:rsidRDefault="00DA3625" w:rsidP="00786DBA">
            <w:pPr>
              <w:pStyle w:val="TableBodyText"/>
              <w:spacing w:before="80"/>
              <w:jc w:val="left"/>
            </w:pPr>
            <w:r w:rsidRPr="00F73010">
              <w:t>Non-metallic mineral products</w:t>
            </w:r>
            <w:r w:rsidR="00D86322">
              <w:t xml:space="preserve"> (NM)</w:t>
            </w:r>
          </w:p>
        </w:tc>
        <w:tc>
          <w:tcPr>
            <w:tcW w:w="3053" w:type="dxa"/>
            <w:vAlign w:val="bottom"/>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26 </w:t>
            </w:r>
            <w:r w:rsidR="00100246">
              <w:rPr>
                <w:rFonts w:ascii="Arial" w:hAnsi="Arial" w:cs="Arial"/>
                <w:color w:val="000000"/>
                <w:sz w:val="20"/>
              </w:rPr>
              <w:tab/>
            </w:r>
            <w:r>
              <w:rPr>
                <w:rFonts w:ascii="Arial" w:hAnsi="Arial" w:cs="Arial"/>
                <w:color w:val="000000"/>
                <w:sz w:val="20"/>
              </w:rPr>
              <w:t xml:space="preserve">Non-metallic mineral product </w:t>
            </w:r>
            <w:proofErr w:type="spellStart"/>
            <w:r>
              <w:rPr>
                <w:rFonts w:ascii="Arial" w:hAnsi="Arial" w:cs="Arial"/>
                <w:color w:val="000000"/>
                <w:sz w:val="20"/>
              </w:rPr>
              <w:t>mfg</w:t>
            </w:r>
            <w:proofErr w:type="spellEnd"/>
          </w:p>
        </w:tc>
        <w:tc>
          <w:tcPr>
            <w:tcW w:w="2806" w:type="dxa"/>
            <w:vAlign w:val="bottom"/>
          </w:tcPr>
          <w:p w:rsidR="00DA3625" w:rsidRPr="00100246" w:rsidRDefault="003E5CF5" w:rsidP="00100246">
            <w:pPr>
              <w:spacing w:before="80"/>
              <w:ind w:left="332" w:hanging="332"/>
              <w:rPr>
                <w:rFonts w:ascii="Arial" w:hAnsi="Arial" w:cs="Arial"/>
                <w:color w:val="000000"/>
                <w:sz w:val="20"/>
              </w:rPr>
            </w:pPr>
            <w:r w:rsidRPr="00100246">
              <w:rPr>
                <w:rFonts w:ascii="Arial" w:hAnsi="Arial" w:cs="Arial"/>
                <w:color w:val="000000"/>
                <w:sz w:val="20"/>
              </w:rPr>
              <w:t xml:space="preserve">28 </w:t>
            </w:r>
            <w:r w:rsidR="00100246">
              <w:rPr>
                <w:rFonts w:ascii="Arial" w:hAnsi="Arial" w:cs="Arial"/>
                <w:color w:val="000000"/>
                <w:sz w:val="20"/>
              </w:rPr>
              <w:tab/>
            </w:r>
            <w:r w:rsidRPr="00100246">
              <w:rPr>
                <w:rFonts w:ascii="Arial" w:hAnsi="Arial" w:cs="Arial"/>
                <w:color w:val="000000"/>
                <w:sz w:val="20"/>
              </w:rPr>
              <w:t>Non-metal</w:t>
            </w:r>
            <w:r w:rsidR="00DA3625" w:rsidRPr="00100246">
              <w:rPr>
                <w:rFonts w:ascii="Arial" w:hAnsi="Arial" w:cs="Arial"/>
                <w:color w:val="000000"/>
                <w:sz w:val="20"/>
              </w:rPr>
              <w:t>lic</w:t>
            </w:r>
            <w:r w:rsidRPr="00100246">
              <w:rPr>
                <w:rFonts w:ascii="Arial" w:hAnsi="Arial" w:cs="Arial"/>
                <w:color w:val="000000"/>
                <w:sz w:val="20"/>
              </w:rPr>
              <w:t xml:space="preserve"> mineral </w:t>
            </w:r>
            <w:r w:rsidR="002F0361" w:rsidRPr="00100246">
              <w:rPr>
                <w:rFonts w:ascii="Arial" w:hAnsi="Arial" w:cs="Arial"/>
                <w:color w:val="000000"/>
                <w:sz w:val="20"/>
              </w:rPr>
              <w:t>products</w:t>
            </w:r>
          </w:p>
        </w:tc>
      </w:tr>
      <w:tr w:rsidR="00DA3625" w:rsidTr="00A87D4F">
        <w:tc>
          <w:tcPr>
            <w:tcW w:w="2929" w:type="dxa"/>
            <w:tcBorders>
              <w:left w:val="nil"/>
              <w:right w:val="nil"/>
            </w:tcBorders>
            <w:shd w:val="clear" w:color="auto" w:fill="D9D9D9" w:themeFill="background1" w:themeFillShade="D9"/>
            <w:hideMark/>
          </w:tcPr>
          <w:p w:rsidR="00DA3625" w:rsidRPr="00F73010" w:rsidRDefault="00DA3625" w:rsidP="00786DBA">
            <w:pPr>
              <w:pStyle w:val="TableBodyText"/>
              <w:spacing w:before="80"/>
              <w:jc w:val="left"/>
            </w:pPr>
            <w:r w:rsidRPr="00F73010">
              <w:t>Metal products</w:t>
            </w:r>
            <w:r w:rsidR="00D86322">
              <w:t xml:space="preserve"> (MP)</w:t>
            </w:r>
          </w:p>
        </w:tc>
        <w:tc>
          <w:tcPr>
            <w:tcW w:w="3053" w:type="dxa"/>
            <w:tcBorders>
              <w:left w:val="nil"/>
              <w:right w:val="nil"/>
            </w:tcBorders>
            <w:shd w:val="clear" w:color="auto" w:fill="D9D9D9" w:themeFill="background1" w:themeFillShade="D9"/>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27 </w:t>
            </w:r>
            <w:r w:rsidR="00100246">
              <w:rPr>
                <w:rFonts w:ascii="Arial" w:hAnsi="Arial" w:cs="Arial"/>
                <w:color w:val="000000"/>
                <w:sz w:val="20"/>
              </w:rPr>
              <w:tab/>
            </w:r>
            <w:r>
              <w:rPr>
                <w:rFonts w:ascii="Arial" w:hAnsi="Arial" w:cs="Arial"/>
                <w:color w:val="000000"/>
                <w:sz w:val="20"/>
              </w:rPr>
              <w:t xml:space="preserve">Metal product </w:t>
            </w:r>
            <w:proofErr w:type="spellStart"/>
            <w:r>
              <w:rPr>
                <w:rFonts w:ascii="Arial" w:hAnsi="Arial" w:cs="Arial"/>
                <w:color w:val="000000"/>
                <w:sz w:val="20"/>
              </w:rPr>
              <w:t>mfg</w:t>
            </w:r>
            <w:proofErr w:type="spellEnd"/>
          </w:p>
        </w:tc>
        <w:tc>
          <w:tcPr>
            <w:tcW w:w="2806" w:type="dxa"/>
            <w:tcBorders>
              <w:left w:val="nil"/>
              <w:right w:val="nil"/>
            </w:tcBorders>
            <w:shd w:val="clear" w:color="auto" w:fill="D9D9D9" w:themeFill="background1" w:themeFillShade="D9"/>
            <w:vAlign w:val="bottom"/>
          </w:tcPr>
          <w:p w:rsidR="00100246" w:rsidRDefault="00DA3625" w:rsidP="00100246">
            <w:pPr>
              <w:spacing w:before="80"/>
              <w:ind w:left="332" w:hanging="332"/>
              <w:rPr>
                <w:rFonts w:ascii="Arial" w:hAnsi="Arial" w:cs="Arial"/>
                <w:color w:val="000000"/>
                <w:sz w:val="20"/>
              </w:rPr>
            </w:pPr>
            <w:r w:rsidRPr="00100246">
              <w:rPr>
                <w:rFonts w:ascii="Arial" w:hAnsi="Arial" w:cs="Arial"/>
                <w:color w:val="000000"/>
                <w:sz w:val="20"/>
              </w:rPr>
              <w:t>29</w:t>
            </w:r>
            <w:r w:rsidR="002B6079" w:rsidRPr="00100246">
              <w:rPr>
                <w:rFonts w:ascii="Arial" w:hAnsi="Arial" w:cs="Arial"/>
                <w:color w:val="000000"/>
                <w:sz w:val="20"/>
              </w:rPr>
              <w:t xml:space="preserve"> </w:t>
            </w:r>
            <w:r w:rsidR="00100246">
              <w:rPr>
                <w:rFonts w:ascii="Arial" w:hAnsi="Arial" w:cs="Arial"/>
                <w:color w:val="000000"/>
                <w:sz w:val="20"/>
              </w:rPr>
              <w:tab/>
            </w:r>
            <w:r w:rsidRPr="00100246">
              <w:rPr>
                <w:rFonts w:ascii="Arial" w:hAnsi="Arial" w:cs="Arial"/>
                <w:color w:val="000000"/>
                <w:sz w:val="20"/>
              </w:rPr>
              <w:t>Basic</w:t>
            </w:r>
            <w:r w:rsidR="003E5CF5" w:rsidRPr="00100246">
              <w:rPr>
                <w:rFonts w:ascii="Arial" w:hAnsi="Arial" w:cs="Arial"/>
                <w:color w:val="000000"/>
                <w:sz w:val="20"/>
              </w:rPr>
              <w:t xml:space="preserve"> metal products</w:t>
            </w:r>
          </w:p>
          <w:p w:rsidR="00DA3625" w:rsidRPr="00100246" w:rsidRDefault="002B6079" w:rsidP="00100246">
            <w:pPr>
              <w:ind w:left="335" w:hanging="335"/>
              <w:rPr>
                <w:rFonts w:ascii="Arial" w:hAnsi="Arial" w:cs="Arial"/>
                <w:color w:val="000000"/>
                <w:sz w:val="20"/>
              </w:rPr>
            </w:pPr>
            <w:r w:rsidRPr="00100246">
              <w:rPr>
                <w:rFonts w:ascii="Arial" w:hAnsi="Arial" w:cs="Arial"/>
                <w:color w:val="000000"/>
                <w:sz w:val="20"/>
              </w:rPr>
              <w:t xml:space="preserve">31 </w:t>
            </w:r>
            <w:r w:rsidR="00100246">
              <w:rPr>
                <w:rFonts w:ascii="Arial" w:hAnsi="Arial" w:cs="Arial"/>
                <w:color w:val="000000"/>
                <w:sz w:val="20"/>
              </w:rPr>
              <w:tab/>
            </w:r>
            <w:r w:rsidR="00DA3625" w:rsidRPr="00100246">
              <w:rPr>
                <w:rFonts w:ascii="Arial" w:hAnsi="Arial" w:cs="Arial"/>
                <w:color w:val="000000"/>
                <w:sz w:val="20"/>
              </w:rPr>
              <w:t xml:space="preserve">Fabricated </w:t>
            </w:r>
            <w:r w:rsidR="003E5CF5" w:rsidRPr="00100246">
              <w:rPr>
                <w:rFonts w:ascii="Arial" w:hAnsi="Arial" w:cs="Arial"/>
                <w:color w:val="000000"/>
                <w:sz w:val="20"/>
              </w:rPr>
              <w:t>m</w:t>
            </w:r>
            <w:r w:rsidR="00DA3625" w:rsidRPr="00100246">
              <w:rPr>
                <w:rFonts w:ascii="Arial" w:hAnsi="Arial" w:cs="Arial"/>
                <w:color w:val="000000"/>
                <w:sz w:val="20"/>
              </w:rPr>
              <w:t>etal</w:t>
            </w:r>
            <w:r w:rsidR="003E5CF5" w:rsidRPr="00100246">
              <w:rPr>
                <w:rFonts w:ascii="Arial" w:hAnsi="Arial" w:cs="Arial"/>
                <w:color w:val="000000"/>
                <w:sz w:val="20"/>
              </w:rPr>
              <w:t xml:space="preserve"> products</w:t>
            </w:r>
          </w:p>
        </w:tc>
      </w:tr>
      <w:tr w:rsidR="00DA3625" w:rsidTr="00A87D4F">
        <w:tc>
          <w:tcPr>
            <w:tcW w:w="2929" w:type="dxa"/>
            <w:tcBorders>
              <w:left w:val="nil"/>
              <w:bottom w:val="single" w:sz="4" w:space="0" w:color="auto"/>
              <w:right w:val="nil"/>
            </w:tcBorders>
          </w:tcPr>
          <w:p w:rsidR="00DA3625" w:rsidRPr="00F73010" w:rsidRDefault="00DA3625" w:rsidP="00786DBA">
            <w:pPr>
              <w:pStyle w:val="TableBodyText"/>
              <w:spacing w:before="80"/>
              <w:jc w:val="left"/>
            </w:pPr>
            <w:r w:rsidRPr="00F73010">
              <w:t xml:space="preserve">Machinery </w:t>
            </w:r>
            <w:r>
              <w:t>&amp;</w:t>
            </w:r>
            <w:r w:rsidRPr="00F73010">
              <w:t xml:space="preserve"> equipment</w:t>
            </w:r>
            <w:r w:rsidR="00D86322">
              <w:t xml:space="preserve"> (ME)</w:t>
            </w:r>
          </w:p>
        </w:tc>
        <w:tc>
          <w:tcPr>
            <w:tcW w:w="3053" w:type="dxa"/>
            <w:tcBorders>
              <w:left w:val="nil"/>
              <w:bottom w:val="single" w:sz="4" w:space="0" w:color="auto"/>
              <w:right w:val="nil"/>
            </w:tcBorders>
          </w:tcPr>
          <w:p w:rsidR="00DA3625" w:rsidRDefault="00DA3625" w:rsidP="00100246">
            <w:pPr>
              <w:spacing w:before="80"/>
              <w:ind w:left="332" w:hanging="332"/>
              <w:rPr>
                <w:rFonts w:ascii="Arial" w:hAnsi="Arial" w:cs="Arial"/>
                <w:color w:val="000000"/>
                <w:sz w:val="20"/>
              </w:rPr>
            </w:pPr>
            <w:r>
              <w:rPr>
                <w:rFonts w:ascii="Arial" w:hAnsi="Arial" w:cs="Arial"/>
                <w:color w:val="000000"/>
                <w:sz w:val="20"/>
              </w:rPr>
              <w:t xml:space="preserve">28 </w:t>
            </w:r>
            <w:r w:rsidR="00100246">
              <w:rPr>
                <w:rFonts w:ascii="Arial" w:hAnsi="Arial" w:cs="Arial"/>
                <w:color w:val="000000"/>
                <w:sz w:val="20"/>
              </w:rPr>
              <w:tab/>
            </w:r>
            <w:r>
              <w:rPr>
                <w:rFonts w:ascii="Arial" w:hAnsi="Arial" w:cs="Arial"/>
                <w:color w:val="000000"/>
                <w:sz w:val="20"/>
              </w:rPr>
              <w:t xml:space="preserve">Machinery </w:t>
            </w:r>
            <w:r w:rsidR="002F0361">
              <w:rPr>
                <w:rFonts w:ascii="Arial" w:hAnsi="Arial" w:cs="Arial"/>
                <w:color w:val="000000"/>
                <w:sz w:val="20"/>
              </w:rPr>
              <w:t>&amp;</w:t>
            </w:r>
            <w:r>
              <w:rPr>
                <w:rFonts w:ascii="Arial" w:hAnsi="Arial" w:cs="Arial"/>
                <w:color w:val="000000"/>
                <w:sz w:val="20"/>
              </w:rPr>
              <w:t xml:space="preserve"> equipment </w:t>
            </w:r>
            <w:proofErr w:type="spellStart"/>
            <w:r>
              <w:rPr>
                <w:rFonts w:ascii="Arial" w:hAnsi="Arial" w:cs="Arial"/>
                <w:color w:val="000000"/>
                <w:sz w:val="20"/>
              </w:rPr>
              <w:t>mfg</w:t>
            </w:r>
            <w:proofErr w:type="spellEnd"/>
          </w:p>
        </w:tc>
        <w:tc>
          <w:tcPr>
            <w:tcW w:w="2806" w:type="dxa"/>
            <w:tcBorders>
              <w:left w:val="nil"/>
              <w:bottom w:val="single" w:sz="4" w:space="0" w:color="auto"/>
              <w:right w:val="nil"/>
            </w:tcBorders>
            <w:vAlign w:val="bottom"/>
          </w:tcPr>
          <w:p w:rsidR="00100246" w:rsidRDefault="00DA3625" w:rsidP="00100246">
            <w:pPr>
              <w:spacing w:before="80"/>
              <w:ind w:left="332" w:hanging="332"/>
              <w:rPr>
                <w:rFonts w:ascii="Arial" w:hAnsi="Arial" w:cs="Arial"/>
                <w:color w:val="000000"/>
                <w:sz w:val="20"/>
              </w:rPr>
            </w:pPr>
            <w:r w:rsidRPr="00100246">
              <w:rPr>
                <w:rFonts w:ascii="Arial" w:hAnsi="Arial" w:cs="Arial"/>
                <w:color w:val="000000"/>
                <w:sz w:val="20"/>
              </w:rPr>
              <w:t>32</w:t>
            </w:r>
            <w:r w:rsidR="002B6079" w:rsidRPr="00100246">
              <w:rPr>
                <w:rFonts w:ascii="Arial" w:hAnsi="Arial" w:cs="Arial"/>
                <w:color w:val="000000"/>
                <w:sz w:val="20"/>
              </w:rPr>
              <w:t xml:space="preserve"> </w:t>
            </w:r>
            <w:r w:rsidR="00100246">
              <w:rPr>
                <w:rFonts w:ascii="Arial" w:hAnsi="Arial" w:cs="Arial"/>
                <w:color w:val="000000"/>
                <w:sz w:val="20"/>
              </w:rPr>
              <w:tab/>
            </w:r>
            <w:r w:rsidRPr="00100246">
              <w:rPr>
                <w:rFonts w:ascii="Arial" w:hAnsi="Arial" w:cs="Arial"/>
                <w:color w:val="000000"/>
                <w:sz w:val="20"/>
              </w:rPr>
              <w:t>Transport equip</w:t>
            </w:r>
            <w:r w:rsidR="003E5CF5" w:rsidRPr="00100246">
              <w:rPr>
                <w:rFonts w:ascii="Arial" w:hAnsi="Arial" w:cs="Arial"/>
                <w:color w:val="000000"/>
                <w:sz w:val="20"/>
              </w:rPr>
              <w:t>ment</w:t>
            </w:r>
          </w:p>
          <w:p w:rsidR="00DA3625" w:rsidRPr="00100246" w:rsidRDefault="002B6079" w:rsidP="00100246">
            <w:pPr>
              <w:ind w:left="335" w:hanging="335"/>
              <w:rPr>
                <w:rFonts w:ascii="Arial" w:hAnsi="Arial" w:cs="Arial"/>
                <w:color w:val="000000"/>
                <w:sz w:val="20"/>
              </w:rPr>
            </w:pPr>
            <w:r w:rsidRPr="00100246">
              <w:rPr>
                <w:rFonts w:ascii="Arial" w:hAnsi="Arial" w:cs="Arial"/>
                <w:color w:val="000000"/>
                <w:sz w:val="20"/>
              </w:rPr>
              <w:t>33</w:t>
            </w:r>
            <w:r w:rsidR="003E5CF5" w:rsidRPr="00100246">
              <w:rPr>
                <w:rFonts w:ascii="Arial" w:hAnsi="Arial" w:cs="Arial"/>
                <w:color w:val="000000"/>
                <w:sz w:val="20"/>
              </w:rPr>
              <w:t xml:space="preserve"> </w:t>
            </w:r>
            <w:r w:rsidR="00100246">
              <w:rPr>
                <w:rFonts w:ascii="Arial" w:hAnsi="Arial" w:cs="Arial"/>
                <w:color w:val="000000"/>
                <w:sz w:val="20"/>
              </w:rPr>
              <w:tab/>
            </w:r>
            <w:r w:rsidR="003E5CF5" w:rsidRPr="00100246">
              <w:rPr>
                <w:rFonts w:ascii="Arial" w:hAnsi="Arial" w:cs="Arial"/>
                <w:color w:val="000000"/>
                <w:sz w:val="20"/>
              </w:rPr>
              <w:t xml:space="preserve">Other machinery </w:t>
            </w:r>
            <w:r w:rsidR="002F0361" w:rsidRPr="00100246">
              <w:rPr>
                <w:rFonts w:ascii="Arial" w:hAnsi="Arial" w:cs="Arial"/>
                <w:color w:val="000000"/>
                <w:sz w:val="20"/>
              </w:rPr>
              <w:t>&amp;</w:t>
            </w:r>
            <w:r w:rsidR="003E5CF5" w:rsidRPr="00100246">
              <w:rPr>
                <w:rFonts w:ascii="Arial" w:hAnsi="Arial" w:cs="Arial"/>
                <w:color w:val="000000"/>
                <w:sz w:val="20"/>
              </w:rPr>
              <w:t xml:space="preserve"> </w:t>
            </w:r>
            <w:proofErr w:type="spellStart"/>
            <w:r w:rsidR="003E5CF5" w:rsidRPr="00100246">
              <w:rPr>
                <w:rFonts w:ascii="Arial" w:hAnsi="Arial" w:cs="Arial"/>
                <w:color w:val="000000"/>
                <w:sz w:val="20"/>
              </w:rPr>
              <w:t>equip</w:t>
            </w:r>
            <w:r w:rsidR="000D1874" w:rsidRPr="00100246">
              <w:rPr>
                <w:rFonts w:ascii="Arial" w:hAnsi="Arial" w:cs="Arial"/>
                <w:color w:val="000000"/>
                <w:sz w:val="20"/>
              </w:rPr>
              <w:t>’</w:t>
            </w:r>
            <w:r w:rsidR="003E5CF5" w:rsidRPr="00100246">
              <w:rPr>
                <w:rFonts w:ascii="Arial" w:hAnsi="Arial" w:cs="Arial"/>
                <w:color w:val="000000"/>
                <w:sz w:val="20"/>
              </w:rPr>
              <w:t>t</w:t>
            </w:r>
            <w:proofErr w:type="spellEnd"/>
          </w:p>
        </w:tc>
      </w:tr>
    </w:tbl>
    <w:p w:rsidR="00DA3625" w:rsidRPr="001F5FCC" w:rsidRDefault="00DA3625" w:rsidP="00DA3625">
      <w:pPr>
        <w:pStyle w:val="Source"/>
        <w:spacing w:after="0"/>
      </w:pPr>
      <w:r>
        <w:rPr>
          <w:rStyle w:val="NoteLabel"/>
        </w:rPr>
        <w:t>a</w:t>
      </w:r>
      <w:r>
        <w:t xml:space="preserve"> Although this correspondence is assumed to provide a reasonable basis for ascertaining broad industry trends, there are a number of individual activities that moved between sectors with the introduction of </w:t>
      </w:r>
      <w:proofErr w:type="spellStart"/>
      <w:r>
        <w:t>ANZSIC06</w:t>
      </w:r>
      <w:proofErr w:type="spellEnd"/>
      <w:r>
        <w:t>. Details of these moves are presented in ABS (</w:t>
      </w:r>
      <w:r w:rsidR="003F4551">
        <w:t>Cat. no. 1292.0</w:t>
      </w:r>
      <w:r>
        <w:t>).</w:t>
      </w:r>
      <w:r>
        <w:rPr>
          <w:rStyle w:val="NoteLabel"/>
        </w:rPr>
        <w:t xml:space="preserve"> b</w:t>
      </w:r>
      <w:r>
        <w:t xml:space="preserve"> ‘Publishing’ </w:t>
      </w:r>
      <w:r w:rsidR="00EE5FF2">
        <w:t>was</w:t>
      </w:r>
      <w:r>
        <w:t xml:space="preserve"> moved from the Manufacturing division under </w:t>
      </w:r>
      <w:proofErr w:type="spellStart"/>
      <w:r>
        <w:t>ANZSIC93</w:t>
      </w:r>
      <w:proofErr w:type="spellEnd"/>
      <w:r>
        <w:t xml:space="preserve"> to the Information, media </w:t>
      </w:r>
      <w:r w:rsidR="002F0361">
        <w:t>and</w:t>
      </w:r>
      <w:r>
        <w:t xml:space="preserve"> telecommunications division under </w:t>
      </w:r>
      <w:proofErr w:type="spellStart"/>
      <w:r>
        <w:t>ANZSIC06</w:t>
      </w:r>
      <w:proofErr w:type="spellEnd"/>
      <w:r>
        <w:t xml:space="preserve">. </w:t>
      </w:r>
      <w:r>
        <w:rPr>
          <w:rStyle w:val="NoteLabel"/>
        </w:rPr>
        <w:t xml:space="preserve">c </w:t>
      </w:r>
      <w:r>
        <w:t xml:space="preserve">Paper products </w:t>
      </w:r>
      <w:r w:rsidR="00EE5FF2">
        <w:t>was</w:t>
      </w:r>
      <w:r>
        <w:t xml:space="preserve"> moved to Wood and paper under </w:t>
      </w:r>
      <w:proofErr w:type="spellStart"/>
      <w:r>
        <w:t>ANZSIC93</w:t>
      </w:r>
      <w:proofErr w:type="spellEnd"/>
      <w:r>
        <w:t>/06.</w:t>
      </w:r>
    </w:p>
    <w:p w:rsidR="00DA3625" w:rsidRDefault="00DA3625" w:rsidP="00DA3625">
      <w:pPr>
        <w:pStyle w:val="Source"/>
      </w:pPr>
      <w:r>
        <w:rPr>
          <w:i/>
        </w:rPr>
        <w:t>Source</w:t>
      </w:r>
      <w:r w:rsidR="001909A9">
        <w:rPr>
          <w:i/>
        </w:rPr>
        <w:t>s</w:t>
      </w:r>
      <w:r w:rsidRPr="00564BDC">
        <w:t>:</w:t>
      </w:r>
      <w:r>
        <w:t xml:space="preserve"> </w:t>
      </w:r>
      <w:r w:rsidR="00C500A0">
        <w:t>Authors’ estimates b</w:t>
      </w:r>
      <w:r>
        <w:t>ased on ABS (</w:t>
      </w:r>
      <w:r>
        <w:rPr>
          <w:i/>
        </w:rPr>
        <w:t>Australian and New Zealand Standard Industrial Classification</w:t>
      </w:r>
      <w:r w:rsidR="00721124">
        <w:rPr>
          <w:i/>
        </w:rPr>
        <w:t> </w:t>
      </w:r>
      <w:r w:rsidR="003F4551">
        <w:rPr>
          <w:i/>
        </w:rPr>
        <w:t>2006</w:t>
      </w:r>
      <w:r>
        <w:rPr>
          <w:i/>
        </w:rPr>
        <w:t>,</w:t>
      </w:r>
      <w:r>
        <w:t xml:space="preserve"> Cat. no. </w:t>
      </w:r>
      <w:r w:rsidR="003F4551">
        <w:t>1292.0</w:t>
      </w:r>
      <w:r>
        <w:t>)</w:t>
      </w:r>
      <w:r w:rsidR="003F4551">
        <w:t>; ABS (</w:t>
      </w:r>
      <w:r w:rsidR="003F4551" w:rsidRPr="003F4551">
        <w:rPr>
          <w:i/>
        </w:rPr>
        <w:t>Concordance Between the Australian Standard Industrial Classification (</w:t>
      </w:r>
      <w:proofErr w:type="spellStart"/>
      <w:r w:rsidR="003F4551" w:rsidRPr="003F4551">
        <w:rPr>
          <w:i/>
        </w:rPr>
        <w:t>ASIC</w:t>
      </w:r>
      <w:proofErr w:type="spellEnd"/>
      <w:r w:rsidR="003F4551" w:rsidRPr="003F4551">
        <w:rPr>
          <w:i/>
        </w:rPr>
        <w:t>) and the</w:t>
      </w:r>
      <w:r w:rsidR="003F4551">
        <w:t xml:space="preserve"> </w:t>
      </w:r>
      <w:r w:rsidR="003F4551">
        <w:rPr>
          <w:i/>
        </w:rPr>
        <w:t>Australian and New Zealand Standard Industrial Classification (</w:t>
      </w:r>
      <w:proofErr w:type="spellStart"/>
      <w:r w:rsidR="003F4551">
        <w:rPr>
          <w:i/>
        </w:rPr>
        <w:t>ANZSIC</w:t>
      </w:r>
      <w:proofErr w:type="spellEnd"/>
      <w:r w:rsidR="003F4551">
        <w:rPr>
          <w:i/>
        </w:rPr>
        <w:t xml:space="preserve">), 1993, </w:t>
      </w:r>
      <w:r w:rsidR="003F4551">
        <w:t>Cat. no. 1292.0.15.004)</w:t>
      </w:r>
      <w:r>
        <w:t>.</w:t>
      </w:r>
    </w:p>
    <w:p w:rsidR="00245C82" w:rsidRDefault="006A4091" w:rsidP="008822F6">
      <w:pPr>
        <w:pStyle w:val="Heading2"/>
      </w:pPr>
      <w:proofErr w:type="spellStart"/>
      <w:r>
        <w:lastRenderedPageBreak/>
        <w:t>A.</w:t>
      </w:r>
      <w:r w:rsidR="001459D9">
        <w:rPr>
          <w:noProof/>
        </w:rPr>
        <w:t>3</w:t>
      </w:r>
      <w:proofErr w:type="spellEnd"/>
      <w:r w:rsidR="008822F6">
        <w:tab/>
        <w:t>Value added</w:t>
      </w:r>
    </w:p>
    <w:p w:rsidR="00A311CF" w:rsidRDefault="00A311CF" w:rsidP="008822F6">
      <w:pPr>
        <w:pStyle w:val="BodyText"/>
      </w:pPr>
      <w:r>
        <w:t xml:space="preserve">For the measurement of MFP, output </w:t>
      </w:r>
      <w:r w:rsidRPr="00C074A7">
        <w:rPr>
          <w:i/>
        </w:rPr>
        <w:t>volume</w:t>
      </w:r>
      <w:r>
        <w:t xml:space="preserve"> measures are required. The ABS uses </w:t>
      </w:r>
      <w:r w:rsidR="008162BD">
        <w:t xml:space="preserve">gross </w:t>
      </w:r>
      <w:r>
        <w:t xml:space="preserve">value added (gross output less intermediate inputs) as the output measure for its aggregate </w:t>
      </w:r>
      <w:r w:rsidR="002E6911">
        <w:t>M</w:t>
      </w:r>
      <w:r>
        <w:t>anufacturing MFP estimates</w:t>
      </w:r>
      <w:r w:rsidR="00C074A7">
        <w:t>.</w:t>
      </w:r>
      <w:r>
        <w:t xml:space="preserve"> </w:t>
      </w:r>
      <w:r w:rsidR="00C074A7">
        <w:t>T</w:t>
      </w:r>
      <w:r>
        <w:t xml:space="preserve">his is also the measure used for the disaggregated estimates in this study. </w:t>
      </w:r>
    </w:p>
    <w:p w:rsidR="00A311CF" w:rsidRDefault="0080777C" w:rsidP="008822F6">
      <w:pPr>
        <w:pStyle w:val="BodyText"/>
      </w:pPr>
      <w:r>
        <w:t xml:space="preserve">The ABS uses </w:t>
      </w:r>
      <w:r w:rsidR="00A311CF">
        <w:t>gross value added chain volume measures (</w:t>
      </w:r>
      <w:proofErr w:type="spellStart"/>
      <w:r w:rsidR="00A311CF">
        <w:t>GVA</w:t>
      </w:r>
      <w:proofErr w:type="spellEnd"/>
      <w:r w:rsidR="00A311CF">
        <w:t xml:space="preserve"> </w:t>
      </w:r>
      <w:proofErr w:type="spellStart"/>
      <w:r w:rsidR="00A311CF">
        <w:t>CVMs</w:t>
      </w:r>
      <w:proofErr w:type="spellEnd"/>
      <w:r w:rsidR="00A311CF">
        <w:t xml:space="preserve">) </w:t>
      </w:r>
      <w:r>
        <w:t xml:space="preserve">from the </w:t>
      </w:r>
      <w:r w:rsidR="002E6911">
        <w:t>National Accounts</w:t>
      </w:r>
      <w:r>
        <w:t xml:space="preserve"> (ABS Cat. no. 5204.0) </w:t>
      </w:r>
      <w:r w:rsidR="00B72D0B">
        <w:t>in</w:t>
      </w:r>
      <w:r>
        <w:t xml:space="preserve"> its </w:t>
      </w:r>
      <w:r w:rsidR="00061597">
        <w:t xml:space="preserve">estimates of MFP for </w:t>
      </w:r>
      <w:r w:rsidR="002E6911">
        <w:t>Manufacturing</w:t>
      </w:r>
      <w:r w:rsidR="00061597">
        <w:t xml:space="preserve"> in total</w:t>
      </w:r>
      <w:r>
        <w:t xml:space="preserve">. </w:t>
      </w:r>
      <w:r w:rsidR="007D093C">
        <w:t xml:space="preserve">The ABS </w:t>
      </w:r>
      <w:r w:rsidR="002E6911">
        <w:t>National Accounts</w:t>
      </w:r>
      <w:r w:rsidR="007D093C">
        <w:t xml:space="preserve"> also include </w:t>
      </w:r>
      <w:proofErr w:type="spellStart"/>
      <w:r>
        <w:t>GVA</w:t>
      </w:r>
      <w:proofErr w:type="spellEnd"/>
      <w:r>
        <w:t xml:space="preserve"> </w:t>
      </w:r>
      <w:proofErr w:type="spellStart"/>
      <w:r>
        <w:t>CVM</w:t>
      </w:r>
      <w:r w:rsidR="001D3FB8">
        <w:t>s</w:t>
      </w:r>
      <w:proofErr w:type="spellEnd"/>
      <w:r>
        <w:t xml:space="preserve"> </w:t>
      </w:r>
      <w:r w:rsidR="00A311CF">
        <w:t xml:space="preserve">for </w:t>
      </w:r>
      <w:r w:rsidR="002E6911">
        <w:t>Manufacturing</w:t>
      </w:r>
      <w:r w:rsidR="00A311CF">
        <w:t xml:space="preserve"> </w:t>
      </w:r>
      <w:r w:rsidR="00061597">
        <w:t>divided</w:t>
      </w:r>
      <w:r w:rsidR="00A311CF">
        <w:t xml:space="preserve"> into eight subsectors</w:t>
      </w:r>
      <w:r w:rsidR="00DF7E8C">
        <w:t xml:space="preserve"> (based on </w:t>
      </w:r>
      <w:proofErr w:type="spellStart"/>
      <w:r w:rsidR="00DF7E8C">
        <w:t>ANZSIC06</w:t>
      </w:r>
      <w:proofErr w:type="spellEnd"/>
      <w:r w:rsidR="00DF7E8C">
        <w:t>)</w:t>
      </w:r>
      <w:r w:rsidR="00230CE9">
        <w:t xml:space="preserve"> from 1985</w:t>
      </w:r>
      <w:r w:rsidR="00FF62BB">
        <w:noBreakHyphen/>
      </w:r>
      <w:r w:rsidR="00230CE9">
        <w:t>86 to 2010</w:t>
      </w:r>
      <w:r w:rsidR="00F82E14">
        <w:noBreakHyphen/>
      </w:r>
      <w:r w:rsidR="00230CE9">
        <w:t>11</w:t>
      </w:r>
      <w:r w:rsidR="00A311CF">
        <w:t xml:space="preserve">. </w:t>
      </w:r>
      <w:proofErr w:type="spellStart"/>
      <w:r w:rsidR="00A311CF">
        <w:t>GVA</w:t>
      </w:r>
      <w:proofErr w:type="spellEnd"/>
      <w:r w:rsidR="00A311CF">
        <w:t xml:space="preserve"> </w:t>
      </w:r>
      <w:proofErr w:type="spellStart"/>
      <w:r w:rsidR="00A311CF">
        <w:t>CVMs</w:t>
      </w:r>
      <w:proofErr w:type="spellEnd"/>
      <w:r w:rsidR="00A311CF">
        <w:t xml:space="preserve"> are not available for all 15 </w:t>
      </w:r>
      <w:proofErr w:type="spellStart"/>
      <w:r w:rsidR="00A311CF">
        <w:t>ANZSIC06</w:t>
      </w:r>
      <w:proofErr w:type="spellEnd"/>
      <w:r w:rsidR="00A311CF">
        <w:t xml:space="preserve"> </w:t>
      </w:r>
      <w:r w:rsidR="002E6911">
        <w:t>Manufacturing</w:t>
      </w:r>
      <w:r w:rsidR="00DD3335">
        <w:t xml:space="preserve"> </w:t>
      </w:r>
      <w:r w:rsidR="00A311CF">
        <w:t xml:space="preserve">subdivisions. This limited the level of disaggregation that was possible in this study. </w:t>
      </w:r>
    </w:p>
    <w:p w:rsidR="00B771D1" w:rsidRDefault="00042CD0" w:rsidP="008822F6">
      <w:pPr>
        <w:pStyle w:val="BodyText"/>
      </w:pPr>
      <w:r>
        <w:t>From 1995</w:t>
      </w:r>
      <w:r w:rsidR="00FF62BB">
        <w:noBreakHyphen/>
      </w:r>
      <w:r>
        <w:t>96, t</w:t>
      </w:r>
      <w:r w:rsidR="00A311CF">
        <w:t xml:space="preserve">he </w:t>
      </w:r>
      <w:r>
        <w:t xml:space="preserve">annual </w:t>
      </w:r>
      <w:r w:rsidR="00A311CF">
        <w:t xml:space="preserve">ABS chain volume measures of </w:t>
      </w:r>
      <w:proofErr w:type="spellStart"/>
      <w:r w:rsidR="00A311CF">
        <w:t>GVA</w:t>
      </w:r>
      <w:proofErr w:type="spellEnd"/>
      <w:r w:rsidR="00A311CF">
        <w:t xml:space="preserve"> at the industry level </w:t>
      </w:r>
      <w:r>
        <w:t>have been</w:t>
      </w:r>
      <w:r w:rsidR="00A311CF">
        <w:t xml:space="preserve"> derived </w:t>
      </w:r>
      <w:r>
        <w:t xml:space="preserve">using the double deflation method, that is </w:t>
      </w:r>
      <w:r w:rsidR="00A311CF">
        <w:t xml:space="preserve">as the difference between volume estimates of output and </w:t>
      </w:r>
      <w:r w:rsidR="0076106A">
        <w:t>intermediate input (</w:t>
      </w:r>
      <w:r w:rsidRPr="0007454F">
        <w:t xml:space="preserve">see </w:t>
      </w:r>
      <w:r w:rsidR="0076106A" w:rsidRPr="0007454F">
        <w:t xml:space="preserve">ABS </w:t>
      </w:r>
      <w:proofErr w:type="spellStart"/>
      <w:r w:rsidR="0076106A" w:rsidRPr="0007454F">
        <w:t>2000</w:t>
      </w:r>
      <w:r w:rsidR="00627480" w:rsidRPr="0007454F">
        <w:t>a</w:t>
      </w:r>
      <w:proofErr w:type="spellEnd"/>
      <w:r w:rsidR="0076106A">
        <w:t xml:space="preserve">, </w:t>
      </w:r>
      <w:proofErr w:type="spellStart"/>
      <w:r w:rsidR="0076106A">
        <w:t>para</w:t>
      </w:r>
      <w:proofErr w:type="spellEnd"/>
      <w:r w:rsidR="0076106A">
        <w:t>. 10.30</w:t>
      </w:r>
      <w:r>
        <w:t xml:space="preserve"> for further details</w:t>
      </w:r>
      <w:r w:rsidR="0076106A">
        <w:t>).</w:t>
      </w:r>
      <w:r>
        <w:t xml:space="preserve"> Prior to 1995</w:t>
      </w:r>
      <w:r w:rsidR="00FF62BB">
        <w:noBreakHyphen/>
      </w:r>
      <w:r>
        <w:t xml:space="preserve">96, it was assumed that the volume measure of gross value added grew at the same rate as the volume measure of output (that is, the output indicator method). This method is based on the underlying assumption that in volume terms the ratio of intermediate input to output is stable. This was carried out at as detailed a level as practicable and the volume indexes </w:t>
      </w:r>
      <w:r w:rsidR="00DB1D9D">
        <w:t xml:space="preserve">were </w:t>
      </w:r>
      <w:r>
        <w:t xml:space="preserve">weighted together using the current price estimate of </w:t>
      </w:r>
      <w:proofErr w:type="spellStart"/>
      <w:r>
        <w:t>GVA</w:t>
      </w:r>
      <w:proofErr w:type="spellEnd"/>
      <w:r>
        <w:t>, so as to ameliorate the effects of departures from this assumption (</w:t>
      </w:r>
      <w:r w:rsidRPr="0007454F">
        <w:t xml:space="preserve">ABS </w:t>
      </w:r>
      <w:proofErr w:type="spellStart"/>
      <w:r w:rsidRPr="0007454F">
        <w:t>2000</w:t>
      </w:r>
      <w:r w:rsidR="00627480" w:rsidRPr="0007454F">
        <w:t>a</w:t>
      </w:r>
      <w:proofErr w:type="spellEnd"/>
      <w:r>
        <w:t xml:space="preserve">, </w:t>
      </w:r>
      <w:proofErr w:type="spellStart"/>
      <w:r>
        <w:t>para</w:t>
      </w:r>
      <w:proofErr w:type="spellEnd"/>
      <w:r>
        <w:t>. 10.32).</w:t>
      </w:r>
      <w:r w:rsidR="008A026E">
        <w:rPr>
          <w:rStyle w:val="FootnoteReference"/>
        </w:rPr>
        <w:footnoteReference w:id="2"/>
      </w:r>
      <w:r>
        <w:t xml:space="preserve"> </w:t>
      </w:r>
    </w:p>
    <w:p w:rsidR="00245C82" w:rsidRDefault="006A4091" w:rsidP="008822F6">
      <w:pPr>
        <w:pStyle w:val="Heading2"/>
      </w:pPr>
      <w:proofErr w:type="spellStart"/>
      <w:r>
        <w:t>A.</w:t>
      </w:r>
      <w:r w:rsidR="001459D9">
        <w:rPr>
          <w:noProof/>
        </w:rPr>
        <w:t>4</w:t>
      </w:r>
      <w:proofErr w:type="spellEnd"/>
      <w:r w:rsidR="008822F6">
        <w:tab/>
        <w:t>Hours worked</w:t>
      </w:r>
    </w:p>
    <w:p w:rsidR="00E15D4E" w:rsidRDefault="00CA12B4" w:rsidP="00E15D4E">
      <w:pPr>
        <w:pStyle w:val="BodyText"/>
      </w:pPr>
      <w:r>
        <w:t xml:space="preserve">The labour input measure used by the ABS in its aggregate </w:t>
      </w:r>
      <w:r w:rsidR="002E6911">
        <w:t>Manufacturing</w:t>
      </w:r>
      <w:r>
        <w:t xml:space="preserve"> MFP estimates is </w:t>
      </w:r>
      <w:r w:rsidR="00D70236">
        <w:t xml:space="preserve">an index of annual </w:t>
      </w:r>
      <w:r>
        <w:t xml:space="preserve">hours worked, based on data from the ABS </w:t>
      </w:r>
      <w:r w:rsidRPr="00E112CC">
        <w:rPr>
          <w:i/>
        </w:rPr>
        <w:t>Labour Force Survey</w:t>
      </w:r>
      <w:r>
        <w:t xml:space="preserve">. </w:t>
      </w:r>
      <w:r w:rsidR="00D70236">
        <w:t xml:space="preserve">Hours worked indexes for each of the eight subsectors were derived from this aggregate </w:t>
      </w:r>
      <w:r w:rsidR="002E6911">
        <w:t>Manufacturing</w:t>
      </w:r>
      <w:r w:rsidR="00D70236">
        <w:t xml:space="preserve"> series, using i</w:t>
      </w:r>
      <w:r w:rsidR="00E770F2">
        <w:t xml:space="preserve">nformation </w:t>
      </w:r>
      <w:r w:rsidR="00D70236">
        <w:t xml:space="preserve">(from the same survey) </w:t>
      </w:r>
      <w:r w:rsidR="00E770F2">
        <w:t xml:space="preserve">about the distribution of hours worked across </w:t>
      </w:r>
      <w:r w:rsidR="002E6911">
        <w:t>Manufacturing</w:t>
      </w:r>
      <w:r w:rsidR="00E770F2">
        <w:t xml:space="preserve"> subsectors.</w:t>
      </w:r>
      <w:r w:rsidR="00447EE6">
        <w:rPr>
          <w:rStyle w:val="FootnoteReference"/>
        </w:rPr>
        <w:footnoteReference w:id="3"/>
      </w:r>
      <w:r w:rsidR="00E770F2">
        <w:t xml:space="preserve"> </w:t>
      </w:r>
    </w:p>
    <w:p w:rsidR="00FA51CD" w:rsidRDefault="00E15D4E" w:rsidP="00E15D4E">
      <w:pPr>
        <w:pStyle w:val="BodyText"/>
      </w:pPr>
      <w:r>
        <w:lastRenderedPageBreak/>
        <w:t xml:space="preserve">The ABS publishes an hours worked index for the </w:t>
      </w:r>
      <w:r w:rsidR="002E6911">
        <w:t>Manufacturing</w:t>
      </w:r>
      <w:r>
        <w:t xml:space="preserve"> division in </w:t>
      </w:r>
      <w:r w:rsidRPr="00D83539">
        <w:rPr>
          <w:i/>
        </w:rPr>
        <w:t xml:space="preserve">Experimental Estimates of Industry Multifactor </w:t>
      </w:r>
      <w:r w:rsidR="005569A9">
        <w:rPr>
          <w:i/>
        </w:rPr>
        <w:t>P</w:t>
      </w:r>
      <w:r w:rsidR="00D54932">
        <w:rPr>
          <w:i/>
        </w:rPr>
        <w:t>roduct</w:t>
      </w:r>
      <w:r w:rsidRPr="00D83539">
        <w:rPr>
          <w:i/>
        </w:rPr>
        <w:t>ivity</w:t>
      </w:r>
      <w:r w:rsidR="00CD2FB8">
        <w:rPr>
          <w:i/>
        </w:rPr>
        <w:t xml:space="preserve">, </w:t>
      </w:r>
      <w:r w:rsidR="00451935">
        <w:rPr>
          <w:i/>
        </w:rPr>
        <w:t>2010</w:t>
      </w:r>
      <w:r w:rsidR="00FF62BB">
        <w:rPr>
          <w:i/>
        </w:rPr>
        <w:noBreakHyphen/>
      </w:r>
      <w:r w:rsidR="00451935">
        <w:rPr>
          <w:i/>
        </w:rPr>
        <w:t>11</w:t>
      </w:r>
      <w:r>
        <w:t xml:space="preserve"> (Cat.</w:t>
      </w:r>
      <w:r w:rsidR="00061597">
        <w:t> </w:t>
      </w:r>
      <w:r>
        <w:t>no.</w:t>
      </w:r>
      <w:r w:rsidR="00061597">
        <w:t> </w:t>
      </w:r>
      <w:r>
        <w:t>5260.0.55.002)</w:t>
      </w:r>
      <w:r w:rsidR="00FA51CD">
        <w:t>.</w:t>
      </w:r>
      <w:r>
        <w:t xml:space="preserve"> </w:t>
      </w:r>
      <w:r w:rsidR="00FA51CD">
        <w:t xml:space="preserve">This index is based on data from the ABS </w:t>
      </w:r>
      <w:r w:rsidR="00FA51CD" w:rsidRPr="00E112CC">
        <w:rPr>
          <w:i/>
        </w:rPr>
        <w:t>Labour Force Survey</w:t>
      </w:r>
      <w:r w:rsidR="00FA51CD">
        <w:t xml:space="preserve"> that has been annualised and adjusted for changes in survey methodology to improve consistency over time. </w:t>
      </w:r>
    </w:p>
    <w:p w:rsidR="00FA51CD" w:rsidRDefault="00FA51CD" w:rsidP="00FA51CD">
      <w:pPr>
        <w:pStyle w:val="ListBullet"/>
      </w:pPr>
      <w:r>
        <w:t xml:space="preserve">The </w:t>
      </w:r>
      <w:r w:rsidRPr="00E112CC">
        <w:rPr>
          <w:i/>
        </w:rPr>
        <w:t>Labour Force Survey</w:t>
      </w:r>
      <w:r>
        <w:t xml:space="preserve"> collects hours worked data in reference weeks, not every week of the year. The ABS annualises hours worked by making adjustments for events such public and school holidays. For details of this ABS method see </w:t>
      </w:r>
      <w:r w:rsidRPr="0007454F">
        <w:t>ABS (</w:t>
      </w:r>
      <w:proofErr w:type="spellStart"/>
      <w:r w:rsidRPr="0007454F">
        <w:t>2006</w:t>
      </w:r>
      <w:r w:rsidR="00E1675D">
        <w:t>c</w:t>
      </w:r>
      <w:proofErr w:type="spellEnd"/>
      <w:r w:rsidRPr="0007454F">
        <w:t>) and Baker and von Sanden (2006).</w:t>
      </w:r>
      <w:r>
        <w:t xml:space="preserve"> </w:t>
      </w:r>
    </w:p>
    <w:p w:rsidR="00FA51CD" w:rsidRPr="00627480" w:rsidRDefault="00CA12B4" w:rsidP="00FA51CD">
      <w:pPr>
        <w:pStyle w:val="ListBullet"/>
      </w:pPr>
      <w:r w:rsidRPr="00627480">
        <w:t xml:space="preserve">Changes in survey methodology include </w:t>
      </w:r>
      <w:r w:rsidR="00C92832" w:rsidRPr="00627480">
        <w:t xml:space="preserve">the </w:t>
      </w:r>
      <w:r w:rsidRPr="00E112CC">
        <w:rPr>
          <w:i/>
        </w:rPr>
        <w:t>Labour Force Survey</w:t>
      </w:r>
      <w:r w:rsidRPr="00627480">
        <w:t xml:space="preserve"> questionnaire redesign in 2000</w:t>
      </w:r>
      <w:r w:rsidR="00FF62BB">
        <w:noBreakHyphen/>
      </w:r>
      <w:r w:rsidRPr="00627480">
        <w:t>01</w:t>
      </w:r>
      <w:r w:rsidR="00D05124" w:rsidRPr="00627480">
        <w:t xml:space="preserve"> (</w:t>
      </w:r>
      <w:r w:rsidR="001A1C67" w:rsidRPr="0007454F">
        <w:t xml:space="preserve">ABS </w:t>
      </w:r>
      <w:proofErr w:type="spellStart"/>
      <w:r w:rsidR="001A1C67" w:rsidRPr="0007454F">
        <w:t>2000</w:t>
      </w:r>
      <w:r w:rsidR="00627480" w:rsidRPr="0007454F">
        <w:t>b</w:t>
      </w:r>
      <w:proofErr w:type="spellEnd"/>
      <w:r w:rsidR="00D05124" w:rsidRPr="00627480">
        <w:t>)</w:t>
      </w:r>
      <w:r w:rsidRPr="00627480">
        <w:t xml:space="preserve">. </w:t>
      </w:r>
    </w:p>
    <w:p w:rsidR="00E15D4E" w:rsidRDefault="00E15D4E" w:rsidP="00E15D4E">
      <w:pPr>
        <w:pStyle w:val="BodyText"/>
      </w:pPr>
      <w:r>
        <w:t xml:space="preserve">The hours worked level series </w:t>
      </w:r>
      <w:r w:rsidR="00186DDF">
        <w:t xml:space="preserve">underlying this </w:t>
      </w:r>
      <w:r w:rsidR="00D70236">
        <w:t xml:space="preserve">aggregate </w:t>
      </w:r>
      <w:r w:rsidR="002E6911">
        <w:t>Manufacturing</w:t>
      </w:r>
      <w:r w:rsidR="00D70236">
        <w:t xml:space="preserve"> </w:t>
      </w:r>
      <w:r w:rsidR="00186DDF">
        <w:t xml:space="preserve">index </w:t>
      </w:r>
      <w:r>
        <w:t xml:space="preserve">is unpublished but was provided by the ABS. </w:t>
      </w:r>
      <w:r w:rsidR="00D05124">
        <w:t xml:space="preserve">This total number of hours worked in </w:t>
      </w:r>
      <w:r w:rsidR="002E6911">
        <w:t>Manufacturing</w:t>
      </w:r>
      <w:r w:rsidR="00D05124">
        <w:t xml:space="preserve"> </w:t>
      </w:r>
      <w:r>
        <w:t>was allocated across subsectors using ratios of each su</w:t>
      </w:r>
      <w:r w:rsidR="002E6911">
        <w:t>bsector’s hours worked to Manufacturing’s total</w:t>
      </w:r>
      <w:r>
        <w:t xml:space="preserve"> hours worked from the quarterly </w:t>
      </w:r>
      <w:r w:rsidRPr="00E112CC">
        <w:rPr>
          <w:i/>
        </w:rPr>
        <w:t>Labour Force Survey</w:t>
      </w:r>
      <w:r>
        <w:t>.</w:t>
      </w:r>
      <w:r w:rsidR="00AE0D51">
        <w:rPr>
          <w:rStyle w:val="FootnoteReference"/>
        </w:rPr>
        <w:footnoteReference w:id="4"/>
      </w:r>
      <w:r>
        <w:t xml:space="preserve"> This is the same method the ABS applies to allocate its estimate of total economy hours worked to industry divisions (</w:t>
      </w:r>
      <w:r w:rsidR="00E65FF3">
        <w:t xml:space="preserve">ABS </w:t>
      </w:r>
      <w:proofErr w:type="spellStart"/>
      <w:r w:rsidR="00E65FF3">
        <w:t>2006</w:t>
      </w:r>
      <w:r w:rsidR="00214E90">
        <w:t>c</w:t>
      </w:r>
      <w:proofErr w:type="spellEnd"/>
      <w:r w:rsidR="00A84F88">
        <w:t>)</w:t>
      </w:r>
      <w:r>
        <w:t>.</w:t>
      </w:r>
      <w:r w:rsidR="00447EE6">
        <w:t xml:space="preserve"> The resulting </w:t>
      </w:r>
      <w:r w:rsidR="00F34CDF">
        <w:t xml:space="preserve">subsector </w:t>
      </w:r>
      <w:r w:rsidR="00447EE6">
        <w:t xml:space="preserve">series differ from simple aggregations of the published </w:t>
      </w:r>
      <w:r w:rsidR="00447EE6" w:rsidRPr="00447EE6">
        <w:rPr>
          <w:i/>
        </w:rPr>
        <w:t>Labour Force Survey</w:t>
      </w:r>
      <w:r w:rsidR="00447EE6">
        <w:t xml:space="preserve"> data</w:t>
      </w:r>
      <w:r w:rsidR="00B0515A">
        <w:t>.</w:t>
      </w:r>
      <w:r w:rsidR="00B0515A">
        <w:rPr>
          <w:rStyle w:val="FootnoteReference"/>
        </w:rPr>
        <w:footnoteReference w:id="5"/>
      </w:r>
      <w:r w:rsidR="00B0515A">
        <w:t xml:space="preserve"> </w:t>
      </w:r>
    </w:p>
    <w:p w:rsidR="00750091" w:rsidRDefault="00A05BCE" w:rsidP="00422D46">
      <w:pPr>
        <w:pStyle w:val="BodyText"/>
      </w:pPr>
      <w:r>
        <w:t xml:space="preserve">The quarterly </w:t>
      </w:r>
      <w:r w:rsidRPr="00E112CC">
        <w:rPr>
          <w:i/>
        </w:rPr>
        <w:t>Labour Force Survey</w:t>
      </w:r>
      <w:r>
        <w:t xml:space="preserve"> data were available from November 1984 </w:t>
      </w:r>
      <w:r w:rsidR="00243F83">
        <w:t xml:space="preserve">for all 15 </w:t>
      </w:r>
      <w:r w:rsidR="002E6911">
        <w:t>Manufacturing</w:t>
      </w:r>
      <w:r w:rsidR="00243F83">
        <w:t xml:space="preserve"> subdivision</w:t>
      </w:r>
      <w:r w:rsidR="00273869">
        <w:t>s on an</w:t>
      </w:r>
      <w:r>
        <w:t xml:space="preserve"> </w:t>
      </w:r>
      <w:proofErr w:type="spellStart"/>
      <w:r>
        <w:t>ANZSIC06</w:t>
      </w:r>
      <w:proofErr w:type="spellEnd"/>
      <w:r w:rsidR="00273869">
        <w:t xml:space="preserve"> basis</w:t>
      </w:r>
      <w:r w:rsidR="00243F83">
        <w:t>.</w:t>
      </w:r>
      <w:r>
        <w:t xml:space="preserve"> </w:t>
      </w:r>
      <w:r w:rsidR="00422D46">
        <w:t>(</w:t>
      </w:r>
      <w:r w:rsidR="00243F83">
        <w:t>Data back to 1994 were available from Cat. no. 6291.0.55.003, August 2011</w:t>
      </w:r>
      <w:r w:rsidR="00447EE6">
        <w:rPr>
          <w:rStyle w:val="FootnoteReference"/>
        </w:rPr>
        <w:footnoteReference w:id="6"/>
      </w:r>
      <w:r w:rsidR="00243F83">
        <w:t>; d</w:t>
      </w:r>
      <w:r w:rsidR="00422D46">
        <w:t xml:space="preserve">ata prior to 1994 were obtained as a special </w:t>
      </w:r>
      <w:r>
        <w:t xml:space="preserve">data </w:t>
      </w:r>
      <w:r w:rsidR="00422D46">
        <w:t>request)</w:t>
      </w:r>
      <w:r w:rsidR="00422D46" w:rsidRPr="00422D46">
        <w:t xml:space="preserve">. The subdivisions were aggregated into the </w:t>
      </w:r>
      <w:r w:rsidR="001459D9">
        <w:t>eight</w:t>
      </w:r>
      <w:r w:rsidR="00422D46" w:rsidRPr="00422D46">
        <w:t xml:space="preserve"> subsectors being used in this study (</w:t>
      </w:r>
      <w:r w:rsidR="00A55092">
        <w:t>as listed in</w:t>
      </w:r>
      <w:r w:rsidR="00422D46" w:rsidRPr="00422D46">
        <w:t xml:space="preserve"> table </w:t>
      </w:r>
      <w:proofErr w:type="spellStart"/>
      <w:r w:rsidR="00C91D11">
        <w:t>A.1</w:t>
      </w:r>
      <w:proofErr w:type="spellEnd"/>
      <w:r w:rsidR="00422D46" w:rsidRPr="00422D46">
        <w:t xml:space="preserve">). </w:t>
      </w:r>
    </w:p>
    <w:p w:rsidR="008822F6" w:rsidRDefault="006A4091" w:rsidP="008822F6">
      <w:pPr>
        <w:pStyle w:val="Heading2"/>
      </w:pPr>
      <w:bookmarkStart w:id="10" w:name="OLE_LINK19"/>
      <w:proofErr w:type="spellStart"/>
      <w:r>
        <w:lastRenderedPageBreak/>
        <w:t>A.</w:t>
      </w:r>
      <w:r w:rsidR="001459D9">
        <w:rPr>
          <w:noProof/>
        </w:rPr>
        <w:t>5</w:t>
      </w:r>
      <w:bookmarkEnd w:id="10"/>
      <w:proofErr w:type="spellEnd"/>
      <w:r w:rsidR="008822F6">
        <w:tab/>
        <w:t>Capital services</w:t>
      </w:r>
    </w:p>
    <w:p w:rsidR="00F419A8" w:rsidRPr="00EC3BC2" w:rsidRDefault="00FC4F9F" w:rsidP="005C07B8">
      <w:pPr>
        <w:pStyle w:val="Heading3"/>
      </w:pPr>
      <w:r w:rsidRPr="00EC3BC2">
        <w:t>S</w:t>
      </w:r>
      <w:r w:rsidR="00F419A8" w:rsidRPr="00EC3BC2">
        <w:t>ummary</w:t>
      </w:r>
    </w:p>
    <w:p w:rsidR="00266870" w:rsidRDefault="00A46AA0" w:rsidP="003B52AE">
      <w:pPr>
        <w:pStyle w:val="BodyText"/>
      </w:pPr>
      <w:r>
        <w:t xml:space="preserve">Capital services </w:t>
      </w:r>
      <w:r w:rsidR="004D715E">
        <w:t>is</w:t>
      </w:r>
      <w:r>
        <w:t xml:space="preserve"> a flow measure of capital inputs, which is used by the ABS and in this paper to calculate MFP. For any asset, capital services represents the amount of service provided in a given period </w:t>
      </w:r>
      <w:r w:rsidR="004D715E">
        <w:t>—</w:t>
      </w:r>
      <w:r>
        <w:t xml:space="preserve"> in this case, annual data </w:t>
      </w:r>
      <w:r w:rsidR="00C500A0">
        <w:t>are</w:t>
      </w:r>
      <w:r>
        <w:t xml:space="preserve"> used. </w:t>
      </w:r>
      <w:r w:rsidR="003B52AE">
        <w:t>The capital services provided in a period by an asset is assumed by the ABS to be proportional to the value of the productive capital stock</w:t>
      </w:r>
      <w:r w:rsidR="000961AD">
        <w:t>.</w:t>
      </w:r>
      <w:r w:rsidR="003B52AE">
        <w:t xml:space="preserve"> </w:t>
      </w:r>
    </w:p>
    <w:p w:rsidR="008F5604" w:rsidRDefault="00F62020" w:rsidP="003072C7">
      <w:pPr>
        <w:pStyle w:val="BodyText"/>
      </w:pPr>
      <w:r>
        <w:t>Product</w:t>
      </w:r>
      <w:r w:rsidRPr="003072C7">
        <w:t xml:space="preserve">ive </w:t>
      </w:r>
      <w:r w:rsidR="008F5604" w:rsidRPr="003072C7">
        <w:t>capital stock, in turn, is calculated through the use of a perpetual inventory method (PIM)</w:t>
      </w:r>
      <w:r w:rsidR="00DB1D9D">
        <w:t>.</w:t>
      </w:r>
      <w:r w:rsidR="00921551" w:rsidRPr="003072C7">
        <w:t xml:space="preserve"> </w:t>
      </w:r>
      <w:r w:rsidR="000961AD">
        <w:rPr>
          <w:color w:val="000000"/>
          <w:szCs w:val="26"/>
        </w:rPr>
        <w:t>This involves compiling a rolling inventory of capital stocks, with investment in new assets each year added to stocks, retired assets deducted, and the value of remaining asse</w:t>
      </w:r>
      <w:r w:rsidR="00DB1D9D">
        <w:rPr>
          <w:color w:val="000000"/>
          <w:szCs w:val="26"/>
        </w:rPr>
        <w:t>ts adjusted according to ageing.</w:t>
      </w:r>
      <w:r w:rsidR="00921551" w:rsidRPr="003072C7">
        <w:t xml:space="preserve"> A variety of assumptions, such as how long it takes different capital types to fully depreciate, and the manner in which they do so is required, along with investment data.</w:t>
      </w:r>
    </w:p>
    <w:p w:rsidR="00797ECC" w:rsidRDefault="000961AD" w:rsidP="003072C7">
      <w:pPr>
        <w:pStyle w:val="BodyText"/>
      </w:pPr>
      <w:r>
        <w:t>A single capital services measure for an industry or subsector is then calculated by weighting the growth in the productive capital stocks of different assets by using their relative volumes and rental prices.</w:t>
      </w:r>
      <w:r w:rsidR="00F078A7">
        <w:t xml:space="preserve"> Figure </w:t>
      </w:r>
      <w:proofErr w:type="spellStart"/>
      <w:r w:rsidR="00F078A7">
        <w:t>A.1</w:t>
      </w:r>
      <w:proofErr w:type="spellEnd"/>
      <w:r w:rsidR="00F078A7">
        <w:t xml:space="preserve"> shows a stylised representation of the stocks and flows that affect capital services. </w:t>
      </w:r>
    </w:p>
    <w:p w:rsidR="00256E66" w:rsidRDefault="00256E66" w:rsidP="00256E66">
      <w:pPr>
        <w:pStyle w:val="FigureTitle"/>
      </w:pPr>
      <w:r>
        <w:rPr>
          <w:b w:val="0"/>
        </w:rPr>
        <w:t xml:space="preserve">Figure </w:t>
      </w:r>
      <w:bookmarkStart w:id="11" w:name="OLE_LINK18"/>
      <w:proofErr w:type="spellStart"/>
      <w:r w:rsidR="003F215F">
        <w:rPr>
          <w:b w:val="0"/>
        </w:rPr>
        <w:t>A.</w:t>
      </w:r>
      <w:r w:rsidR="001459D9">
        <w:rPr>
          <w:b w:val="0"/>
          <w:noProof/>
        </w:rPr>
        <w:t>1</w:t>
      </w:r>
      <w:bookmarkEnd w:id="11"/>
      <w:proofErr w:type="spellEnd"/>
      <w:r>
        <w:tab/>
        <w:t>A stylised representation of capital services</w:t>
      </w:r>
      <w:r w:rsidRPr="00B058E3">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56E66" w:rsidTr="003855FA">
        <w:tc>
          <w:tcPr>
            <w:tcW w:w="8777" w:type="dxa"/>
          </w:tcPr>
          <w:p w:rsidR="00256E66" w:rsidRDefault="007B1AF6" w:rsidP="003855FA">
            <w:pPr>
              <w:pStyle w:val="Figure"/>
            </w:pPr>
            <w:r>
              <w:rPr>
                <w:noProof/>
              </w:rPr>
              <mc:AlternateContent>
                <mc:Choice Requires="wpg">
                  <w:drawing>
                    <wp:anchor distT="0" distB="0" distL="114300" distR="114300" simplePos="0" relativeHeight="251671552" behindDoc="0" locked="0" layoutInCell="1" allowOverlap="1" wp14:anchorId="0C2CDC82" wp14:editId="30142F29">
                      <wp:simplePos x="0" y="0"/>
                      <wp:positionH relativeFrom="column">
                        <wp:posOffset>184150</wp:posOffset>
                      </wp:positionH>
                      <wp:positionV relativeFrom="paragraph">
                        <wp:posOffset>127000</wp:posOffset>
                      </wp:positionV>
                      <wp:extent cx="5183242" cy="2790934"/>
                      <wp:effectExtent l="0" t="0" r="17780" b="28575"/>
                      <wp:wrapNone/>
                      <wp:docPr id="1" name="Group 1" descr="This figure shows a stylised representation of the stocks and flows that make up capital services flows of all assets. It shows that capital services flows are the result of flows in investment in new assets added to stocks of productive capital, minus flows in depreciation of stock."/>
                      <wp:cNvGraphicFramePr/>
                      <a:graphic xmlns:a="http://schemas.openxmlformats.org/drawingml/2006/main">
                        <a:graphicData uri="http://schemas.microsoft.com/office/word/2010/wordprocessingGroup">
                          <wpg:wgp>
                            <wpg:cNvGrpSpPr/>
                            <wpg:grpSpPr>
                              <a:xfrm>
                                <a:off x="0" y="0"/>
                                <a:ext cx="5183242" cy="2790934"/>
                                <a:chOff x="9788" y="431083"/>
                                <a:chExt cx="5183242" cy="2791340"/>
                              </a:xfrm>
                            </wpg:grpSpPr>
                            <wps:wsp>
                              <wps:cNvPr id="20" name="Oval 20"/>
                              <wps:cNvSpPr/>
                              <wps:spPr>
                                <a:xfrm>
                                  <a:off x="9788" y="431083"/>
                                  <a:ext cx="1362973" cy="715993"/>
                                </a:xfrm>
                                <a:prstGeom prst="ellipse">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Investment in asset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1476638" y="438582"/>
                                  <a:ext cx="1362710" cy="715645"/>
                                </a:xfrm>
                                <a:prstGeom prst="ellipse">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Investment in asset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traight Arrow Connector 3"/>
                              <wps:cNvCnPr>
                                <a:stCxn id="20" idx="4"/>
                              </wps:cNvCnPr>
                              <wps:spPr>
                                <a:xfrm>
                                  <a:off x="691226" y="1147048"/>
                                  <a:ext cx="263" cy="331937"/>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a:stCxn id="2" idx="4"/>
                              </wps:cNvCnPr>
                              <wps:spPr>
                                <a:xfrm>
                                  <a:off x="2157839" y="1154199"/>
                                  <a:ext cx="2540" cy="324786"/>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Oval 8"/>
                              <wps:cNvSpPr/>
                              <wps:spPr>
                                <a:xfrm>
                                  <a:off x="9788" y="2502101"/>
                                  <a:ext cx="1362710" cy="715645"/>
                                </a:xfrm>
                                <a:prstGeom prst="ellipse">
                                  <a:avLst/>
                                </a:prstGeom>
                                <a:solidFill>
                                  <a:schemeClr val="bg1">
                                    <a:lumMod val="85000"/>
                                  </a:schemeClr>
                                </a:solid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Depreciation of stock of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1476375" y="2506778"/>
                                  <a:ext cx="1362710" cy="715645"/>
                                </a:xfrm>
                                <a:prstGeom prst="ellipse">
                                  <a:avLst/>
                                </a:prstGeom>
                                <a:solidFill>
                                  <a:schemeClr val="bg1">
                                    <a:lumMod val="85000"/>
                                  </a:schemeClr>
                                </a:solid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Depreciation of stock of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a:endCxn id="8" idx="0"/>
                              </wps:cNvCnPr>
                              <wps:spPr>
                                <a:xfrm flipH="1">
                                  <a:off x="691143" y="2157646"/>
                                  <a:ext cx="132" cy="344455"/>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a:endCxn id="9" idx="0"/>
                              </wps:cNvCnPr>
                              <wps:spPr>
                                <a:xfrm flipH="1">
                                  <a:off x="2157730" y="2157646"/>
                                  <a:ext cx="2540" cy="349132"/>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9788" y="1342224"/>
                                  <a:ext cx="2924355" cy="923026"/>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raight Arrow Connector 13"/>
                              <wps:cNvCnPr>
                                <a:stCxn id="12" idx="3"/>
                              </wps:cNvCnPr>
                              <wps:spPr>
                                <a:xfrm>
                                  <a:off x="2934143" y="1803737"/>
                                  <a:ext cx="456757" cy="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Oval 14"/>
                              <wps:cNvSpPr/>
                              <wps:spPr>
                                <a:xfrm>
                                  <a:off x="3476625" y="1269641"/>
                                  <a:ext cx="1716405" cy="1078533"/>
                                </a:xfrm>
                                <a:prstGeom prst="ellipse">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Capital services flow of all assets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 o:spid="_x0000_s1026" alt="This figure shows a stylised representation of the stocks and flows that make up capital services flows of all assets. It shows that capital services flows are the result of flows in investment in new assets added to stocks of productive capital, minus flows in depreciation of stock." style="position:absolute;left:0;text-align:left;margin-left:14.5pt;margin-top:10pt;width:408.15pt;height:219.75pt;z-index:251671552;mso-width-relative:margin;mso-height-relative:margin" coordorigin="97,4310" coordsize="51832,27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">
                      <v:oval id="Oval 20" o:spid="_x0000_s1027" style="position:absolute;left:97;top:4310;width:13630;height:7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DXv78A&#10;AADbAAAADwAAAGRycy9kb3ducmV2LnhtbERPTYvCMBC9C/6HMII3TfUgSzWKKIKIIqtevA3N2Fab&#10;SUlSbf+9OSzs8fG+F6vWVOJNzpeWFUzGCQjizOqScwW36270A8IHZI2VZVLQkYfVst9bYKrth3/p&#10;fQm5iCHsU1RQhFCnUvqsIIN+bGviyD2sMxgidLnUDj8x3FRymiQzabDk2FBgTZuCstelMQq27nCn&#10;7e446+S509TUt8Pp+VJqOGjXcxCB2vAv/nPvtYJpXB+/xB8gl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UNe/vwAAANsAAAAPAAAAAAAAAAAAAAAAAJgCAABkcnMvZG93bnJl&#10;di54bWxQSwUGAAAAAAQABAD1AAAAhAMAAAAA&#10;" fillcolor="#d8d8d8 [2732]" strokecolor="black [3213]">
                        <v:textbo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Investment in asset A</w:t>
                              </w:r>
                            </w:p>
                          </w:txbxContent>
                        </v:textbox>
                      </v:oval>
                      <v:oval id="Oval 2" o:spid="_x0000_s1028" style="position:absolute;left:14766;top:4385;width:13627;height:7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dNMEA&#10;AADaAAAADwAAAGRycy9kb3ducmV2LnhtbESPzarCMBSE94LvEI5wd5rqQi7VKKIIIlcu/mzcHZpj&#10;W21OShK1fXsjCC6HmfmGmc4bU4kHOV9aVjAcJCCIM6tLzhWcjuv+LwgfkDVWlklBSx7ms25niqm2&#10;T97T4xByESHsU1RQhFCnUvqsIIN+YGvi6F2sMxiidLnUDp8Rbio5SpKxNFhyXCiwpmVB2e1wNwpW&#10;bnum1fpv3Mr/VtO9Pm1315tSP71mMQERqAnf8Ke90QpG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DXTTBAAAA2gAAAA8AAAAAAAAAAAAAAAAAmAIAAGRycy9kb3du&#10;cmV2LnhtbFBLBQYAAAAABAAEAPUAAACGAwAAAAA=&#10;" fillcolor="#d8d8d8 [2732]" strokecolor="black [3213]">
                        <v:textbo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Investment in asset B</w:t>
                              </w:r>
                            </w:p>
                          </w:txbxContent>
                        </v:textbox>
                      </v:oval>
                      <v:shapetype id="_x0000_t32" coordsize="21600,21600" o:spt="32" o:oned="t" path="m,l21600,21600e" filled="f">
                        <v:path arrowok="t" fillok="f" o:connecttype="none"/>
                        <o:lock v:ext="edit" shapetype="t"/>
                      </v:shapetype>
                      <v:shape id="Straight Arrow Connector 3" o:spid="_x0000_s1029" type="#_x0000_t32" style="position:absolute;left:6912;top:11470;width:2;height:33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PzfcEAAADaAAAADwAAAGRycy9kb3ducmV2LnhtbESPwWrDMBBE74X+g9hCbo1cG5LgRgml&#10;jaHkFif0vFhb29haGUm1nb+PCoEch5l5w2z3s+nFSM63lhW8LRMQxJXVLdcKLufidQPCB2SNvWVS&#10;cCUP+93z0xZzbSc+0ViGWkQI+xwVNCEMuZS+asigX9qBOHq/1hkMUbpaaodThJtepkmykgZbjgsN&#10;DvTZUNWVf0ZBy1ng9Csr6Hjo3Lr+6UabXZRavMwf7yACzeERvre/tYIM/q/EGyB3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w/N9wQAAANoAAAAPAAAAAAAAAAAAAAAA&#10;AKECAABkcnMvZG93bnJldi54bWxQSwUGAAAAAAQABAD5AAAAjwMAAAAA&#10;" strokecolor="black [3213]">
                        <v:stroke endarrow="open"/>
                      </v:shape>
                      <v:shape id="Straight Arrow Connector 21" o:spid="_x0000_s1030" type="#_x0000_t32" style="position:absolute;left:21578;top:11541;width:25;height:32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1xisIAAADbAAAADwAAAGRycy9kb3ducmV2LnhtbESPwWrDMBBE74H+g9hCb7EcG9riRgml&#10;qSH01sT0vFhb29haGUmx3b+vAoEch5l5w2z3ixnERM53lhVskhQEcW11x42C6lyuX0H4gKxxsEwK&#10;/sjDfvew2mKh7czfNJ1CIyKEfYEK2hDGQkpft2TQJ3Ykjt6vdQZDlK6R2uEc4WaQWZo+S4Mdx4UW&#10;R/poqe5PF6Og4zxwdshL+vrs3Uvz0082r5R6elze30AEWsI9fGsftYJsA9cv8QfI3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n1xisIAAADbAAAADwAAAAAAAAAAAAAA&#10;AAChAgAAZHJzL2Rvd25yZXYueG1sUEsFBgAAAAAEAAQA+QAAAJADAAAAAA==&#10;" strokecolor="black [3213]">
                        <v:stroke endarrow="open"/>
                      </v:shape>
                      <v:oval id="Oval 8" o:spid="_x0000_s1031" style="position:absolute;left:97;top:25021;width:13627;height:7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IgOMAA&#10;AADaAAAADwAAAGRycy9kb3ducmV2LnhtbERPy4rCMBTdD/gP4QpuBk11GJFqFBF8gDDgA8Tdpbk2&#10;xeamNrF2/t4sBmZ5OO/ZorWlaKj2hWMFw0ECgjhzuuBcwfm07k9A+ICssXRMCn7Jw2Le+Zhhqt2L&#10;D9QcQy5iCPsUFZgQqlRKnxmy6AeuIo7czdUWQ4R1LnWNrxhuSzlKkrG0WHBsMFjRylB2Pz6tguos&#10;93mxHTWT709nHl8/9mKuG6V63XY5BRGoDf/iP/dOK4hb45V4A+T8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IgOMAAAADaAAAADwAAAAAAAAAAAAAAAACYAgAAZHJzL2Rvd25y&#10;ZXYueG1sUEsFBgAAAAAEAAQA9QAAAIUDAAAAAA==&#10;" fillcolor="#d8d8d8 [2732]" strokecolor="black [3213]">
                        <v:stroke dashstyle="3 1"/>
                        <v:textbo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Depreciation of stock of A</w:t>
                              </w:r>
                            </w:p>
                          </w:txbxContent>
                        </v:textbox>
                      </v:oval>
                      <v:oval id="Oval 9" o:spid="_x0000_s1032" style="position:absolute;left:14763;top:25067;width:13627;height:7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6Fo8QA&#10;AADaAAAADwAAAGRycy9kb3ducmV2LnhtbESPQWvCQBSE74L/YXlCL1I3VRSbZiNFaBUKglYovT2y&#10;r9nQ7NuY3cb477uC4HGYmW+YbNXbWnTU+sqxgqdJAoK4cLriUsHx8+1xCcIHZI21Y1JwIQ+rfDjI&#10;MNXuzHvqDqEUEcI+RQUmhCaV0heGLPqJa4ij9+NaiyHKtpS6xXOE21pOk2QhLVYcFww2tDZU/B7+&#10;rILmKD/KajPtlvOxM6fZzn6Z73elHkb96wuIQH24h2/trVbwDNcr8QbI/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uhaPEAAAA2gAAAA8AAAAAAAAAAAAAAAAAmAIAAGRycy9k&#10;b3ducmV2LnhtbFBLBQYAAAAABAAEAPUAAACJAwAAAAA=&#10;" fillcolor="#d8d8d8 [2732]" strokecolor="black [3213]">
                        <v:stroke dashstyle="3 1"/>
                        <v:textbo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Depreciation of stock of B</w:t>
                              </w:r>
                            </w:p>
                          </w:txbxContent>
                        </v:textbox>
                      </v:oval>
                      <v:shape id="Straight Arrow Connector 10" o:spid="_x0000_s1033" type="#_x0000_t32" style="position:absolute;left:6911;top:21576;width:1;height:34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FpeMAAAADbAAAADwAAAGRycy9kb3ducmV2LnhtbESPzWoCMRDH7wXfIYzQW81asJStUaS2&#10;4M1WfYDpZtzEbiZLkur27Z2D4G2G+X/8Zr4cQqfOlLKPbGA6qUARN9F6bg0c9p9Pr6ByQbbYRSYD&#10;/5RhuRg9zLG28cLfdN6VVkkI5xoNuFL6WuvcOAqYJ7EnltsxpoBF1tRqm/Ai4aHTz1X1ogN6lgaH&#10;Pb07an53f0F6V/40WyfLzcfPyX8lh9tjh8Y8jofVG6hCQ7mLb+6NFXyhl1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haXjAAAAA2wAAAA8AAAAAAAAAAAAAAAAA&#10;oQIAAGRycy9kb3ducmV2LnhtbFBLBQYAAAAABAAEAPkAAACOAwAAAAA=&#10;" strokecolor="black [3213]">
                        <v:stroke endarrow="open"/>
                      </v:shape>
                      <v:shape id="Straight Arrow Connector 11" o:spid="_x0000_s1034" type="#_x0000_t32" style="position:absolute;left:21577;top:21576;width:25;height:349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3M48EAAADbAAAADwAAAGRycy9kb3ducmV2LnhtbESP3WoCMRCF74W+Q5hC79ysQkW2RhHb&#10;Qu/q3wNMN+MmupksSdTt2xtB8G6Gc+Z8Z2aL3rXiQiFazwpGRQmCuPbacqNgv/seTkHEhKyx9UwK&#10;/inCYv4ymGGl/ZU3dNmmRuQQjhUqMCl1lZSxNuQwFr4jztrBB4cpr6GROuA1h7tWjstyIh1azgSD&#10;Ha0M1aft2WXu0h7fP4Pm+uvvaNfB4O+hRaXeXvvlB4hEfXqaH9c/Otcfwf2XPIC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7czjwQAAANsAAAAPAAAAAAAAAAAAAAAA&#10;AKECAABkcnMvZG93bnJldi54bWxQSwUGAAAAAAQABAD5AAAAjwMAAAAA&#10;" strokecolor="black [3213]">
                        <v:stroke endarrow="open"/>
                      </v:shape>
                      <v:rect id="Rectangle 12" o:spid="_x0000_s1035" style="position:absolute;left:97;top:13422;width:29244;height:9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EMLsIA&#10;AADbAAAADwAAAGRycy9kb3ducmV2LnhtbERPTWvCQBC9F/wPywi91Y0RpERXkYJQai3UKvQ47E6T&#10;0Oxsmp3G+O+7gtDbPN7nLNeDb1RPXawDG5hOMlDENriaSwPHj+3DI6goyA6bwGTgQhHWq9HdEgsX&#10;zvxO/UFKlUI4FmigEmkLraOtyGOchJY4cV+h8ygJdqV2HZ5TuG90nmVz7bHm1FBhS08V2e/Drzfw&#10;Zq2dzSV/sT/9a3aqP/e7zVGMuR8PmwUooUH+xTf3s0vzc7j+kg7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wuwgAAANsAAAAPAAAAAAAAAAAAAAAAAJgCAABkcnMvZG93&#10;bnJldi54bWxQSwUGAAAAAAQABAD1AAAAhwMAAAAA&#10;" filled="f" strokecolor="black [3213]">
                        <v:stroke dashstyle="dash"/>
                      </v:rect>
                      <v:shape id="Straight Arrow Connector 13" o:spid="_x0000_s1036" type="#_x0000_t32" style="position:absolute;left:29341;top:18037;width:45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A278AAADbAAAADwAAAGRycy9kb3ducmV2LnhtbERPTWvCQBC9F/oflil4q5smoJK6SmkN&#10;FG9G6XnITpOQ7GzY3Sbx37sFwds83uds97PpxUjOt5YVvC0TEMSV1S3XCi7n4nUDwgdkjb1lUnAl&#10;D/vd89MWc20nPtFYhlrEEPY5KmhCGHIpfdWQQb+0A3Hkfq0zGCJ0tdQOpxhuepkmyUoabDk2NDjQ&#10;Z0NVV/4ZBS1ngdOvrKDjoXPr+qcbbXZRavEyf7yDCDSHh/ju/tZxfgb/v8QD5O4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4+A278AAADbAAAADwAAAAAAAAAAAAAAAACh&#10;AgAAZHJzL2Rvd25yZXYueG1sUEsFBgAAAAAEAAQA+QAAAI0DAAAAAA==&#10;" strokecolor="black [3213]">
                        <v:stroke endarrow="open"/>
                      </v:shape>
                      <v:oval id="Oval 14" o:spid="_x0000_s1037" style="position:absolute;left:34766;top:12696;width:17164;height:107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bAcAA&#10;AADbAAAADwAAAGRycy9kb3ducmV2LnhtbERPTYvCMBC9C/sfwix403QXEekaZVkRRBSxetnb0Ixt&#10;tZmUJGr7740geJvH+5zpvDW1uJHzlWUFX8MEBHFudcWFguNhOZiA8AFZY22ZFHTkYT776E0x1fbO&#10;e7ploRAxhH2KCsoQmlRKn5dk0A9tQxy5k3UGQ4SukNrhPYabWn4nyVgarDg2lNjQX0n5JbsaBQu3&#10;/qfFcjPu5K7TdG2O6+35olT/s/39ARGoDW/xy73Scf4Inr/EA+T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gcbAcAAAADbAAAADwAAAAAAAAAAAAAAAACYAgAAZHJzL2Rvd25y&#10;ZXYueG1sUEsFBgAAAAAEAAQA9QAAAIUDAAAAAA==&#10;" fillcolor="#d8d8d8 [2732]" strokecolor="black [3213]">
                        <v:textbox>
                          <w:txbxContent>
                            <w:p w:rsidR="005D63A6" w:rsidRPr="002F134F" w:rsidRDefault="005D63A6" w:rsidP="00256E66">
                              <w:pPr>
                                <w:jc w:val="center"/>
                                <w:rPr>
                                  <w:rFonts w:ascii="Arial" w:hAnsi="Arial" w:cs="Arial"/>
                                  <w:color w:val="000000" w:themeColor="text1"/>
                                  <w:sz w:val="20"/>
                                </w:rPr>
                              </w:pPr>
                              <w:r w:rsidRPr="002F134F">
                                <w:rPr>
                                  <w:rFonts w:ascii="Arial" w:hAnsi="Arial" w:cs="Arial"/>
                                  <w:color w:val="000000" w:themeColor="text1"/>
                                  <w:sz w:val="20"/>
                                </w:rPr>
                                <w:t>Capital services flow of all assets</w:t>
                              </w:r>
                            </w:p>
                          </w:txbxContent>
                        </v:textbox>
                      </v:oval>
                    </v:group>
                  </w:pict>
                </mc:Fallback>
              </mc:AlternateContent>
            </w:r>
          </w:p>
          <w:p w:rsidR="00256E66" w:rsidRDefault="00256E66" w:rsidP="003855FA">
            <w:pPr>
              <w:pStyle w:val="Figure"/>
            </w:pPr>
          </w:p>
          <w:p w:rsidR="00256E66" w:rsidRDefault="00256E66" w:rsidP="003855FA">
            <w:pPr>
              <w:pStyle w:val="Figure"/>
            </w:pPr>
          </w:p>
          <w:p w:rsidR="00256E66" w:rsidRDefault="00256E66" w:rsidP="003855FA">
            <w:pPr>
              <w:pStyle w:val="Figure"/>
            </w:pPr>
          </w:p>
          <w:p w:rsidR="00256E66" w:rsidRDefault="00D24066" w:rsidP="003855FA">
            <w:pPr>
              <w:pStyle w:val="Figure"/>
            </w:pPr>
            <w:r>
              <w:rPr>
                <w:noProof/>
              </w:rPr>
              <mc:AlternateContent>
                <mc:Choice Requires="wps">
                  <w:drawing>
                    <wp:anchor distT="0" distB="0" distL="114300" distR="114300" simplePos="0" relativeHeight="251662336" behindDoc="0" locked="0" layoutInCell="1" allowOverlap="1" wp14:anchorId="1161F9C2" wp14:editId="76B7545A">
                      <wp:simplePos x="0" y="0"/>
                      <wp:positionH relativeFrom="column">
                        <wp:posOffset>1764665</wp:posOffset>
                      </wp:positionH>
                      <wp:positionV relativeFrom="paragraph">
                        <wp:posOffset>50800</wp:posOffset>
                      </wp:positionV>
                      <wp:extent cx="1146810" cy="676275"/>
                      <wp:effectExtent l="0" t="0" r="15240" b="28575"/>
                      <wp:wrapNone/>
                      <wp:docPr id="4" name="Rectangle 4"/>
                      <wp:cNvGraphicFramePr/>
                      <a:graphic xmlns:a="http://schemas.openxmlformats.org/drawingml/2006/main">
                        <a:graphicData uri="http://schemas.microsoft.com/office/word/2010/wordprocessingShape">
                          <wps:wsp>
                            <wps:cNvSpPr/>
                            <wps:spPr>
                              <a:xfrm>
                                <a:off x="0" y="0"/>
                                <a:ext cx="1146810" cy="67627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Pr>
                                      <w:rFonts w:ascii="Arial" w:hAnsi="Arial" w:cs="Arial"/>
                                      <w:color w:val="000000" w:themeColor="text1"/>
                                      <w:sz w:val="20"/>
                                    </w:rPr>
                                    <w:t>Product</w:t>
                                  </w:r>
                                  <w:r w:rsidRPr="002F134F">
                                    <w:rPr>
                                      <w:rFonts w:ascii="Arial" w:hAnsi="Arial" w:cs="Arial"/>
                                      <w:color w:val="000000" w:themeColor="text1"/>
                                      <w:sz w:val="20"/>
                                    </w:rPr>
                                    <w:t>ive capital stock of asset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38" style="position:absolute;left:0;text-align:left;margin-left:138.95pt;margin-top:4pt;width:90.3pt;height:5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" fillcolor="#d8d8d8 [2732]" strokecolor="black [3213]" strokeweight="1pt">
                      <v:textbox>
                        <w:txbxContent>
                          <w:p w:rsidR="005D63A6" w:rsidRPr="002F134F" w:rsidRDefault="005D63A6" w:rsidP="00256E66">
                            <w:pPr>
                              <w:jc w:val="center"/>
                              <w:rPr>
                                <w:rFonts w:ascii="Arial" w:hAnsi="Arial" w:cs="Arial"/>
                                <w:color w:val="000000" w:themeColor="text1"/>
                                <w:sz w:val="20"/>
                              </w:rPr>
                            </w:pPr>
                            <w:r>
                              <w:rPr>
                                <w:rFonts w:ascii="Arial" w:hAnsi="Arial" w:cs="Arial"/>
                                <w:color w:val="000000" w:themeColor="text1"/>
                                <w:sz w:val="20"/>
                              </w:rPr>
                              <w:t>Product</w:t>
                            </w:r>
                            <w:r w:rsidRPr="002F134F">
                              <w:rPr>
                                <w:rFonts w:ascii="Arial" w:hAnsi="Arial" w:cs="Arial"/>
                                <w:color w:val="000000" w:themeColor="text1"/>
                                <w:sz w:val="20"/>
                              </w:rPr>
                              <w:t>ive capital stock of asset B</w:t>
                            </w:r>
                          </w:p>
                        </w:txbxContent>
                      </v:textbox>
                    </v:rect>
                  </w:pict>
                </mc:Fallback>
              </mc:AlternateContent>
            </w:r>
            <w:r w:rsidR="000D7277">
              <w:rPr>
                <w:noProof/>
              </w:rPr>
              <mc:AlternateContent>
                <mc:Choice Requires="wps">
                  <w:drawing>
                    <wp:anchor distT="0" distB="0" distL="114300" distR="114300" simplePos="0" relativeHeight="251663360" behindDoc="0" locked="0" layoutInCell="1" allowOverlap="1" wp14:anchorId="722BE878" wp14:editId="19823377">
                      <wp:simplePos x="0" y="0"/>
                      <wp:positionH relativeFrom="column">
                        <wp:posOffset>288290</wp:posOffset>
                      </wp:positionH>
                      <wp:positionV relativeFrom="paragraph">
                        <wp:posOffset>43495</wp:posOffset>
                      </wp:positionV>
                      <wp:extent cx="1146810" cy="676275"/>
                      <wp:effectExtent l="0" t="0" r="15240" b="28575"/>
                      <wp:wrapNone/>
                      <wp:docPr id="22" name="Rectangle 22"/>
                      <wp:cNvGraphicFramePr/>
                      <a:graphic xmlns:a="http://schemas.openxmlformats.org/drawingml/2006/main">
                        <a:graphicData uri="http://schemas.microsoft.com/office/word/2010/wordprocessingShape">
                          <wps:wsp>
                            <wps:cNvSpPr/>
                            <wps:spPr>
                              <a:xfrm>
                                <a:off x="0" y="0"/>
                                <a:ext cx="1146810" cy="67627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63A6" w:rsidRPr="002F134F" w:rsidRDefault="005D63A6" w:rsidP="00256E66">
                                  <w:pPr>
                                    <w:jc w:val="center"/>
                                    <w:rPr>
                                      <w:rFonts w:ascii="Arial" w:hAnsi="Arial" w:cs="Arial"/>
                                      <w:color w:val="000000" w:themeColor="text1"/>
                                      <w:sz w:val="20"/>
                                    </w:rPr>
                                  </w:pPr>
                                  <w:r>
                                    <w:rPr>
                                      <w:rFonts w:ascii="Arial" w:hAnsi="Arial" w:cs="Arial"/>
                                      <w:color w:val="000000" w:themeColor="text1"/>
                                      <w:sz w:val="20"/>
                                    </w:rPr>
                                    <w:t>Product</w:t>
                                  </w:r>
                                  <w:r w:rsidRPr="002F134F">
                                    <w:rPr>
                                      <w:rFonts w:ascii="Arial" w:hAnsi="Arial" w:cs="Arial"/>
                                      <w:color w:val="000000" w:themeColor="text1"/>
                                      <w:sz w:val="20"/>
                                    </w:rPr>
                                    <w:t>ive capital stock of asset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 o:spid="_x0000_s1039" style="position:absolute;left:0;text-align:left;margin-left:22.7pt;margin-top:3.4pt;width:90.3pt;height:53.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" fillcolor="#d8d8d8 [2732]" strokecolor="black [3213]" strokeweight="1pt">
                      <v:textbox>
                        <w:txbxContent>
                          <w:p w:rsidR="005D63A6" w:rsidRPr="002F134F" w:rsidRDefault="005D63A6" w:rsidP="00256E66">
                            <w:pPr>
                              <w:jc w:val="center"/>
                              <w:rPr>
                                <w:rFonts w:ascii="Arial" w:hAnsi="Arial" w:cs="Arial"/>
                                <w:color w:val="000000" w:themeColor="text1"/>
                                <w:sz w:val="20"/>
                              </w:rPr>
                            </w:pPr>
                            <w:r>
                              <w:rPr>
                                <w:rFonts w:ascii="Arial" w:hAnsi="Arial" w:cs="Arial"/>
                                <w:color w:val="000000" w:themeColor="text1"/>
                                <w:sz w:val="20"/>
                              </w:rPr>
                              <w:t>Product</w:t>
                            </w:r>
                            <w:r w:rsidRPr="002F134F">
                              <w:rPr>
                                <w:rFonts w:ascii="Arial" w:hAnsi="Arial" w:cs="Arial"/>
                                <w:color w:val="000000" w:themeColor="text1"/>
                                <w:sz w:val="20"/>
                              </w:rPr>
                              <w:t>ive capital stock of asset A</w:t>
                            </w:r>
                          </w:p>
                        </w:txbxContent>
                      </v:textbox>
                    </v:rect>
                  </w:pict>
                </mc:Fallback>
              </mc:AlternateContent>
            </w:r>
          </w:p>
          <w:p w:rsidR="00256E66" w:rsidRDefault="00256E66" w:rsidP="003855FA">
            <w:pPr>
              <w:pStyle w:val="Figure"/>
            </w:pPr>
          </w:p>
          <w:p w:rsidR="00256E66" w:rsidRDefault="00256E66" w:rsidP="003855FA">
            <w:pPr>
              <w:pStyle w:val="Figure"/>
            </w:pPr>
          </w:p>
          <w:p w:rsidR="00256E66" w:rsidRDefault="00256E66" w:rsidP="003855FA">
            <w:pPr>
              <w:pStyle w:val="Figure"/>
            </w:pPr>
          </w:p>
          <w:p w:rsidR="007B1AF6" w:rsidRDefault="007B1AF6" w:rsidP="003855FA">
            <w:pPr>
              <w:pStyle w:val="Figure"/>
            </w:pPr>
          </w:p>
          <w:p w:rsidR="00256E66" w:rsidRDefault="00256E66" w:rsidP="003855FA">
            <w:pPr>
              <w:pStyle w:val="Figure"/>
            </w:pPr>
          </w:p>
          <w:p w:rsidR="00256E66" w:rsidRDefault="00256E66" w:rsidP="003855FA">
            <w:pPr>
              <w:pStyle w:val="Figure"/>
            </w:pPr>
          </w:p>
        </w:tc>
      </w:tr>
    </w:tbl>
    <w:p w:rsidR="00256E66" w:rsidRDefault="00256E66" w:rsidP="00256E66">
      <w:pPr>
        <w:pStyle w:val="Note"/>
      </w:pPr>
      <w:r>
        <w:rPr>
          <w:rStyle w:val="NoteLabel"/>
        </w:rPr>
        <w:t>a</w:t>
      </w:r>
      <w:r>
        <w:t xml:space="preserve"> </w:t>
      </w:r>
      <w:r w:rsidR="006C51ED">
        <w:t xml:space="preserve">This figure shows the flows (circles) and stocks (squares) at a particular point in time. Investment adds to the productive capital stock, while depreciation </w:t>
      </w:r>
      <w:r w:rsidR="00C425A5">
        <w:t xml:space="preserve">subtracts. The amount of productive capital stock </w:t>
      </w:r>
      <w:r w:rsidR="007C33FD">
        <w:t>then defines the flow of capital services</w:t>
      </w:r>
      <w:r w:rsidR="00CE7D9A">
        <w:t xml:space="preserve"> for that point in time</w:t>
      </w:r>
      <w:r w:rsidR="007C33FD">
        <w:t>.</w:t>
      </w:r>
      <w:r>
        <w:t xml:space="preserve"> Here, only two asset types are presented; in practice there can be any number of asset types. </w:t>
      </w:r>
    </w:p>
    <w:p w:rsidR="00201A41" w:rsidRDefault="00201A41" w:rsidP="001F2F53">
      <w:pPr>
        <w:pStyle w:val="BodyText"/>
      </w:pPr>
      <w:r>
        <w:lastRenderedPageBreak/>
        <w:t>Capital input growth cannot be calculated as the average annual growth</w:t>
      </w:r>
      <w:r w:rsidR="00515DAC">
        <w:t xml:space="preserve"> in investment</w:t>
      </w:r>
      <w:r>
        <w:t xml:space="preserve"> between start and end points of productivity cycles. This is because the investments that occur within a cycle will affect the </w:t>
      </w:r>
      <w:r w:rsidR="00700B80">
        <w:t xml:space="preserve">productive capital stock and the </w:t>
      </w:r>
      <w:r w:rsidR="000B14EE">
        <w:t>growth of capital services by</w:t>
      </w:r>
      <w:r w:rsidR="00700B80">
        <w:t xml:space="preserve"> the end of the cycle. </w:t>
      </w:r>
      <w:r w:rsidR="0045053D">
        <w:t xml:space="preserve">This is discussed in greater detail in box </w:t>
      </w:r>
      <w:proofErr w:type="spellStart"/>
      <w:r w:rsidR="0045053D">
        <w:t>A.2</w:t>
      </w:r>
      <w:proofErr w:type="spellEnd"/>
      <w:r w:rsidR="00B96FD7">
        <w:t>.</w:t>
      </w:r>
    </w:p>
    <w:p w:rsidR="00407865" w:rsidRDefault="0040786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71DD7" w:rsidRPr="00BD1002">
        <w:tc>
          <w:tcPr>
            <w:tcW w:w="8771" w:type="dxa"/>
            <w:tcBorders>
              <w:top w:val="single" w:sz="6" w:space="0" w:color="auto"/>
              <w:bottom w:val="nil"/>
            </w:tcBorders>
          </w:tcPr>
          <w:p w:rsidR="00407865" w:rsidRPr="00F175D3" w:rsidRDefault="00407865" w:rsidP="00407865">
            <w:pPr>
              <w:pStyle w:val="BoxTitle"/>
              <w:rPr>
                <w:sz w:val="24"/>
                <w:szCs w:val="24"/>
              </w:rPr>
            </w:pPr>
            <w:r w:rsidRPr="00F175D3">
              <w:rPr>
                <w:b w:val="0"/>
                <w:sz w:val="24"/>
                <w:szCs w:val="24"/>
              </w:rPr>
              <w:t xml:space="preserve">Box </w:t>
            </w:r>
            <w:bookmarkStart w:id="12" w:name="OLE_LINK22"/>
            <w:proofErr w:type="spellStart"/>
            <w:r w:rsidR="003F215F" w:rsidRPr="00F175D3">
              <w:rPr>
                <w:b w:val="0"/>
                <w:sz w:val="24"/>
                <w:szCs w:val="24"/>
              </w:rPr>
              <w:t>A.</w:t>
            </w:r>
            <w:r w:rsidR="001459D9">
              <w:rPr>
                <w:b w:val="0"/>
                <w:noProof/>
                <w:sz w:val="24"/>
                <w:szCs w:val="24"/>
              </w:rPr>
              <w:t>2</w:t>
            </w:r>
            <w:bookmarkEnd w:id="12"/>
            <w:proofErr w:type="spellEnd"/>
            <w:r w:rsidRPr="00F175D3">
              <w:rPr>
                <w:sz w:val="24"/>
                <w:szCs w:val="24"/>
              </w:rPr>
              <w:tab/>
              <w:t>Investment over cycles</w:t>
            </w:r>
          </w:p>
        </w:tc>
      </w:tr>
      <w:tr w:rsidR="00771DD7" w:rsidRPr="00771DD7">
        <w:trPr>
          <w:cantSplit/>
        </w:trPr>
        <w:tc>
          <w:tcPr>
            <w:tcW w:w="8771" w:type="dxa"/>
            <w:tcBorders>
              <w:top w:val="nil"/>
              <w:left w:val="single" w:sz="6" w:space="0" w:color="auto"/>
              <w:bottom w:val="nil"/>
              <w:right w:val="single" w:sz="6" w:space="0" w:color="auto"/>
            </w:tcBorders>
          </w:tcPr>
          <w:p w:rsidR="00407865" w:rsidRPr="00771DD7" w:rsidRDefault="00407865" w:rsidP="00771DD7">
            <w:pPr>
              <w:pStyle w:val="Box"/>
            </w:pPr>
            <w:r w:rsidRPr="00771DD7">
              <w:rPr>
                <w:noProof/>
              </w:rPr>
              <mc:AlternateContent>
                <mc:Choice Requires="wpg">
                  <w:drawing>
                    <wp:anchor distT="0" distB="0" distL="114300" distR="114300" simplePos="0" relativeHeight="251673600" behindDoc="0" locked="0" layoutInCell="1" allowOverlap="1" wp14:anchorId="32FD170D" wp14:editId="326A17C1">
                      <wp:simplePos x="0" y="0"/>
                      <wp:positionH relativeFrom="column">
                        <wp:posOffset>-36830</wp:posOffset>
                      </wp:positionH>
                      <wp:positionV relativeFrom="paragraph">
                        <wp:posOffset>1128395</wp:posOffset>
                      </wp:positionV>
                      <wp:extent cx="2734310" cy="2578100"/>
                      <wp:effectExtent l="0" t="0" r="0" b="0"/>
                      <wp:wrapSquare wrapText="bothSides"/>
                      <wp:docPr id="23" name="Group 23" descr="Details on this figure can be found within the text immediately before and after this image."/>
                      <wp:cNvGraphicFramePr/>
                      <a:graphic xmlns:a="http://schemas.openxmlformats.org/drawingml/2006/main">
                        <a:graphicData uri="http://schemas.microsoft.com/office/word/2010/wordprocessingGroup">
                          <wpg:wgp>
                            <wpg:cNvGrpSpPr/>
                            <wpg:grpSpPr>
                              <a:xfrm>
                                <a:off x="0" y="0"/>
                                <a:ext cx="2734310" cy="2578100"/>
                                <a:chOff x="0" y="0"/>
                                <a:chExt cx="2734322" cy="2578579"/>
                              </a:xfrm>
                            </wpg:grpSpPr>
                            <wps:wsp>
                              <wps:cNvPr id="24" name="Straight Connector 24"/>
                              <wps:cNvCnPr/>
                              <wps:spPr>
                                <a:xfrm>
                                  <a:off x="448573" y="284672"/>
                                  <a:ext cx="0" cy="2027208"/>
                                </a:xfrm>
                                <a:prstGeom prst="line">
                                  <a:avLst/>
                                </a:prstGeom>
                                <a:ln w="19050">
                                  <a:solidFill>
                                    <a:schemeClr val="tx1"/>
                                  </a:solidFill>
                                  <a:headEnd type="stealth"/>
                                  <a:tailEnd type="none"/>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flipH="1">
                                  <a:off x="448573" y="2311879"/>
                                  <a:ext cx="1932305" cy="0"/>
                                </a:xfrm>
                                <a:prstGeom prst="line">
                                  <a:avLst/>
                                </a:prstGeom>
                                <a:ln w="19050">
                                  <a:solidFill>
                                    <a:schemeClr val="tx1"/>
                                  </a:solidFill>
                                  <a:headEnd type="stealth"/>
                                  <a:tailEnd type="none"/>
                                </a:ln>
                              </wps:spPr>
                              <wps:style>
                                <a:lnRef idx="1">
                                  <a:schemeClr val="accent1"/>
                                </a:lnRef>
                                <a:fillRef idx="0">
                                  <a:schemeClr val="accent1"/>
                                </a:fillRef>
                                <a:effectRef idx="0">
                                  <a:schemeClr val="accent1"/>
                                </a:effectRef>
                                <a:fontRef idx="minor">
                                  <a:schemeClr val="tx1"/>
                                </a:fontRef>
                              </wps:style>
                              <wps:bodyPr/>
                            </wps:wsp>
                            <wps:wsp>
                              <wps:cNvPr id="26" name="Text Box 26"/>
                              <wps:cNvSpPr txBox="1"/>
                              <wps:spPr>
                                <a:xfrm>
                                  <a:off x="2303253" y="2311879"/>
                                  <a:ext cx="431069"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63A6" w:rsidRPr="00302F05" w:rsidRDefault="005D63A6" w:rsidP="00407865">
                                    <w:pPr>
                                      <w:jc w:val="center"/>
                                      <w:rPr>
                                        <w:rFonts w:ascii="Arial" w:hAnsi="Arial" w:cs="Arial"/>
                                        <w:sz w:val="20"/>
                                      </w:rPr>
                                    </w:pPr>
                                    <w:r w:rsidRPr="00302F05">
                                      <w:rPr>
                                        <w:rFonts w:ascii="Arial" w:hAnsi="Arial" w:cs="Arial"/>
                                        <w:sz w:val="20"/>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0" y="0"/>
                                  <a:ext cx="94890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63A6" w:rsidRPr="00302F05" w:rsidRDefault="005D63A6" w:rsidP="00407865">
                                    <w:pPr>
                                      <w:jc w:val="center"/>
                                      <w:rPr>
                                        <w:rFonts w:ascii="Arial" w:hAnsi="Arial" w:cs="Arial"/>
                                        <w:sz w:val="20"/>
                                      </w:rPr>
                                    </w:pPr>
                                    <w:r>
                                      <w:rPr>
                                        <w:rFonts w:ascii="Arial" w:hAnsi="Arial" w:cs="Arial"/>
                                        <w:sz w:val="20"/>
                                      </w:rPr>
                                      <w:t>investment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819509" y="431321"/>
                                  <a:ext cx="0" cy="1862455"/>
                                </a:xfrm>
                                <a:prstGeom prst="line">
                                  <a:avLst/>
                                </a:prstGeom>
                                <a:ln>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2113471" y="439947"/>
                                  <a:ext cx="0" cy="1870710"/>
                                </a:xfrm>
                                <a:prstGeom prst="line">
                                  <a:avLst/>
                                </a:prstGeom>
                                <a:ln>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819509" y="1362974"/>
                                  <a:ext cx="1293771" cy="64643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1" name="Freeform 31"/>
                              <wps:cNvSpPr/>
                              <wps:spPr>
                                <a:xfrm>
                                  <a:off x="819509" y="1078302"/>
                                  <a:ext cx="1285252" cy="1052576"/>
                                </a:xfrm>
                                <a:custGeom>
                                  <a:avLst/>
                                  <a:gdLst>
                                    <a:gd name="connsiteX0" fmla="*/ 0 w 1181819"/>
                                    <a:gd name="connsiteY0" fmla="*/ 1406582 h 1535978"/>
                                    <a:gd name="connsiteX1" fmla="*/ 577970 w 1181819"/>
                                    <a:gd name="connsiteY1" fmla="*/ 476 h 1535978"/>
                                    <a:gd name="connsiteX2" fmla="*/ 1181819 w 1181819"/>
                                    <a:gd name="connsiteY2" fmla="*/ 1535978 h 1535978"/>
                                    <a:gd name="connsiteX3" fmla="*/ 1181819 w 1181819"/>
                                    <a:gd name="connsiteY3" fmla="*/ 1535978 h 1535978"/>
                                    <a:gd name="connsiteX0" fmla="*/ 0 w 1181819"/>
                                    <a:gd name="connsiteY0" fmla="*/ 1348947 h 1536562"/>
                                    <a:gd name="connsiteX1" fmla="*/ 577970 w 1181819"/>
                                    <a:gd name="connsiteY1" fmla="*/ 1060 h 1536562"/>
                                    <a:gd name="connsiteX2" fmla="*/ 1181819 w 1181819"/>
                                    <a:gd name="connsiteY2" fmla="*/ 1536562 h 1536562"/>
                                    <a:gd name="connsiteX3" fmla="*/ 1181819 w 1181819"/>
                                    <a:gd name="connsiteY3" fmla="*/ 1536562 h 1536562"/>
                                    <a:gd name="connsiteX0" fmla="*/ 0 w 1181819"/>
                                    <a:gd name="connsiteY0" fmla="*/ 1442367 h 1629982"/>
                                    <a:gd name="connsiteX1" fmla="*/ 793686 w 1181819"/>
                                    <a:gd name="connsiteY1" fmla="*/ 934 h 1629982"/>
                                    <a:gd name="connsiteX2" fmla="*/ 1181819 w 1181819"/>
                                    <a:gd name="connsiteY2" fmla="*/ 1629982 h 1629982"/>
                                    <a:gd name="connsiteX3" fmla="*/ 1181819 w 1181819"/>
                                    <a:gd name="connsiteY3" fmla="*/ 1629982 h 1629982"/>
                                    <a:gd name="connsiteX0" fmla="*/ 0 w 1285343"/>
                                    <a:gd name="connsiteY0" fmla="*/ 1442137 h 1629985"/>
                                    <a:gd name="connsiteX1" fmla="*/ 897210 w 1285343"/>
                                    <a:gd name="connsiteY1" fmla="*/ 937 h 1629985"/>
                                    <a:gd name="connsiteX2" fmla="*/ 1285343 w 1285343"/>
                                    <a:gd name="connsiteY2" fmla="*/ 1629985 h 1629985"/>
                                    <a:gd name="connsiteX3" fmla="*/ 1285343 w 1285343"/>
                                    <a:gd name="connsiteY3" fmla="*/ 1629985 h 1629985"/>
                                  </a:gdLst>
                                  <a:ahLst/>
                                  <a:cxnLst>
                                    <a:cxn ang="0">
                                      <a:pos x="connsiteX0" y="connsiteY0"/>
                                    </a:cxn>
                                    <a:cxn ang="0">
                                      <a:pos x="connsiteX1" y="connsiteY1"/>
                                    </a:cxn>
                                    <a:cxn ang="0">
                                      <a:pos x="connsiteX2" y="connsiteY2"/>
                                    </a:cxn>
                                    <a:cxn ang="0">
                                      <a:pos x="connsiteX3" y="connsiteY3"/>
                                    </a:cxn>
                                  </a:cxnLst>
                                  <a:rect l="l" t="t" r="r" b="b"/>
                                  <a:pathLst>
                                    <a:path w="1285343" h="1629985">
                                      <a:moveTo>
                                        <a:pt x="0" y="1442137"/>
                                      </a:moveTo>
                                      <a:cubicBezTo>
                                        <a:pt x="190500" y="728301"/>
                                        <a:pt x="682986" y="-30371"/>
                                        <a:pt x="897210" y="937"/>
                                      </a:cubicBezTo>
                                      <a:cubicBezTo>
                                        <a:pt x="1111434" y="32245"/>
                                        <a:pt x="1220654" y="1358477"/>
                                        <a:pt x="1285343" y="1629985"/>
                                      </a:cubicBezTo>
                                      <a:lnTo>
                                        <a:pt x="1285343" y="1629985"/>
                                      </a:lnTo>
                                    </a:path>
                                  </a:pathLst>
                                </a:cu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Text Box 32"/>
                              <wps:cNvSpPr txBox="1"/>
                              <wps:spPr>
                                <a:xfrm>
                                  <a:off x="1164566" y="940279"/>
                                  <a:ext cx="293298"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63A6" w:rsidRPr="00302F05" w:rsidRDefault="005D63A6" w:rsidP="00407865">
                                    <w:pPr>
                                      <w:jc w:val="center"/>
                                      <w:rPr>
                                        <w:rFonts w:ascii="Arial" w:hAnsi="Arial" w:cs="Arial"/>
                                        <w:sz w:val="20"/>
                                      </w:rPr>
                                    </w:pPr>
                                    <w:r>
                                      <w:rPr>
                                        <w:rFonts w:ascii="Arial" w:hAnsi="Arial" w:cs="Arial"/>
                                        <w:sz w:val="2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1371600" y="1664898"/>
                                  <a:ext cx="29273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63A6" w:rsidRPr="00302F05" w:rsidRDefault="005D63A6" w:rsidP="00407865">
                                    <w:pPr>
                                      <w:jc w:val="center"/>
                                      <w:rPr>
                                        <w:rFonts w:ascii="Arial" w:hAnsi="Arial" w:cs="Arial"/>
                                        <w:sz w:val="20"/>
                                      </w:rPr>
                                    </w:pPr>
                                    <w:r>
                                      <w:rPr>
                                        <w:rFonts w:ascii="Arial" w:hAnsi="Arial" w:cs="Arial"/>
                                        <w:sz w:val="2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448573" y="241540"/>
                                  <a:ext cx="7150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63A6" w:rsidRPr="00BB4499" w:rsidRDefault="005D63A6" w:rsidP="00407865">
                                    <w:pPr>
                                      <w:jc w:val="center"/>
                                      <w:rPr>
                                        <w:rFonts w:ascii="Arial" w:hAnsi="Arial" w:cs="Arial"/>
                                        <w:sz w:val="16"/>
                                      </w:rPr>
                                    </w:pPr>
                                    <w:r w:rsidRPr="00BB4499">
                                      <w:rPr>
                                        <w:rFonts w:ascii="Arial" w:hAnsi="Arial" w:cs="Arial"/>
                                        <w:sz w:val="16"/>
                                      </w:rPr>
                                      <w:t>Cycle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1716656" y="250166"/>
                                  <a:ext cx="7150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63A6" w:rsidRPr="00BB4499" w:rsidRDefault="005D63A6" w:rsidP="00407865">
                                    <w:pPr>
                                      <w:jc w:val="center"/>
                                      <w:rPr>
                                        <w:rFonts w:ascii="Arial" w:hAnsi="Arial" w:cs="Arial"/>
                                        <w:sz w:val="16"/>
                                      </w:rPr>
                                    </w:pPr>
                                    <w:r w:rsidRPr="00BB4499">
                                      <w:rPr>
                                        <w:rFonts w:ascii="Arial" w:hAnsi="Arial" w:cs="Arial"/>
                                        <w:sz w:val="16"/>
                                      </w:rPr>
                                      <w:t xml:space="preserve">Cycle </w:t>
                                    </w:r>
                                    <w:r>
                                      <w:rPr>
                                        <w:rFonts w:ascii="Arial" w:hAnsi="Arial" w:cs="Arial"/>
                                        <w:sz w:val="16"/>
                                      </w:rPr>
                                      <w:t>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3" o:spid="_x0000_s1040" alt="Details on this figure can be found within the text immediately before and after this image." style="position:absolute;left:0;text-align:left;margin-left:-2.9pt;margin-top:88.85pt;width:215.3pt;height:203pt;z-index:251673600" coordsize="27343,25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">
                      <v:line id="Straight Connector 24" o:spid="_x0000_s1041" style="position:absolute;visibility:visible;mso-wrap-style:square" from="4485,2846" to="4485,23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4URsUAAADbAAAADwAAAGRycy9kb3ducmV2LnhtbESPT2vCQBTE7wW/w/IKvenGtIhGVxFL&#10;Ww8V8Q+eX7PPJJh9G3ZXE799tyD0OMzMb5jZojO1uJHzlWUFw0ECgji3uuJCwfHw0R+D8AFZY22Z&#10;FNzJw2Lee5phpm3LO7rtQyEihH2GCsoQmkxKn5dk0A9sQxy9s3UGQ5SukNphG+GmlmmSjKTBiuNC&#10;iQ2tSsov+6tRsP0+r4eTrx9sP2vnXq/302jznir18twtpyACdeE//GivtYL0Df6+xB8g5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4URsUAAADbAAAADwAAAAAAAAAA&#10;AAAAAAChAgAAZHJzL2Rvd25yZXYueG1sUEsFBgAAAAAEAAQA+QAAAJMDAAAAAA==&#10;" strokecolor="black [3213]" strokeweight="1.5pt">
                        <v:stroke startarrow="classic"/>
                      </v:line>
                      <v:line id="Straight Connector 25" o:spid="_x0000_s1042" style="position:absolute;flip:x;visibility:visible;mso-wrap-style:square" from="4485,23118" to="23808,23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O3jcIAAADbAAAADwAAAGRycy9kb3ducmV2LnhtbESPQWsCMRSE74X+h/AK3mpWRWlXo4ii&#10;FG9qe/D22Dw3i5uXJcnq+u8bQfA4zMw3zGzR2VpcyYfKsYJBPwNBXDhdcang97j5/AIRIrLG2jEp&#10;uFOAxfz9bYa5djfe0/UQS5EgHHJUYGJscilDYchi6LuGOHln5y3GJH0ptcdbgttaDrNsIi1WnBYM&#10;NrQyVFwOrVXQFvc/47a67E6XZTvaZXG39t9K9T665RREpC6+ws/2j1YwHMPjS/oBcv4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TO3jcIAAADbAAAADwAAAAAAAAAAAAAA&#10;AAChAgAAZHJzL2Rvd25yZXYueG1sUEsFBgAAAAAEAAQA+QAAAJADAAAAAA==&#10;" strokecolor="black [3213]" strokeweight="1.5pt">
                        <v:stroke startarrow="classic"/>
                      </v:line>
                      <v:shapetype id="_x0000_t202" coordsize="21600,21600" o:spt="202" path="m,l,21600r21600,l21600,xe">
                        <v:stroke joinstyle="miter"/>
                        <v:path gradientshapeok="t" o:connecttype="rect"/>
                      </v:shapetype>
                      <v:shape id="Text Box 26" o:spid="_x0000_s1043" type="#_x0000_t202" style="position:absolute;left:23032;top:23118;width:431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5D63A6" w:rsidRPr="00302F05" w:rsidRDefault="005D63A6" w:rsidP="00407865">
                              <w:pPr>
                                <w:jc w:val="center"/>
                                <w:rPr>
                                  <w:rFonts w:ascii="Arial" w:hAnsi="Arial" w:cs="Arial"/>
                                  <w:sz w:val="20"/>
                                </w:rPr>
                              </w:pPr>
                              <w:r w:rsidRPr="00302F05">
                                <w:rPr>
                                  <w:rFonts w:ascii="Arial" w:hAnsi="Arial" w:cs="Arial"/>
                                  <w:sz w:val="20"/>
                                </w:rPr>
                                <w:t>time</w:t>
                              </w:r>
                            </w:p>
                          </w:txbxContent>
                        </v:textbox>
                      </v:shape>
                      <v:shape id="Text Box 27" o:spid="_x0000_s1044" type="#_x0000_t202" style="position:absolute;width:948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5D63A6" w:rsidRPr="00302F05" w:rsidRDefault="005D63A6" w:rsidP="00407865">
                              <w:pPr>
                                <w:jc w:val="center"/>
                                <w:rPr>
                                  <w:rFonts w:ascii="Arial" w:hAnsi="Arial" w:cs="Arial"/>
                                  <w:sz w:val="20"/>
                                </w:rPr>
                              </w:pPr>
                              <w:r>
                                <w:rPr>
                                  <w:rFonts w:ascii="Arial" w:hAnsi="Arial" w:cs="Arial"/>
                                  <w:sz w:val="20"/>
                                </w:rPr>
                                <w:t>investment</w:t>
                              </w:r>
                            </w:p>
                          </w:txbxContent>
                        </v:textbox>
                      </v:shape>
                      <v:line id="Straight Connector 28" o:spid="_x0000_s1045" style="position:absolute;visibility:visible;mso-wrap-style:square" from="8195,4313" to="8195,22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FDg8EAAADbAAAADwAAAGRycy9kb3ducmV2LnhtbERPz2vCMBS+D/wfwhN2m6mFWalGKYKg&#10;7jQ38fponm21eSlJrHV//XIY7Pjx/V6uB9OKnpxvLCuYThIQxKXVDVcKvr+2b3MQPiBrbC2Tgid5&#10;WK9GL0vMtX3wJ/XHUIkYwj5HBXUIXS6lL2sy6Ce2I47cxTqDIUJXSe3wEcNNK9MkmUmDDceGGjva&#10;1FTejnejYF4erq7Iiv30/dRlP336MdueM6Vex0OxABFoCP/iP/dOK0jj2P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UODwQAAANsAAAAPAAAAAAAAAAAAAAAA&#10;AKECAABkcnMvZG93bnJldi54bWxQSwUGAAAAAAQABAD5AAAAjwMAAAAA&#10;" strokecolor="black [3213]"/>
                      <v:line id="Straight Connector 29" o:spid="_x0000_s1046" style="position:absolute;visibility:visible;mso-wrap-style:square" from="21134,4399" to="21134,23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Straight Connector 30" o:spid="_x0000_s1047" style="position:absolute;flip:y;visibility:visible;mso-wrap-style:square" from="8195,13629" to="21132,20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QMIAAADbAAAADwAAAGRycy9kb3ducmV2LnhtbERPTWvCQBC9C/0PyxS86aYNSo2uoWkt&#10;ePBSI3gds9MkNDsbstsk9de7B8Hj431v0tE0oqfO1ZYVvMwjEMSF1TWXCk751+wNhPPIGhvLpOCf&#10;HKTbp8kGE20H/qb+6EsRQtglqKDyvk2kdEVFBt3ctsSB+7GdQR9gV0rd4RDCTSNfo2gpDdYcGips&#10;6aOi4vf4ZxRk2RAfmpwX+efKRefLdef8cFJq+jy+r0F4Gv1DfHfvtYI4rA9fwg+Q2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Ey+QMIAAADbAAAADwAAAAAAAAAAAAAA&#10;AAChAgAAZHJzL2Rvd25yZXYueG1sUEsFBgAAAAAEAAQA+QAAAJADAAAAAA==&#10;" strokecolor="black [3213]" strokeweight="1.5pt">
                        <v:stroke dashstyle="dash"/>
                      </v:line>
                      <v:shape id="Freeform 31" o:spid="_x0000_s1048" style="position:absolute;left:8195;top:10783;width:12852;height:10525;visibility:visible;mso-wrap-style:square;v-text-anchor:middle" coordsize="1285343,16299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trx8UA&#10;AADbAAAADwAAAGRycy9kb3ducmV2LnhtbESPQWvCQBSE7wX/w/KE3ppN2hIkZg0ilXrpodGD3p7Z&#10;ZxLMvk2zq0n/fbdQ6HGYmW+YvJhMJ+40uNaygiSKQRBXVrdcKzjst08LEM4ja+wsk4JvclCsZg85&#10;ZtqO/En30tciQNhlqKDxvs+kdFVDBl1ke+LgXexg0Ac51FIPOAa46eRzHKfSYMthocGeNg1V1/Jm&#10;AmW8vZ22l/XXTp8p7d7T40dZvir1OJ/WSxCeJv8f/mvvtIKXBH6/h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62vHxQAAANsAAAAPAAAAAAAAAAAAAAAAAJgCAABkcnMv&#10;ZG93bnJldi54bWxQSwUGAAAAAAQABAD1AAAAigMAAAAA&#10;" path="m,1442137c190500,728301,682986,-30371,897210,937v214224,31308,323444,1357540,388133,1629048l1285343,1629985e" filled="f" strokecolor="black [3213]" strokeweight="2pt">
                        <v:stroke dashstyle="3 1"/>
                        <v:path arrowok="t" o:connecttype="custom" o:connectlocs="0,931272;897146,605;1285252,1052576;1285252,1052576" o:connectangles="0,0,0,0"/>
                      </v:shape>
                      <v:shape id="Text Box 32" o:spid="_x0000_s1049" type="#_x0000_t202" style="position:absolute;left:11645;top:9402;width:2933;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rsidR="005D63A6" w:rsidRPr="00302F05" w:rsidRDefault="005D63A6" w:rsidP="00407865">
                              <w:pPr>
                                <w:jc w:val="center"/>
                                <w:rPr>
                                  <w:rFonts w:ascii="Arial" w:hAnsi="Arial" w:cs="Arial"/>
                                  <w:sz w:val="20"/>
                                </w:rPr>
                              </w:pPr>
                              <w:r>
                                <w:rPr>
                                  <w:rFonts w:ascii="Arial" w:hAnsi="Arial" w:cs="Arial"/>
                                  <w:sz w:val="20"/>
                                </w:rPr>
                                <w:t>A</w:t>
                              </w:r>
                            </w:p>
                          </w:txbxContent>
                        </v:textbox>
                      </v:shape>
                      <v:shape id="Text Box 33" o:spid="_x0000_s1050" type="#_x0000_t202" style="position:absolute;left:13716;top:16648;width:292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5D63A6" w:rsidRPr="00302F05" w:rsidRDefault="005D63A6" w:rsidP="00407865">
                              <w:pPr>
                                <w:jc w:val="center"/>
                                <w:rPr>
                                  <w:rFonts w:ascii="Arial" w:hAnsi="Arial" w:cs="Arial"/>
                                  <w:sz w:val="20"/>
                                </w:rPr>
                              </w:pPr>
                              <w:r>
                                <w:rPr>
                                  <w:rFonts w:ascii="Arial" w:hAnsi="Arial" w:cs="Arial"/>
                                  <w:sz w:val="20"/>
                                </w:rPr>
                                <w:t>B</w:t>
                              </w:r>
                            </w:p>
                          </w:txbxContent>
                        </v:textbox>
                      </v:shape>
                      <v:shape id="Text Box 34" o:spid="_x0000_s1051" type="#_x0000_t202" style="position:absolute;left:4485;top:2415;width:715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lA7MUA&#10;AADbAAAADwAAAGRycy9kb3ducmV2LnhtbESPT4vCMBTE7wt+h/AEb2uq64pUo0hBVsQ9+Ofi7dk8&#10;22LzUpuo1U+/WRA8DjPzG2Yya0wpblS7wrKCXjcCQZxaXXCmYL9bfI5AOI+ssbRMCh7kYDZtfUww&#10;1vbOG7ptfSYChF2MCnLvq1hKl+Zk0HVtRRy8k60N+iDrTOoa7wFuStmPoqE0WHBYyLGiJKf0vL0a&#10;Batk8YubY9+MnmXysz7Nq8v+8K1Up93MxyA8Nf4dfrWXWsHXA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UDsxQAAANsAAAAPAAAAAAAAAAAAAAAAAJgCAABkcnMv&#10;ZG93bnJldi54bWxQSwUGAAAAAAQABAD1AAAAigMAAAAA&#10;" filled="f" stroked="f" strokeweight=".5pt">
                        <v:textbox>
                          <w:txbxContent>
                            <w:p w:rsidR="005D63A6" w:rsidRPr="00BB4499" w:rsidRDefault="005D63A6" w:rsidP="00407865">
                              <w:pPr>
                                <w:jc w:val="center"/>
                                <w:rPr>
                                  <w:rFonts w:ascii="Arial" w:hAnsi="Arial" w:cs="Arial"/>
                                  <w:sz w:val="16"/>
                                </w:rPr>
                              </w:pPr>
                              <w:r w:rsidRPr="00BB4499">
                                <w:rPr>
                                  <w:rFonts w:ascii="Arial" w:hAnsi="Arial" w:cs="Arial"/>
                                  <w:sz w:val="16"/>
                                </w:rPr>
                                <w:t>Cycle start</w:t>
                              </w:r>
                            </w:p>
                          </w:txbxContent>
                        </v:textbox>
                      </v:shape>
                      <v:shape id="Text Box 35" o:spid="_x0000_s1052" type="#_x0000_t202" style="position:absolute;left:17166;top:2501;width:715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rsidR="005D63A6" w:rsidRPr="00BB4499" w:rsidRDefault="005D63A6" w:rsidP="00407865">
                              <w:pPr>
                                <w:jc w:val="center"/>
                                <w:rPr>
                                  <w:rFonts w:ascii="Arial" w:hAnsi="Arial" w:cs="Arial"/>
                                  <w:sz w:val="16"/>
                                </w:rPr>
                              </w:pPr>
                              <w:r w:rsidRPr="00BB4499">
                                <w:rPr>
                                  <w:rFonts w:ascii="Arial" w:hAnsi="Arial" w:cs="Arial"/>
                                  <w:sz w:val="16"/>
                                </w:rPr>
                                <w:t xml:space="preserve">Cycle </w:t>
                              </w:r>
                              <w:r>
                                <w:rPr>
                                  <w:rFonts w:ascii="Arial" w:hAnsi="Arial" w:cs="Arial"/>
                                  <w:sz w:val="16"/>
                                </w:rPr>
                                <w:t>end</w:t>
                              </w:r>
                            </w:p>
                          </w:txbxContent>
                        </v:textbox>
                      </v:shape>
                      <w10:wrap type="square"/>
                    </v:group>
                  </w:pict>
                </mc:Fallback>
              </mc:AlternateContent>
            </w:r>
            <w:r w:rsidRPr="00771DD7">
              <w:t xml:space="preserve">Investment in each year </w:t>
            </w:r>
            <w:r w:rsidR="006D3615">
              <w:t>adds to</w:t>
            </w:r>
            <w:r w:rsidR="006D3615" w:rsidRPr="00771DD7">
              <w:t xml:space="preserve"> </w:t>
            </w:r>
            <w:r w:rsidRPr="00771DD7">
              <w:t xml:space="preserve">productive capital stock, and thus affects the growth rate of capital services. </w:t>
            </w:r>
            <w:r w:rsidR="006D3615">
              <w:t>It</w:t>
            </w:r>
            <w:r w:rsidRPr="00771DD7">
              <w:t xml:space="preserve"> is not possible to simply examine investment at the beginning and end of the cycle and conclude the effect on capital services</w:t>
            </w:r>
            <w:r w:rsidR="004364F0">
              <w:t>. Capital services growth over a cycle is affected by the existing stock and investment in each year of the cycle.</w:t>
            </w:r>
            <w:r w:rsidRPr="00771DD7">
              <w:t xml:space="preserve"> A simple example of this is presented in the figure below.</w:t>
            </w:r>
          </w:p>
          <w:p w:rsidR="00407865" w:rsidRPr="00771DD7" w:rsidRDefault="00407865" w:rsidP="00771DD7">
            <w:pPr>
              <w:pStyle w:val="Box"/>
            </w:pPr>
            <w:r w:rsidRPr="00771DD7">
              <w:t xml:space="preserve">The figure to the left shows two investment profiles (A and B) over a productivity cycle. </w:t>
            </w:r>
          </w:p>
          <w:p w:rsidR="00407865" w:rsidRPr="00771DD7" w:rsidRDefault="00407865" w:rsidP="00771DD7">
            <w:pPr>
              <w:pStyle w:val="Box"/>
            </w:pPr>
            <w:r w:rsidRPr="00771DD7">
              <w:t>The average annual growth rate between the start- and end-points is negative for A, but positive for B. However, between the cycle start- and end-points, there is much greater investment by A relative to B (the area under each curve).</w:t>
            </w:r>
          </w:p>
          <w:p w:rsidR="00407865" w:rsidRPr="00771DD7" w:rsidRDefault="00407865" w:rsidP="00407865">
            <w:pPr>
              <w:pStyle w:val="Box"/>
              <w:overflowPunct w:val="0"/>
              <w:autoSpaceDE w:val="0"/>
              <w:autoSpaceDN w:val="0"/>
              <w:adjustRightInd w:val="0"/>
            </w:pPr>
            <w:r w:rsidRPr="00771DD7">
              <w:t>Broadly speaking, capital services growth under ‘A’ would be stronger than under ‘B’ over the productivity cycle, even though the average annual growth rates between the start- and end-points would suggest otherwise.</w:t>
            </w:r>
          </w:p>
          <w:p w:rsidR="007C4264" w:rsidRPr="00771DD7" w:rsidRDefault="007C4264" w:rsidP="00407865">
            <w:pPr>
              <w:pStyle w:val="Box"/>
              <w:overflowPunct w:val="0"/>
              <w:autoSpaceDE w:val="0"/>
              <w:autoSpaceDN w:val="0"/>
              <w:adjustRightInd w:val="0"/>
            </w:pPr>
            <w:r w:rsidRPr="00771DD7">
              <w:t>The initial capital stock and age of that capital stock should also be considered when interpreting the impact of investment on capital services.</w:t>
            </w:r>
          </w:p>
        </w:tc>
      </w:tr>
      <w:tr w:rsidR="00407865">
        <w:trPr>
          <w:cantSplit/>
        </w:trPr>
        <w:tc>
          <w:tcPr>
            <w:tcW w:w="8771" w:type="dxa"/>
            <w:tcBorders>
              <w:top w:val="nil"/>
              <w:left w:val="single" w:sz="6" w:space="0" w:color="auto"/>
              <w:bottom w:val="single" w:sz="6" w:space="0" w:color="auto"/>
              <w:right w:val="single" w:sz="6" w:space="0" w:color="auto"/>
            </w:tcBorders>
          </w:tcPr>
          <w:p w:rsidR="00407865" w:rsidRDefault="00407865">
            <w:pPr>
              <w:pStyle w:val="Box"/>
              <w:spacing w:before="0" w:line="120" w:lineRule="exact"/>
            </w:pPr>
          </w:p>
        </w:tc>
      </w:tr>
      <w:tr w:rsidR="00407865" w:rsidRPr="000863A5">
        <w:tc>
          <w:tcPr>
            <w:tcW w:w="8771" w:type="dxa"/>
            <w:tcBorders>
              <w:top w:val="nil"/>
              <w:left w:val="nil"/>
              <w:bottom w:val="nil"/>
              <w:right w:val="nil"/>
            </w:tcBorders>
          </w:tcPr>
          <w:p w:rsidR="00407865" w:rsidRPr="00626D32" w:rsidRDefault="00407865" w:rsidP="003855FA">
            <w:pPr>
              <w:pStyle w:val="BoxSpaceBelow"/>
            </w:pPr>
          </w:p>
        </w:tc>
      </w:tr>
    </w:tbl>
    <w:p w:rsidR="00D3397A" w:rsidRPr="003072C7" w:rsidRDefault="00FC4F9F" w:rsidP="006F60BC">
      <w:pPr>
        <w:pStyle w:val="BodyText"/>
      </w:pPr>
      <w:r>
        <w:t xml:space="preserve">The ABS estimates a capital services index for </w:t>
      </w:r>
      <w:r w:rsidR="002E6911">
        <w:t>Manufacturing</w:t>
      </w:r>
      <w:r>
        <w:t xml:space="preserve"> in aggregate, but not for the subsectors within </w:t>
      </w:r>
      <w:r w:rsidR="002E6911">
        <w:t>Manufacturing</w:t>
      </w:r>
      <w:r>
        <w:t xml:space="preserve">. For this study, capital services indexes for the subsectors were estimated using a broadly similar methodology to </w:t>
      </w:r>
      <w:r w:rsidR="002E6911">
        <w:t>that used by the ABS for M</w:t>
      </w:r>
      <w:r>
        <w:t>anufacturing</w:t>
      </w:r>
      <w:r w:rsidR="002E6911">
        <w:t xml:space="preserve"> as a whole</w:t>
      </w:r>
      <w:r w:rsidR="0063214F">
        <w:t>,</w:t>
      </w:r>
      <w:r>
        <w:t xml:space="preserve"> </w:t>
      </w:r>
      <w:r w:rsidR="00D3397A" w:rsidRPr="003072C7">
        <w:t>in order to be as consistent as possible.</w:t>
      </w:r>
    </w:p>
    <w:p w:rsidR="001459D9" w:rsidRDefault="001459D9">
      <w:pPr>
        <w:overflowPunct/>
        <w:autoSpaceDE/>
        <w:autoSpaceDN/>
        <w:adjustRightInd/>
      </w:pPr>
      <w:r>
        <w:br w:type="page"/>
      </w:r>
    </w:p>
    <w:p w:rsidR="00B364FB" w:rsidRPr="003072C7" w:rsidRDefault="0063214F" w:rsidP="00B364FB">
      <w:pPr>
        <w:pStyle w:val="BodyText"/>
      </w:pPr>
      <w:r>
        <w:lastRenderedPageBreak/>
        <w:t xml:space="preserve">However, </w:t>
      </w:r>
      <w:r w:rsidR="007728E0">
        <w:t xml:space="preserve">due to </w:t>
      </w:r>
      <w:r>
        <w:t>data limitations, t</w:t>
      </w:r>
      <w:r w:rsidRPr="003072C7">
        <w:t xml:space="preserve">here </w:t>
      </w:r>
      <w:r w:rsidR="0073539E" w:rsidRPr="003072C7">
        <w:t xml:space="preserve">are some important differences in the approach taken to </w:t>
      </w:r>
      <w:r>
        <w:t>estimating</w:t>
      </w:r>
      <w:r w:rsidRPr="003072C7">
        <w:t xml:space="preserve"> </w:t>
      </w:r>
      <w:r w:rsidR="0073539E" w:rsidRPr="003072C7">
        <w:t>capital services for</w:t>
      </w:r>
      <w:r w:rsidR="00D3397A" w:rsidRPr="003072C7">
        <w:t xml:space="preserve"> the </w:t>
      </w:r>
      <w:r>
        <w:t>subsectors.</w:t>
      </w:r>
      <w:r w:rsidR="0073539E" w:rsidRPr="003072C7">
        <w:t xml:space="preserve"> </w:t>
      </w:r>
      <w:r w:rsidR="00B364FB" w:rsidRPr="003072C7">
        <w:t xml:space="preserve">One difference is that fewer asset types </w:t>
      </w:r>
      <w:r w:rsidR="00E62C8B">
        <w:t>were</w:t>
      </w:r>
      <w:r w:rsidR="00E62C8B" w:rsidRPr="003072C7">
        <w:t xml:space="preserve"> </w:t>
      </w:r>
      <w:r>
        <w:t>included in the subsector estimates</w:t>
      </w:r>
      <w:r w:rsidRPr="003072C7">
        <w:t xml:space="preserve"> </w:t>
      </w:r>
      <w:r>
        <w:t xml:space="preserve">than are used by the ABS for </w:t>
      </w:r>
      <w:r w:rsidR="002E6911">
        <w:t>M</w:t>
      </w:r>
      <w:r>
        <w:t>anufacturing</w:t>
      </w:r>
      <w:r w:rsidR="002E6911">
        <w:t xml:space="preserve"> in aggregate</w:t>
      </w:r>
      <w:r>
        <w:t xml:space="preserve"> (</w:t>
      </w:r>
      <w:r w:rsidRPr="003072C7">
        <w:t xml:space="preserve">table </w:t>
      </w:r>
      <w:proofErr w:type="spellStart"/>
      <w:r w:rsidRPr="003072C7">
        <w:t>A.3</w:t>
      </w:r>
      <w:proofErr w:type="spellEnd"/>
      <w:r>
        <w:t xml:space="preserve">). </w:t>
      </w:r>
      <w:r w:rsidR="00B364FB" w:rsidRPr="003072C7">
        <w:t xml:space="preserve">The ABS </w:t>
      </w:r>
      <w:r>
        <w:t>includes</w:t>
      </w:r>
      <w:r w:rsidRPr="003072C7">
        <w:t xml:space="preserve"> </w:t>
      </w:r>
      <w:r w:rsidR="001459D9">
        <w:t>twelve</w:t>
      </w:r>
      <w:r w:rsidR="00B364FB" w:rsidRPr="003072C7">
        <w:t xml:space="preserve"> different asset types in its </w:t>
      </w:r>
      <w:r w:rsidR="002E6911">
        <w:t>Manufacturing</w:t>
      </w:r>
      <w:r w:rsidR="00DB1D9D">
        <w:t xml:space="preserve"> </w:t>
      </w:r>
      <w:r w:rsidR="00DB1D9D" w:rsidRPr="003072C7">
        <w:t>division</w:t>
      </w:r>
      <w:r w:rsidR="00DB1D9D">
        <w:t>-</w:t>
      </w:r>
      <w:r w:rsidR="00B364FB" w:rsidRPr="003072C7">
        <w:t>level estimates</w:t>
      </w:r>
      <w:r>
        <w:t>, but i</w:t>
      </w:r>
      <w:r w:rsidR="00B364FB" w:rsidRPr="003072C7">
        <w:t xml:space="preserve">n the subsector estimates </w:t>
      </w:r>
      <w:r>
        <w:t>only</w:t>
      </w:r>
      <w:r w:rsidR="00B364FB" w:rsidRPr="003072C7">
        <w:t xml:space="preserve"> </w:t>
      </w:r>
      <w:r w:rsidR="00543DA1">
        <w:t xml:space="preserve">the </w:t>
      </w:r>
      <w:r w:rsidR="001459D9">
        <w:t>four</w:t>
      </w:r>
      <w:r w:rsidR="00543DA1">
        <w:t xml:space="preserve"> </w:t>
      </w:r>
      <w:r w:rsidR="00B364FB" w:rsidRPr="003072C7">
        <w:t xml:space="preserve">asset types </w:t>
      </w:r>
      <w:r w:rsidR="00231D9A">
        <w:t>were</w:t>
      </w:r>
      <w:r w:rsidR="00231D9A" w:rsidRPr="003072C7">
        <w:t xml:space="preserve"> </w:t>
      </w:r>
      <w:r w:rsidR="00F175D3">
        <w:t xml:space="preserve">able to be </w:t>
      </w:r>
      <w:r>
        <w:t>included</w:t>
      </w:r>
      <w:r w:rsidRPr="003072C7">
        <w:t xml:space="preserve"> </w:t>
      </w:r>
      <w:r w:rsidR="00B364FB" w:rsidRPr="003072C7">
        <w:t xml:space="preserve">(one of which </w:t>
      </w:r>
      <w:r w:rsidR="006A5046" w:rsidRPr="003072C7">
        <w:t xml:space="preserve">aggregates </w:t>
      </w:r>
      <w:r w:rsidR="001459D9">
        <w:t>six</w:t>
      </w:r>
      <w:r w:rsidR="006A5046" w:rsidRPr="003072C7">
        <w:t xml:space="preserve"> ‘machinery and equipment’ asset types considered separately by the ABS</w:t>
      </w:r>
      <w:r w:rsidR="00B364FB" w:rsidRPr="003072C7">
        <w:t>).</w:t>
      </w:r>
    </w:p>
    <w:p w:rsidR="00B364FB" w:rsidRDefault="00B364FB" w:rsidP="00B364FB">
      <w:pPr>
        <w:pStyle w:val="TableTitle"/>
      </w:pPr>
      <w:r>
        <w:rPr>
          <w:b w:val="0"/>
        </w:rPr>
        <w:t xml:space="preserve">Table </w:t>
      </w:r>
      <w:bookmarkStart w:id="13" w:name="OLE_LINK17"/>
      <w:proofErr w:type="spellStart"/>
      <w:r w:rsidR="00D86322">
        <w:rPr>
          <w:b w:val="0"/>
        </w:rPr>
        <w:t>A.</w:t>
      </w:r>
      <w:r w:rsidR="001459D9">
        <w:rPr>
          <w:b w:val="0"/>
          <w:noProof/>
        </w:rPr>
        <w:t>3</w:t>
      </w:r>
      <w:bookmarkEnd w:id="13"/>
      <w:proofErr w:type="spellEnd"/>
      <w:r>
        <w:tab/>
        <w:t>Comparison of asset type</w:t>
      </w:r>
      <w:r w:rsidR="0063214F">
        <w:t>s</w:t>
      </w:r>
      <w:r w:rsidR="00E278EF">
        <w:t xml:space="preserve"> included in capital services</w:t>
      </w:r>
    </w:p>
    <w:tbl>
      <w:tblPr>
        <w:tblW w:w="5000" w:type="pct"/>
        <w:tblCellMar>
          <w:left w:w="0" w:type="dxa"/>
          <w:right w:w="0" w:type="dxa"/>
        </w:tblCellMar>
        <w:tblLook w:val="0000" w:firstRow="0" w:lastRow="0" w:firstColumn="0" w:lastColumn="0" w:noHBand="0" w:noVBand="0"/>
      </w:tblPr>
      <w:tblGrid>
        <w:gridCol w:w="5388"/>
        <w:gridCol w:w="3401"/>
      </w:tblGrid>
      <w:tr w:rsidR="00B364FB" w:rsidTr="00815B71">
        <w:tc>
          <w:tcPr>
            <w:tcW w:w="3065" w:type="pct"/>
            <w:tcBorders>
              <w:top w:val="single" w:sz="6" w:space="0" w:color="auto"/>
              <w:bottom w:val="single" w:sz="6" w:space="0" w:color="auto"/>
            </w:tcBorders>
            <w:shd w:val="clear" w:color="auto" w:fill="auto"/>
          </w:tcPr>
          <w:p w:rsidR="00B364FB" w:rsidRDefault="00560C97" w:rsidP="002E6911">
            <w:pPr>
              <w:pStyle w:val="TableColumnHeading"/>
              <w:jc w:val="left"/>
            </w:pPr>
            <w:r>
              <w:t xml:space="preserve">For </w:t>
            </w:r>
            <w:r w:rsidR="0063214F">
              <w:t xml:space="preserve">ABS </w:t>
            </w:r>
            <w:r w:rsidR="002E6911">
              <w:t>M</w:t>
            </w:r>
            <w:r w:rsidR="0063214F">
              <w:t>anufacturing estimates</w:t>
            </w:r>
          </w:p>
        </w:tc>
        <w:tc>
          <w:tcPr>
            <w:tcW w:w="1935" w:type="pct"/>
            <w:tcBorders>
              <w:top w:val="single" w:sz="6" w:space="0" w:color="auto"/>
              <w:bottom w:val="single" w:sz="6" w:space="0" w:color="auto"/>
            </w:tcBorders>
            <w:shd w:val="clear" w:color="auto" w:fill="auto"/>
          </w:tcPr>
          <w:p w:rsidR="00B364FB" w:rsidRDefault="00560C97" w:rsidP="004D715E">
            <w:pPr>
              <w:pStyle w:val="TableColumnHeading"/>
              <w:ind w:right="28"/>
              <w:jc w:val="left"/>
            </w:pPr>
            <w:r>
              <w:t>For s</w:t>
            </w:r>
            <w:r w:rsidR="0063214F">
              <w:t>ubsector estimates</w:t>
            </w:r>
          </w:p>
        </w:tc>
      </w:tr>
      <w:tr w:rsidR="00B364FB" w:rsidTr="007F25B0">
        <w:tc>
          <w:tcPr>
            <w:tcW w:w="3065" w:type="pct"/>
            <w:shd w:val="clear" w:color="auto" w:fill="D9D9D9" w:themeFill="background1" w:themeFillShade="D9"/>
          </w:tcPr>
          <w:p w:rsidR="00B364FB" w:rsidRPr="00937547" w:rsidRDefault="00B364FB" w:rsidP="008060A3">
            <w:pPr>
              <w:pStyle w:val="TableBodyText"/>
              <w:spacing w:before="120"/>
              <w:ind w:right="28"/>
              <w:jc w:val="left"/>
            </w:pPr>
            <w:r w:rsidRPr="00937547">
              <w:t xml:space="preserve">Computer software </w:t>
            </w:r>
          </w:p>
        </w:tc>
        <w:tc>
          <w:tcPr>
            <w:tcW w:w="1935" w:type="pct"/>
            <w:shd w:val="clear" w:color="auto" w:fill="D9D9D9" w:themeFill="background1" w:themeFillShade="D9"/>
          </w:tcPr>
          <w:p w:rsidR="00B364FB" w:rsidRDefault="00B364FB" w:rsidP="008060A3">
            <w:pPr>
              <w:pStyle w:val="TableBodyText"/>
              <w:spacing w:before="120"/>
              <w:ind w:right="28"/>
              <w:jc w:val="left"/>
              <w:rPr>
                <w:i/>
              </w:rPr>
            </w:pPr>
            <w:r>
              <w:t>Computer software</w:t>
            </w:r>
          </w:p>
        </w:tc>
      </w:tr>
      <w:tr w:rsidR="00B364FB" w:rsidTr="007F25B0">
        <w:tc>
          <w:tcPr>
            <w:tcW w:w="3065" w:type="pct"/>
            <w:shd w:val="clear" w:color="auto" w:fill="auto"/>
          </w:tcPr>
          <w:p w:rsidR="00B364FB" w:rsidRPr="00937547" w:rsidRDefault="00B364FB" w:rsidP="00815B71">
            <w:pPr>
              <w:pStyle w:val="TableBodyText"/>
              <w:ind w:right="28"/>
              <w:jc w:val="left"/>
            </w:pPr>
            <w:r w:rsidRPr="00937547">
              <w:t xml:space="preserve">Research &amp; development </w:t>
            </w:r>
          </w:p>
        </w:tc>
        <w:tc>
          <w:tcPr>
            <w:tcW w:w="1935" w:type="pct"/>
            <w:shd w:val="clear" w:color="auto" w:fill="auto"/>
          </w:tcPr>
          <w:p w:rsidR="00B364FB" w:rsidRDefault="00B364FB" w:rsidP="004D715E">
            <w:pPr>
              <w:pStyle w:val="TableBodyText"/>
              <w:ind w:right="28"/>
              <w:jc w:val="left"/>
              <w:rPr>
                <w:i/>
              </w:rPr>
            </w:pPr>
            <w:r>
              <w:t>Research &amp; development</w:t>
            </w: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 xml:space="preserve">Inventories - Non-farm  </w:t>
            </w:r>
          </w:p>
        </w:tc>
        <w:tc>
          <w:tcPr>
            <w:tcW w:w="1935" w:type="pct"/>
            <w:shd w:val="clear" w:color="auto" w:fill="D9D9D9" w:themeFill="background1" w:themeFillShade="D9"/>
          </w:tcPr>
          <w:p w:rsidR="00B364FB" w:rsidRPr="006A6DFA" w:rsidRDefault="00B364FB" w:rsidP="004D715E">
            <w:pPr>
              <w:pStyle w:val="TableBodyText"/>
              <w:framePr w:w="2155" w:hSpace="227" w:vSpace="181" w:wrap="around" w:vAnchor="text" w:hAnchor="page" w:xAlign="outside" w:y="1"/>
              <w:ind w:right="28"/>
              <w:jc w:val="left"/>
              <w:rPr>
                <w:i/>
              </w:rPr>
            </w:pPr>
            <w:r>
              <w:rPr>
                <w:i/>
              </w:rPr>
              <w:t>(unavailable)</w:t>
            </w:r>
          </w:p>
        </w:tc>
      </w:tr>
      <w:tr w:rsidR="00B364FB" w:rsidTr="007F25B0">
        <w:tc>
          <w:tcPr>
            <w:tcW w:w="3065" w:type="pct"/>
            <w:shd w:val="clear" w:color="auto" w:fill="auto"/>
          </w:tcPr>
          <w:p w:rsidR="00B364FB" w:rsidRPr="00937547" w:rsidRDefault="00B364FB" w:rsidP="00815B71">
            <w:pPr>
              <w:pStyle w:val="TableBodyText"/>
              <w:ind w:right="28"/>
              <w:jc w:val="left"/>
            </w:pPr>
            <w:r w:rsidRPr="00937547">
              <w:t xml:space="preserve">Land </w:t>
            </w:r>
          </w:p>
        </w:tc>
        <w:tc>
          <w:tcPr>
            <w:tcW w:w="1935" w:type="pct"/>
            <w:shd w:val="clear" w:color="auto" w:fill="auto"/>
          </w:tcPr>
          <w:p w:rsidR="00B364FB" w:rsidRDefault="00B364FB" w:rsidP="004D715E">
            <w:pPr>
              <w:pStyle w:val="TableBodyText"/>
              <w:ind w:right="28"/>
              <w:jc w:val="left"/>
              <w:rPr>
                <w:i/>
              </w:rPr>
            </w:pPr>
            <w:r>
              <w:rPr>
                <w:i/>
              </w:rPr>
              <w:t>(unavailable)</w:t>
            </w: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 xml:space="preserve">Machinery &amp; equipment - Computers </w:t>
            </w:r>
          </w:p>
        </w:tc>
        <w:tc>
          <w:tcPr>
            <w:tcW w:w="1935" w:type="pct"/>
            <w:vMerge w:val="restart"/>
            <w:shd w:val="clear" w:color="auto" w:fill="D9D9D9" w:themeFill="background1" w:themeFillShade="D9"/>
            <w:vAlign w:val="center"/>
          </w:tcPr>
          <w:p w:rsidR="00B364FB" w:rsidRDefault="00B364FB" w:rsidP="00F43EED">
            <w:pPr>
              <w:pStyle w:val="TableBodyText"/>
              <w:ind w:right="28"/>
              <w:jc w:val="left"/>
              <w:rPr>
                <w:i/>
              </w:rPr>
            </w:pPr>
            <w:r>
              <w:t xml:space="preserve">Machinery </w:t>
            </w:r>
            <w:r w:rsidR="00F43EED">
              <w:t>&amp;</w:t>
            </w:r>
            <w:r>
              <w:t xml:space="preserve"> equipment (jointly)</w:t>
            </w:r>
            <w:r w:rsidRPr="008E77FE">
              <w:rPr>
                <w:rStyle w:val="NoteLabel"/>
              </w:rPr>
              <w:t>a</w:t>
            </w: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Machinery &amp; equipment - Electrical &amp; Electronic Eq</w:t>
            </w:r>
            <w:r>
              <w:t>uipmen</w:t>
            </w:r>
            <w:r w:rsidRPr="00937547">
              <w:t xml:space="preserve">t </w:t>
            </w:r>
          </w:p>
        </w:tc>
        <w:tc>
          <w:tcPr>
            <w:tcW w:w="1935" w:type="pct"/>
            <w:vMerge/>
            <w:shd w:val="clear" w:color="auto" w:fill="D9D9D9" w:themeFill="background1" w:themeFillShade="D9"/>
          </w:tcPr>
          <w:p w:rsidR="00B364FB" w:rsidRDefault="00B364FB" w:rsidP="004D715E">
            <w:pPr>
              <w:pStyle w:val="TableBodyText"/>
              <w:ind w:right="28"/>
              <w:jc w:val="left"/>
            </w:pP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Machinery &amp; equipment - Industrial Machinery &amp; Equip</w:t>
            </w:r>
            <w:r>
              <w:t>ment</w:t>
            </w:r>
            <w:r w:rsidRPr="00937547">
              <w:t xml:space="preserve"> </w:t>
            </w:r>
          </w:p>
        </w:tc>
        <w:tc>
          <w:tcPr>
            <w:tcW w:w="1935" w:type="pct"/>
            <w:vMerge/>
            <w:shd w:val="clear" w:color="auto" w:fill="D9D9D9" w:themeFill="background1" w:themeFillShade="D9"/>
          </w:tcPr>
          <w:p w:rsidR="00B364FB" w:rsidRDefault="00B364FB" w:rsidP="004D715E">
            <w:pPr>
              <w:pStyle w:val="TableBodyText"/>
              <w:ind w:right="28"/>
              <w:jc w:val="left"/>
            </w:pP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 xml:space="preserve">Machinery &amp; equipment - Other Plant &amp; Equipment </w:t>
            </w:r>
          </w:p>
        </w:tc>
        <w:tc>
          <w:tcPr>
            <w:tcW w:w="1935" w:type="pct"/>
            <w:vMerge/>
            <w:shd w:val="clear" w:color="auto" w:fill="D9D9D9" w:themeFill="background1" w:themeFillShade="D9"/>
          </w:tcPr>
          <w:p w:rsidR="00B364FB" w:rsidRDefault="00B364FB" w:rsidP="004D715E">
            <w:pPr>
              <w:pStyle w:val="TableBodyText"/>
              <w:ind w:right="28"/>
              <w:jc w:val="left"/>
            </w:pP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 xml:space="preserve">Machinery &amp; equipment - Other Transport Equipment </w:t>
            </w:r>
          </w:p>
        </w:tc>
        <w:tc>
          <w:tcPr>
            <w:tcW w:w="1935" w:type="pct"/>
            <w:vMerge/>
            <w:shd w:val="clear" w:color="auto" w:fill="D9D9D9" w:themeFill="background1" w:themeFillShade="D9"/>
          </w:tcPr>
          <w:p w:rsidR="00B364FB" w:rsidRDefault="00B364FB" w:rsidP="004D715E">
            <w:pPr>
              <w:pStyle w:val="TableBodyText"/>
              <w:ind w:right="28"/>
              <w:jc w:val="left"/>
            </w:pPr>
          </w:p>
        </w:tc>
      </w:tr>
      <w:tr w:rsidR="00B364FB" w:rsidTr="007F25B0">
        <w:tc>
          <w:tcPr>
            <w:tcW w:w="3065" w:type="pct"/>
            <w:shd w:val="clear" w:color="auto" w:fill="D9D9D9" w:themeFill="background1" w:themeFillShade="D9"/>
          </w:tcPr>
          <w:p w:rsidR="00B364FB" w:rsidRPr="00937547" w:rsidRDefault="00B364FB" w:rsidP="00815B71">
            <w:pPr>
              <w:pStyle w:val="TableBodyText"/>
              <w:ind w:right="28"/>
              <w:jc w:val="left"/>
            </w:pPr>
            <w:r w:rsidRPr="00937547">
              <w:t>Machinery &amp; equipment - Road Vehicles</w:t>
            </w:r>
          </w:p>
        </w:tc>
        <w:tc>
          <w:tcPr>
            <w:tcW w:w="1935" w:type="pct"/>
            <w:vMerge/>
            <w:shd w:val="clear" w:color="auto" w:fill="D9D9D9" w:themeFill="background1" w:themeFillShade="D9"/>
          </w:tcPr>
          <w:p w:rsidR="00B364FB" w:rsidRDefault="00B364FB" w:rsidP="004D715E">
            <w:pPr>
              <w:pStyle w:val="TableBodyText"/>
              <w:ind w:right="28"/>
              <w:jc w:val="left"/>
            </w:pPr>
          </w:p>
        </w:tc>
      </w:tr>
      <w:tr w:rsidR="00B364FB" w:rsidTr="007F25B0">
        <w:tc>
          <w:tcPr>
            <w:tcW w:w="3065" w:type="pct"/>
            <w:shd w:val="clear" w:color="auto" w:fill="auto"/>
          </w:tcPr>
          <w:p w:rsidR="00B364FB" w:rsidRPr="00937547" w:rsidRDefault="00B364FB" w:rsidP="00815B71">
            <w:pPr>
              <w:pStyle w:val="TableBodyText"/>
              <w:ind w:right="28"/>
              <w:jc w:val="left"/>
            </w:pPr>
            <w:r w:rsidRPr="00937547">
              <w:t xml:space="preserve">Non-dwelling construction </w:t>
            </w:r>
          </w:p>
        </w:tc>
        <w:tc>
          <w:tcPr>
            <w:tcW w:w="1935" w:type="pct"/>
            <w:shd w:val="clear" w:color="auto" w:fill="auto"/>
          </w:tcPr>
          <w:p w:rsidR="00B364FB" w:rsidRDefault="00B364FB" w:rsidP="004D715E">
            <w:pPr>
              <w:pStyle w:val="TableBodyText"/>
              <w:ind w:right="28"/>
              <w:jc w:val="left"/>
              <w:rPr>
                <w:i/>
              </w:rPr>
            </w:pPr>
            <w:r>
              <w:t>Non-dwelling construction</w:t>
            </w:r>
          </w:p>
        </w:tc>
      </w:tr>
      <w:tr w:rsidR="00B364FB" w:rsidTr="007F25B0">
        <w:tc>
          <w:tcPr>
            <w:tcW w:w="3065" w:type="pct"/>
            <w:tcBorders>
              <w:bottom w:val="single" w:sz="4" w:space="0" w:color="auto"/>
            </w:tcBorders>
            <w:shd w:val="clear" w:color="auto" w:fill="D9D9D9" w:themeFill="background1" w:themeFillShade="D9"/>
          </w:tcPr>
          <w:p w:rsidR="00B364FB" w:rsidRDefault="00B364FB" w:rsidP="00815B71">
            <w:pPr>
              <w:pStyle w:val="TableBodyText"/>
              <w:ind w:right="28"/>
              <w:jc w:val="left"/>
            </w:pPr>
            <w:r w:rsidRPr="00937547">
              <w:t xml:space="preserve">Ownership transfer costs </w:t>
            </w:r>
          </w:p>
        </w:tc>
        <w:tc>
          <w:tcPr>
            <w:tcW w:w="1935" w:type="pct"/>
            <w:tcBorders>
              <w:bottom w:val="single" w:sz="4" w:space="0" w:color="auto"/>
            </w:tcBorders>
            <w:shd w:val="clear" w:color="auto" w:fill="D9D9D9" w:themeFill="background1" w:themeFillShade="D9"/>
          </w:tcPr>
          <w:p w:rsidR="00B364FB" w:rsidRDefault="00B364FB" w:rsidP="004D715E">
            <w:pPr>
              <w:pStyle w:val="TableBodyText"/>
              <w:ind w:right="28"/>
              <w:jc w:val="left"/>
              <w:rPr>
                <w:i/>
              </w:rPr>
            </w:pPr>
            <w:r>
              <w:rPr>
                <w:i/>
              </w:rPr>
              <w:t>(unavailable)</w:t>
            </w:r>
          </w:p>
        </w:tc>
      </w:tr>
    </w:tbl>
    <w:p w:rsidR="00B364FB" w:rsidRDefault="00B364FB" w:rsidP="00B364FB">
      <w:pPr>
        <w:pStyle w:val="Note"/>
      </w:pPr>
      <w:r w:rsidRPr="008E77FE">
        <w:rPr>
          <w:rStyle w:val="NoteLabel"/>
        </w:rPr>
        <w:t>a</w:t>
      </w:r>
      <w:r>
        <w:t xml:space="preserve"> All machinery and equipment types are aggregated together into a single asset type as the </w:t>
      </w:r>
      <w:r w:rsidR="00C500A0">
        <w:t>data are</w:t>
      </w:r>
      <w:r>
        <w:t xml:space="preserve"> unavailable to split the aggregate to the subsector level</w:t>
      </w:r>
      <w:r w:rsidR="00DB1D9D">
        <w:t>.</w:t>
      </w:r>
    </w:p>
    <w:p w:rsidR="00A85677" w:rsidRPr="00A85677" w:rsidRDefault="00E37016" w:rsidP="00A85677">
      <w:pPr>
        <w:pStyle w:val="Source"/>
      </w:pPr>
      <w:r>
        <w:rPr>
          <w:i/>
        </w:rPr>
        <w:t>Sources</w:t>
      </w:r>
      <w:r w:rsidR="00B364FB">
        <w:t xml:space="preserve">: ABS </w:t>
      </w:r>
      <w:r w:rsidR="00A85677">
        <w:t>(</w:t>
      </w:r>
      <w:r w:rsidR="00A85677">
        <w:rPr>
          <w:i/>
        </w:rPr>
        <w:t xml:space="preserve">Experimental Estimates of Industry Multifactor </w:t>
      </w:r>
      <w:r w:rsidR="006B189A">
        <w:rPr>
          <w:i/>
        </w:rPr>
        <w:t>Productivity</w:t>
      </w:r>
      <w:r w:rsidR="00A85677">
        <w:rPr>
          <w:i/>
        </w:rPr>
        <w:t xml:space="preserve">, </w:t>
      </w:r>
      <w:r w:rsidR="00627480" w:rsidRPr="00627480">
        <w:rPr>
          <w:i/>
        </w:rPr>
        <w:t>201</w:t>
      </w:r>
      <w:r w:rsidR="006B189A">
        <w:rPr>
          <w:i/>
        </w:rPr>
        <w:t>0</w:t>
      </w:r>
      <w:r w:rsidR="00FF62BB">
        <w:rPr>
          <w:i/>
        </w:rPr>
        <w:noBreakHyphen/>
      </w:r>
      <w:r w:rsidR="006B189A">
        <w:rPr>
          <w:i/>
        </w:rPr>
        <w:t>1</w:t>
      </w:r>
      <w:r w:rsidR="00627480" w:rsidRPr="00627480">
        <w:rPr>
          <w:i/>
        </w:rPr>
        <w:t>1</w:t>
      </w:r>
      <w:r w:rsidR="00627480">
        <w:t xml:space="preserve">, </w:t>
      </w:r>
      <w:r w:rsidR="00A85677" w:rsidRPr="004D715E">
        <w:t>Cat</w:t>
      </w:r>
      <w:r w:rsidR="00A85677">
        <w:t>.</w:t>
      </w:r>
      <w:r w:rsidR="00A85677" w:rsidRPr="004D715E">
        <w:t xml:space="preserve"> no.</w:t>
      </w:r>
      <w:r w:rsidR="00A85677">
        <w:rPr>
          <w:i/>
        </w:rPr>
        <w:t xml:space="preserve"> </w:t>
      </w:r>
      <w:r w:rsidR="00B364FB">
        <w:t>5260.0.55.002</w:t>
      </w:r>
      <w:r w:rsidR="00A85677">
        <w:t>); ABS (</w:t>
      </w:r>
      <w:r w:rsidR="00A85677">
        <w:rPr>
          <w:i/>
        </w:rPr>
        <w:t xml:space="preserve">Australian System of National Accounts: Concepts, Sources and Methods, </w:t>
      </w:r>
      <w:r w:rsidR="00627480" w:rsidRPr="00627480">
        <w:rPr>
          <w:i/>
        </w:rPr>
        <w:t>2000</w:t>
      </w:r>
      <w:r w:rsidR="00627480">
        <w:t xml:space="preserve">, </w:t>
      </w:r>
      <w:r w:rsidR="00A85677">
        <w:t>Cat. no.</w:t>
      </w:r>
      <w:r w:rsidR="00B364FB">
        <w:t xml:space="preserve"> 5216.</w:t>
      </w:r>
      <w:r w:rsidR="00A85677">
        <w:t>0)</w:t>
      </w:r>
      <w:r w:rsidR="000E23CD">
        <w:t>.</w:t>
      </w:r>
    </w:p>
    <w:p w:rsidR="000E35F4" w:rsidRPr="003072C7" w:rsidRDefault="00815B71" w:rsidP="0083475B">
      <w:pPr>
        <w:pStyle w:val="BodyText"/>
      </w:pPr>
      <w:r w:rsidRPr="003072C7">
        <w:t>Another</w:t>
      </w:r>
      <w:r w:rsidR="0073539E" w:rsidRPr="003072C7">
        <w:t xml:space="preserve"> difference</w:t>
      </w:r>
      <w:r w:rsidR="00AD53BA">
        <w:t xml:space="preserve"> is the source of data. G</w:t>
      </w:r>
      <w:r w:rsidR="0073539E" w:rsidRPr="003072C7">
        <w:t>ross fixed capital formation (</w:t>
      </w:r>
      <w:proofErr w:type="spellStart"/>
      <w:r w:rsidR="0073539E" w:rsidRPr="003072C7">
        <w:t>GFCF</w:t>
      </w:r>
      <w:proofErr w:type="spellEnd"/>
      <w:r w:rsidR="0073539E" w:rsidRPr="003072C7">
        <w:t xml:space="preserve">), the measure of capital investment from the </w:t>
      </w:r>
      <w:r w:rsidR="002E6911">
        <w:t>National Accounts</w:t>
      </w:r>
      <w:r w:rsidR="0073539E" w:rsidRPr="003072C7">
        <w:t xml:space="preserve"> used to derive </w:t>
      </w:r>
      <w:r w:rsidR="00B205F3" w:rsidRPr="003072C7">
        <w:t>productive capital stock (and, in turn, capital services)</w:t>
      </w:r>
      <w:r w:rsidR="00E65A00">
        <w:t>,</w:t>
      </w:r>
      <w:r w:rsidR="0073539E" w:rsidRPr="003072C7">
        <w:t xml:space="preserve"> </w:t>
      </w:r>
      <w:r w:rsidR="00FC52FD">
        <w:t>are</w:t>
      </w:r>
      <w:r w:rsidR="007272A8" w:rsidRPr="003072C7">
        <w:t xml:space="preserve"> </w:t>
      </w:r>
      <w:r w:rsidR="0073539E" w:rsidRPr="003072C7">
        <w:t xml:space="preserve">not available at the </w:t>
      </w:r>
      <w:r w:rsidR="00116C22">
        <w:t>subsector</w:t>
      </w:r>
      <w:r w:rsidR="0073539E" w:rsidRPr="003072C7">
        <w:t xml:space="preserve"> level. Instead, alternative </w:t>
      </w:r>
      <w:r w:rsidR="00116C22">
        <w:t xml:space="preserve">data sources </w:t>
      </w:r>
      <w:r w:rsidR="00363A7D">
        <w:t xml:space="preserve">were </w:t>
      </w:r>
      <w:r w:rsidR="0073539E" w:rsidRPr="003072C7">
        <w:t xml:space="preserve">used to </w:t>
      </w:r>
      <w:r w:rsidR="00116C22">
        <w:t xml:space="preserve">calculate subsector shares of investment that </w:t>
      </w:r>
      <w:r w:rsidR="00DD73A4">
        <w:t>were then</w:t>
      </w:r>
      <w:r w:rsidR="00116C22">
        <w:t xml:space="preserve"> applied to </w:t>
      </w:r>
      <w:r w:rsidR="0073539E" w:rsidRPr="003072C7">
        <w:t xml:space="preserve">apportion </w:t>
      </w:r>
      <w:proofErr w:type="spellStart"/>
      <w:r w:rsidR="0073539E" w:rsidRPr="003072C7">
        <w:t>GFCF</w:t>
      </w:r>
      <w:proofErr w:type="spellEnd"/>
      <w:r w:rsidR="0073539E" w:rsidRPr="003072C7">
        <w:t xml:space="preserve"> for </w:t>
      </w:r>
      <w:r w:rsidR="002E6911">
        <w:t>M</w:t>
      </w:r>
      <w:r w:rsidR="0073539E" w:rsidRPr="003072C7">
        <w:t xml:space="preserve">anufacturing </w:t>
      </w:r>
      <w:r w:rsidR="002E6911">
        <w:t xml:space="preserve">in aggregate </w:t>
      </w:r>
      <w:r w:rsidR="0073539E" w:rsidRPr="003072C7">
        <w:t>across the different subsectors</w:t>
      </w:r>
      <w:r w:rsidR="00116C22">
        <w:t xml:space="preserve"> (t</w:t>
      </w:r>
      <w:r w:rsidR="00116C22" w:rsidRPr="003072C7">
        <w:t>able</w:t>
      </w:r>
      <w:r w:rsidR="003D51F0">
        <w:t xml:space="preserve"> </w:t>
      </w:r>
      <w:proofErr w:type="spellStart"/>
      <w:r w:rsidR="003D51F0">
        <w:t>A.4</w:t>
      </w:r>
      <w:proofErr w:type="spellEnd"/>
      <w:r w:rsidR="00116C22">
        <w:t>).</w:t>
      </w:r>
      <w:r w:rsidR="00D70FBE" w:rsidRPr="003072C7">
        <w:t xml:space="preserve"> </w:t>
      </w:r>
      <w:r w:rsidR="00116C22">
        <w:t>F</w:t>
      </w:r>
      <w:r w:rsidR="00116C22" w:rsidRPr="003072C7">
        <w:t xml:space="preserve">or </w:t>
      </w:r>
      <w:r w:rsidR="00D70FBE" w:rsidRPr="003072C7">
        <w:t>investment in ‘non-dwelling construction’</w:t>
      </w:r>
      <w:r w:rsidR="00116C22">
        <w:t xml:space="preserve">, </w:t>
      </w:r>
      <w:r w:rsidR="00D70FBE" w:rsidRPr="003072C7">
        <w:t>‘machinery and equipment’</w:t>
      </w:r>
      <w:r w:rsidR="00116C22">
        <w:t xml:space="preserve"> and software</w:t>
      </w:r>
      <w:r w:rsidR="004D715E">
        <w:t>,</w:t>
      </w:r>
      <w:r w:rsidR="00116C22">
        <w:t xml:space="preserve"> subsector data on private new capital expenditure (</w:t>
      </w:r>
      <w:proofErr w:type="spellStart"/>
      <w:r w:rsidR="00116C22">
        <w:t>PNC</w:t>
      </w:r>
      <w:r w:rsidR="002E6911">
        <w:t>E</w:t>
      </w:r>
      <w:proofErr w:type="spellEnd"/>
      <w:r w:rsidR="002E6911">
        <w:t xml:space="preserve">) </w:t>
      </w:r>
      <w:r w:rsidR="00D12BA8">
        <w:t>was</w:t>
      </w:r>
      <w:r w:rsidR="00D30297">
        <w:t xml:space="preserve"> used</w:t>
      </w:r>
      <w:r w:rsidR="002E6911">
        <w:t xml:space="preserve"> to apportion M</w:t>
      </w:r>
      <w:r w:rsidR="00116C22">
        <w:t xml:space="preserve">anufacturing </w:t>
      </w:r>
      <w:proofErr w:type="spellStart"/>
      <w:r w:rsidR="00116C22">
        <w:t>GFCF</w:t>
      </w:r>
      <w:proofErr w:type="spellEnd"/>
      <w:r w:rsidR="00116C22">
        <w:t xml:space="preserve"> for these asset types across subsectors.</w:t>
      </w:r>
      <w:r w:rsidR="00D70FBE" w:rsidRPr="003072C7">
        <w:t xml:space="preserve"> </w:t>
      </w:r>
      <w:r w:rsidR="00116C22">
        <w:t>B</w:t>
      </w:r>
      <w:r w:rsidR="00D70FBE" w:rsidRPr="003072C7">
        <w:t xml:space="preserve">usiness expenditure on research and development (R&amp;D) </w:t>
      </w:r>
      <w:r w:rsidR="00116C22">
        <w:t xml:space="preserve">by subsector </w:t>
      </w:r>
      <w:r w:rsidR="00E33F3D">
        <w:t>was</w:t>
      </w:r>
      <w:r w:rsidR="00E33F3D" w:rsidRPr="003072C7">
        <w:t xml:space="preserve"> </w:t>
      </w:r>
      <w:r w:rsidR="00D70FBE" w:rsidRPr="003072C7">
        <w:t xml:space="preserve">used to apportion </w:t>
      </w:r>
      <w:r w:rsidR="002E6911">
        <w:t>Manufacturing</w:t>
      </w:r>
      <w:r w:rsidR="00D70FBE" w:rsidRPr="003072C7">
        <w:t xml:space="preserve"> R&amp;D </w:t>
      </w:r>
      <w:proofErr w:type="spellStart"/>
      <w:r w:rsidR="00D70FBE" w:rsidRPr="003072C7">
        <w:t>GFCF</w:t>
      </w:r>
      <w:proofErr w:type="spellEnd"/>
      <w:r w:rsidR="00D70FBE" w:rsidRPr="003072C7">
        <w:t xml:space="preserve"> across subsectors.</w:t>
      </w:r>
      <w:r w:rsidR="00657860" w:rsidRPr="003072C7">
        <w:t xml:space="preserve"> </w:t>
      </w:r>
    </w:p>
    <w:p w:rsidR="00657860" w:rsidRPr="0060134A" w:rsidRDefault="00657860">
      <w:pPr>
        <w:pStyle w:val="TableTitle"/>
      </w:pPr>
      <w:r w:rsidRPr="0060134A">
        <w:rPr>
          <w:b w:val="0"/>
        </w:rPr>
        <w:lastRenderedPageBreak/>
        <w:t xml:space="preserve">Table </w:t>
      </w:r>
      <w:bookmarkStart w:id="14" w:name="OLE_LINK14"/>
      <w:proofErr w:type="spellStart"/>
      <w:r w:rsidR="00D86322">
        <w:rPr>
          <w:b w:val="0"/>
        </w:rPr>
        <w:t>A.</w:t>
      </w:r>
      <w:r w:rsidR="001459D9">
        <w:rPr>
          <w:b w:val="0"/>
          <w:noProof/>
        </w:rPr>
        <w:t>4</w:t>
      </w:r>
      <w:bookmarkEnd w:id="14"/>
      <w:proofErr w:type="spellEnd"/>
      <w:r w:rsidRPr="0060134A">
        <w:tab/>
        <w:t xml:space="preserve">Apportionment of </w:t>
      </w:r>
      <w:r w:rsidR="002E6911">
        <w:t>Manufacturing</w:t>
      </w:r>
      <w:r w:rsidRPr="0060134A">
        <w:t xml:space="preserve"> </w:t>
      </w:r>
      <w:r w:rsidR="00CD7CA5">
        <w:t>gross fixed capital formation</w:t>
      </w:r>
      <w:r w:rsidRPr="0060134A">
        <w:t xml:space="preserve"> to subsectors</w:t>
      </w:r>
    </w:p>
    <w:tbl>
      <w:tblPr>
        <w:tblW w:w="5011" w:type="pct"/>
        <w:tblCellMar>
          <w:left w:w="0" w:type="dxa"/>
          <w:right w:w="0" w:type="dxa"/>
        </w:tblCellMar>
        <w:tblLook w:val="0000" w:firstRow="0" w:lastRow="0" w:firstColumn="0" w:lastColumn="0" w:noHBand="0" w:noVBand="0"/>
      </w:tblPr>
      <w:tblGrid>
        <w:gridCol w:w="3857"/>
        <w:gridCol w:w="4932"/>
        <w:gridCol w:w="19"/>
      </w:tblGrid>
      <w:tr w:rsidR="00CB768E" w:rsidRPr="00564BDC" w:rsidTr="00C45762">
        <w:tc>
          <w:tcPr>
            <w:tcW w:w="2189" w:type="pct"/>
            <w:tcBorders>
              <w:top w:val="single" w:sz="6" w:space="0" w:color="auto"/>
              <w:bottom w:val="single" w:sz="4" w:space="0" w:color="auto"/>
            </w:tcBorders>
            <w:shd w:val="clear" w:color="auto" w:fill="auto"/>
            <w:vAlign w:val="bottom"/>
          </w:tcPr>
          <w:p w:rsidR="00657860" w:rsidRPr="00564BDC" w:rsidRDefault="00657860" w:rsidP="00C45762">
            <w:pPr>
              <w:pStyle w:val="TableColumnHeading"/>
              <w:jc w:val="left"/>
            </w:pPr>
            <w:r w:rsidRPr="00564BDC">
              <w:t xml:space="preserve">Manufacturing division-level </w:t>
            </w:r>
            <w:proofErr w:type="spellStart"/>
            <w:r w:rsidRPr="00564BDC">
              <w:t>GFCF</w:t>
            </w:r>
            <w:proofErr w:type="spellEnd"/>
            <w:r w:rsidRPr="00564BDC">
              <w:t xml:space="preserve"> </w:t>
            </w:r>
            <w:r w:rsidR="00EF79E0" w:rsidRPr="00564BDC">
              <w:t>asset</w:t>
            </w:r>
            <w:r w:rsidRPr="00564BDC">
              <w:rPr>
                <w:rStyle w:val="NoteLabel"/>
                <w:i w:val="0"/>
              </w:rPr>
              <w:t>a</w:t>
            </w:r>
          </w:p>
        </w:tc>
        <w:tc>
          <w:tcPr>
            <w:tcW w:w="2800" w:type="pct"/>
            <w:tcBorders>
              <w:top w:val="single" w:sz="6" w:space="0" w:color="auto"/>
              <w:bottom w:val="single" w:sz="4" w:space="0" w:color="auto"/>
            </w:tcBorders>
            <w:shd w:val="clear" w:color="auto" w:fill="auto"/>
            <w:vAlign w:val="bottom"/>
          </w:tcPr>
          <w:p w:rsidR="00657860" w:rsidRPr="00564BDC" w:rsidRDefault="00CB768E" w:rsidP="00C45762">
            <w:pPr>
              <w:pStyle w:val="TableColumnHeading"/>
              <w:jc w:val="left"/>
            </w:pPr>
            <w:r w:rsidRPr="00564BDC">
              <w:t xml:space="preserve">Data used to apportion to </w:t>
            </w:r>
            <w:r w:rsidR="002E6911" w:rsidRPr="00564BDC">
              <w:t>Manufacturing</w:t>
            </w:r>
            <w:r w:rsidRPr="00564BDC">
              <w:t xml:space="preserve"> subsectors</w:t>
            </w:r>
          </w:p>
        </w:tc>
        <w:tc>
          <w:tcPr>
            <w:tcW w:w="11" w:type="pct"/>
            <w:tcBorders>
              <w:top w:val="single" w:sz="6" w:space="0" w:color="auto"/>
              <w:bottom w:val="single" w:sz="4" w:space="0" w:color="auto"/>
            </w:tcBorders>
            <w:shd w:val="clear" w:color="auto" w:fill="auto"/>
            <w:vAlign w:val="bottom"/>
          </w:tcPr>
          <w:p w:rsidR="00657860" w:rsidRPr="00564BDC" w:rsidRDefault="00657860" w:rsidP="00C45762">
            <w:pPr>
              <w:pStyle w:val="TableColumnHeading"/>
              <w:jc w:val="left"/>
            </w:pPr>
          </w:p>
        </w:tc>
      </w:tr>
      <w:tr w:rsidR="00657860" w:rsidRPr="0060134A" w:rsidTr="007F25B0">
        <w:tc>
          <w:tcPr>
            <w:tcW w:w="2189" w:type="pct"/>
            <w:tcBorders>
              <w:top w:val="single" w:sz="4" w:space="0" w:color="auto"/>
            </w:tcBorders>
            <w:shd w:val="clear" w:color="auto" w:fill="D9D9D9" w:themeFill="background1" w:themeFillShade="D9"/>
          </w:tcPr>
          <w:p w:rsidR="00657860" w:rsidRPr="00176183" w:rsidRDefault="00657860" w:rsidP="008060A3">
            <w:pPr>
              <w:pStyle w:val="TableBodyText"/>
              <w:spacing w:before="120"/>
              <w:ind w:right="28"/>
              <w:jc w:val="left"/>
            </w:pPr>
            <w:r w:rsidRPr="00176183">
              <w:t>Non-dwelling construction</w:t>
            </w:r>
          </w:p>
        </w:tc>
        <w:tc>
          <w:tcPr>
            <w:tcW w:w="2800" w:type="pct"/>
            <w:tcBorders>
              <w:top w:val="single" w:sz="4" w:space="0" w:color="auto"/>
            </w:tcBorders>
            <w:shd w:val="clear" w:color="auto" w:fill="D9D9D9" w:themeFill="background1" w:themeFillShade="D9"/>
          </w:tcPr>
          <w:p w:rsidR="00657860" w:rsidRPr="00A12447" w:rsidRDefault="00AB4325" w:rsidP="008060A3">
            <w:pPr>
              <w:pStyle w:val="TableBodyText"/>
              <w:spacing w:before="120"/>
              <w:ind w:right="28"/>
              <w:jc w:val="left"/>
              <w:rPr>
                <w:rStyle w:val="DraftingNote"/>
                <w:rFonts w:ascii="Times New Roman" w:hAnsi="Times New Roman"/>
                <w:b w:val="0"/>
                <w:color w:val="auto"/>
                <w:sz w:val="20"/>
                <w:u w:val="none"/>
              </w:rPr>
            </w:pPr>
            <w:r w:rsidRPr="00176183">
              <w:t xml:space="preserve">The ‘buildings’ asset type from </w:t>
            </w:r>
            <w:r w:rsidR="007E3461" w:rsidRPr="00176183">
              <w:t xml:space="preserve">Private New Capital Expenditure </w:t>
            </w:r>
            <w:r w:rsidRPr="00176183">
              <w:t xml:space="preserve">(from </w:t>
            </w:r>
            <w:r w:rsidR="00CB768E" w:rsidRPr="00176183">
              <w:t>ABS 5625.0)</w:t>
            </w:r>
            <w:r w:rsidR="00D666A9" w:rsidRPr="0060134A">
              <w:rPr>
                <w:rStyle w:val="NoteLabel"/>
              </w:rPr>
              <w:t>b</w:t>
            </w:r>
            <w:r w:rsidR="00CB768E" w:rsidRPr="00564BDC">
              <w:t xml:space="preserve"> </w:t>
            </w:r>
            <w:r w:rsidR="002F0361" w:rsidRPr="00176183">
              <w:t>and</w:t>
            </w:r>
            <w:r w:rsidR="00D666A9" w:rsidRPr="00176183">
              <w:t xml:space="preserve"> PC(2003)</w:t>
            </w:r>
          </w:p>
        </w:tc>
        <w:tc>
          <w:tcPr>
            <w:tcW w:w="11" w:type="pct"/>
            <w:tcBorders>
              <w:top w:val="single" w:sz="4" w:space="0" w:color="auto"/>
            </w:tcBorders>
            <w:shd w:val="clear" w:color="auto" w:fill="D9D9D9" w:themeFill="background1" w:themeFillShade="D9"/>
          </w:tcPr>
          <w:p w:rsidR="00657860" w:rsidRPr="00A12447" w:rsidRDefault="00657860" w:rsidP="008060A3">
            <w:pPr>
              <w:pStyle w:val="TableBodyText"/>
              <w:spacing w:before="120"/>
              <w:ind w:right="28"/>
              <w:jc w:val="left"/>
              <w:rPr>
                <w:rStyle w:val="DraftingNote"/>
                <w:b w:val="0"/>
                <w:color w:val="auto"/>
                <w:sz w:val="20"/>
                <w:u w:val="none"/>
              </w:rPr>
            </w:pPr>
          </w:p>
        </w:tc>
      </w:tr>
      <w:tr w:rsidR="00CB768E" w:rsidRPr="0060134A" w:rsidTr="004D715E">
        <w:tc>
          <w:tcPr>
            <w:tcW w:w="2189" w:type="pct"/>
            <w:shd w:val="clear" w:color="auto" w:fill="FFFFFF" w:themeFill="background1"/>
          </w:tcPr>
          <w:p w:rsidR="00657860" w:rsidRPr="00176183" w:rsidRDefault="00657860" w:rsidP="008060A3">
            <w:pPr>
              <w:pStyle w:val="TableBodyText"/>
              <w:spacing w:before="120"/>
              <w:ind w:right="28"/>
              <w:jc w:val="left"/>
            </w:pPr>
            <w:r w:rsidRPr="00176183">
              <w:t xml:space="preserve">Machinery </w:t>
            </w:r>
            <w:r w:rsidR="00F43EED" w:rsidRPr="00176183">
              <w:t>&amp;</w:t>
            </w:r>
            <w:r w:rsidRPr="00176183">
              <w:t xml:space="preserve"> equipment</w:t>
            </w:r>
          </w:p>
        </w:tc>
        <w:tc>
          <w:tcPr>
            <w:tcW w:w="2800" w:type="pct"/>
            <w:shd w:val="clear" w:color="auto" w:fill="FFFFFF" w:themeFill="background1"/>
          </w:tcPr>
          <w:p w:rsidR="00657860" w:rsidRPr="00A12447" w:rsidRDefault="00AB4325" w:rsidP="008060A3">
            <w:pPr>
              <w:pStyle w:val="TableBodyText"/>
              <w:spacing w:before="120"/>
              <w:ind w:right="28"/>
              <w:jc w:val="left"/>
              <w:rPr>
                <w:rStyle w:val="DraftingNote"/>
                <w:b w:val="0"/>
                <w:color w:val="auto"/>
                <w:sz w:val="20"/>
                <w:u w:val="none"/>
              </w:rPr>
            </w:pPr>
            <w:r w:rsidRPr="00176183">
              <w:t>The ‘plant, machinery and equipment’ asset type f</w:t>
            </w:r>
            <w:r w:rsidR="007E3461" w:rsidRPr="00176183">
              <w:t>r</w:t>
            </w:r>
            <w:r w:rsidRPr="00176183">
              <w:t xml:space="preserve">om </w:t>
            </w:r>
            <w:r w:rsidR="007E3461" w:rsidRPr="00176183">
              <w:t xml:space="preserve">Private New Capital Expenditure </w:t>
            </w:r>
            <w:r w:rsidR="00CB768E" w:rsidRPr="00176183">
              <w:t>(</w:t>
            </w:r>
            <w:r w:rsidRPr="00176183">
              <w:t xml:space="preserve">from </w:t>
            </w:r>
            <w:r w:rsidR="00CB768E" w:rsidRPr="00176183">
              <w:t>ABS 5625.0)</w:t>
            </w:r>
            <w:r w:rsidR="00CB768E" w:rsidRPr="0060134A">
              <w:rPr>
                <w:rStyle w:val="NoteLabel"/>
              </w:rPr>
              <w:t>b</w:t>
            </w:r>
            <w:r w:rsidR="00D666A9" w:rsidRPr="0060134A">
              <w:rPr>
                <w:rStyle w:val="NoteLabel"/>
              </w:rPr>
              <w:t xml:space="preserve"> </w:t>
            </w:r>
            <w:r w:rsidR="002F0361" w:rsidRPr="00176183">
              <w:t>and</w:t>
            </w:r>
            <w:r w:rsidR="00D666A9" w:rsidRPr="00176183">
              <w:t xml:space="preserve"> PC</w:t>
            </w:r>
            <w:r w:rsidR="002345FE" w:rsidRPr="00176183">
              <w:t xml:space="preserve"> </w:t>
            </w:r>
            <w:r w:rsidR="00D666A9" w:rsidRPr="00176183">
              <w:t>(2003)</w:t>
            </w:r>
          </w:p>
        </w:tc>
        <w:tc>
          <w:tcPr>
            <w:tcW w:w="11" w:type="pct"/>
            <w:shd w:val="clear" w:color="auto" w:fill="FFFFFF" w:themeFill="background1"/>
          </w:tcPr>
          <w:p w:rsidR="00657860" w:rsidRPr="00A12447" w:rsidRDefault="00657860" w:rsidP="008060A3">
            <w:pPr>
              <w:pStyle w:val="TableBodyText"/>
              <w:spacing w:before="120"/>
              <w:ind w:right="28"/>
              <w:jc w:val="left"/>
              <w:rPr>
                <w:rStyle w:val="DraftingNote"/>
                <w:b w:val="0"/>
                <w:color w:val="auto"/>
                <w:sz w:val="20"/>
                <w:u w:val="none"/>
              </w:rPr>
            </w:pPr>
          </w:p>
        </w:tc>
      </w:tr>
      <w:tr w:rsidR="00CB768E" w:rsidRPr="0060134A" w:rsidTr="007F25B0">
        <w:tc>
          <w:tcPr>
            <w:tcW w:w="2189" w:type="pct"/>
            <w:shd w:val="clear" w:color="auto" w:fill="D9D9D9" w:themeFill="background1" w:themeFillShade="D9"/>
          </w:tcPr>
          <w:p w:rsidR="00657860" w:rsidRPr="00176183" w:rsidRDefault="00657860" w:rsidP="008060A3">
            <w:pPr>
              <w:pStyle w:val="TableBodyText"/>
              <w:spacing w:before="120"/>
              <w:ind w:right="28"/>
              <w:jc w:val="left"/>
            </w:pPr>
            <w:r w:rsidRPr="00176183">
              <w:t xml:space="preserve">Research </w:t>
            </w:r>
            <w:r w:rsidR="00F43EED" w:rsidRPr="00176183">
              <w:t>&amp;</w:t>
            </w:r>
            <w:r w:rsidRPr="00176183">
              <w:t xml:space="preserve"> </w:t>
            </w:r>
            <w:r w:rsidR="00F43EED" w:rsidRPr="00176183">
              <w:t>d</w:t>
            </w:r>
            <w:r w:rsidRPr="00176183">
              <w:t>evelopment</w:t>
            </w:r>
          </w:p>
        </w:tc>
        <w:tc>
          <w:tcPr>
            <w:tcW w:w="2800" w:type="pct"/>
            <w:shd w:val="clear" w:color="auto" w:fill="D9D9D9" w:themeFill="background1" w:themeFillShade="D9"/>
          </w:tcPr>
          <w:p w:rsidR="00657860" w:rsidRPr="00176183" w:rsidRDefault="00AB4325" w:rsidP="008060A3">
            <w:pPr>
              <w:pStyle w:val="TableBodyText"/>
              <w:spacing w:before="120"/>
              <w:ind w:right="28"/>
              <w:jc w:val="left"/>
            </w:pPr>
            <w:r w:rsidRPr="00176183">
              <w:t xml:space="preserve">Current business expenditure from </w:t>
            </w:r>
            <w:r w:rsidR="00CB768E" w:rsidRPr="00176183">
              <w:t>Research and Experimental Development, Businesses, Australia (</w:t>
            </w:r>
            <w:r w:rsidRPr="00176183">
              <w:t xml:space="preserve">from </w:t>
            </w:r>
            <w:r w:rsidR="00CB768E" w:rsidRPr="00176183">
              <w:t xml:space="preserve">ABS 8104.0) </w:t>
            </w:r>
            <w:r w:rsidR="002F0361" w:rsidRPr="00176183">
              <w:t>and</w:t>
            </w:r>
            <w:r w:rsidR="00CB768E" w:rsidRPr="00176183">
              <w:t xml:space="preserve"> </w:t>
            </w:r>
            <w:r w:rsidR="00C50FA4" w:rsidRPr="00176183">
              <w:t>Shanks and Zheng</w:t>
            </w:r>
            <w:r w:rsidR="00CB768E" w:rsidRPr="00176183">
              <w:t xml:space="preserve"> (2006) </w:t>
            </w:r>
          </w:p>
        </w:tc>
        <w:tc>
          <w:tcPr>
            <w:tcW w:w="11" w:type="pct"/>
            <w:shd w:val="clear" w:color="auto" w:fill="D9D9D9" w:themeFill="background1" w:themeFillShade="D9"/>
          </w:tcPr>
          <w:p w:rsidR="00657860" w:rsidRPr="00A12447" w:rsidRDefault="00657860" w:rsidP="008060A3">
            <w:pPr>
              <w:pStyle w:val="TableBodyText"/>
              <w:spacing w:before="120"/>
              <w:ind w:right="28"/>
              <w:jc w:val="left"/>
              <w:rPr>
                <w:rStyle w:val="DraftingNote"/>
                <w:b w:val="0"/>
                <w:color w:val="auto"/>
                <w:sz w:val="20"/>
                <w:u w:val="none"/>
              </w:rPr>
            </w:pPr>
          </w:p>
        </w:tc>
      </w:tr>
      <w:tr w:rsidR="00CB768E" w:rsidRPr="0060134A" w:rsidTr="004D715E">
        <w:tc>
          <w:tcPr>
            <w:tcW w:w="2189" w:type="pct"/>
            <w:tcBorders>
              <w:bottom w:val="single" w:sz="6" w:space="0" w:color="auto"/>
            </w:tcBorders>
            <w:shd w:val="clear" w:color="auto" w:fill="FFFFFF" w:themeFill="background1"/>
          </w:tcPr>
          <w:p w:rsidR="00657860" w:rsidRPr="00176183" w:rsidRDefault="00657860" w:rsidP="008060A3">
            <w:pPr>
              <w:pStyle w:val="TableBodyText"/>
              <w:spacing w:before="120"/>
              <w:ind w:right="28"/>
              <w:jc w:val="left"/>
            </w:pPr>
            <w:r w:rsidRPr="00176183">
              <w:t xml:space="preserve">Computer </w:t>
            </w:r>
            <w:r w:rsidR="00F43EED" w:rsidRPr="00176183">
              <w:t>s</w:t>
            </w:r>
            <w:r w:rsidRPr="00176183">
              <w:t>oftware</w:t>
            </w:r>
          </w:p>
        </w:tc>
        <w:tc>
          <w:tcPr>
            <w:tcW w:w="2800" w:type="pct"/>
            <w:tcBorders>
              <w:bottom w:val="single" w:sz="6" w:space="0" w:color="auto"/>
            </w:tcBorders>
            <w:shd w:val="clear" w:color="auto" w:fill="FFFFFF" w:themeFill="background1"/>
          </w:tcPr>
          <w:p w:rsidR="00657860" w:rsidRPr="00A12447" w:rsidRDefault="00AB4325" w:rsidP="008060A3">
            <w:pPr>
              <w:pStyle w:val="TableBodyText"/>
              <w:spacing w:before="120"/>
              <w:ind w:right="28"/>
              <w:jc w:val="left"/>
              <w:rPr>
                <w:rStyle w:val="DraftingNote"/>
                <w:b w:val="0"/>
                <w:color w:val="auto"/>
                <w:sz w:val="20"/>
                <w:u w:val="none"/>
              </w:rPr>
            </w:pPr>
            <w:r w:rsidRPr="00176183">
              <w:t xml:space="preserve">As for machinery </w:t>
            </w:r>
            <w:r w:rsidR="002F0361" w:rsidRPr="00176183">
              <w:t>&amp;</w:t>
            </w:r>
            <w:r w:rsidRPr="00176183">
              <w:t xml:space="preserve"> equipment</w:t>
            </w:r>
            <w:r w:rsidR="007E3461" w:rsidRPr="00176183">
              <w:t>,</w:t>
            </w:r>
            <w:r w:rsidRPr="00176183">
              <w:t xml:space="preserve"> above</w:t>
            </w:r>
            <w:r w:rsidR="00CB768E" w:rsidRPr="0060134A">
              <w:rPr>
                <w:rStyle w:val="NoteLabel"/>
              </w:rPr>
              <w:t>c</w:t>
            </w:r>
          </w:p>
        </w:tc>
        <w:tc>
          <w:tcPr>
            <w:tcW w:w="11" w:type="pct"/>
            <w:tcBorders>
              <w:bottom w:val="single" w:sz="6" w:space="0" w:color="auto"/>
            </w:tcBorders>
            <w:shd w:val="clear" w:color="auto" w:fill="FFFFFF" w:themeFill="background1"/>
          </w:tcPr>
          <w:p w:rsidR="00657860" w:rsidRPr="00A12447" w:rsidRDefault="00657860" w:rsidP="008060A3">
            <w:pPr>
              <w:pStyle w:val="TableBodyText"/>
              <w:spacing w:before="120"/>
              <w:ind w:right="28"/>
              <w:jc w:val="left"/>
              <w:rPr>
                <w:rStyle w:val="DraftingNote"/>
                <w:b w:val="0"/>
                <w:color w:val="auto"/>
                <w:sz w:val="20"/>
                <w:u w:val="none"/>
              </w:rPr>
            </w:pPr>
          </w:p>
        </w:tc>
      </w:tr>
    </w:tbl>
    <w:p w:rsidR="000F35C3" w:rsidRPr="00564BDC" w:rsidRDefault="00657860" w:rsidP="00A12447">
      <w:pPr>
        <w:pStyle w:val="Note"/>
      </w:pPr>
      <w:r w:rsidRPr="00A12447">
        <w:rPr>
          <w:rStyle w:val="NoteLabel"/>
        </w:rPr>
        <w:t>a</w:t>
      </w:r>
      <w:r w:rsidRPr="00564BDC">
        <w:t xml:space="preserve"> </w:t>
      </w:r>
      <w:r w:rsidR="00CB768E" w:rsidRPr="0060134A">
        <w:t xml:space="preserve">These are the broad asset categories detailed in the </w:t>
      </w:r>
      <w:r w:rsidR="00750F3B">
        <w:t xml:space="preserve">ABS </w:t>
      </w:r>
      <w:r w:rsidR="002E6911">
        <w:t>National Accounts</w:t>
      </w:r>
      <w:r w:rsidR="00CB768E" w:rsidRPr="0060134A">
        <w:t xml:space="preserve"> (ABS </w:t>
      </w:r>
      <w:r w:rsidR="00C45762">
        <w:t xml:space="preserve">Cat. no. </w:t>
      </w:r>
      <w:r w:rsidR="00CB768E" w:rsidRPr="0060134A">
        <w:t>5204.0)</w:t>
      </w:r>
      <w:r w:rsidRPr="00564BDC">
        <w:t>.</w:t>
      </w:r>
      <w:r w:rsidR="000F35C3" w:rsidRPr="0060134A">
        <w:rPr>
          <w:rStyle w:val="NoteLabel"/>
        </w:rPr>
        <w:t xml:space="preserve"> b</w:t>
      </w:r>
      <w:r w:rsidR="00750F3B" w:rsidRPr="00564BDC">
        <w:t> </w:t>
      </w:r>
      <w:r w:rsidR="000F35C3" w:rsidRPr="0060134A">
        <w:t>Includes unpublished data sourced from the AB</w:t>
      </w:r>
      <w:r w:rsidR="000F35C3" w:rsidRPr="00725AA3">
        <w:t>S that disaggregates expenditure by asset type</w:t>
      </w:r>
      <w:r w:rsidR="000F35C3" w:rsidRPr="00564BDC">
        <w:t>.</w:t>
      </w:r>
      <w:r w:rsidR="000F35C3" w:rsidRPr="0060134A">
        <w:rPr>
          <w:rStyle w:val="NoteLabel"/>
        </w:rPr>
        <w:t xml:space="preserve"> c</w:t>
      </w:r>
      <w:r w:rsidR="000F35C3" w:rsidRPr="00564BDC">
        <w:t xml:space="preserve"> </w:t>
      </w:r>
      <w:r w:rsidR="000F35C3" w:rsidRPr="00B71748">
        <w:t>There is no data on expenditure on computer software</w:t>
      </w:r>
      <w:r w:rsidR="00DA56DE" w:rsidRPr="001E3A63">
        <w:t xml:space="preserve"> and an imputation based on machinery and equipment </w:t>
      </w:r>
      <w:r w:rsidR="00456C1D">
        <w:t>was</w:t>
      </w:r>
      <w:r w:rsidR="00456C1D" w:rsidRPr="001E3A63">
        <w:t xml:space="preserve"> </w:t>
      </w:r>
      <w:r w:rsidR="00DA56DE" w:rsidRPr="001E3A63">
        <w:t xml:space="preserve">used instead. </w:t>
      </w:r>
      <w:r w:rsidR="00AB4325">
        <w:t>T</w:t>
      </w:r>
      <w:r w:rsidR="00DA56DE" w:rsidRPr="001E3A63">
        <w:t>his is di</w:t>
      </w:r>
      <w:r w:rsidR="00DA56DE" w:rsidRPr="006A4091">
        <w:t xml:space="preserve">scussed in greater detail </w:t>
      </w:r>
      <w:r w:rsidR="00EF79E0">
        <w:t xml:space="preserve">later in this </w:t>
      </w:r>
      <w:r w:rsidR="00EF79E0" w:rsidRPr="00564BDC">
        <w:t>section</w:t>
      </w:r>
      <w:r w:rsidR="00DA56DE" w:rsidRPr="00564BDC">
        <w:t>.</w:t>
      </w:r>
    </w:p>
    <w:p w:rsidR="00E85617" w:rsidRPr="00A12447" w:rsidRDefault="00892AA1" w:rsidP="0083475B">
      <w:pPr>
        <w:pStyle w:val="BodyText"/>
      </w:pPr>
      <w:r w:rsidRPr="00A12447">
        <w:t xml:space="preserve">This </w:t>
      </w:r>
      <w:r w:rsidR="00D71745" w:rsidRPr="00A12447">
        <w:t>provide</w:t>
      </w:r>
      <w:r w:rsidR="00D71745">
        <w:t>d</w:t>
      </w:r>
      <w:r w:rsidR="00D71745" w:rsidRPr="00A12447">
        <w:t xml:space="preserve"> </w:t>
      </w:r>
      <w:r w:rsidRPr="00A12447">
        <w:t xml:space="preserve">the investment series for each </w:t>
      </w:r>
      <w:r w:rsidR="002E6911">
        <w:t>Manufacturing</w:t>
      </w:r>
      <w:r w:rsidRPr="00A12447">
        <w:t xml:space="preserve"> subsector, which</w:t>
      </w:r>
      <w:r w:rsidR="00BA5377" w:rsidRPr="00A12447">
        <w:t>,</w:t>
      </w:r>
      <w:r w:rsidRPr="00A12447">
        <w:t xml:space="preserve"> in addition to information on the prices of capital types and other parameters</w:t>
      </w:r>
      <w:r w:rsidR="00BA5377" w:rsidRPr="00A12447">
        <w:t>,</w:t>
      </w:r>
      <w:r w:rsidRPr="00A12447">
        <w:t xml:space="preserve"> </w:t>
      </w:r>
      <w:r w:rsidR="00D71745" w:rsidRPr="00A12447">
        <w:t>allow</w:t>
      </w:r>
      <w:r w:rsidR="00D71745">
        <w:t>ed</w:t>
      </w:r>
      <w:r w:rsidR="00D71745" w:rsidRPr="00A12447">
        <w:t xml:space="preserve"> </w:t>
      </w:r>
      <w:r w:rsidRPr="00A12447">
        <w:t>the</w:t>
      </w:r>
      <w:r w:rsidR="001E2D4A" w:rsidRPr="00A12447">
        <w:t xml:space="preserve"> derivation of capital services at this lower level of aggregation. </w:t>
      </w:r>
    </w:p>
    <w:p w:rsidR="001E2D4A" w:rsidRDefault="00E65A00" w:rsidP="0083475B">
      <w:pPr>
        <w:pStyle w:val="BodyText"/>
      </w:pPr>
      <w:r>
        <w:t xml:space="preserve">The aggregate of the subsector capital services indexes in this paper </w:t>
      </w:r>
      <w:r w:rsidR="00E85617" w:rsidRPr="00A12447">
        <w:t>does not exactly match that published by the ABS</w:t>
      </w:r>
      <w:r>
        <w:t xml:space="preserve"> for </w:t>
      </w:r>
      <w:r w:rsidR="002E6911">
        <w:t>M</w:t>
      </w:r>
      <w:r>
        <w:t>anufacturing</w:t>
      </w:r>
      <w:r w:rsidR="002E6911">
        <w:t xml:space="preserve"> in total</w:t>
      </w:r>
      <w:r w:rsidR="00E85617" w:rsidRPr="00A12447">
        <w:t xml:space="preserve"> (figure</w:t>
      </w:r>
      <w:r w:rsidR="00261100">
        <w:t xml:space="preserve"> </w:t>
      </w:r>
      <w:proofErr w:type="spellStart"/>
      <w:r w:rsidR="00261100">
        <w:t>A.2</w:t>
      </w:r>
      <w:proofErr w:type="spellEnd"/>
      <w:r w:rsidR="00E85617" w:rsidRPr="00A12447">
        <w:t>)</w:t>
      </w:r>
      <w:r>
        <w:t>.</w:t>
      </w:r>
      <w:r w:rsidR="00E85617" w:rsidRPr="00A12447">
        <w:t xml:space="preserve"> </w:t>
      </w:r>
      <w:r>
        <w:t xml:space="preserve">This is </w:t>
      </w:r>
      <w:r w:rsidR="00E85617" w:rsidRPr="00A12447">
        <w:t>bec</w:t>
      </w:r>
      <w:r w:rsidR="001E2D4A" w:rsidRPr="00A12447">
        <w:t>ause of the different asset types considered and assumptions made regarding the investment series</w:t>
      </w:r>
      <w:r w:rsidR="00BA5377" w:rsidRPr="00A12447">
        <w:t xml:space="preserve"> whe</w:t>
      </w:r>
      <w:r w:rsidR="00030484" w:rsidRPr="00A12447">
        <w:t xml:space="preserve">re subsector </w:t>
      </w:r>
      <w:r w:rsidR="00C500A0">
        <w:t xml:space="preserve">data </w:t>
      </w:r>
      <w:r w:rsidR="003649B9">
        <w:t>were</w:t>
      </w:r>
      <w:r w:rsidR="003649B9" w:rsidRPr="00A12447">
        <w:t xml:space="preserve"> </w:t>
      </w:r>
      <w:r w:rsidR="00030484" w:rsidRPr="00A12447">
        <w:t>unavailable.</w:t>
      </w:r>
      <w:r w:rsidR="00BA5377" w:rsidRPr="00A12447">
        <w:t xml:space="preserve"> </w:t>
      </w:r>
    </w:p>
    <w:p w:rsidR="00BB2F49" w:rsidRPr="00A12447" w:rsidRDefault="00BB2F49" w:rsidP="00BB2F49">
      <w:pPr>
        <w:pStyle w:val="BodyText"/>
      </w:pPr>
      <w:r>
        <w:t xml:space="preserve">Figure </w:t>
      </w:r>
      <w:proofErr w:type="spellStart"/>
      <w:r>
        <w:t>A.2</w:t>
      </w:r>
      <w:proofErr w:type="spellEnd"/>
      <w:r>
        <w:t xml:space="preserve"> </w:t>
      </w:r>
      <w:r w:rsidRPr="00A12447">
        <w:t xml:space="preserve">shows the discrepancy between the </w:t>
      </w:r>
      <w:r>
        <w:t xml:space="preserve">aggregate of the </w:t>
      </w:r>
      <w:r w:rsidRPr="00A12447">
        <w:t xml:space="preserve">capital services series in this paper and that published by the ABS for </w:t>
      </w:r>
      <w:r>
        <w:t>M</w:t>
      </w:r>
      <w:r w:rsidRPr="00A12447">
        <w:t>anufacturing</w:t>
      </w:r>
      <w:r>
        <w:t xml:space="preserve"> in total. The question</w:t>
      </w:r>
      <w:r w:rsidRPr="00A12447">
        <w:t xml:space="preserve"> </w:t>
      </w:r>
      <w:r>
        <w:t>raised by these differences</w:t>
      </w:r>
      <w:r w:rsidRPr="00A12447">
        <w:t xml:space="preserve"> is how much of the discrepancy is being driven by the difference in asset coverage as opposed to errors in the PIM?</w:t>
      </w:r>
    </w:p>
    <w:p w:rsidR="00BB2F49" w:rsidRPr="00A12447" w:rsidRDefault="00BB2F49" w:rsidP="00BB2F49">
      <w:pPr>
        <w:pStyle w:val="BodyText"/>
      </w:pPr>
      <w:r w:rsidRPr="00A12447">
        <w:t xml:space="preserve">While the additional asset types used by the ABS cannot be included in the </w:t>
      </w:r>
      <w:r>
        <w:t>subsector</w:t>
      </w:r>
      <w:r w:rsidRPr="00A12447">
        <w:t xml:space="preserve"> </w:t>
      </w:r>
      <w:r>
        <w:t>estimates of</w:t>
      </w:r>
      <w:r w:rsidRPr="00A12447">
        <w:t xml:space="preserve"> capital services, </w:t>
      </w:r>
      <w:r>
        <w:t xml:space="preserve">it is possible to remove those assets from the </w:t>
      </w:r>
      <w:r w:rsidRPr="00A12447">
        <w:t xml:space="preserve">ABS </w:t>
      </w:r>
      <w:r>
        <w:t xml:space="preserve">series for Manufacturing in total </w:t>
      </w:r>
      <w:r w:rsidRPr="00A12447">
        <w:t xml:space="preserve">to derive another series that is more comparable. </w:t>
      </w:r>
      <w:r>
        <w:t>Growth in t</w:t>
      </w:r>
      <w:r w:rsidRPr="00A12447">
        <w:t xml:space="preserve">his series is shown in the last column of figure </w:t>
      </w:r>
      <w:proofErr w:type="spellStart"/>
      <w:r>
        <w:t>A.2</w:t>
      </w:r>
      <w:proofErr w:type="spellEnd"/>
      <w:r w:rsidRPr="00A12447">
        <w:t xml:space="preserve"> and is, generally speaking, more consistent with </w:t>
      </w:r>
      <w:r>
        <w:t xml:space="preserve">the aggregate of the subsector estimates </w:t>
      </w:r>
      <w:r w:rsidRPr="00A12447">
        <w:t xml:space="preserve">in this paper. There are still large differences over the incomplete cycle. </w:t>
      </w:r>
    </w:p>
    <w:p w:rsidR="00BB2F49" w:rsidRPr="00A12447" w:rsidRDefault="00BB2F49" w:rsidP="00BB2F49">
      <w:pPr>
        <w:pStyle w:val="BodyText"/>
      </w:pPr>
      <w:r w:rsidRPr="00A12447">
        <w:t xml:space="preserve">In short, much of the discrepancy between the published ABS series and that derived in this paper can be attributed to the different asset coverage. </w:t>
      </w:r>
      <w:r w:rsidRPr="00C334CC">
        <w:t>The remainder of this section</w:t>
      </w:r>
      <w:r w:rsidRPr="00A12447">
        <w:t xml:space="preserve"> details the derivation of capital services more formally, including the data sources used</w:t>
      </w:r>
      <w:r>
        <w:t>,</w:t>
      </w:r>
      <w:r w:rsidRPr="00A12447">
        <w:t xml:space="preserve"> and </w:t>
      </w:r>
      <w:r>
        <w:t xml:space="preserve">the </w:t>
      </w:r>
      <w:r w:rsidRPr="00A12447">
        <w:t>differences between the published ABS series and estimates presented in this paper.</w:t>
      </w:r>
    </w:p>
    <w:p w:rsidR="001E2D4A" w:rsidRDefault="001E2D4A">
      <w:pPr>
        <w:pStyle w:val="FigureTitle"/>
      </w:pPr>
      <w:r>
        <w:rPr>
          <w:b w:val="0"/>
        </w:rPr>
        <w:lastRenderedPageBreak/>
        <w:t xml:space="preserve">Figure </w:t>
      </w:r>
      <w:bookmarkStart w:id="15" w:name="OLE_LINK15"/>
      <w:proofErr w:type="spellStart"/>
      <w:r w:rsidR="00261100">
        <w:rPr>
          <w:b w:val="0"/>
        </w:rPr>
        <w:t>A.</w:t>
      </w:r>
      <w:r w:rsidR="001459D9">
        <w:rPr>
          <w:b w:val="0"/>
          <w:noProof/>
        </w:rPr>
        <w:t>2</w:t>
      </w:r>
      <w:bookmarkEnd w:id="15"/>
      <w:proofErr w:type="spellEnd"/>
      <w:r>
        <w:tab/>
      </w:r>
      <w:r w:rsidR="007938C9">
        <w:t>Capital services discrepancy</w:t>
      </w:r>
    </w:p>
    <w:p w:rsidR="001E2D4A" w:rsidRDefault="001E2D4A">
      <w:pPr>
        <w:pStyle w:val="Subtitle"/>
      </w:pPr>
      <w:r>
        <w:t>Index 2009</w:t>
      </w:r>
      <w:r w:rsidR="00FF62BB">
        <w:noBreakHyphen/>
      </w:r>
      <w:r>
        <w:t>10 = 100</w:t>
      </w:r>
      <w:r w:rsidR="00E33738">
        <w:t xml:space="preserve"> and 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4"/>
        <w:gridCol w:w="1098"/>
        <w:gridCol w:w="1028"/>
        <w:gridCol w:w="1276"/>
        <w:gridCol w:w="991"/>
      </w:tblGrid>
      <w:tr w:rsidR="00762A58" w:rsidTr="006E78C0">
        <w:tc>
          <w:tcPr>
            <w:tcW w:w="4384" w:type="dxa"/>
            <w:vMerge w:val="restart"/>
            <w:tcBorders>
              <w:top w:val="single" w:sz="4" w:space="0" w:color="auto"/>
              <w:bottom w:val="nil"/>
            </w:tcBorders>
            <w:vAlign w:val="bottom"/>
          </w:tcPr>
          <w:p w:rsidR="00762A58" w:rsidRDefault="00CF42E7" w:rsidP="007E1466">
            <w:pPr>
              <w:pStyle w:val="Fig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contains a chart and corresponding table. The chart shows that the aggregate of subsector capital services index does not exactly match that published by the ABS for Manufacturing in total or the ABS series where assets have been removed for those where data are unavailable at the subsector level. The table details the average annual growth rates by cycle of these three indexes." style="width:211.8pt;height:211.8pt">
                  <v:imagedata r:id="rId9" o:title=""/>
                </v:shape>
              </w:pict>
            </w:r>
          </w:p>
        </w:tc>
        <w:tc>
          <w:tcPr>
            <w:tcW w:w="1098" w:type="dxa"/>
            <w:tcBorders>
              <w:top w:val="single" w:sz="4" w:space="0" w:color="auto"/>
              <w:bottom w:val="single" w:sz="4" w:space="0" w:color="auto"/>
            </w:tcBorders>
            <w:vAlign w:val="bottom"/>
          </w:tcPr>
          <w:p w:rsidR="00762A58" w:rsidRPr="004D715E" w:rsidRDefault="00762A58" w:rsidP="00A93BA4">
            <w:pPr>
              <w:pStyle w:val="TableBodyText"/>
              <w:jc w:val="left"/>
              <w:rPr>
                <w:i/>
              </w:rPr>
            </w:pPr>
            <w:r w:rsidRPr="004D715E">
              <w:rPr>
                <w:i/>
              </w:rPr>
              <w:t>Cycle</w:t>
            </w:r>
          </w:p>
        </w:tc>
        <w:tc>
          <w:tcPr>
            <w:tcW w:w="1028" w:type="dxa"/>
            <w:tcBorders>
              <w:top w:val="single" w:sz="4" w:space="0" w:color="auto"/>
              <w:bottom w:val="single" w:sz="4" w:space="0" w:color="auto"/>
            </w:tcBorders>
            <w:vAlign w:val="bottom"/>
          </w:tcPr>
          <w:p w:rsidR="00762A58" w:rsidRPr="003452BB" w:rsidRDefault="00762A58" w:rsidP="004D715E">
            <w:pPr>
              <w:pStyle w:val="TableUnitsRow"/>
              <w:rPr>
                <w:i/>
              </w:rPr>
            </w:pPr>
            <w:r w:rsidRPr="00C334CC">
              <w:rPr>
                <w:i/>
              </w:rPr>
              <w:t>ABS</w:t>
            </w:r>
            <w:r>
              <w:rPr>
                <w:i/>
              </w:rPr>
              <w:t xml:space="preserve"> </w:t>
            </w:r>
            <w:r>
              <w:rPr>
                <w:i/>
              </w:rPr>
              <w:br/>
              <w:t xml:space="preserve">total </w:t>
            </w:r>
            <w:proofErr w:type="spellStart"/>
            <w:r>
              <w:rPr>
                <w:i/>
              </w:rPr>
              <w:t>mfg</w:t>
            </w:r>
            <w:proofErr w:type="spellEnd"/>
          </w:p>
        </w:tc>
        <w:tc>
          <w:tcPr>
            <w:tcW w:w="1276" w:type="dxa"/>
            <w:tcBorders>
              <w:top w:val="single" w:sz="4" w:space="0" w:color="auto"/>
              <w:bottom w:val="single" w:sz="4" w:space="0" w:color="auto"/>
            </w:tcBorders>
            <w:vAlign w:val="bottom"/>
          </w:tcPr>
          <w:p w:rsidR="00762A58" w:rsidRPr="003452BB" w:rsidRDefault="00762A58" w:rsidP="007E1466">
            <w:pPr>
              <w:pStyle w:val="TableUnitsRow"/>
              <w:ind w:left="-212" w:right="0"/>
              <w:rPr>
                <w:i/>
              </w:rPr>
            </w:pPr>
            <w:r>
              <w:rPr>
                <w:i/>
              </w:rPr>
              <w:t xml:space="preserve">Aggregate </w:t>
            </w:r>
            <w:r>
              <w:rPr>
                <w:i/>
              </w:rPr>
              <w:br/>
              <w:t>of subsectors</w:t>
            </w:r>
          </w:p>
        </w:tc>
        <w:tc>
          <w:tcPr>
            <w:tcW w:w="991" w:type="dxa"/>
            <w:tcBorders>
              <w:top w:val="single" w:sz="4" w:space="0" w:color="auto"/>
              <w:bottom w:val="single" w:sz="4" w:space="0" w:color="auto"/>
            </w:tcBorders>
            <w:vAlign w:val="bottom"/>
          </w:tcPr>
          <w:p w:rsidR="00762A58" w:rsidRPr="00C334CC" w:rsidRDefault="00762A58" w:rsidP="00A93BA4">
            <w:pPr>
              <w:pStyle w:val="TableUnitsRow"/>
              <w:ind w:right="-1"/>
              <w:rPr>
                <w:i/>
              </w:rPr>
            </w:pPr>
            <w:r w:rsidRPr="00C334CC">
              <w:rPr>
                <w:i/>
              </w:rPr>
              <w:t xml:space="preserve">ABS with </w:t>
            </w:r>
            <w:r>
              <w:rPr>
                <w:i/>
              </w:rPr>
              <w:t>assets</w:t>
            </w:r>
            <w:r w:rsidRPr="00C334CC">
              <w:rPr>
                <w:i/>
              </w:rPr>
              <w:t xml:space="preserve"> </w:t>
            </w:r>
            <w:r>
              <w:rPr>
                <w:i/>
              </w:rPr>
              <w:t>removed</w:t>
            </w:r>
            <w:r>
              <w:rPr>
                <w:rStyle w:val="NoteLabel"/>
              </w:rPr>
              <w:t>b</w:t>
            </w:r>
          </w:p>
        </w:tc>
      </w:tr>
      <w:tr w:rsidR="00762A58" w:rsidTr="006E78C0">
        <w:trPr>
          <w:trHeight w:val="272"/>
        </w:trPr>
        <w:tc>
          <w:tcPr>
            <w:tcW w:w="4384" w:type="dxa"/>
            <w:vMerge/>
            <w:tcBorders>
              <w:top w:val="nil"/>
            </w:tcBorders>
          </w:tcPr>
          <w:p w:rsidR="00762A58" w:rsidRDefault="00762A58" w:rsidP="003452BB">
            <w:pPr>
              <w:pStyle w:val="Figure"/>
              <w:jc w:val="left"/>
            </w:pPr>
          </w:p>
        </w:tc>
        <w:tc>
          <w:tcPr>
            <w:tcW w:w="1098" w:type="dxa"/>
            <w:tcBorders>
              <w:top w:val="single" w:sz="4" w:space="0" w:color="auto"/>
              <w:bottom w:val="nil"/>
            </w:tcBorders>
            <w:shd w:val="clear" w:color="auto" w:fill="auto"/>
          </w:tcPr>
          <w:p w:rsidR="00762A58" w:rsidRDefault="00762A58" w:rsidP="00E33738">
            <w:pPr>
              <w:pStyle w:val="TableUnitsRow"/>
            </w:pPr>
          </w:p>
        </w:tc>
        <w:tc>
          <w:tcPr>
            <w:tcW w:w="1028" w:type="dxa"/>
            <w:tcBorders>
              <w:top w:val="single" w:sz="4" w:space="0" w:color="auto"/>
            </w:tcBorders>
            <w:shd w:val="clear" w:color="auto" w:fill="auto"/>
            <w:vAlign w:val="bottom"/>
          </w:tcPr>
          <w:p w:rsidR="00762A58" w:rsidRDefault="00762A58" w:rsidP="00E33738">
            <w:pPr>
              <w:pStyle w:val="TableUnitsRow"/>
            </w:pPr>
            <w:r>
              <w:t xml:space="preserve">% </w:t>
            </w:r>
            <w:proofErr w:type="spellStart"/>
            <w:r>
              <w:t>py</w:t>
            </w:r>
            <w:proofErr w:type="spellEnd"/>
          </w:p>
        </w:tc>
        <w:tc>
          <w:tcPr>
            <w:tcW w:w="1276" w:type="dxa"/>
            <w:tcBorders>
              <w:top w:val="single" w:sz="4" w:space="0" w:color="auto"/>
            </w:tcBorders>
            <w:shd w:val="clear" w:color="auto" w:fill="auto"/>
            <w:vAlign w:val="bottom"/>
          </w:tcPr>
          <w:p w:rsidR="00762A58" w:rsidRDefault="00762A58" w:rsidP="00E33738">
            <w:pPr>
              <w:pStyle w:val="TableUnitsRow"/>
            </w:pPr>
            <w:r>
              <w:t xml:space="preserve">% </w:t>
            </w:r>
            <w:proofErr w:type="spellStart"/>
            <w:r>
              <w:t>py</w:t>
            </w:r>
            <w:proofErr w:type="spellEnd"/>
          </w:p>
        </w:tc>
        <w:tc>
          <w:tcPr>
            <w:tcW w:w="991" w:type="dxa"/>
            <w:tcBorders>
              <w:top w:val="single" w:sz="4" w:space="0" w:color="auto"/>
            </w:tcBorders>
            <w:shd w:val="clear" w:color="auto" w:fill="auto"/>
            <w:vAlign w:val="bottom"/>
          </w:tcPr>
          <w:p w:rsidR="00762A58" w:rsidRDefault="00762A58" w:rsidP="00E33738">
            <w:pPr>
              <w:pStyle w:val="TableUnitsRow"/>
            </w:pPr>
            <w:r>
              <w:t xml:space="preserve">% </w:t>
            </w:r>
            <w:proofErr w:type="spellStart"/>
            <w:r>
              <w:t>py</w:t>
            </w:r>
            <w:proofErr w:type="spellEnd"/>
          </w:p>
        </w:tc>
      </w:tr>
      <w:tr w:rsidR="007E1466" w:rsidTr="007E1466">
        <w:trPr>
          <w:trHeight w:val="272"/>
        </w:trPr>
        <w:tc>
          <w:tcPr>
            <w:tcW w:w="4384" w:type="dxa"/>
            <w:vMerge/>
          </w:tcPr>
          <w:p w:rsidR="007E1466" w:rsidRDefault="007E1466" w:rsidP="003452BB">
            <w:pPr>
              <w:pStyle w:val="Figure"/>
              <w:jc w:val="left"/>
            </w:pPr>
          </w:p>
        </w:tc>
        <w:tc>
          <w:tcPr>
            <w:tcW w:w="1098" w:type="dxa"/>
            <w:tcBorders>
              <w:top w:val="nil"/>
            </w:tcBorders>
            <w:shd w:val="clear" w:color="auto" w:fill="D9D9D9" w:themeFill="background1" w:themeFillShade="D9"/>
            <w:vAlign w:val="center"/>
          </w:tcPr>
          <w:p w:rsidR="007E1466" w:rsidRPr="007E1466" w:rsidRDefault="007E1466" w:rsidP="00D52E18">
            <w:pPr>
              <w:pStyle w:val="TableBodyText"/>
              <w:jc w:val="left"/>
            </w:pPr>
            <w:r w:rsidRPr="007E1466">
              <w:t>1988</w:t>
            </w:r>
            <w:r w:rsidR="00FF62BB">
              <w:noBreakHyphen/>
            </w:r>
            <w:r w:rsidRPr="007E1466">
              <w:t>89</w:t>
            </w:r>
            <w:r w:rsidRPr="007E1466">
              <w:br/>
              <w:t>to 1993-94</w:t>
            </w:r>
          </w:p>
        </w:tc>
        <w:tc>
          <w:tcPr>
            <w:tcW w:w="1028" w:type="dxa"/>
            <w:shd w:val="clear" w:color="auto" w:fill="D9D9D9" w:themeFill="background1" w:themeFillShade="D9"/>
            <w:vAlign w:val="bottom"/>
          </w:tcPr>
          <w:p w:rsidR="007E1466" w:rsidRPr="007E1466" w:rsidRDefault="007E1466" w:rsidP="00D52E18">
            <w:pPr>
              <w:pStyle w:val="TableBodyText"/>
            </w:pPr>
            <w:r w:rsidRPr="007E1466">
              <w:t>2.8</w:t>
            </w:r>
          </w:p>
        </w:tc>
        <w:tc>
          <w:tcPr>
            <w:tcW w:w="1276" w:type="dxa"/>
            <w:shd w:val="clear" w:color="auto" w:fill="D9D9D9" w:themeFill="background1" w:themeFillShade="D9"/>
            <w:vAlign w:val="bottom"/>
          </w:tcPr>
          <w:p w:rsidR="007E1466" w:rsidRPr="007E1466" w:rsidRDefault="007E1466" w:rsidP="00D52E18">
            <w:pPr>
              <w:pStyle w:val="TableBodyText"/>
            </w:pPr>
            <w:r w:rsidRPr="007E1466">
              <w:t>3.7</w:t>
            </w:r>
          </w:p>
        </w:tc>
        <w:tc>
          <w:tcPr>
            <w:tcW w:w="991" w:type="dxa"/>
            <w:shd w:val="clear" w:color="auto" w:fill="D9D9D9" w:themeFill="background1" w:themeFillShade="D9"/>
            <w:vAlign w:val="bottom"/>
          </w:tcPr>
          <w:p w:rsidR="007E1466" w:rsidRPr="007E1466" w:rsidRDefault="007E1466" w:rsidP="00D52E18">
            <w:pPr>
              <w:pStyle w:val="TableBodyText"/>
            </w:pPr>
            <w:r w:rsidRPr="007E1466">
              <w:t>3.5</w:t>
            </w:r>
          </w:p>
        </w:tc>
      </w:tr>
      <w:tr w:rsidR="007E1466" w:rsidTr="007E1466">
        <w:trPr>
          <w:trHeight w:val="272"/>
        </w:trPr>
        <w:tc>
          <w:tcPr>
            <w:tcW w:w="4384" w:type="dxa"/>
            <w:vMerge/>
          </w:tcPr>
          <w:p w:rsidR="007E1466" w:rsidRDefault="007E1466" w:rsidP="003452BB">
            <w:pPr>
              <w:pStyle w:val="Figure"/>
              <w:jc w:val="left"/>
            </w:pPr>
          </w:p>
        </w:tc>
        <w:tc>
          <w:tcPr>
            <w:tcW w:w="1098" w:type="dxa"/>
            <w:shd w:val="clear" w:color="auto" w:fill="auto"/>
            <w:vAlign w:val="center"/>
          </w:tcPr>
          <w:p w:rsidR="007E1466" w:rsidRPr="003452BB" w:rsidRDefault="007E1466" w:rsidP="00D52E18">
            <w:pPr>
              <w:pStyle w:val="TableBodyText"/>
              <w:jc w:val="left"/>
              <w:rPr>
                <w:i/>
              </w:rPr>
            </w:pPr>
            <w:r>
              <w:t>1993</w:t>
            </w:r>
            <w:r w:rsidR="00FF62BB">
              <w:noBreakHyphen/>
            </w:r>
            <w:r>
              <w:t xml:space="preserve">94 </w:t>
            </w:r>
            <w:r>
              <w:br/>
              <w:t>to 1998-99</w:t>
            </w:r>
          </w:p>
        </w:tc>
        <w:tc>
          <w:tcPr>
            <w:tcW w:w="1028" w:type="dxa"/>
            <w:shd w:val="clear" w:color="auto" w:fill="auto"/>
            <w:vAlign w:val="bottom"/>
          </w:tcPr>
          <w:p w:rsidR="007E1466" w:rsidRPr="003452BB" w:rsidRDefault="007E1466" w:rsidP="00D52E18">
            <w:pPr>
              <w:pStyle w:val="TableBodyText"/>
              <w:rPr>
                <w:i/>
              </w:rPr>
            </w:pPr>
            <w:r w:rsidRPr="00C334CC">
              <w:t>3.7</w:t>
            </w:r>
          </w:p>
        </w:tc>
        <w:tc>
          <w:tcPr>
            <w:tcW w:w="1276" w:type="dxa"/>
            <w:shd w:val="clear" w:color="auto" w:fill="auto"/>
            <w:vAlign w:val="bottom"/>
          </w:tcPr>
          <w:p w:rsidR="007E1466" w:rsidRPr="003452BB" w:rsidRDefault="007E1466" w:rsidP="00D52E18">
            <w:pPr>
              <w:pStyle w:val="TableBodyText"/>
              <w:rPr>
                <w:i/>
              </w:rPr>
            </w:pPr>
            <w:r>
              <w:rPr>
                <w:rFonts w:cs="Arial"/>
                <w:color w:val="000000"/>
              </w:rPr>
              <w:t>3.2</w:t>
            </w:r>
          </w:p>
        </w:tc>
        <w:tc>
          <w:tcPr>
            <w:tcW w:w="991" w:type="dxa"/>
            <w:shd w:val="clear" w:color="auto" w:fill="auto"/>
            <w:vAlign w:val="bottom"/>
          </w:tcPr>
          <w:p w:rsidR="007E1466" w:rsidRPr="003452BB" w:rsidRDefault="007E1466" w:rsidP="00D52E18">
            <w:pPr>
              <w:pStyle w:val="TableBodyText"/>
              <w:rPr>
                <w:i/>
              </w:rPr>
            </w:pPr>
            <w:r>
              <w:rPr>
                <w:rFonts w:cs="Arial"/>
                <w:color w:val="000000"/>
              </w:rPr>
              <w:t>3.6</w:t>
            </w:r>
          </w:p>
        </w:tc>
      </w:tr>
      <w:tr w:rsidR="007E1466" w:rsidTr="007E1466">
        <w:trPr>
          <w:trHeight w:val="272"/>
        </w:trPr>
        <w:tc>
          <w:tcPr>
            <w:tcW w:w="4384" w:type="dxa"/>
            <w:vMerge/>
          </w:tcPr>
          <w:p w:rsidR="007E1466" w:rsidRDefault="007E1466" w:rsidP="003452BB">
            <w:pPr>
              <w:pStyle w:val="Figure"/>
              <w:jc w:val="left"/>
            </w:pPr>
          </w:p>
        </w:tc>
        <w:tc>
          <w:tcPr>
            <w:tcW w:w="1098" w:type="dxa"/>
            <w:shd w:val="clear" w:color="auto" w:fill="D9D9D9" w:themeFill="background1" w:themeFillShade="D9"/>
            <w:vAlign w:val="center"/>
          </w:tcPr>
          <w:p w:rsidR="007E1466" w:rsidRPr="003452BB" w:rsidRDefault="007E1466" w:rsidP="00D52E18">
            <w:pPr>
              <w:pStyle w:val="TableBodyText"/>
              <w:jc w:val="left"/>
              <w:rPr>
                <w:i/>
              </w:rPr>
            </w:pPr>
            <w:r>
              <w:t>1998</w:t>
            </w:r>
            <w:r w:rsidR="00FF62BB">
              <w:noBreakHyphen/>
            </w:r>
            <w:r>
              <w:t xml:space="preserve">99 </w:t>
            </w:r>
            <w:r>
              <w:br/>
              <w:t>to 2003-04</w:t>
            </w:r>
          </w:p>
        </w:tc>
        <w:tc>
          <w:tcPr>
            <w:tcW w:w="1028" w:type="dxa"/>
            <w:shd w:val="clear" w:color="auto" w:fill="D9D9D9" w:themeFill="background1" w:themeFillShade="D9"/>
            <w:vAlign w:val="bottom"/>
          </w:tcPr>
          <w:p w:rsidR="007E1466" w:rsidRPr="003452BB" w:rsidRDefault="007E1466" w:rsidP="00D52E18">
            <w:pPr>
              <w:pStyle w:val="TableBodyText"/>
              <w:rPr>
                <w:i/>
              </w:rPr>
            </w:pPr>
            <w:r w:rsidRPr="00C334CC">
              <w:t>3.4</w:t>
            </w:r>
          </w:p>
        </w:tc>
        <w:tc>
          <w:tcPr>
            <w:tcW w:w="1276" w:type="dxa"/>
            <w:shd w:val="clear" w:color="auto" w:fill="D9D9D9" w:themeFill="background1" w:themeFillShade="D9"/>
            <w:vAlign w:val="bottom"/>
          </w:tcPr>
          <w:p w:rsidR="007E1466" w:rsidRPr="003452BB" w:rsidRDefault="007E1466" w:rsidP="00D52E18">
            <w:pPr>
              <w:pStyle w:val="TableBodyText"/>
              <w:rPr>
                <w:i/>
              </w:rPr>
            </w:pPr>
            <w:r>
              <w:rPr>
                <w:rFonts w:cs="Arial"/>
                <w:color w:val="000000"/>
              </w:rPr>
              <w:t>3.7</w:t>
            </w:r>
          </w:p>
        </w:tc>
        <w:tc>
          <w:tcPr>
            <w:tcW w:w="991" w:type="dxa"/>
            <w:shd w:val="clear" w:color="auto" w:fill="D9D9D9" w:themeFill="background1" w:themeFillShade="D9"/>
            <w:vAlign w:val="bottom"/>
          </w:tcPr>
          <w:p w:rsidR="007E1466" w:rsidRPr="003452BB" w:rsidRDefault="007E1466" w:rsidP="00D52E18">
            <w:pPr>
              <w:pStyle w:val="TableBodyText"/>
              <w:rPr>
                <w:i/>
              </w:rPr>
            </w:pPr>
            <w:r w:rsidRPr="00C074C4">
              <w:rPr>
                <w:rFonts w:cs="Arial"/>
                <w:color w:val="000000"/>
              </w:rPr>
              <w:t>3.7</w:t>
            </w:r>
          </w:p>
        </w:tc>
      </w:tr>
      <w:tr w:rsidR="007E1466" w:rsidTr="007E1466">
        <w:trPr>
          <w:trHeight w:val="272"/>
        </w:trPr>
        <w:tc>
          <w:tcPr>
            <w:tcW w:w="4384" w:type="dxa"/>
            <w:vMerge/>
          </w:tcPr>
          <w:p w:rsidR="007E1466" w:rsidRDefault="007E1466" w:rsidP="003452BB">
            <w:pPr>
              <w:pStyle w:val="Figure"/>
              <w:jc w:val="left"/>
            </w:pPr>
          </w:p>
        </w:tc>
        <w:tc>
          <w:tcPr>
            <w:tcW w:w="1098" w:type="dxa"/>
            <w:shd w:val="clear" w:color="auto" w:fill="auto"/>
            <w:vAlign w:val="center"/>
          </w:tcPr>
          <w:p w:rsidR="007E1466" w:rsidRPr="003452BB" w:rsidRDefault="007E1466" w:rsidP="00D52E18">
            <w:pPr>
              <w:pStyle w:val="TableBodyText"/>
              <w:jc w:val="left"/>
              <w:rPr>
                <w:i/>
              </w:rPr>
            </w:pPr>
            <w:r>
              <w:t>2003</w:t>
            </w:r>
            <w:r w:rsidR="00FF62BB">
              <w:noBreakHyphen/>
            </w:r>
            <w:r>
              <w:t xml:space="preserve">04 </w:t>
            </w:r>
            <w:r>
              <w:br/>
              <w:t>to 2007-08</w:t>
            </w:r>
          </w:p>
        </w:tc>
        <w:tc>
          <w:tcPr>
            <w:tcW w:w="1028" w:type="dxa"/>
            <w:shd w:val="clear" w:color="auto" w:fill="auto"/>
            <w:vAlign w:val="bottom"/>
          </w:tcPr>
          <w:p w:rsidR="007E1466" w:rsidRPr="003452BB" w:rsidRDefault="007E1466" w:rsidP="00D52E18">
            <w:pPr>
              <w:pStyle w:val="TableBodyText"/>
              <w:rPr>
                <w:i/>
              </w:rPr>
            </w:pPr>
            <w:r w:rsidRPr="00C334CC">
              <w:t>5.6</w:t>
            </w:r>
          </w:p>
        </w:tc>
        <w:tc>
          <w:tcPr>
            <w:tcW w:w="1276" w:type="dxa"/>
            <w:shd w:val="clear" w:color="auto" w:fill="auto"/>
            <w:vAlign w:val="bottom"/>
          </w:tcPr>
          <w:p w:rsidR="007E1466" w:rsidRPr="003452BB" w:rsidRDefault="007E1466" w:rsidP="00D52E18">
            <w:pPr>
              <w:pStyle w:val="TableBodyText"/>
              <w:rPr>
                <w:i/>
              </w:rPr>
            </w:pPr>
            <w:r>
              <w:rPr>
                <w:rFonts w:cs="Arial"/>
                <w:color w:val="000000"/>
              </w:rPr>
              <w:t>6.0</w:t>
            </w:r>
          </w:p>
        </w:tc>
        <w:tc>
          <w:tcPr>
            <w:tcW w:w="991" w:type="dxa"/>
            <w:shd w:val="clear" w:color="auto" w:fill="auto"/>
            <w:vAlign w:val="bottom"/>
          </w:tcPr>
          <w:p w:rsidR="007E1466" w:rsidRPr="003452BB" w:rsidRDefault="007E1466" w:rsidP="00D52E18">
            <w:pPr>
              <w:pStyle w:val="TableBodyText"/>
              <w:rPr>
                <w:i/>
              </w:rPr>
            </w:pPr>
            <w:r>
              <w:rPr>
                <w:rFonts w:cs="Arial"/>
                <w:color w:val="000000"/>
              </w:rPr>
              <w:t>6.1</w:t>
            </w:r>
          </w:p>
        </w:tc>
      </w:tr>
      <w:tr w:rsidR="007E1466" w:rsidTr="007E1466">
        <w:trPr>
          <w:trHeight w:val="113"/>
        </w:trPr>
        <w:tc>
          <w:tcPr>
            <w:tcW w:w="4384" w:type="dxa"/>
            <w:vMerge/>
          </w:tcPr>
          <w:p w:rsidR="007E1466" w:rsidRDefault="007E1466" w:rsidP="003452BB">
            <w:pPr>
              <w:pStyle w:val="Figure"/>
              <w:jc w:val="left"/>
            </w:pPr>
          </w:p>
        </w:tc>
        <w:tc>
          <w:tcPr>
            <w:tcW w:w="1098" w:type="dxa"/>
            <w:shd w:val="clear" w:color="auto" w:fill="D9D9D9" w:themeFill="background1" w:themeFillShade="D9"/>
            <w:vAlign w:val="center"/>
          </w:tcPr>
          <w:p w:rsidR="007E1466" w:rsidRPr="003452BB" w:rsidRDefault="007E1466" w:rsidP="00D52E18">
            <w:pPr>
              <w:pStyle w:val="TableBodyText"/>
              <w:ind w:right="0"/>
              <w:jc w:val="left"/>
              <w:rPr>
                <w:i/>
              </w:rPr>
            </w:pPr>
            <w:r>
              <w:t>2007</w:t>
            </w:r>
            <w:r w:rsidR="00FF62BB">
              <w:noBreakHyphen/>
            </w:r>
            <w:r>
              <w:t xml:space="preserve">08 </w:t>
            </w:r>
            <w:r>
              <w:br/>
              <w:t>to 2010</w:t>
            </w:r>
            <w:r w:rsidR="00FF62BB">
              <w:noBreakHyphen/>
            </w:r>
            <w:r>
              <w:t>11</w:t>
            </w:r>
            <w:r>
              <w:rPr>
                <w:rStyle w:val="NoteLabel"/>
              </w:rPr>
              <w:t>a</w:t>
            </w:r>
          </w:p>
        </w:tc>
        <w:tc>
          <w:tcPr>
            <w:tcW w:w="1028" w:type="dxa"/>
            <w:shd w:val="clear" w:color="auto" w:fill="D9D9D9" w:themeFill="background1" w:themeFillShade="D9"/>
            <w:vAlign w:val="bottom"/>
          </w:tcPr>
          <w:p w:rsidR="007E1466" w:rsidRPr="003452BB" w:rsidRDefault="007E1466" w:rsidP="00D52E18">
            <w:pPr>
              <w:pStyle w:val="TableBodyText"/>
              <w:rPr>
                <w:i/>
              </w:rPr>
            </w:pPr>
            <w:r w:rsidRPr="00C334CC">
              <w:t>1.8</w:t>
            </w:r>
          </w:p>
        </w:tc>
        <w:tc>
          <w:tcPr>
            <w:tcW w:w="1276" w:type="dxa"/>
            <w:shd w:val="clear" w:color="auto" w:fill="D9D9D9" w:themeFill="background1" w:themeFillShade="D9"/>
            <w:vAlign w:val="bottom"/>
          </w:tcPr>
          <w:p w:rsidR="007E1466" w:rsidRPr="003452BB" w:rsidRDefault="007E1466" w:rsidP="00D52E18">
            <w:pPr>
              <w:pStyle w:val="TableBodyText"/>
              <w:rPr>
                <w:i/>
              </w:rPr>
            </w:pPr>
            <w:r>
              <w:rPr>
                <w:rFonts w:cs="Arial"/>
                <w:color w:val="000000"/>
              </w:rPr>
              <w:t>2.9</w:t>
            </w:r>
          </w:p>
        </w:tc>
        <w:tc>
          <w:tcPr>
            <w:tcW w:w="991" w:type="dxa"/>
            <w:shd w:val="clear" w:color="auto" w:fill="D9D9D9" w:themeFill="background1" w:themeFillShade="D9"/>
            <w:vAlign w:val="bottom"/>
          </w:tcPr>
          <w:p w:rsidR="007E1466" w:rsidRPr="003452BB" w:rsidRDefault="007E1466" w:rsidP="00D52E18">
            <w:pPr>
              <w:pStyle w:val="TableBodyText"/>
              <w:rPr>
                <w:i/>
              </w:rPr>
            </w:pPr>
            <w:r>
              <w:rPr>
                <w:rFonts w:cs="Arial"/>
                <w:color w:val="000000"/>
              </w:rPr>
              <w:t>2.1</w:t>
            </w:r>
          </w:p>
        </w:tc>
      </w:tr>
      <w:tr w:rsidR="007E1466" w:rsidTr="007E1466">
        <w:trPr>
          <w:trHeight w:val="517"/>
        </w:trPr>
        <w:tc>
          <w:tcPr>
            <w:tcW w:w="4384" w:type="dxa"/>
            <w:vMerge/>
          </w:tcPr>
          <w:p w:rsidR="007E1466" w:rsidRDefault="007E1466" w:rsidP="003452BB">
            <w:pPr>
              <w:pStyle w:val="Figure"/>
              <w:jc w:val="left"/>
            </w:pPr>
          </w:p>
        </w:tc>
        <w:tc>
          <w:tcPr>
            <w:tcW w:w="1098" w:type="dxa"/>
            <w:shd w:val="clear" w:color="auto" w:fill="auto"/>
            <w:vAlign w:val="bottom"/>
          </w:tcPr>
          <w:p w:rsidR="007E1466" w:rsidRPr="003452BB" w:rsidRDefault="007E1466" w:rsidP="007E1466">
            <w:pPr>
              <w:pStyle w:val="TableBodyText"/>
              <w:jc w:val="left"/>
            </w:pPr>
            <w:r w:rsidRPr="004D715E">
              <w:rPr>
                <w:i/>
              </w:rPr>
              <w:t>Full period</w:t>
            </w:r>
          </w:p>
        </w:tc>
        <w:tc>
          <w:tcPr>
            <w:tcW w:w="1028" w:type="dxa"/>
            <w:shd w:val="clear" w:color="auto" w:fill="auto"/>
            <w:vAlign w:val="bottom"/>
          </w:tcPr>
          <w:p w:rsidR="007E1466" w:rsidRPr="003452BB" w:rsidRDefault="007E1466" w:rsidP="000319EC">
            <w:pPr>
              <w:pStyle w:val="TableBodyText"/>
            </w:pPr>
          </w:p>
        </w:tc>
        <w:tc>
          <w:tcPr>
            <w:tcW w:w="1276" w:type="dxa"/>
            <w:shd w:val="clear" w:color="auto" w:fill="auto"/>
            <w:vAlign w:val="bottom"/>
          </w:tcPr>
          <w:p w:rsidR="007E1466" w:rsidRPr="003452BB" w:rsidRDefault="007E1466" w:rsidP="000319EC">
            <w:pPr>
              <w:pStyle w:val="TableBodyText"/>
            </w:pPr>
          </w:p>
        </w:tc>
        <w:tc>
          <w:tcPr>
            <w:tcW w:w="991" w:type="dxa"/>
            <w:shd w:val="clear" w:color="auto" w:fill="auto"/>
            <w:vAlign w:val="bottom"/>
          </w:tcPr>
          <w:p w:rsidR="007E1466" w:rsidRPr="003452BB" w:rsidRDefault="007E1466" w:rsidP="000319EC">
            <w:pPr>
              <w:pStyle w:val="TableBodyText"/>
            </w:pPr>
          </w:p>
        </w:tc>
      </w:tr>
      <w:tr w:rsidR="007E1466" w:rsidTr="007E1466">
        <w:trPr>
          <w:trHeight w:val="80"/>
        </w:trPr>
        <w:tc>
          <w:tcPr>
            <w:tcW w:w="4384" w:type="dxa"/>
            <w:vMerge/>
          </w:tcPr>
          <w:p w:rsidR="007E1466" w:rsidRDefault="007E1466" w:rsidP="003452BB">
            <w:pPr>
              <w:pStyle w:val="Figure"/>
              <w:jc w:val="left"/>
            </w:pPr>
          </w:p>
        </w:tc>
        <w:tc>
          <w:tcPr>
            <w:tcW w:w="1098" w:type="dxa"/>
            <w:shd w:val="clear" w:color="auto" w:fill="D9D9D9" w:themeFill="background1" w:themeFillShade="D9"/>
            <w:vAlign w:val="bottom"/>
          </w:tcPr>
          <w:p w:rsidR="007E1466" w:rsidRPr="009751F6" w:rsidRDefault="007E1466" w:rsidP="00C334CC">
            <w:pPr>
              <w:pStyle w:val="TableBodyText"/>
              <w:framePr w:w="2155" w:hSpace="227" w:vSpace="181" w:wrap="around" w:vAnchor="text" w:hAnchor="page" w:xAlign="outside" w:y="1"/>
              <w:jc w:val="left"/>
              <w:rPr>
                <w:i/>
              </w:rPr>
            </w:pPr>
            <w:r>
              <w:t>1985</w:t>
            </w:r>
            <w:r w:rsidR="00FF62BB">
              <w:noBreakHyphen/>
            </w:r>
            <w:r>
              <w:t xml:space="preserve">86 </w:t>
            </w:r>
            <w:r>
              <w:br/>
              <w:t>to 2010-11</w:t>
            </w:r>
          </w:p>
        </w:tc>
        <w:tc>
          <w:tcPr>
            <w:tcW w:w="1028" w:type="dxa"/>
            <w:shd w:val="clear" w:color="auto" w:fill="D9D9D9" w:themeFill="background1" w:themeFillShade="D9"/>
            <w:vAlign w:val="bottom"/>
          </w:tcPr>
          <w:p w:rsidR="007E1466" w:rsidRPr="003452BB" w:rsidRDefault="007E1466" w:rsidP="000319EC">
            <w:pPr>
              <w:pStyle w:val="TableBodyText"/>
            </w:pPr>
            <w:r>
              <w:t>3.6</w:t>
            </w:r>
          </w:p>
        </w:tc>
        <w:tc>
          <w:tcPr>
            <w:tcW w:w="1276" w:type="dxa"/>
            <w:shd w:val="clear" w:color="auto" w:fill="D9D9D9" w:themeFill="background1" w:themeFillShade="D9"/>
            <w:vAlign w:val="bottom"/>
          </w:tcPr>
          <w:p w:rsidR="007E1466" w:rsidRPr="003452BB" w:rsidRDefault="007E1466" w:rsidP="000319EC">
            <w:pPr>
              <w:pStyle w:val="TableBodyText"/>
            </w:pPr>
            <w:r>
              <w:t>4.2</w:t>
            </w:r>
          </w:p>
        </w:tc>
        <w:tc>
          <w:tcPr>
            <w:tcW w:w="991" w:type="dxa"/>
            <w:shd w:val="clear" w:color="auto" w:fill="D9D9D9" w:themeFill="background1" w:themeFillShade="D9"/>
            <w:vAlign w:val="bottom"/>
          </w:tcPr>
          <w:p w:rsidR="007E1466" w:rsidRPr="003452BB" w:rsidRDefault="007E1466" w:rsidP="000319EC">
            <w:pPr>
              <w:pStyle w:val="TableBodyText"/>
            </w:pPr>
            <w:r>
              <w:t>3.9</w:t>
            </w:r>
          </w:p>
        </w:tc>
      </w:tr>
    </w:tbl>
    <w:p w:rsidR="001E2D4A" w:rsidRDefault="001E2D4A">
      <w:pPr>
        <w:pStyle w:val="Note"/>
      </w:pPr>
      <w:r>
        <w:rPr>
          <w:rStyle w:val="NoteLabel"/>
        </w:rPr>
        <w:t>a</w:t>
      </w:r>
      <w:r>
        <w:t xml:space="preserve"> </w:t>
      </w:r>
      <w:r w:rsidR="003452BB">
        <w:t xml:space="preserve">Incomplete </w:t>
      </w:r>
      <w:r w:rsidR="001C48B0">
        <w:t xml:space="preserve">productivity </w:t>
      </w:r>
      <w:r w:rsidR="003452BB">
        <w:t>cycle</w:t>
      </w:r>
      <w:r w:rsidR="001C48B0">
        <w:t>.</w:t>
      </w:r>
      <w:r w:rsidR="00DB1D9D" w:rsidRPr="00DB1D9D">
        <w:rPr>
          <w:rStyle w:val="NoteLabel"/>
        </w:rPr>
        <w:t xml:space="preserve"> </w:t>
      </w:r>
      <w:r w:rsidR="00DB1D9D">
        <w:rPr>
          <w:rStyle w:val="NoteLabel"/>
        </w:rPr>
        <w:t>b</w:t>
      </w:r>
      <w:r w:rsidR="00DB1D9D">
        <w:t xml:space="preserve"> Refers to ABS series without those assets </w:t>
      </w:r>
      <w:r w:rsidR="00744FC6">
        <w:t xml:space="preserve">for which data </w:t>
      </w:r>
      <w:r w:rsidR="000259B1">
        <w:t xml:space="preserve">were </w:t>
      </w:r>
      <w:r w:rsidR="00744FC6">
        <w:t>un</w:t>
      </w:r>
      <w:r w:rsidR="00DB1D9D">
        <w:t>ava</w:t>
      </w:r>
      <w:r w:rsidR="007938C9">
        <w:t>ilable at the subsector level.</w:t>
      </w:r>
    </w:p>
    <w:p w:rsidR="001E2D4A" w:rsidRDefault="001E2D4A">
      <w:pPr>
        <w:pStyle w:val="Source"/>
      </w:pPr>
      <w:r>
        <w:rPr>
          <w:i/>
        </w:rPr>
        <w:t>Data source</w:t>
      </w:r>
      <w:r w:rsidR="00F96295">
        <w:rPr>
          <w:i/>
        </w:rPr>
        <w:t>s</w:t>
      </w:r>
      <w:r w:rsidRPr="00167F06">
        <w:t xml:space="preserve">: </w:t>
      </w:r>
      <w:r w:rsidR="00C500A0">
        <w:t xml:space="preserve">Authors’ estimates; </w:t>
      </w:r>
      <w:r w:rsidR="008C7AB6">
        <w:t>ABS (</w:t>
      </w:r>
      <w:r w:rsidR="008C7AB6">
        <w:rPr>
          <w:i/>
        </w:rPr>
        <w:t xml:space="preserve">Experimental Estimates of Industry Multifactor </w:t>
      </w:r>
      <w:r w:rsidR="001909A9">
        <w:rPr>
          <w:i/>
        </w:rPr>
        <w:t>P</w:t>
      </w:r>
      <w:r w:rsidR="00D54932">
        <w:rPr>
          <w:i/>
        </w:rPr>
        <w:t>roduct</w:t>
      </w:r>
      <w:r w:rsidR="008C7AB6">
        <w:rPr>
          <w:i/>
        </w:rPr>
        <w:t xml:space="preserve">ivity, </w:t>
      </w:r>
      <w:r w:rsidR="00C500A0">
        <w:rPr>
          <w:i/>
        </w:rPr>
        <w:t>2010</w:t>
      </w:r>
      <w:r w:rsidR="00FF62BB">
        <w:rPr>
          <w:i/>
        </w:rPr>
        <w:noBreakHyphen/>
      </w:r>
      <w:r w:rsidR="00C500A0">
        <w:rPr>
          <w:i/>
        </w:rPr>
        <w:t xml:space="preserve">11, </w:t>
      </w:r>
      <w:r w:rsidR="008C7AB6">
        <w:t xml:space="preserve">Cat. no. </w:t>
      </w:r>
      <w:r>
        <w:t>5260.0.55.001</w:t>
      </w:r>
      <w:r w:rsidR="008C7AB6">
        <w:t>)</w:t>
      </w:r>
      <w:r>
        <w:t>.</w:t>
      </w:r>
    </w:p>
    <w:p w:rsidR="006A40ED" w:rsidRPr="00A12447" w:rsidRDefault="006A40ED" w:rsidP="00C334CC">
      <w:pPr>
        <w:pStyle w:val="Heading3"/>
      </w:pPr>
      <w:r w:rsidRPr="00A12447">
        <w:t>Method and data</w:t>
      </w:r>
    </w:p>
    <w:p w:rsidR="006A40ED" w:rsidRDefault="006A40ED" w:rsidP="00426419">
      <w:pPr>
        <w:pStyle w:val="Heading4"/>
        <w:spacing w:before="240"/>
      </w:pPr>
      <w:r w:rsidRPr="00A12447">
        <w:t>Calculating capital services</w:t>
      </w:r>
    </w:p>
    <w:p w:rsidR="00A61622" w:rsidRPr="00A61622" w:rsidRDefault="00A61622" w:rsidP="00A61622">
      <w:pPr>
        <w:pStyle w:val="BodyText"/>
      </w:pPr>
      <w:r>
        <w:t>According to the ABS</w:t>
      </w:r>
    </w:p>
    <w:p w:rsidR="00E31E8C" w:rsidRPr="00A12447" w:rsidRDefault="00E31E8C" w:rsidP="00E31E8C">
      <w:pPr>
        <w:pStyle w:val="Quote"/>
      </w:pPr>
      <w:r w:rsidRPr="00A12447">
        <w:t xml:space="preserve">Capital services reflect the amount of 'service' each asset provides during a period. For each asset, the services provided in a period are directly proportional to the asset's productive capital value in the period. As an asset ages and its efficiency declines so does the productive capital value and the services the asset provides. In equilibrium, the value of capital services is equal to the gross returns (or </w:t>
      </w:r>
      <w:r w:rsidR="001459D9">
        <w:t>rentals) to owners of capital. …</w:t>
      </w:r>
      <w:r w:rsidRPr="00A12447">
        <w:t xml:space="preserve"> The relationship between the capital services provided by an asset and the asset's productive value is fixed over the asset's life. However, this relationship varies from asset to asset and it depends on an asset's expected life, the discount rate, and the rate of decline in th</w:t>
      </w:r>
      <w:r w:rsidR="003152C4">
        <w:t>e asset's efficiency</w:t>
      </w:r>
      <w:r w:rsidR="003152C4" w:rsidRPr="0007454F">
        <w:t xml:space="preserve">. (ABS </w:t>
      </w:r>
      <w:proofErr w:type="spellStart"/>
      <w:r w:rsidR="003152C4" w:rsidRPr="0007454F">
        <w:t>2012</w:t>
      </w:r>
      <w:r w:rsidR="008D6E51">
        <w:t>c</w:t>
      </w:r>
      <w:proofErr w:type="spellEnd"/>
      <w:r w:rsidR="003152C4">
        <w:t xml:space="preserve">, </w:t>
      </w:r>
      <w:r w:rsidRPr="00A12447">
        <w:t>p</w:t>
      </w:r>
      <w:r w:rsidR="003152C4">
        <w:t xml:space="preserve">. </w:t>
      </w:r>
      <w:r w:rsidRPr="00A12447">
        <w:t>36</w:t>
      </w:r>
      <w:r w:rsidR="000D1FDD">
        <w:t>0</w:t>
      </w:r>
      <w:r w:rsidRPr="00A12447">
        <w:t>)</w:t>
      </w:r>
    </w:p>
    <w:p w:rsidR="006A40ED" w:rsidRPr="00A12447" w:rsidRDefault="00E31E8C">
      <w:pPr>
        <w:pStyle w:val="BodyText"/>
      </w:pPr>
      <w:r w:rsidRPr="00A12447">
        <w:t>Growth in capital services is taken as the rate of growth in the productive capital stock for each asset type, weighted by the</w:t>
      </w:r>
      <w:r w:rsidR="007728E0">
        <w:t xml:space="preserve"> product of the</w:t>
      </w:r>
      <w:r w:rsidRPr="00A12447">
        <w:t xml:space="preserve"> rental price</w:t>
      </w:r>
      <w:r w:rsidR="007728E0">
        <w:t xml:space="preserve"> and productive capital stock as a share of total returns to capital; averaged over</w:t>
      </w:r>
      <w:r w:rsidR="004D4B8A">
        <w:t xml:space="preserve"> the </w:t>
      </w:r>
      <w:r w:rsidR="007728E0">
        <w:t xml:space="preserve">period. </w:t>
      </w:r>
    </w:p>
    <w:p w:rsidR="00E31E8C" w:rsidRDefault="00FE7C90" w:rsidP="00C334CC">
      <w:pPr>
        <w:pStyle w:val="BodyText"/>
        <w:jc w:val="right"/>
      </w:pPr>
      <m:oMath>
        <m:sSub>
          <m:sSubPr>
            <m:ctrlPr>
              <w:rPr>
                <w:rFonts w:ascii="Cambria Math" w:hAnsi="Cambria Math"/>
                <w:i/>
              </w:rPr>
            </m:ctrlPr>
          </m:sSubPr>
          <m:e>
            <m:r>
              <w:rPr>
                <w:rFonts w:ascii="Cambria Math" w:hAnsi="Cambria Math"/>
              </w:rPr>
              <m:t>KS</m:t>
            </m:r>
          </m:e>
          <m:sub>
            <m:r>
              <w:rPr>
                <w:rFonts w:ascii="Cambria Math" w:hAnsi="Cambria Math"/>
              </w:rPr>
              <m:t>it</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PKS</m:t>
                            </m:r>
                          </m:e>
                          <m:sub>
                            <m:r>
                              <w:rPr>
                                <w:rFonts w:ascii="Cambria Math" w:hAnsi="Cambria Math"/>
                              </w:rPr>
                              <m:t>ijt</m:t>
                            </m:r>
                          </m:sub>
                        </m:sSub>
                      </m:num>
                      <m:den>
                        <m:sSub>
                          <m:sSubPr>
                            <m:ctrlPr>
                              <w:rPr>
                                <w:rFonts w:ascii="Cambria Math" w:hAnsi="Cambria Math"/>
                                <w:i/>
                              </w:rPr>
                            </m:ctrlPr>
                          </m:sSubPr>
                          <m:e>
                            <m:r>
                              <w:rPr>
                                <w:rFonts w:ascii="Cambria Math" w:hAnsi="Cambria Math"/>
                              </w:rPr>
                              <m:t>PKS</m:t>
                            </m:r>
                          </m:e>
                          <m:sub>
                            <m:r>
                              <w:rPr>
                                <w:rFonts w:ascii="Cambria Math" w:hAnsi="Cambria Math"/>
                              </w:rPr>
                              <m:t>ij</m:t>
                            </m:r>
                            <m:d>
                              <m:dPr>
                                <m:ctrlPr>
                                  <w:rPr>
                                    <w:rFonts w:ascii="Cambria Math" w:hAnsi="Cambria Math"/>
                                    <w:i/>
                                  </w:rPr>
                                </m:ctrlPr>
                              </m:dPr>
                              <m:e>
                                <m:r>
                                  <w:rPr>
                                    <w:rFonts w:ascii="Cambria Math" w:hAnsi="Cambria Math"/>
                                  </w:rPr>
                                  <m:t>t-1</m:t>
                                </m:r>
                              </m:e>
                            </m:d>
                          </m:sub>
                        </m:sSub>
                      </m:den>
                    </m:f>
                  </m:e>
                </m:d>
              </m:e>
              <m:sup>
                <m:sSub>
                  <m:sSubPr>
                    <m:ctrlPr>
                      <w:rPr>
                        <w:rFonts w:ascii="Cambria Math" w:hAnsi="Cambria Math"/>
                        <w:i/>
                      </w:rPr>
                    </m:ctrlPr>
                  </m:sSubPr>
                  <m:e>
                    <m:r>
                      <w:rPr>
                        <w:rFonts w:ascii="Cambria Math" w:hAnsi="Cambria Math"/>
                      </w:rPr>
                      <m:t>w</m:t>
                    </m:r>
                  </m:e>
                  <m:sub>
                    <m:r>
                      <w:rPr>
                        <w:rFonts w:ascii="Cambria Math" w:hAnsi="Cambria Math"/>
                      </w:rPr>
                      <m:t>ijt</m:t>
                    </m:r>
                  </m:sub>
                </m:sSub>
              </m:sup>
            </m:sSup>
          </m:e>
        </m:nary>
      </m:oMath>
      <w:r w:rsidR="00AD213A" w:rsidRPr="00A12447">
        <w:t xml:space="preserve">         </w:t>
      </w:r>
      <w:r w:rsidR="005D7AD4">
        <w:t xml:space="preserve">                       </w:t>
      </w:r>
      <w:r w:rsidR="00AD213A" w:rsidRPr="00A12447">
        <w:t xml:space="preserve">        (A1)</w:t>
      </w:r>
    </w:p>
    <w:p w:rsidR="005D7AD4" w:rsidRPr="005D7AD4" w:rsidRDefault="005D7AD4" w:rsidP="00C334CC">
      <w:pPr>
        <w:pStyle w:val="BodyText"/>
        <w:jc w:val="right"/>
      </w:pPr>
      <w:r>
        <w:lastRenderedPageBreak/>
        <w:t xml:space="preserve">where </w:t>
      </w:r>
      <m:oMath>
        <m:sSub>
          <m:sSubPr>
            <m:ctrlPr>
              <w:rPr>
                <w:rFonts w:ascii="Cambria Math" w:hAnsi="Cambria Math"/>
                <w:i/>
              </w:rPr>
            </m:ctrlPr>
          </m:sSubPr>
          <m:e>
            <m:r>
              <w:rPr>
                <w:rFonts w:ascii="Cambria Math" w:hAnsi="Cambria Math"/>
              </w:rPr>
              <m:t>w</m:t>
            </m:r>
          </m:e>
          <m:sub>
            <m:r>
              <w:rPr>
                <w:rFonts w:ascii="Cambria Math" w:hAnsi="Cambria Math"/>
              </w:rPr>
              <m:t>ijt</m:t>
            </m:r>
          </m:sub>
        </m:sSub>
        <m:r>
          <w:rPr>
            <w:rFonts w:ascii="Cambria Math" w:hAnsi="Cambria Math"/>
          </w:rPr>
          <m:t>=</m:t>
        </m:r>
        <m:d>
          <m:dPr>
            <m:ctrlPr>
              <w:rPr>
                <w:rFonts w:ascii="Cambria Math" w:hAnsi="Cambria Math"/>
                <w:i/>
              </w:rPr>
            </m:ctrlPr>
          </m:dPr>
          <m:e>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ijt</m:t>
                        </m:r>
                      </m:sub>
                    </m:sSub>
                    <m:sSub>
                      <m:sSubPr>
                        <m:ctrlPr>
                          <w:rPr>
                            <w:rFonts w:ascii="Cambria Math" w:hAnsi="Cambria Math"/>
                            <w:i/>
                          </w:rPr>
                        </m:ctrlPr>
                      </m:sSubPr>
                      <m:e>
                        <m:r>
                          <w:rPr>
                            <w:rFonts w:ascii="Cambria Math" w:hAnsi="Cambria Math"/>
                          </w:rPr>
                          <m:t>PKS</m:t>
                        </m:r>
                      </m:e>
                      <m:sub>
                        <m:r>
                          <w:rPr>
                            <w:rFonts w:ascii="Cambria Math" w:hAnsi="Cambria Math"/>
                          </w:rPr>
                          <m:t>ijt</m:t>
                        </m:r>
                      </m:sub>
                    </m:sSub>
                  </m:num>
                  <m:den>
                    <m:nary>
                      <m:naryPr>
                        <m:chr m:val="∑"/>
                        <m:limLoc m:val="undOvr"/>
                        <m:supHide m:val="1"/>
                        <m:ctrlPr>
                          <w:rPr>
                            <w:rFonts w:ascii="Cambria Math" w:hAnsi="Cambria Math"/>
                            <w:i/>
                          </w:rPr>
                        </m:ctrlPr>
                      </m:naryPr>
                      <m:sub>
                        <m:r>
                          <w:rPr>
                            <w:rFonts w:ascii="Cambria Math" w:hAnsi="Cambria Math"/>
                          </w:rPr>
                          <m:t>ij</m:t>
                        </m:r>
                      </m:sub>
                      <m:sup/>
                      <m:e>
                        <m:sSub>
                          <m:sSubPr>
                            <m:ctrlPr>
                              <w:rPr>
                                <w:rFonts w:ascii="Cambria Math" w:hAnsi="Cambria Math"/>
                                <w:i/>
                              </w:rPr>
                            </m:ctrlPr>
                          </m:sSubPr>
                          <m:e>
                            <m:r>
                              <w:rPr>
                                <w:rFonts w:ascii="Cambria Math" w:hAnsi="Cambria Math"/>
                              </w:rPr>
                              <m:t>R</m:t>
                            </m:r>
                          </m:e>
                          <m:sub>
                            <m:r>
                              <w:rPr>
                                <w:rFonts w:ascii="Cambria Math" w:hAnsi="Cambria Math"/>
                              </w:rPr>
                              <m:t>ijt</m:t>
                            </m:r>
                          </m:sub>
                        </m:sSub>
                        <m:sSub>
                          <m:sSubPr>
                            <m:ctrlPr>
                              <w:rPr>
                                <w:rFonts w:ascii="Cambria Math" w:hAnsi="Cambria Math"/>
                                <w:i/>
                              </w:rPr>
                            </m:ctrlPr>
                          </m:sSubPr>
                          <m:e>
                            <m:r>
                              <w:rPr>
                                <w:rFonts w:ascii="Cambria Math" w:hAnsi="Cambria Math"/>
                              </w:rPr>
                              <m:t>PKS</m:t>
                            </m:r>
                          </m:e>
                          <m:sub>
                            <m:r>
                              <w:rPr>
                                <w:rFonts w:ascii="Cambria Math" w:hAnsi="Cambria Math"/>
                              </w:rPr>
                              <m:t>ijt</m:t>
                            </m:r>
                          </m:sub>
                        </m:sSub>
                      </m:e>
                    </m:nary>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ij</m:t>
                        </m:r>
                        <m:d>
                          <m:dPr>
                            <m:ctrlPr>
                              <w:rPr>
                                <w:rFonts w:ascii="Cambria Math" w:hAnsi="Cambria Math"/>
                                <w:i/>
                              </w:rPr>
                            </m:ctrlPr>
                          </m:dPr>
                          <m:e>
                            <m:r>
                              <w:rPr>
                                <w:rFonts w:ascii="Cambria Math" w:hAnsi="Cambria Math"/>
                              </w:rPr>
                              <m:t>t-1</m:t>
                            </m:r>
                          </m:e>
                        </m:d>
                      </m:sub>
                    </m:sSub>
                    <m:sSub>
                      <m:sSubPr>
                        <m:ctrlPr>
                          <w:rPr>
                            <w:rFonts w:ascii="Cambria Math" w:hAnsi="Cambria Math"/>
                            <w:i/>
                          </w:rPr>
                        </m:ctrlPr>
                      </m:sSubPr>
                      <m:e>
                        <m:r>
                          <w:rPr>
                            <w:rFonts w:ascii="Cambria Math" w:hAnsi="Cambria Math"/>
                          </w:rPr>
                          <m:t>PKS</m:t>
                        </m:r>
                      </m:e>
                      <m:sub>
                        <m:r>
                          <w:rPr>
                            <w:rFonts w:ascii="Cambria Math" w:hAnsi="Cambria Math"/>
                          </w:rPr>
                          <m:t>ij</m:t>
                        </m:r>
                        <m:d>
                          <m:dPr>
                            <m:ctrlPr>
                              <w:rPr>
                                <w:rFonts w:ascii="Cambria Math" w:hAnsi="Cambria Math"/>
                                <w:i/>
                              </w:rPr>
                            </m:ctrlPr>
                          </m:dPr>
                          <m:e>
                            <m:r>
                              <w:rPr>
                                <w:rFonts w:ascii="Cambria Math" w:hAnsi="Cambria Math"/>
                              </w:rPr>
                              <m:t>t-1</m:t>
                            </m:r>
                          </m:e>
                        </m:d>
                      </m:sub>
                    </m:sSub>
                  </m:num>
                  <m:den>
                    <m:nary>
                      <m:naryPr>
                        <m:chr m:val="∑"/>
                        <m:limLoc m:val="undOvr"/>
                        <m:supHide m:val="1"/>
                        <m:ctrlPr>
                          <w:rPr>
                            <w:rFonts w:ascii="Cambria Math" w:hAnsi="Cambria Math"/>
                            <w:i/>
                          </w:rPr>
                        </m:ctrlPr>
                      </m:naryPr>
                      <m:sub>
                        <m:r>
                          <w:rPr>
                            <w:rFonts w:ascii="Cambria Math" w:hAnsi="Cambria Math"/>
                          </w:rPr>
                          <m:t>ij</m:t>
                        </m:r>
                      </m:sub>
                      <m:sup/>
                      <m:e>
                        <m:sSub>
                          <m:sSubPr>
                            <m:ctrlPr>
                              <w:rPr>
                                <w:rFonts w:ascii="Cambria Math" w:hAnsi="Cambria Math"/>
                                <w:i/>
                              </w:rPr>
                            </m:ctrlPr>
                          </m:sSubPr>
                          <m:e>
                            <m:r>
                              <w:rPr>
                                <w:rFonts w:ascii="Cambria Math" w:hAnsi="Cambria Math"/>
                              </w:rPr>
                              <m:t>R</m:t>
                            </m:r>
                          </m:e>
                          <m:sub>
                            <m:r>
                              <w:rPr>
                                <w:rFonts w:ascii="Cambria Math" w:hAnsi="Cambria Math"/>
                              </w:rPr>
                              <m:t>ij</m:t>
                            </m:r>
                            <m:d>
                              <m:dPr>
                                <m:ctrlPr>
                                  <w:rPr>
                                    <w:rFonts w:ascii="Cambria Math" w:hAnsi="Cambria Math"/>
                                    <w:i/>
                                  </w:rPr>
                                </m:ctrlPr>
                              </m:dPr>
                              <m:e>
                                <m:r>
                                  <w:rPr>
                                    <w:rFonts w:ascii="Cambria Math" w:hAnsi="Cambria Math"/>
                                  </w:rPr>
                                  <m:t>t-1</m:t>
                                </m:r>
                              </m:e>
                            </m:d>
                          </m:sub>
                        </m:sSub>
                        <m:sSub>
                          <m:sSubPr>
                            <m:ctrlPr>
                              <w:rPr>
                                <w:rFonts w:ascii="Cambria Math" w:hAnsi="Cambria Math"/>
                                <w:i/>
                              </w:rPr>
                            </m:ctrlPr>
                          </m:sSubPr>
                          <m:e>
                            <m:r>
                              <w:rPr>
                                <w:rFonts w:ascii="Cambria Math" w:hAnsi="Cambria Math"/>
                              </w:rPr>
                              <m:t>PKS</m:t>
                            </m:r>
                          </m:e>
                          <m:sub>
                            <m:r>
                              <w:rPr>
                                <w:rFonts w:ascii="Cambria Math" w:hAnsi="Cambria Math"/>
                              </w:rPr>
                              <m:t>ij</m:t>
                            </m:r>
                            <m:d>
                              <m:dPr>
                                <m:ctrlPr>
                                  <w:rPr>
                                    <w:rFonts w:ascii="Cambria Math" w:hAnsi="Cambria Math"/>
                                    <w:i/>
                                  </w:rPr>
                                </m:ctrlPr>
                              </m:dPr>
                              <m:e>
                                <m:r>
                                  <w:rPr>
                                    <w:rFonts w:ascii="Cambria Math" w:hAnsi="Cambria Math"/>
                                  </w:rPr>
                                  <m:t>t-1</m:t>
                                </m:r>
                              </m:e>
                            </m:d>
                          </m:sub>
                        </m:sSub>
                      </m:e>
                    </m:nary>
                  </m:den>
                </m:f>
              </m:num>
              <m:den>
                <m:r>
                  <w:rPr>
                    <w:rFonts w:ascii="Cambria Math" w:hAnsi="Cambria Math"/>
                  </w:rPr>
                  <m:t>2</m:t>
                </m:r>
              </m:den>
            </m:f>
          </m:e>
        </m:d>
      </m:oMath>
      <w:r>
        <w:t xml:space="preserve">                               (A2)</w:t>
      </w:r>
    </w:p>
    <w:p w:rsidR="00E31E8C" w:rsidRPr="00A12447" w:rsidRDefault="00E31E8C">
      <w:pPr>
        <w:pStyle w:val="BodyText"/>
      </w:pPr>
      <w:r w:rsidRPr="00A12447">
        <w:t>Where KS denotes capital services</w:t>
      </w:r>
      <w:r w:rsidR="00104AE1" w:rsidRPr="00A12447">
        <w:t xml:space="preserve"> flow over the period</w:t>
      </w:r>
      <w:r w:rsidRPr="00A12447">
        <w:t xml:space="preserve">, </w:t>
      </w:r>
      <w:proofErr w:type="spellStart"/>
      <w:r w:rsidRPr="00A12447">
        <w:t>PKS</w:t>
      </w:r>
      <w:proofErr w:type="spellEnd"/>
      <w:r w:rsidR="00104AE1" w:rsidRPr="00A12447">
        <w:t xml:space="preserve"> denotes the real</w:t>
      </w:r>
      <w:r w:rsidRPr="00A12447">
        <w:t xml:space="preserve"> productive capital stock, R the rental price, and </w:t>
      </w:r>
      <w:proofErr w:type="spellStart"/>
      <w:r w:rsidRPr="00A12447">
        <w:t>i</w:t>
      </w:r>
      <w:proofErr w:type="spellEnd"/>
      <w:r w:rsidRPr="00A12447">
        <w:t>, j and t denote industry, asset and time</w:t>
      </w:r>
      <w:r w:rsidR="00F467CC" w:rsidRPr="00A12447">
        <w:t>,</w:t>
      </w:r>
      <w:r w:rsidRPr="00A12447">
        <w:t xml:space="preserve"> respectively. </w:t>
      </w:r>
    </w:p>
    <w:p w:rsidR="00E31E8C" w:rsidRPr="00A12447" w:rsidRDefault="00A61622">
      <w:pPr>
        <w:pStyle w:val="BodyText"/>
      </w:pPr>
      <w:r>
        <w:t>I</w:t>
      </w:r>
      <w:r w:rsidR="000A18A2" w:rsidRPr="00A12447">
        <w:t xml:space="preserve">n this paper, the ‘industry’ subscript denotes the eight subsectors described in section </w:t>
      </w:r>
      <w:proofErr w:type="spellStart"/>
      <w:r w:rsidR="00261100">
        <w:t>A.2</w:t>
      </w:r>
      <w:proofErr w:type="spellEnd"/>
      <w:r w:rsidR="000A18A2" w:rsidRPr="00A12447">
        <w:t xml:space="preserve">. </w:t>
      </w:r>
      <w:r w:rsidR="001A5FF3" w:rsidRPr="00A12447">
        <w:t xml:space="preserve">That is, capital services </w:t>
      </w:r>
      <w:r w:rsidR="005A2ED7">
        <w:t>were</w:t>
      </w:r>
      <w:r w:rsidR="005A2ED7" w:rsidRPr="00A12447">
        <w:t xml:space="preserve"> </w:t>
      </w:r>
      <w:r w:rsidR="001A5FF3" w:rsidRPr="00A12447">
        <w:t>calculated on the basis of the rate of change in the productive capital stock over time for each subsector-asset, weighted by the rental prices for those subsector-assets.</w:t>
      </w:r>
      <w:r w:rsidR="004023A7" w:rsidRPr="00A12447">
        <w:t xml:space="preserve"> </w:t>
      </w:r>
    </w:p>
    <w:p w:rsidR="004023A7" w:rsidRPr="00A12447" w:rsidRDefault="001A502B">
      <w:pPr>
        <w:pStyle w:val="BodyText"/>
      </w:pPr>
      <w:r>
        <w:t xml:space="preserve">The assets included in this paper are </w:t>
      </w:r>
      <w:r w:rsidR="00C63E37" w:rsidRPr="00A12447">
        <w:t>‘machinery and equipment’, ‘non-dwelling construction’, ‘research and development’ and ‘computer software’</w:t>
      </w:r>
      <w:r>
        <w:t>.</w:t>
      </w:r>
      <w:r w:rsidR="00C63E37" w:rsidRPr="00A12447">
        <w:t xml:space="preserve"> </w:t>
      </w:r>
      <w:r>
        <w:t>As noted above, t</w:t>
      </w:r>
      <w:r w:rsidR="00C63E37" w:rsidRPr="00A12447">
        <w:t xml:space="preserve">his is </w:t>
      </w:r>
      <w:r w:rsidR="00F34CDF">
        <w:t>fewer</w:t>
      </w:r>
      <w:r w:rsidR="00C63E37" w:rsidRPr="00A12447">
        <w:t xml:space="preserve"> asset types </w:t>
      </w:r>
      <w:r w:rsidR="00F34CDF">
        <w:t>than</w:t>
      </w:r>
      <w:r w:rsidR="00C63E37" w:rsidRPr="00A12447">
        <w:t xml:space="preserve"> considered by the ABS and includes an aggregation of the machinery and equipment types (table </w:t>
      </w:r>
      <w:proofErr w:type="spellStart"/>
      <w:r w:rsidR="00D86322">
        <w:t>A.3</w:t>
      </w:r>
      <w:proofErr w:type="spellEnd"/>
      <w:r w:rsidR="00C63E37" w:rsidRPr="00A12447">
        <w:t>)</w:t>
      </w:r>
      <w:r>
        <w:t>.</w:t>
      </w:r>
      <w:r w:rsidR="00C63E37" w:rsidRPr="00A12447">
        <w:t xml:space="preserve"> </w:t>
      </w:r>
    </w:p>
    <w:p w:rsidR="00C63E37" w:rsidRDefault="00E40176" w:rsidP="00C334CC">
      <w:pPr>
        <w:pStyle w:val="Heading4"/>
      </w:pPr>
      <w:r w:rsidRPr="00A12447">
        <w:t>Calculating productive capital stock</w:t>
      </w:r>
    </w:p>
    <w:p w:rsidR="005268BA" w:rsidRPr="005268BA" w:rsidRDefault="005268BA" w:rsidP="00EA3C70">
      <w:pPr>
        <w:pStyle w:val="Heading5"/>
        <w:spacing w:before="240"/>
      </w:pPr>
      <w:r>
        <w:t>Method</w:t>
      </w:r>
    </w:p>
    <w:p w:rsidR="00E40176" w:rsidRPr="00A12447" w:rsidRDefault="004E3159">
      <w:pPr>
        <w:pStyle w:val="BodyText"/>
      </w:pPr>
      <w:r w:rsidRPr="00A12447">
        <w:t>The ABS calculate</w:t>
      </w:r>
      <w:r w:rsidR="00766953">
        <w:t>s</w:t>
      </w:r>
      <w:r w:rsidRPr="00A12447">
        <w:t xml:space="preserve"> productive capital stock</w:t>
      </w:r>
      <w:r w:rsidR="005268BA">
        <w:t>s</w:t>
      </w:r>
      <w:r w:rsidRPr="00A12447">
        <w:t xml:space="preserve"> for each asset through the use of a perpetual inventory model</w:t>
      </w:r>
      <w:r w:rsidR="0073399C">
        <w:t>:</w:t>
      </w:r>
    </w:p>
    <w:p w:rsidR="004E3159" w:rsidRPr="00A12447" w:rsidRDefault="004E3159" w:rsidP="00C334CC">
      <w:pPr>
        <w:pStyle w:val="Quote"/>
      </w:pPr>
      <w:r w:rsidRPr="00A12447">
        <w:t>The perpetual inventory model (PIM) involves the compilation of a 'rolling' inventory of capital stocks; in any particular period, investment in capital assets is added to stocks, and retired assets are deducted. To apply the PIM, the following are generally required:</w:t>
      </w:r>
    </w:p>
    <w:p w:rsidR="00C0039C" w:rsidRDefault="00C0039C" w:rsidP="00C0039C">
      <w:pPr>
        <w:pStyle w:val="QuoteBullet"/>
      </w:pPr>
      <w:r w:rsidRPr="00A12447">
        <w:t>gross fixed capital formation (</w:t>
      </w:r>
      <w:proofErr w:type="spellStart"/>
      <w:r w:rsidRPr="00A12447">
        <w:t>GFCF</w:t>
      </w:r>
      <w:proofErr w:type="spellEnd"/>
      <w:r w:rsidRPr="00A12447">
        <w:t>) for the period for which the capital stock estimate is required and for periods prior to that period equal to the maximum life of the asset;</w:t>
      </w:r>
    </w:p>
    <w:p w:rsidR="00C0039C" w:rsidRPr="00A12447" w:rsidRDefault="00C0039C" w:rsidP="00C0039C">
      <w:pPr>
        <w:pStyle w:val="QuoteBullet"/>
      </w:pPr>
      <w:r w:rsidRPr="00A12447">
        <w:t xml:space="preserve">price indexes for the entire timespan of </w:t>
      </w:r>
      <w:proofErr w:type="spellStart"/>
      <w:r w:rsidRPr="00A12447">
        <w:t>GFCF</w:t>
      </w:r>
      <w:proofErr w:type="spellEnd"/>
      <w:r>
        <w:t>;</w:t>
      </w:r>
    </w:p>
    <w:p w:rsidR="004E3159" w:rsidRDefault="004E3159" w:rsidP="00C334CC">
      <w:pPr>
        <w:pStyle w:val="QuoteBullet"/>
      </w:pPr>
      <w:r w:rsidRPr="00A12447">
        <w:t>the average length of asset lives, i.e. average of the length of time they are used in production;</w:t>
      </w:r>
    </w:p>
    <w:p w:rsidR="00C0039C" w:rsidRPr="00A12447" w:rsidRDefault="00C0039C" w:rsidP="00C0039C">
      <w:pPr>
        <w:pStyle w:val="QuoteBullet"/>
      </w:pPr>
      <w:r w:rsidRPr="00A12447">
        <w:t>the age-efficiency function of assets (used to derive productive capital stock estimates);</w:t>
      </w:r>
    </w:p>
    <w:p w:rsidR="004E3159" w:rsidRPr="00A12447" w:rsidRDefault="004E3159" w:rsidP="00C334CC">
      <w:pPr>
        <w:pStyle w:val="QuoteBullet"/>
      </w:pPr>
      <w:r w:rsidRPr="00A12447">
        <w:t>the extent to which assets are retired before, on or after the average asset life for that asset – the retirement distribution. Alternatively, retirements can be expressed as a survival function;</w:t>
      </w:r>
      <w:r w:rsidR="00C0039C">
        <w:t xml:space="preserve"> and</w:t>
      </w:r>
    </w:p>
    <w:p w:rsidR="004E3159" w:rsidRPr="00A12447" w:rsidRDefault="004E3159" w:rsidP="00C334CC">
      <w:pPr>
        <w:pStyle w:val="QuoteBullet"/>
      </w:pPr>
      <w:r w:rsidRPr="00A12447">
        <w:t>the age-price function of assets (used to derive net capital stock estimates and estimates of consumption of fixed capital)</w:t>
      </w:r>
      <w:r w:rsidR="001459D9">
        <w:t>.</w:t>
      </w:r>
      <w:r w:rsidR="00C0039C">
        <w:t xml:space="preserve"> </w:t>
      </w:r>
      <w:r w:rsidRPr="0007454F">
        <w:t xml:space="preserve">(ABS </w:t>
      </w:r>
      <w:proofErr w:type="spellStart"/>
      <w:r w:rsidRPr="0007454F">
        <w:t>2012</w:t>
      </w:r>
      <w:r w:rsidR="00C26325">
        <w:t>c</w:t>
      </w:r>
      <w:proofErr w:type="spellEnd"/>
      <w:r w:rsidR="00347DA1" w:rsidRPr="0007454F">
        <w:t>,</w:t>
      </w:r>
      <w:r w:rsidRPr="0007454F">
        <w:t xml:space="preserve"> p</w:t>
      </w:r>
      <w:r w:rsidR="00EA3C70" w:rsidRPr="0007454F">
        <w:t xml:space="preserve">. </w:t>
      </w:r>
      <w:r w:rsidRPr="0007454F">
        <w:t>36</w:t>
      </w:r>
      <w:r w:rsidR="00B10497">
        <w:t>0</w:t>
      </w:r>
      <w:r w:rsidRPr="00A12447">
        <w:t>)</w:t>
      </w:r>
    </w:p>
    <w:p w:rsidR="0073399C" w:rsidRDefault="00B41F18" w:rsidP="0015384D">
      <w:pPr>
        <w:pStyle w:val="BodyText"/>
      </w:pPr>
      <w:r w:rsidRPr="00A12447">
        <w:lastRenderedPageBreak/>
        <w:t xml:space="preserve">The real investment series, derived from </w:t>
      </w:r>
      <w:proofErr w:type="spellStart"/>
      <w:r w:rsidRPr="00A12447">
        <w:t>GFCF</w:t>
      </w:r>
      <w:proofErr w:type="spellEnd"/>
      <w:r w:rsidRPr="00A12447">
        <w:t xml:space="preserve"> and </w:t>
      </w:r>
      <w:r w:rsidR="000E1BC9" w:rsidRPr="00A12447">
        <w:t xml:space="preserve">its </w:t>
      </w:r>
      <w:r w:rsidRPr="00A12447">
        <w:t xml:space="preserve">associated price indexes, </w:t>
      </w:r>
      <w:r w:rsidR="00684598">
        <w:t>was</w:t>
      </w:r>
      <w:r w:rsidR="00684598" w:rsidRPr="00A12447">
        <w:t xml:space="preserve"> </w:t>
      </w:r>
      <w:r w:rsidRPr="00A12447">
        <w:t>used to calculate the productive capital stock via the PIM</w:t>
      </w:r>
      <w:r w:rsidR="0035132E" w:rsidRPr="00A12447">
        <w:t xml:space="preserve">. </w:t>
      </w:r>
      <w:r w:rsidR="0073399C">
        <w:t>The formula used to calculate productive capital stock is:</w:t>
      </w:r>
    </w:p>
    <w:p w:rsidR="0073399C" w:rsidRPr="00334BA7" w:rsidRDefault="00FE7C90" w:rsidP="00EA3C70">
      <w:pPr>
        <w:pStyle w:val="BodyText"/>
        <w:jc w:val="right"/>
      </w:pPr>
      <m:oMath>
        <m:sSubSup>
          <m:sSubSupPr>
            <m:ctrlPr>
              <w:rPr>
                <w:rFonts w:ascii="Cambria Math" w:hAnsi="Cambria Math"/>
                <w:i/>
              </w:rPr>
            </m:ctrlPr>
          </m:sSubSupPr>
          <m:e>
            <m:r>
              <w:rPr>
                <w:rFonts w:ascii="Cambria Math" w:hAnsi="Cambria Math"/>
              </w:rPr>
              <m:t>PKS</m:t>
            </m:r>
          </m:e>
          <m:sub>
            <m:r>
              <w:rPr>
                <w:rFonts w:ascii="Cambria Math" w:hAnsi="Cambria Math"/>
              </w:rPr>
              <m:t>ij</m:t>
            </m:r>
          </m:sub>
          <m:sup>
            <m:r>
              <w:rPr>
                <w:rFonts w:ascii="Cambria Math" w:hAnsi="Cambria Math"/>
              </w:rPr>
              <m:t>t</m:t>
            </m:r>
          </m:sup>
        </m:sSubSup>
        <m:r>
          <w:rPr>
            <w:rFonts w:ascii="Cambria Math" w:hAnsi="Cambria Math"/>
          </w:rPr>
          <m:t>=</m:t>
        </m:r>
        <m:nary>
          <m:naryPr>
            <m:chr m:val="∑"/>
            <m:limLoc m:val="undOvr"/>
            <m:ctrlPr>
              <w:rPr>
                <w:rFonts w:ascii="Cambria Math" w:hAnsi="Cambria Math"/>
                <w:i/>
              </w:rPr>
            </m:ctrlPr>
          </m:naryPr>
          <m:sub>
            <m:r>
              <w:rPr>
                <w:rFonts w:ascii="Cambria Math" w:hAnsi="Cambria Math"/>
              </w:rPr>
              <m:t>τ=0</m:t>
            </m:r>
          </m:sub>
          <m:sup>
            <m:r>
              <w:rPr>
                <w:rFonts w:ascii="Cambria Math" w:hAnsi="Cambria Math"/>
              </w:rPr>
              <m:t>T</m:t>
            </m:r>
          </m:sup>
          <m:e>
            <m:sSubSup>
              <m:sSubSupPr>
                <m:ctrlPr>
                  <w:rPr>
                    <w:rFonts w:ascii="Cambria Math" w:hAnsi="Cambria Math"/>
                    <w:i/>
                  </w:rPr>
                </m:ctrlPr>
              </m:sSubSupPr>
              <m:e>
                <m:r>
                  <w:rPr>
                    <w:rFonts w:ascii="Cambria Math" w:hAnsi="Cambria Math"/>
                  </w:rPr>
                  <m:t>h</m:t>
                </m:r>
              </m:e>
              <m:sub>
                <m:r>
                  <w:rPr>
                    <w:rFonts w:ascii="Cambria Math" w:hAnsi="Cambria Math"/>
                  </w:rPr>
                  <m:t>ij</m:t>
                </m:r>
              </m:sub>
              <m:sup>
                <m:r>
                  <w:rPr>
                    <w:rFonts w:ascii="Cambria Math" w:hAnsi="Cambria Math"/>
                  </w:rPr>
                  <m:t>τ</m:t>
                </m:r>
              </m:sup>
            </m:sSubSup>
            <m:sSubSup>
              <m:sSubSupPr>
                <m:ctrlPr>
                  <w:rPr>
                    <w:rFonts w:ascii="Cambria Math" w:hAnsi="Cambria Math"/>
                    <w:i/>
                  </w:rPr>
                </m:ctrlPr>
              </m:sSubSupPr>
              <m:e>
                <m:r>
                  <w:rPr>
                    <w:rFonts w:ascii="Cambria Math" w:hAnsi="Cambria Math"/>
                  </w:rPr>
                  <m:t>F</m:t>
                </m:r>
              </m:e>
              <m:sub>
                <m:r>
                  <w:rPr>
                    <w:rFonts w:ascii="Cambria Math" w:hAnsi="Cambria Math"/>
                  </w:rPr>
                  <m:t>ij</m:t>
                </m:r>
              </m:sub>
              <m:sup>
                <m:r>
                  <w:rPr>
                    <w:rFonts w:ascii="Cambria Math" w:hAnsi="Cambria Math"/>
                  </w:rPr>
                  <m:t>τ</m:t>
                </m:r>
              </m:sup>
            </m:sSubSup>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I</m:t>
                        </m:r>
                      </m:e>
                      <m:sub>
                        <m:r>
                          <w:rPr>
                            <w:rFonts w:ascii="Cambria Math" w:hAnsi="Cambria Math"/>
                          </w:rPr>
                          <m:t>ij</m:t>
                        </m:r>
                      </m:sub>
                      <m:sup>
                        <m:r>
                          <w:rPr>
                            <w:rFonts w:ascii="Cambria Math" w:hAnsi="Cambria Math"/>
                          </w:rPr>
                          <m:t>t-τ</m:t>
                        </m:r>
                      </m:sup>
                    </m:sSubSup>
                  </m:num>
                  <m:den>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t-τ,0</m:t>
                        </m:r>
                      </m:sup>
                    </m:sSubSup>
                  </m:den>
                </m:f>
              </m:e>
            </m:d>
          </m:e>
        </m:nary>
      </m:oMath>
      <w:r w:rsidR="00334BA7">
        <w:t xml:space="preserve">                                             (A3)</w:t>
      </w:r>
    </w:p>
    <w:p w:rsidR="0073399C" w:rsidRPr="0073399C" w:rsidRDefault="0073399C" w:rsidP="0015384D">
      <w:pPr>
        <w:pStyle w:val="BodyText"/>
      </w:pPr>
      <w:r>
        <w:t xml:space="preserve">Where </w:t>
      </w:r>
      <m:oMath>
        <m:sSubSup>
          <m:sSubSupPr>
            <m:ctrlPr>
              <w:rPr>
                <w:rFonts w:ascii="Cambria Math" w:hAnsi="Cambria Math"/>
                <w:i/>
              </w:rPr>
            </m:ctrlPr>
          </m:sSubSupPr>
          <m:e>
            <m:r>
              <w:rPr>
                <w:rFonts w:ascii="Cambria Math" w:hAnsi="Cambria Math"/>
              </w:rPr>
              <m:t>PKS</m:t>
            </m:r>
          </m:e>
          <m:sub>
            <m:r>
              <w:rPr>
                <w:rFonts w:ascii="Cambria Math" w:hAnsi="Cambria Math"/>
              </w:rPr>
              <m:t>ij</m:t>
            </m:r>
          </m:sub>
          <m:sup>
            <m:r>
              <w:rPr>
                <w:rFonts w:ascii="Cambria Math" w:hAnsi="Cambria Math"/>
              </w:rPr>
              <m:t>t</m:t>
            </m:r>
          </m:sup>
        </m:sSubSup>
      </m:oMath>
      <w:r>
        <w:t xml:space="preserve"> denotes productive capital stock for industry </w:t>
      </w:r>
      <w:proofErr w:type="spellStart"/>
      <w:r>
        <w:rPr>
          <w:i/>
        </w:rPr>
        <w:t>i</w:t>
      </w:r>
      <w:proofErr w:type="spellEnd"/>
      <w:r>
        <w:t xml:space="preserve"> at time </w:t>
      </w:r>
      <w:r>
        <w:rPr>
          <w:i/>
        </w:rPr>
        <w:t>t</w:t>
      </w:r>
      <w:r>
        <w:t xml:space="preserve">; </w:t>
      </w:r>
      <m:oMath>
        <m:sSubSup>
          <m:sSubSupPr>
            <m:ctrlPr>
              <w:rPr>
                <w:rFonts w:ascii="Cambria Math" w:hAnsi="Cambria Math"/>
                <w:i/>
              </w:rPr>
            </m:ctrlPr>
          </m:sSubSupPr>
          <m:e>
            <m:r>
              <w:rPr>
                <w:rFonts w:ascii="Cambria Math" w:hAnsi="Cambria Math"/>
              </w:rPr>
              <m:t>h</m:t>
            </m:r>
          </m:e>
          <m:sub>
            <m:r>
              <w:rPr>
                <w:rFonts w:ascii="Cambria Math" w:hAnsi="Cambria Math"/>
              </w:rPr>
              <m:t>ij</m:t>
            </m:r>
          </m:sub>
          <m:sup>
            <m:r>
              <w:rPr>
                <w:rFonts w:ascii="Cambria Math" w:hAnsi="Cambria Math"/>
              </w:rPr>
              <m:t>τ</m:t>
            </m:r>
          </m:sup>
        </m:sSubSup>
      </m:oMath>
      <w:r>
        <w:t xml:space="preserve">is the age efficiency function discussed above; </w:t>
      </w:r>
      <m:oMath>
        <m:sSubSup>
          <m:sSubSupPr>
            <m:ctrlPr>
              <w:rPr>
                <w:rFonts w:ascii="Cambria Math" w:hAnsi="Cambria Math"/>
                <w:i/>
              </w:rPr>
            </m:ctrlPr>
          </m:sSubSupPr>
          <m:e>
            <m:r>
              <w:rPr>
                <w:rFonts w:ascii="Cambria Math" w:hAnsi="Cambria Math"/>
              </w:rPr>
              <m:t>F</m:t>
            </m:r>
          </m:e>
          <m:sub>
            <m:r>
              <w:rPr>
                <w:rFonts w:ascii="Cambria Math" w:hAnsi="Cambria Math"/>
              </w:rPr>
              <m:t>ij</m:t>
            </m:r>
          </m:sub>
          <m:sup>
            <m:r>
              <w:rPr>
                <w:rFonts w:ascii="Cambria Math" w:hAnsi="Cambria Math"/>
              </w:rPr>
              <m:t>τ</m:t>
            </m:r>
          </m:sup>
        </m:sSubSup>
      </m:oMath>
      <w:r>
        <w:t>is the retirement function discussed above</w:t>
      </w:r>
      <w:r w:rsidR="00947CD9">
        <w:rPr>
          <w:rStyle w:val="FootnoteReference"/>
        </w:rPr>
        <w:footnoteReference w:id="7"/>
      </w:r>
      <w:r>
        <w:t xml:space="preserve">; </w:t>
      </w:r>
      <m:oMath>
        <m:sSubSup>
          <m:sSubSupPr>
            <m:ctrlPr>
              <w:rPr>
                <w:rFonts w:ascii="Cambria Math" w:hAnsi="Cambria Math"/>
                <w:i/>
              </w:rPr>
            </m:ctrlPr>
          </m:sSubSupPr>
          <m:e>
            <m:r>
              <w:rPr>
                <w:rFonts w:ascii="Cambria Math" w:hAnsi="Cambria Math"/>
              </w:rPr>
              <m:t>I</m:t>
            </m:r>
          </m:e>
          <m:sub>
            <m:r>
              <w:rPr>
                <w:rFonts w:ascii="Cambria Math" w:hAnsi="Cambria Math"/>
              </w:rPr>
              <m:t>ij</m:t>
            </m:r>
          </m:sub>
          <m:sup>
            <m:r>
              <w:rPr>
                <w:rFonts w:ascii="Cambria Math" w:hAnsi="Cambria Math"/>
              </w:rPr>
              <m:t>t-τ</m:t>
            </m:r>
          </m:sup>
        </m:sSubSup>
      </m:oMath>
      <w:r>
        <w:t xml:space="preserve">nominal investment; and </w:t>
      </w:r>
      <m:oMath>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t-τ,0</m:t>
            </m:r>
          </m:sup>
        </m:sSubSup>
      </m:oMath>
      <w:r>
        <w:t xml:space="preserve"> a price deflator for investment.</w:t>
      </w:r>
    </w:p>
    <w:p w:rsidR="0035132E" w:rsidRDefault="005268BA" w:rsidP="0015384D">
      <w:pPr>
        <w:pStyle w:val="BodyText"/>
      </w:pPr>
      <w:r>
        <w:t xml:space="preserve">This ABS method </w:t>
      </w:r>
      <w:r w:rsidR="009B4D40">
        <w:t xml:space="preserve">was </w:t>
      </w:r>
      <w:r>
        <w:t xml:space="preserve">followed in broad terms for the subsector estimates presented in this paper. </w:t>
      </w:r>
      <w:r w:rsidR="0035132E" w:rsidRPr="00A12447">
        <w:t xml:space="preserve">However, </w:t>
      </w:r>
      <w:r>
        <w:t>there ha</w:t>
      </w:r>
      <w:r w:rsidR="00F34CDF">
        <w:t>ve</w:t>
      </w:r>
      <w:r>
        <w:t xml:space="preserve"> been some modifications due to data limitations</w:t>
      </w:r>
      <w:r w:rsidR="0035132E" w:rsidRPr="00A12447">
        <w:t xml:space="preserve">. </w:t>
      </w:r>
    </w:p>
    <w:p w:rsidR="005268BA" w:rsidRDefault="005268BA" w:rsidP="00E02A9A">
      <w:pPr>
        <w:pStyle w:val="Heading5"/>
      </w:pPr>
      <w:r>
        <w:t>Data and parameters</w:t>
      </w:r>
    </w:p>
    <w:p w:rsidR="00B24A09" w:rsidRDefault="00B24A09" w:rsidP="00EA3C70">
      <w:pPr>
        <w:pStyle w:val="Heading6"/>
        <w:spacing w:before="120"/>
      </w:pPr>
      <w:r>
        <w:t>Nominal investment</w:t>
      </w:r>
    </w:p>
    <w:p w:rsidR="000E70B3" w:rsidRPr="000E70B3" w:rsidRDefault="000E70B3" w:rsidP="00EA3C70">
      <w:pPr>
        <w:pStyle w:val="BodyText"/>
      </w:pPr>
      <w:r>
        <w:t xml:space="preserve">The ABS does not estimate </w:t>
      </w:r>
      <w:proofErr w:type="spellStart"/>
      <w:r>
        <w:t>GFCF</w:t>
      </w:r>
      <w:proofErr w:type="spellEnd"/>
      <w:r>
        <w:t xml:space="preserve"> by asset </w:t>
      </w:r>
      <w:r w:rsidR="00A11035">
        <w:t>for</w:t>
      </w:r>
      <w:r>
        <w:t xml:space="preserve"> subsector</w:t>
      </w:r>
      <w:r w:rsidR="00A11035">
        <w:t>s</w:t>
      </w:r>
      <w:r>
        <w:t xml:space="preserve"> on a </w:t>
      </w:r>
      <w:r w:rsidR="002E6911">
        <w:t>National Accounts</w:t>
      </w:r>
      <w:r>
        <w:t xml:space="preserve"> basis.</w:t>
      </w:r>
      <w:r w:rsidRPr="00A12447">
        <w:rPr>
          <w:rStyle w:val="FootnoteReference"/>
        </w:rPr>
        <w:footnoteReference w:id="8"/>
      </w:r>
      <w:r>
        <w:t xml:space="preserve"> </w:t>
      </w:r>
      <w:r w:rsidR="00B24A09" w:rsidRPr="00A12447">
        <w:t xml:space="preserve">In order to be consistent with the </w:t>
      </w:r>
      <w:r w:rsidR="00B24A09">
        <w:t xml:space="preserve">ABS estimates for capital services </w:t>
      </w:r>
      <w:r w:rsidR="002E6911">
        <w:t>for</w:t>
      </w:r>
      <w:r w:rsidR="00B24A09">
        <w:t xml:space="preserve"> </w:t>
      </w:r>
      <w:r w:rsidR="002E6911">
        <w:t>M</w:t>
      </w:r>
      <w:r w:rsidR="00B24A09">
        <w:t>anufacturing</w:t>
      </w:r>
      <w:r w:rsidR="002E6911">
        <w:t xml:space="preserve"> in total</w:t>
      </w:r>
      <w:r w:rsidR="00B24A09" w:rsidRPr="00A12447">
        <w:t xml:space="preserve">, </w:t>
      </w:r>
      <w:r w:rsidR="002E6911">
        <w:t>M</w:t>
      </w:r>
      <w:r w:rsidR="00D9733D">
        <w:t xml:space="preserve">anufacturing </w:t>
      </w:r>
      <w:proofErr w:type="spellStart"/>
      <w:r w:rsidR="00B24A09">
        <w:t>GFCF</w:t>
      </w:r>
      <w:proofErr w:type="spellEnd"/>
      <w:r w:rsidR="00B24A09">
        <w:t xml:space="preserve"> </w:t>
      </w:r>
      <w:r w:rsidR="005D3B5E">
        <w:t>was</w:t>
      </w:r>
      <w:r w:rsidR="00B24A09">
        <w:t xml:space="preserve"> apportioned across subsectors using subsector shares of investment from alternative sources </w:t>
      </w:r>
      <w:r w:rsidR="00D9733D">
        <w:t>(</w:t>
      </w:r>
      <w:r w:rsidR="00B24A09">
        <w:t>as described below</w:t>
      </w:r>
      <w:r w:rsidR="00D9733D">
        <w:t>)</w:t>
      </w:r>
      <w:r w:rsidR="00B24A09">
        <w:t xml:space="preserve">. </w:t>
      </w:r>
    </w:p>
    <w:p w:rsidR="00E02A9A" w:rsidRPr="00A12447" w:rsidRDefault="005268BA" w:rsidP="00EA3C70">
      <w:pPr>
        <w:pStyle w:val="Heading6"/>
      </w:pPr>
      <w:r>
        <w:t>Non-dwelling construction and machinery and equipment</w:t>
      </w:r>
    </w:p>
    <w:p w:rsidR="00E02A9A" w:rsidRPr="00A12447" w:rsidRDefault="00B24A09" w:rsidP="00A12447">
      <w:pPr>
        <w:pStyle w:val="Footnotere"/>
      </w:pPr>
      <w:r>
        <w:t xml:space="preserve">For non-dwelling construction and machinery and equipment, data for </w:t>
      </w:r>
      <w:proofErr w:type="spellStart"/>
      <w:r w:rsidR="00E02A9A" w:rsidRPr="00A12447">
        <w:t>PNCE</w:t>
      </w:r>
      <w:proofErr w:type="spellEnd"/>
      <w:r>
        <w:t xml:space="preserve"> </w:t>
      </w:r>
      <w:r w:rsidR="00DA312E">
        <w:t>were</w:t>
      </w:r>
      <w:r>
        <w:t xml:space="preserve"> used to derive subsector shares. Unpublished </w:t>
      </w:r>
      <w:r w:rsidR="003F535F">
        <w:t xml:space="preserve">quarterly </w:t>
      </w:r>
      <w:proofErr w:type="spellStart"/>
      <w:r>
        <w:t>PNCE</w:t>
      </w:r>
      <w:proofErr w:type="spellEnd"/>
      <w:r>
        <w:t xml:space="preserve"> data from </w:t>
      </w:r>
      <w:r w:rsidR="004527E9">
        <w:t xml:space="preserve">the ABS </w:t>
      </w:r>
      <w:r w:rsidR="004527E9">
        <w:rPr>
          <w:i/>
        </w:rPr>
        <w:t>Survey of New Capital Expenditure</w:t>
      </w:r>
      <w:r>
        <w:t xml:space="preserve"> (Cat. no.</w:t>
      </w:r>
      <w:r w:rsidR="00750F3B">
        <w:t> </w:t>
      </w:r>
      <w:r w:rsidR="004527E9">
        <w:t>5625.0</w:t>
      </w:r>
      <w:r>
        <w:t xml:space="preserve">) were obtained from the ABS by </w:t>
      </w:r>
      <w:r w:rsidR="002E6911">
        <w:t>Manufacturing</w:t>
      </w:r>
      <w:r>
        <w:t xml:space="preserve"> </w:t>
      </w:r>
      <w:proofErr w:type="spellStart"/>
      <w:r w:rsidR="002A0607">
        <w:t>ANZSIC06</w:t>
      </w:r>
      <w:proofErr w:type="spellEnd"/>
      <w:r w:rsidR="00C3411B">
        <w:t xml:space="preserve"> </w:t>
      </w:r>
      <w:r w:rsidR="00185150">
        <w:t>sub</w:t>
      </w:r>
      <w:r w:rsidR="003F535F">
        <w:t>division</w:t>
      </w:r>
      <w:r>
        <w:t xml:space="preserve"> </w:t>
      </w:r>
      <w:r w:rsidR="00D15AE1">
        <w:t xml:space="preserve">for these two asset types over </w:t>
      </w:r>
      <w:r w:rsidR="003F535F">
        <w:t>the period 198</w:t>
      </w:r>
      <w:r w:rsidR="0013475E">
        <w:t>7</w:t>
      </w:r>
      <w:r w:rsidR="00FF62BB">
        <w:noBreakHyphen/>
      </w:r>
      <w:r w:rsidR="0013475E">
        <w:t>88</w:t>
      </w:r>
      <w:r w:rsidR="003F535F">
        <w:t xml:space="preserve"> to 2010</w:t>
      </w:r>
      <w:r w:rsidR="00FF62BB">
        <w:noBreakHyphen/>
      </w:r>
      <w:r w:rsidR="003F535F">
        <w:t>11</w:t>
      </w:r>
      <w:r>
        <w:t>.</w:t>
      </w:r>
      <w:r w:rsidR="004527E9">
        <w:t xml:space="preserve"> </w:t>
      </w:r>
      <w:r w:rsidR="00B245E0">
        <w:t>These data were</w:t>
      </w:r>
      <w:r w:rsidR="004527E9">
        <w:t xml:space="preserve"> </w:t>
      </w:r>
      <w:proofErr w:type="spellStart"/>
      <w:r w:rsidR="004527E9">
        <w:t>backcast</w:t>
      </w:r>
      <w:proofErr w:type="spellEnd"/>
      <w:r w:rsidR="004527E9">
        <w:t xml:space="preserve"> to 1974</w:t>
      </w:r>
      <w:r w:rsidR="00FF62BB">
        <w:noBreakHyphen/>
      </w:r>
      <w:r w:rsidR="004527E9">
        <w:t xml:space="preserve">75 using index data regarding </w:t>
      </w:r>
      <w:proofErr w:type="spellStart"/>
      <w:r w:rsidR="004527E9">
        <w:t>PNCE</w:t>
      </w:r>
      <w:proofErr w:type="spellEnd"/>
      <w:r w:rsidR="004527E9">
        <w:t xml:space="preserve"> for non-dwelling construction and machinery and equipment from </w:t>
      </w:r>
      <w:r w:rsidR="004527E9" w:rsidRPr="0007454F">
        <w:t>PC (2003).</w:t>
      </w:r>
      <w:r w:rsidR="004527E9">
        <w:t xml:space="preserve"> </w:t>
      </w:r>
    </w:p>
    <w:p w:rsidR="00E02A9A" w:rsidRPr="00A12447" w:rsidRDefault="006E764A" w:rsidP="00E02A9A">
      <w:pPr>
        <w:pStyle w:val="BodyText"/>
      </w:pPr>
      <w:r>
        <w:t xml:space="preserve">The levels of </w:t>
      </w:r>
      <w:proofErr w:type="spellStart"/>
      <w:r>
        <w:t>GFCF</w:t>
      </w:r>
      <w:proofErr w:type="spellEnd"/>
      <w:r>
        <w:t xml:space="preserve"> and </w:t>
      </w:r>
      <w:proofErr w:type="spellStart"/>
      <w:r>
        <w:t>PNCE</w:t>
      </w:r>
      <w:proofErr w:type="spellEnd"/>
      <w:r>
        <w:t xml:space="preserve"> for </w:t>
      </w:r>
      <w:r w:rsidR="002E6911">
        <w:t>M</w:t>
      </w:r>
      <w:r>
        <w:t xml:space="preserve">anufacturing </w:t>
      </w:r>
      <w:r w:rsidR="002E6911">
        <w:t xml:space="preserve">in aggregate </w:t>
      </w:r>
      <w:r>
        <w:t xml:space="preserve">are considerably different </w:t>
      </w:r>
      <w:r w:rsidR="00E02A9A" w:rsidRPr="00A12447">
        <w:t xml:space="preserve">(figure </w:t>
      </w:r>
      <w:proofErr w:type="spellStart"/>
      <w:r w:rsidR="00261100">
        <w:t>A.3</w:t>
      </w:r>
      <w:proofErr w:type="spellEnd"/>
      <w:r w:rsidR="00E02A9A" w:rsidRPr="00A12447">
        <w:t xml:space="preserve">). While </w:t>
      </w:r>
      <w:proofErr w:type="spellStart"/>
      <w:r w:rsidR="00E02A9A" w:rsidRPr="00A12447">
        <w:t>GFCF</w:t>
      </w:r>
      <w:proofErr w:type="spellEnd"/>
      <w:r w:rsidR="00E02A9A" w:rsidRPr="00A12447">
        <w:t xml:space="preserve"> is </w:t>
      </w:r>
      <w:r w:rsidR="0004349D">
        <w:t>the measure used for national accounting purposes (including the calculation of industry-level MFP estimates)</w:t>
      </w:r>
      <w:r w:rsidR="00E02A9A" w:rsidRPr="00A12447">
        <w:t xml:space="preserve">, there are no </w:t>
      </w:r>
      <w:proofErr w:type="spellStart"/>
      <w:r w:rsidR="00E02A9A" w:rsidRPr="00A12447">
        <w:lastRenderedPageBreak/>
        <w:t>GFCF</w:t>
      </w:r>
      <w:proofErr w:type="spellEnd"/>
      <w:r w:rsidR="00E02A9A" w:rsidRPr="00A12447">
        <w:t xml:space="preserve"> data consistent at a </w:t>
      </w:r>
      <w:r w:rsidR="005C3DEF">
        <w:t>subsector</w:t>
      </w:r>
      <w:r w:rsidR="005C3DEF" w:rsidRPr="00A12447">
        <w:t xml:space="preserve"> </w:t>
      </w:r>
      <w:r w:rsidR="00E02A9A" w:rsidRPr="00A12447">
        <w:t xml:space="preserve">level. </w:t>
      </w:r>
      <w:proofErr w:type="spellStart"/>
      <w:r w:rsidR="00E02A9A" w:rsidRPr="00A12447">
        <w:t>PNCE</w:t>
      </w:r>
      <w:proofErr w:type="spellEnd"/>
      <w:r w:rsidR="00E02A9A" w:rsidRPr="00A12447">
        <w:t xml:space="preserve"> data</w:t>
      </w:r>
      <w:r w:rsidR="00C06387">
        <w:t>, however,</w:t>
      </w:r>
      <w:r w:rsidR="00E02A9A" w:rsidRPr="00A12447">
        <w:t xml:space="preserve"> </w:t>
      </w:r>
      <w:r w:rsidR="005C3DEF">
        <w:t xml:space="preserve">provide </w:t>
      </w:r>
      <w:r w:rsidR="005D5809">
        <w:t xml:space="preserve">information regarding </w:t>
      </w:r>
      <w:r w:rsidR="00191346" w:rsidRPr="00A12447">
        <w:t xml:space="preserve">the share of </w:t>
      </w:r>
      <w:r w:rsidR="00D9733D">
        <w:t xml:space="preserve">total </w:t>
      </w:r>
      <w:r w:rsidR="002E6911">
        <w:t xml:space="preserve">Manufacturing investment </w:t>
      </w:r>
      <w:r w:rsidR="005C3DEF">
        <w:t>undertaken by each subsector</w:t>
      </w:r>
      <w:r w:rsidR="00191346" w:rsidRPr="00A12447">
        <w:t>.</w:t>
      </w:r>
      <w:r w:rsidR="00E02A9A" w:rsidRPr="00A12447">
        <w:t xml:space="preserve"> </w:t>
      </w:r>
    </w:p>
    <w:p w:rsidR="00E02A9A" w:rsidRPr="00A12447" w:rsidRDefault="00E02A9A" w:rsidP="00E02A9A">
      <w:pPr>
        <w:pStyle w:val="FigureTitle"/>
      </w:pPr>
      <w:r w:rsidRPr="00EA3C70">
        <w:rPr>
          <w:b w:val="0"/>
        </w:rPr>
        <w:t xml:space="preserve">Figure </w:t>
      </w:r>
      <w:bookmarkStart w:id="16" w:name="OLE_LINK13"/>
      <w:proofErr w:type="spellStart"/>
      <w:r w:rsidR="00261100">
        <w:rPr>
          <w:b w:val="0"/>
        </w:rPr>
        <w:t>A.</w:t>
      </w:r>
      <w:r w:rsidR="001459D9">
        <w:rPr>
          <w:b w:val="0"/>
          <w:noProof/>
        </w:rPr>
        <w:t>3</w:t>
      </w:r>
      <w:bookmarkEnd w:id="16"/>
      <w:proofErr w:type="spellEnd"/>
      <w:r w:rsidRPr="00A12447">
        <w:tab/>
        <w:t>Current price investment measures</w:t>
      </w:r>
      <w:r w:rsidR="00E105CD" w:rsidRPr="00775E05">
        <w:rPr>
          <w:rStyle w:val="NoteLabel"/>
          <w:b/>
        </w:rPr>
        <w:t>a</w:t>
      </w:r>
      <w:r w:rsidRPr="00A12447">
        <w:t xml:space="preserve"> for </w:t>
      </w:r>
      <w:r w:rsidR="00775E05">
        <w:t>M</w:t>
      </w:r>
      <w:r w:rsidRPr="00A12447">
        <w:t>anufacturing</w:t>
      </w:r>
    </w:p>
    <w:p w:rsidR="00E02A9A" w:rsidRPr="00A12447" w:rsidRDefault="00775E05" w:rsidP="00E02A9A">
      <w:pPr>
        <w:pStyle w:val="Subtitle"/>
      </w:pPr>
      <w:r>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02A9A" w:rsidRPr="00A12447" w:rsidTr="00732933">
        <w:tc>
          <w:tcPr>
            <w:tcW w:w="8777" w:type="dxa"/>
          </w:tcPr>
          <w:p w:rsidR="00E02A9A" w:rsidRPr="00A12447" w:rsidRDefault="00CF42E7" w:rsidP="00732933">
            <w:pPr>
              <w:pStyle w:val="Figure"/>
            </w:pPr>
            <w:r>
              <w:pict>
                <v:shape id="_x0000_i1026" type="#_x0000_t75" alt="This figure shows that the levels of GFCF and PNCE investment measures for Manufacturing in aggregate are considerably different in the period 1988-89 to 2010-11. While both measures follow a relatively similar trend GFCF levels are higher than PNCE levels especially after 2001-02." style="width:424.45pt;height:198.4pt">
                  <v:imagedata r:id="rId10" o:title=""/>
                </v:shape>
              </w:pict>
            </w:r>
          </w:p>
        </w:tc>
      </w:tr>
    </w:tbl>
    <w:p w:rsidR="00E02A9A" w:rsidRPr="00A12447" w:rsidRDefault="00E02A9A" w:rsidP="00E02A9A">
      <w:pPr>
        <w:pStyle w:val="Note"/>
      </w:pPr>
      <w:r w:rsidRPr="00EC1F6C">
        <w:rPr>
          <w:rStyle w:val="NoteLabel"/>
        </w:rPr>
        <w:t>a</w:t>
      </w:r>
      <w:r w:rsidRPr="00A12447">
        <w:t xml:space="preserve"> </w:t>
      </w:r>
      <w:proofErr w:type="spellStart"/>
      <w:r w:rsidRPr="00A12447">
        <w:t>PNCE</w:t>
      </w:r>
      <w:proofErr w:type="spellEnd"/>
      <w:r w:rsidRPr="00A12447">
        <w:t xml:space="preserve"> only includes expenditure on </w:t>
      </w:r>
      <w:r w:rsidR="00775E05">
        <w:t xml:space="preserve">Machinery and equipment and Non-dwelling construction </w:t>
      </w:r>
      <w:r w:rsidRPr="00A12447">
        <w:t xml:space="preserve">asset types, and so </w:t>
      </w:r>
      <w:proofErr w:type="spellStart"/>
      <w:r w:rsidRPr="00A12447">
        <w:t>GFCF</w:t>
      </w:r>
      <w:proofErr w:type="spellEnd"/>
      <w:r w:rsidRPr="00A12447">
        <w:t xml:space="preserve"> for those asset types is presented here for comparison.</w:t>
      </w:r>
    </w:p>
    <w:p w:rsidR="00E02A9A" w:rsidRPr="00A12447" w:rsidRDefault="00E02A9A" w:rsidP="00E02A9A">
      <w:pPr>
        <w:pStyle w:val="Source"/>
      </w:pPr>
      <w:r w:rsidRPr="00EC1F6C">
        <w:rPr>
          <w:i/>
        </w:rPr>
        <w:t>Data source</w:t>
      </w:r>
      <w:r w:rsidR="00F96295">
        <w:rPr>
          <w:i/>
        </w:rPr>
        <w:t>s</w:t>
      </w:r>
      <w:r w:rsidRPr="00564BDC">
        <w:t>:</w:t>
      </w:r>
      <w:r w:rsidRPr="00A12447">
        <w:t xml:space="preserve"> </w:t>
      </w:r>
      <w:r w:rsidR="00C500A0">
        <w:t>ABS (u</w:t>
      </w:r>
      <w:r w:rsidR="00EA3C70">
        <w:t xml:space="preserve">npublished </w:t>
      </w:r>
      <w:r w:rsidR="00C500A0">
        <w:t xml:space="preserve">Survey of </w:t>
      </w:r>
      <w:r w:rsidR="00EA3C70" w:rsidRPr="00C500A0">
        <w:t xml:space="preserve">New Capital Expenditure </w:t>
      </w:r>
      <w:r w:rsidR="00C500A0" w:rsidRPr="00C500A0">
        <w:t>data</w:t>
      </w:r>
      <w:r w:rsidR="00EA3C70">
        <w:t>);</w:t>
      </w:r>
      <w:r w:rsidRPr="00A12447">
        <w:t xml:space="preserve"> </w:t>
      </w:r>
      <w:r w:rsidR="00242242">
        <w:t>ABS (</w:t>
      </w:r>
      <w:r w:rsidR="00242242">
        <w:rPr>
          <w:i/>
        </w:rPr>
        <w:t>Australian System of National Accounts</w:t>
      </w:r>
      <w:r w:rsidR="00242242" w:rsidRPr="00242242">
        <w:rPr>
          <w:i/>
        </w:rPr>
        <w:t>, 201</w:t>
      </w:r>
      <w:r w:rsidR="001909A9">
        <w:rPr>
          <w:i/>
        </w:rPr>
        <w:t>0</w:t>
      </w:r>
      <w:r w:rsidR="00FF62BB">
        <w:rPr>
          <w:i/>
        </w:rPr>
        <w:noBreakHyphen/>
      </w:r>
      <w:r w:rsidR="001909A9">
        <w:rPr>
          <w:i/>
        </w:rPr>
        <w:t>1</w:t>
      </w:r>
      <w:r w:rsidR="00242242" w:rsidRPr="00242242">
        <w:rPr>
          <w:i/>
        </w:rPr>
        <w:t>1</w:t>
      </w:r>
      <w:r w:rsidR="00242242">
        <w:t>,</w:t>
      </w:r>
      <w:r w:rsidR="00242242">
        <w:rPr>
          <w:i/>
        </w:rPr>
        <w:t xml:space="preserve"> </w:t>
      </w:r>
      <w:r w:rsidR="00242242" w:rsidRPr="00242242">
        <w:t>Cat. no.</w:t>
      </w:r>
      <w:r w:rsidR="00242242">
        <w:rPr>
          <w:i/>
        </w:rPr>
        <w:t xml:space="preserve"> </w:t>
      </w:r>
      <w:r w:rsidRPr="00A12447">
        <w:t>5204.0</w:t>
      </w:r>
      <w:r w:rsidR="00242242">
        <w:t>).</w:t>
      </w:r>
    </w:p>
    <w:p w:rsidR="0040170D" w:rsidRDefault="0098790C" w:rsidP="00E02A9A">
      <w:pPr>
        <w:pStyle w:val="BodyText"/>
      </w:pPr>
      <w:proofErr w:type="spellStart"/>
      <w:r>
        <w:t>GFCF</w:t>
      </w:r>
      <w:proofErr w:type="spellEnd"/>
      <w:r>
        <w:t xml:space="preserve"> and </w:t>
      </w:r>
      <w:proofErr w:type="spellStart"/>
      <w:r>
        <w:t>PNCE</w:t>
      </w:r>
      <w:proofErr w:type="spellEnd"/>
      <w:r>
        <w:t xml:space="preserve"> can differ for a number of reasons. </w:t>
      </w:r>
    </w:p>
    <w:p w:rsidR="0040170D" w:rsidRDefault="0098790C" w:rsidP="00FC2EF1">
      <w:pPr>
        <w:pStyle w:val="ListBullet"/>
      </w:pPr>
      <w:proofErr w:type="spellStart"/>
      <w:r>
        <w:t>GFCF</w:t>
      </w:r>
      <w:proofErr w:type="spellEnd"/>
      <w:r>
        <w:t xml:space="preserve"> is a measure that takes into account the purchase and disposal of second-hand assets, whereas </w:t>
      </w:r>
      <w:proofErr w:type="spellStart"/>
      <w:r>
        <w:t>PNCE</w:t>
      </w:r>
      <w:proofErr w:type="spellEnd"/>
      <w:r>
        <w:t xml:space="preserve"> does not. </w:t>
      </w:r>
    </w:p>
    <w:p w:rsidR="006B1891" w:rsidRDefault="0040170D" w:rsidP="00FC2EF1">
      <w:pPr>
        <w:pStyle w:val="ListBullet"/>
      </w:pPr>
      <w:r>
        <w:t xml:space="preserve">The survey used to determine </w:t>
      </w:r>
      <w:proofErr w:type="spellStart"/>
      <w:r>
        <w:t>GFCF</w:t>
      </w:r>
      <w:proofErr w:type="spellEnd"/>
      <w:r>
        <w:t xml:space="preserve"> for non-dwelling construction differs from that </w:t>
      </w:r>
      <w:r w:rsidR="001F66F2">
        <w:t>used for</w:t>
      </w:r>
      <w:r w:rsidR="002F0C2B">
        <w:t xml:space="preserve"> ‘Buildings’ in</w:t>
      </w:r>
      <w:r>
        <w:t xml:space="preserve"> </w:t>
      </w:r>
      <w:proofErr w:type="spellStart"/>
      <w:r>
        <w:t>PNCE</w:t>
      </w:r>
      <w:proofErr w:type="spellEnd"/>
      <w:r>
        <w:t>.</w:t>
      </w:r>
    </w:p>
    <w:p w:rsidR="0040170D" w:rsidRDefault="0040170D" w:rsidP="00FC2EF1">
      <w:pPr>
        <w:pStyle w:val="ListBullet"/>
      </w:pPr>
      <w:proofErr w:type="spellStart"/>
      <w:r>
        <w:t>GFCF</w:t>
      </w:r>
      <w:proofErr w:type="spellEnd"/>
      <w:r>
        <w:t xml:space="preserve"> is calculated in aggregate as part of the ABS supply-use framework and then apportioned to industry divisions. </w:t>
      </w:r>
      <w:proofErr w:type="spellStart"/>
      <w:r>
        <w:t>PNCE</w:t>
      </w:r>
      <w:proofErr w:type="spellEnd"/>
      <w:r>
        <w:t xml:space="preserve"> is surveyed at the subdivision level for manufacturing, and then summed to get an aggregate industry division measure. </w:t>
      </w:r>
    </w:p>
    <w:p w:rsidR="00932DCE" w:rsidRDefault="00932DCE">
      <w:pPr>
        <w:overflowPunct/>
        <w:autoSpaceDE/>
        <w:autoSpaceDN/>
        <w:adjustRightInd/>
      </w:pPr>
      <w:r>
        <w:br w:type="page"/>
      </w:r>
    </w:p>
    <w:p w:rsidR="00E02A9A" w:rsidRPr="00A12447" w:rsidRDefault="00E02A9A" w:rsidP="00E02A9A">
      <w:pPr>
        <w:pStyle w:val="BodyText"/>
      </w:pPr>
      <w:r w:rsidRPr="00A12447">
        <w:lastRenderedPageBreak/>
        <w:t xml:space="preserve">The approach taken </w:t>
      </w:r>
      <w:r w:rsidR="005A1157">
        <w:t>in this paper</w:t>
      </w:r>
      <w:r w:rsidRPr="00A12447">
        <w:t xml:space="preserve">, following consultation with the ABS, </w:t>
      </w:r>
      <w:r w:rsidR="005A1157">
        <w:t>was</w:t>
      </w:r>
      <w:r w:rsidR="005A1157" w:rsidRPr="00A12447">
        <w:t xml:space="preserve"> </w:t>
      </w:r>
      <w:r w:rsidRPr="00A12447">
        <w:t xml:space="preserve">to use the </w:t>
      </w:r>
      <w:r w:rsidR="003F535F">
        <w:t xml:space="preserve">quarterly </w:t>
      </w:r>
      <w:proofErr w:type="spellStart"/>
      <w:r w:rsidRPr="00A12447">
        <w:t>PNCE</w:t>
      </w:r>
      <w:proofErr w:type="spellEnd"/>
      <w:r w:rsidRPr="00A12447">
        <w:t xml:space="preserve"> data to apportion the </w:t>
      </w:r>
      <w:r w:rsidR="003F535F">
        <w:t>financial</w:t>
      </w:r>
      <w:r w:rsidR="009D04A8">
        <w:t>-</w:t>
      </w:r>
      <w:r w:rsidR="003F535F">
        <w:t>year</w:t>
      </w:r>
      <w:r w:rsidR="005A1157">
        <w:t xml:space="preserve"> </w:t>
      </w:r>
      <w:proofErr w:type="spellStart"/>
      <w:r w:rsidR="005A1157">
        <w:t>GFCF</w:t>
      </w:r>
      <w:proofErr w:type="spellEnd"/>
      <w:r w:rsidR="005A1157">
        <w:t xml:space="preserve"> data for the </w:t>
      </w:r>
      <w:r w:rsidR="002E6911">
        <w:t>Manufacturing</w:t>
      </w:r>
      <w:r w:rsidRPr="00A12447">
        <w:t xml:space="preserve"> division </w:t>
      </w:r>
      <w:r w:rsidR="005A1157">
        <w:t>across</w:t>
      </w:r>
      <w:r w:rsidR="00766953">
        <w:t xml:space="preserve"> the</w:t>
      </w:r>
      <w:r w:rsidR="005A1157">
        <w:t xml:space="preserve"> subsectors</w:t>
      </w:r>
      <w:r w:rsidRPr="00A12447">
        <w:t xml:space="preserve"> by asset type. This approach allows measures of capital services to be estimated </w:t>
      </w:r>
      <w:r w:rsidR="00805770">
        <w:t>that</w:t>
      </w:r>
      <w:r w:rsidR="00805770" w:rsidRPr="00A12447">
        <w:t xml:space="preserve"> </w:t>
      </w:r>
      <w:r w:rsidRPr="00A12447">
        <w:t>are broadly consistent with those of the ABS.</w:t>
      </w:r>
      <w:r w:rsidRPr="00A12447">
        <w:rPr>
          <w:rStyle w:val="FootnoteReference"/>
        </w:rPr>
        <w:footnoteReference w:id="9"/>
      </w:r>
      <w:r w:rsidR="00056DEB">
        <w:t xml:space="preserve"> (The effect on the capital services measure of using </w:t>
      </w:r>
      <w:proofErr w:type="spellStart"/>
      <w:r w:rsidR="00056DEB">
        <w:t>PNCE</w:t>
      </w:r>
      <w:proofErr w:type="spellEnd"/>
      <w:r w:rsidR="00056DEB">
        <w:t xml:space="preserve"> data instead is discussed in box </w:t>
      </w:r>
      <w:proofErr w:type="spellStart"/>
      <w:r w:rsidR="003F215F">
        <w:t>A.3</w:t>
      </w:r>
      <w:proofErr w:type="spellEnd"/>
      <w:r w:rsidR="008D28B4">
        <w:t>.)</w:t>
      </w:r>
      <w:r w:rsidR="00056DEB">
        <w:t xml:space="preserve"> </w:t>
      </w:r>
    </w:p>
    <w:p w:rsidR="004D15EB" w:rsidRDefault="004D15EB" w:rsidP="004D15E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15EB" w:rsidRPr="00BD1002" w:rsidTr="009A723E">
        <w:tc>
          <w:tcPr>
            <w:tcW w:w="8771" w:type="dxa"/>
            <w:tcBorders>
              <w:top w:val="single" w:sz="6" w:space="0" w:color="auto"/>
              <w:bottom w:val="nil"/>
            </w:tcBorders>
          </w:tcPr>
          <w:p w:rsidR="004D15EB" w:rsidRPr="00B43BE3" w:rsidRDefault="004D15EB" w:rsidP="00C500A0">
            <w:pPr>
              <w:pStyle w:val="BoxTitle"/>
              <w:rPr>
                <w:sz w:val="24"/>
                <w:szCs w:val="24"/>
              </w:rPr>
            </w:pPr>
            <w:r w:rsidRPr="00B43BE3">
              <w:rPr>
                <w:b w:val="0"/>
                <w:sz w:val="24"/>
                <w:szCs w:val="24"/>
              </w:rPr>
              <w:t xml:space="preserve">Box </w:t>
            </w:r>
            <w:bookmarkStart w:id="17" w:name="OLE_LINK26"/>
            <w:proofErr w:type="spellStart"/>
            <w:r w:rsidR="003F215F" w:rsidRPr="00B43BE3">
              <w:rPr>
                <w:b w:val="0"/>
                <w:sz w:val="24"/>
                <w:szCs w:val="24"/>
              </w:rPr>
              <w:t>A.</w:t>
            </w:r>
            <w:r w:rsidR="001459D9">
              <w:rPr>
                <w:b w:val="0"/>
                <w:noProof/>
                <w:sz w:val="24"/>
                <w:szCs w:val="24"/>
              </w:rPr>
              <w:t>3</w:t>
            </w:r>
            <w:bookmarkEnd w:id="17"/>
            <w:proofErr w:type="spellEnd"/>
            <w:r w:rsidRPr="00B43BE3">
              <w:rPr>
                <w:sz w:val="24"/>
                <w:szCs w:val="24"/>
              </w:rPr>
              <w:tab/>
            </w:r>
            <w:r w:rsidR="00C500A0" w:rsidRPr="00B43BE3">
              <w:rPr>
                <w:sz w:val="24"/>
                <w:szCs w:val="24"/>
              </w:rPr>
              <w:t>E</w:t>
            </w:r>
            <w:r w:rsidRPr="00B43BE3">
              <w:rPr>
                <w:sz w:val="24"/>
                <w:szCs w:val="24"/>
              </w:rPr>
              <w:t>ffect of using an alternative capital measure</w:t>
            </w:r>
          </w:p>
        </w:tc>
      </w:tr>
      <w:tr w:rsidR="004D15EB" w:rsidTr="009A723E">
        <w:trPr>
          <w:cantSplit/>
        </w:trPr>
        <w:tc>
          <w:tcPr>
            <w:tcW w:w="8771" w:type="dxa"/>
            <w:tcBorders>
              <w:top w:val="nil"/>
              <w:left w:val="single" w:sz="6" w:space="0" w:color="auto"/>
              <w:bottom w:val="nil"/>
              <w:right w:val="single" w:sz="6" w:space="0" w:color="auto"/>
            </w:tcBorders>
          </w:tcPr>
          <w:p w:rsidR="008507A1" w:rsidRDefault="004D15EB" w:rsidP="009A723E">
            <w:pPr>
              <w:pStyle w:val="Box"/>
            </w:pPr>
            <w:r>
              <w:t xml:space="preserve">The </w:t>
            </w:r>
            <w:proofErr w:type="spellStart"/>
            <w:r>
              <w:t>PNCE</w:t>
            </w:r>
            <w:proofErr w:type="spellEnd"/>
            <w:r>
              <w:t xml:space="preserve"> data available at the subdivision level </w:t>
            </w:r>
            <w:r w:rsidR="00383042">
              <w:t>were</w:t>
            </w:r>
            <w:r w:rsidR="002D7FC6">
              <w:t xml:space="preserve"> </w:t>
            </w:r>
            <w:r>
              <w:t xml:space="preserve">used to apportion </w:t>
            </w:r>
            <w:proofErr w:type="spellStart"/>
            <w:r>
              <w:t>GFCF</w:t>
            </w:r>
            <w:proofErr w:type="spellEnd"/>
            <w:r>
              <w:t xml:space="preserve"> data from the division level to each of the </w:t>
            </w:r>
            <w:r w:rsidR="002E6911">
              <w:t>Manufacturing</w:t>
            </w:r>
            <w:r>
              <w:t xml:space="preserve"> subsectors. </w:t>
            </w:r>
            <w:proofErr w:type="spellStart"/>
            <w:r>
              <w:t>GFCF</w:t>
            </w:r>
            <w:proofErr w:type="spellEnd"/>
            <w:r>
              <w:t xml:space="preserve"> </w:t>
            </w:r>
            <w:r w:rsidR="002D7FC6">
              <w:t xml:space="preserve">was </w:t>
            </w:r>
            <w:r>
              <w:t xml:space="preserve">used as it is the investment measure used by the ABS for their aggregate and division-level productivity estimates. </w:t>
            </w:r>
          </w:p>
          <w:p w:rsidR="008507A1" w:rsidRDefault="004D15EB" w:rsidP="008507A1">
            <w:pPr>
              <w:pStyle w:val="Box"/>
            </w:pPr>
            <w:r>
              <w:t xml:space="preserve">An alternative approach would be to use the </w:t>
            </w:r>
            <w:proofErr w:type="spellStart"/>
            <w:r>
              <w:t>PNCE</w:t>
            </w:r>
            <w:proofErr w:type="spellEnd"/>
            <w:r>
              <w:t xml:space="preserve"> data itself to derive capital services for Manufacturing productivity analysis at the subdivision </w:t>
            </w:r>
            <w:r w:rsidR="008507A1">
              <w:t xml:space="preserve">level. The growth rates in each capital services measure (authors’ estimates based on </w:t>
            </w:r>
            <w:proofErr w:type="spellStart"/>
            <w:r w:rsidR="008507A1">
              <w:t>PNCE</w:t>
            </w:r>
            <w:proofErr w:type="spellEnd"/>
            <w:r w:rsidR="008507A1">
              <w:t xml:space="preserve">-based, </w:t>
            </w:r>
            <w:proofErr w:type="spellStart"/>
            <w:r w:rsidR="008507A1">
              <w:t>GFCF</w:t>
            </w:r>
            <w:proofErr w:type="spellEnd"/>
            <w:r w:rsidR="00691FA4">
              <w:noBreakHyphen/>
            </w:r>
            <w:r w:rsidR="008507A1">
              <w:t xml:space="preserve">based and the ABS published capital services index) are presented. Over the last two productivity cycles, the main period of interest of this paper, the </w:t>
            </w:r>
            <w:proofErr w:type="spellStart"/>
            <w:r w:rsidR="008507A1">
              <w:t>GFCF</w:t>
            </w:r>
            <w:proofErr w:type="spellEnd"/>
            <w:r w:rsidR="008507A1">
              <w:t>-based measures match those of the ABS much more closely.</w:t>
            </w:r>
          </w:p>
          <w:p w:rsidR="008507A1" w:rsidRPr="00B43BE3" w:rsidRDefault="00AC2331" w:rsidP="00AC2331">
            <w:pPr>
              <w:pStyle w:val="BodyText"/>
              <w:rPr>
                <w:rFonts w:ascii="Arial" w:hAnsi="Arial" w:cs="Arial"/>
                <w:b/>
                <w:sz w:val="22"/>
                <w:szCs w:val="22"/>
              </w:rPr>
            </w:pPr>
            <w:r w:rsidRPr="00B43BE3">
              <w:rPr>
                <w:rFonts w:ascii="Arial" w:hAnsi="Arial" w:cs="Arial"/>
                <w:b/>
                <w:sz w:val="22"/>
                <w:szCs w:val="22"/>
              </w:rPr>
              <w:t>Average annual g</w:t>
            </w:r>
            <w:r w:rsidR="008507A1" w:rsidRPr="00B43BE3">
              <w:rPr>
                <w:rFonts w:ascii="Arial" w:hAnsi="Arial" w:cs="Arial"/>
                <w:b/>
                <w:sz w:val="22"/>
                <w:szCs w:val="22"/>
              </w:rPr>
              <w:t xml:space="preserve">rowth in </w:t>
            </w:r>
            <w:r w:rsidR="002E6911" w:rsidRPr="00B43BE3">
              <w:rPr>
                <w:rFonts w:ascii="Arial" w:hAnsi="Arial" w:cs="Arial"/>
                <w:b/>
                <w:sz w:val="22"/>
                <w:szCs w:val="22"/>
              </w:rPr>
              <w:t>Manufacturing</w:t>
            </w:r>
            <w:r w:rsidR="008507A1" w:rsidRPr="00B43BE3">
              <w:rPr>
                <w:rFonts w:ascii="Arial" w:hAnsi="Arial" w:cs="Arial"/>
                <w:b/>
                <w:sz w:val="22"/>
                <w:szCs w:val="22"/>
              </w:rPr>
              <w:t xml:space="preserve"> capital services measur</w:t>
            </w:r>
            <w:r w:rsidRPr="00B43BE3">
              <w:rPr>
                <w:rFonts w:ascii="Arial" w:hAnsi="Arial" w:cs="Arial"/>
                <w:b/>
                <w:sz w:val="22"/>
                <w:szCs w:val="22"/>
              </w:rPr>
              <w:t>es by cycle</w:t>
            </w:r>
          </w:p>
          <w:tbl>
            <w:tblPr>
              <w:tblW w:w="5000" w:type="pct"/>
              <w:tblLayout w:type="fixed"/>
              <w:tblCellMar>
                <w:left w:w="0" w:type="dxa"/>
                <w:right w:w="0" w:type="dxa"/>
              </w:tblCellMar>
              <w:tblLook w:val="0000" w:firstRow="0" w:lastRow="0" w:firstColumn="0" w:lastColumn="0" w:noHBand="0" w:noVBand="0"/>
            </w:tblPr>
            <w:tblGrid>
              <w:gridCol w:w="1540"/>
              <w:gridCol w:w="1388"/>
              <w:gridCol w:w="1390"/>
              <w:gridCol w:w="1390"/>
              <w:gridCol w:w="1217"/>
              <w:gridCol w:w="1562"/>
            </w:tblGrid>
            <w:tr w:rsidR="008507A1" w:rsidRPr="00263927" w:rsidTr="00691FA4">
              <w:tc>
                <w:tcPr>
                  <w:tcW w:w="907" w:type="pct"/>
                  <w:tcBorders>
                    <w:top w:val="single" w:sz="6" w:space="0" w:color="auto"/>
                    <w:bottom w:val="single" w:sz="6" w:space="0" w:color="auto"/>
                  </w:tcBorders>
                  <w:shd w:val="clear" w:color="auto" w:fill="auto"/>
                  <w:vAlign w:val="bottom"/>
                </w:tcPr>
                <w:p w:rsidR="008507A1" w:rsidRPr="00691FA4" w:rsidRDefault="008507A1" w:rsidP="00C96371">
                  <w:pPr>
                    <w:pStyle w:val="TableColumnHeading"/>
                  </w:pPr>
                </w:p>
              </w:tc>
              <w:tc>
                <w:tcPr>
                  <w:tcW w:w="818" w:type="pct"/>
                  <w:tcBorders>
                    <w:top w:val="single" w:sz="6" w:space="0" w:color="auto"/>
                    <w:bottom w:val="single" w:sz="6" w:space="0" w:color="auto"/>
                  </w:tcBorders>
                  <w:shd w:val="clear" w:color="auto" w:fill="auto"/>
                  <w:vAlign w:val="bottom"/>
                </w:tcPr>
                <w:p w:rsidR="008507A1" w:rsidRPr="00691FA4" w:rsidRDefault="008507A1" w:rsidP="00C96371">
                  <w:pPr>
                    <w:pStyle w:val="TableColumnHeading"/>
                  </w:pPr>
                  <w:r w:rsidRPr="00691FA4">
                    <w:t>Cycle 1</w:t>
                  </w:r>
                </w:p>
              </w:tc>
              <w:tc>
                <w:tcPr>
                  <w:tcW w:w="819" w:type="pct"/>
                  <w:tcBorders>
                    <w:top w:val="single" w:sz="6" w:space="0" w:color="auto"/>
                    <w:bottom w:val="single" w:sz="6" w:space="0" w:color="auto"/>
                  </w:tcBorders>
                  <w:shd w:val="clear" w:color="auto" w:fill="auto"/>
                  <w:vAlign w:val="bottom"/>
                </w:tcPr>
                <w:p w:rsidR="008507A1" w:rsidRPr="00691FA4" w:rsidRDefault="008507A1" w:rsidP="00C96371">
                  <w:pPr>
                    <w:pStyle w:val="TableColumnHeading"/>
                  </w:pPr>
                  <w:r w:rsidRPr="00691FA4">
                    <w:t>Cycle 2</w:t>
                  </w:r>
                </w:p>
              </w:tc>
              <w:tc>
                <w:tcPr>
                  <w:tcW w:w="819" w:type="pct"/>
                  <w:tcBorders>
                    <w:top w:val="single" w:sz="6" w:space="0" w:color="auto"/>
                    <w:bottom w:val="single" w:sz="6" w:space="0" w:color="auto"/>
                  </w:tcBorders>
                  <w:shd w:val="clear" w:color="auto" w:fill="auto"/>
                  <w:vAlign w:val="bottom"/>
                </w:tcPr>
                <w:p w:rsidR="008507A1" w:rsidRPr="00691FA4" w:rsidRDefault="008507A1" w:rsidP="00C96371">
                  <w:pPr>
                    <w:pStyle w:val="TableColumnHeading"/>
                  </w:pPr>
                  <w:r w:rsidRPr="00691FA4">
                    <w:t>Cycle 3</w:t>
                  </w:r>
                </w:p>
              </w:tc>
              <w:tc>
                <w:tcPr>
                  <w:tcW w:w="717" w:type="pct"/>
                  <w:tcBorders>
                    <w:top w:val="single" w:sz="6" w:space="0" w:color="auto"/>
                    <w:bottom w:val="single" w:sz="6" w:space="0" w:color="auto"/>
                  </w:tcBorders>
                  <w:shd w:val="clear" w:color="auto" w:fill="auto"/>
                  <w:vAlign w:val="bottom"/>
                </w:tcPr>
                <w:p w:rsidR="008507A1" w:rsidRPr="00691FA4" w:rsidRDefault="008507A1" w:rsidP="00C96371">
                  <w:pPr>
                    <w:pStyle w:val="TableColumnHeading"/>
                  </w:pPr>
                  <w:r w:rsidRPr="00691FA4">
                    <w:t>Cycle 4</w:t>
                  </w:r>
                </w:p>
              </w:tc>
              <w:tc>
                <w:tcPr>
                  <w:tcW w:w="921" w:type="pct"/>
                  <w:tcBorders>
                    <w:top w:val="single" w:sz="6" w:space="0" w:color="auto"/>
                    <w:bottom w:val="single" w:sz="6" w:space="0" w:color="auto"/>
                  </w:tcBorders>
                  <w:vAlign w:val="bottom"/>
                </w:tcPr>
                <w:p w:rsidR="008507A1" w:rsidRPr="00691FA4" w:rsidRDefault="008507A1" w:rsidP="00691FA4">
                  <w:pPr>
                    <w:pStyle w:val="TableColumnHeading"/>
                  </w:pPr>
                  <w:r w:rsidRPr="00691FA4">
                    <w:t xml:space="preserve">Difference between </w:t>
                  </w:r>
                  <w:r w:rsidR="00691FA4" w:rsidRPr="00691FA4">
                    <w:br/>
                  </w:r>
                  <w:r w:rsidRPr="00691FA4">
                    <w:t>cycles 3</w:t>
                  </w:r>
                  <w:r w:rsidR="00691FA4" w:rsidRPr="00691FA4">
                    <w:t xml:space="preserve"> </w:t>
                  </w:r>
                  <w:r w:rsidRPr="00691FA4">
                    <w:t>and 4</w:t>
                  </w:r>
                </w:p>
              </w:tc>
            </w:tr>
            <w:tr w:rsidR="008507A1" w:rsidRPr="00F01364" w:rsidTr="00691FA4">
              <w:tc>
                <w:tcPr>
                  <w:tcW w:w="907" w:type="pct"/>
                  <w:tcBorders>
                    <w:top w:val="single" w:sz="6" w:space="0" w:color="auto"/>
                  </w:tcBorders>
                </w:tcPr>
                <w:p w:rsidR="008507A1" w:rsidRPr="00564BDC" w:rsidRDefault="008507A1" w:rsidP="009A723E">
                  <w:pPr>
                    <w:pStyle w:val="TableColumnHeading"/>
                  </w:pPr>
                </w:p>
              </w:tc>
              <w:tc>
                <w:tcPr>
                  <w:tcW w:w="818" w:type="pct"/>
                  <w:tcBorders>
                    <w:top w:val="single" w:sz="6" w:space="0" w:color="auto"/>
                  </w:tcBorders>
                </w:tcPr>
                <w:p w:rsidR="008507A1" w:rsidRPr="00564BDC" w:rsidRDefault="008507A1" w:rsidP="009A723E">
                  <w:pPr>
                    <w:pStyle w:val="TableColumnHeading"/>
                  </w:pPr>
                  <w:r w:rsidRPr="00564BDC">
                    <w:t>%</w:t>
                  </w:r>
                  <w:r w:rsidR="008B37D5" w:rsidRPr="00564BDC">
                    <w:t xml:space="preserve"> </w:t>
                  </w:r>
                  <w:proofErr w:type="spellStart"/>
                  <w:r w:rsidR="00CC074D" w:rsidRPr="00564BDC">
                    <w:t>py</w:t>
                  </w:r>
                  <w:proofErr w:type="spellEnd"/>
                </w:p>
              </w:tc>
              <w:tc>
                <w:tcPr>
                  <w:tcW w:w="819" w:type="pct"/>
                  <w:tcBorders>
                    <w:top w:val="single" w:sz="6" w:space="0" w:color="auto"/>
                  </w:tcBorders>
                </w:tcPr>
                <w:p w:rsidR="008507A1" w:rsidRPr="00564BDC" w:rsidRDefault="00CC074D" w:rsidP="009A723E">
                  <w:pPr>
                    <w:pStyle w:val="TableColumnHeading"/>
                  </w:pPr>
                  <w:r w:rsidRPr="00564BDC">
                    <w:t>%</w:t>
                  </w:r>
                  <w:r w:rsidR="008B37D5" w:rsidRPr="00564BDC">
                    <w:t xml:space="preserve"> </w:t>
                  </w:r>
                  <w:proofErr w:type="spellStart"/>
                  <w:r w:rsidRPr="00564BDC">
                    <w:t>py</w:t>
                  </w:r>
                  <w:proofErr w:type="spellEnd"/>
                </w:p>
              </w:tc>
              <w:tc>
                <w:tcPr>
                  <w:tcW w:w="819" w:type="pct"/>
                  <w:tcBorders>
                    <w:top w:val="single" w:sz="6" w:space="0" w:color="auto"/>
                  </w:tcBorders>
                </w:tcPr>
                <w:p w:rsidR="008507A1" w:rsidRPr="00564BDC" w:rsidRDefault="00CC074D" w:rsidP="009A723E">
                  <w:pPr>
                    <w:pStyle w:val="TableColumnHeading"/>
                  </w:pPr>
                  <w:r w:rsidRPr="00564BDC">
                    <w:t>%</w:t>
                  </w:r>
                  <w:r w:rsidR="008B37D5" w:rsidRPr="00564BDC">
                    <w:t xml:space="preserve"> </w:t>
                  </w:r>
                  <w:proofErr w:type="spellStart"/>
                  <w:r w:rsidRPr="00564BDC">
                    <w:t>py</w:t>
                  </w:r>
                  <w:proofErr w:type="spellEnd"/>
                </w:p>
              </w:tc>
              <w:tc>
                <w:tcPr>
                  <w:tcW w:w="717" w:type="pct"/>
                  <w:tcBorders>
                    <w:top w:val="single" w:sz="6" w:space="0" w:color="auto"/>
                  </w:tcBorders>
                </w:tcPr>
                <w:p w:rsidR="008507A1" w:rsidRPr="00564BDC" w:rsidRDefault="00CC074D" w:rsidP="009A723E">
                  <w:pPr>
                    <w:pStyle w:val="TableColumnHeading"/>
                  </w:pPr>
                  <w:r w:rsidRPr="00564BDC">
                    <w:t>%</w:t>
                  </w:r>
                  <w:r w:rsidR="008B37D5" w:rsidRPr="00564BDC">
                    <w:t xml:space="preserve"> </w:t>
                  </w:r>
                  <w:proofErr w:type="spellStart"/>
                  <w:r w:rsidRPr="00564BDC">
                    <w:t>py</w:t>
                  </w:r>
                  <w:proofErr w:type="spellEnd"/>
                </w:p>
              </w:tc>
              <w:tc>
                <w:tcPr>
                  <w:tcW w:w="921" w:type="pct"/>
                  <w:tcBorders>
                    <w:top w:val="single" w:sz="6" w:space="0" w:color="auto"/>
                  </w:tcBorders>
                </w:tcPr>
                <w:p w:rsidR="008507A1" w:rsidRPr="00564BDC" w:rsidRDefault="00AC2331" w:rsidP="009A723E">
                  <w:pPr>
                    <w:pStyle w:val="TableColumnHeading"/>
                  </w:pPr>
                  <w:r w:rsidRPr="00564BDC">
                    <w:t>%</w:t>
                  </w:r>
                  <w:r w:rsidR="008B37D5" w:rsidRPr="00564BDC">
                    <w:t xml:space="preserve"> </w:t>
                  </w:r>
                  <w:proofErr w:type="spellStart"/>
                  <w:r w:rsidR="00771DD7" w:rsidRPr="00564BDC">
                    <w:t>pts</w:t>
                  </w:r>
                  <w:proofErr w:type="spellEnd"/>
                </w:p>
              </w:tc>
            </w:tr>
            <w:tr w:rsidR="008507A1" w:rsidTr="00691FA4">
              <w:tc>
                <w:tcPr>
                  <w:tcW w:w="907" w:type="pct"/>
                  <w:shd w:val="clear" w:color="auto" w:fill="D9D9D9" w:themeFill="background1" w:themeFillShade="D9"/>
                </w:tcPr>
                <w:p w:rsidR="008507A1" w:rsidRPr="00F01364" w:rsidRDefault="008507A1" w:rsidP="009A723E">
                  <w:pPr>
                    <w:pStyle w:val="TableBodyText"/>
                    <w:jc w:val="left"/>
                    <w:rPr>
                      <w:rStyle w:val="DraftingNote"/>
                      <w:b w:val="0"/>
                      <w:color w:val="auto"/>
                      <w:sz w:val="20"/>
                      <w:u w:val="none"/>
                    </w:rPr>
                  </w:pPr>
                  <w:proofErr w:type="spellStart"/>
                  <w:r w:rsidRPr="00564BDC">
                    <w:t>GFCF</w:t>
                  </w:r>
                  <w:proofErr w:type="spellEnd"/>
                  <w:r w:rsidRPr="00564BDC">
                    <w:t>-based</w:t>
                  </w:r>
                  <w:r w:rsidRPr="00263927">
                    <w:rPr>
                      <w:rStyle w:val="NoteLabel"/>
                    </w:rPr>
                    <w:t>a</w:t>
                  </w:r>
                </w:p>
              </w:tc>
              <w:tc>
                <w:tcPr>
                  <w:tcW w:w="818" w:type="pct"/>
                  <w:shd w:val="clear" w:color="auto" w:fill="D9D9D9" w:themeFill="background1" w:themeFillShade="D9"/>
                  <w:vAlign w:val="bottom"/>
                </w:tcPr>
                <w:p w:rsidR="008507A1" w:rsidRDefault="008507A1" w:rsidP="009A723E">
                  <w:pPr>
                    <w:pStyle w:val="TableBodyText"/>
                  </w:pPr>
                  <w:r>
                    <w:t>3.7</w:t>
                  </w:r>
                </w:p>
              </w:tc>
              <w:tc>
                <w:tcPr>
                  <w:tcW w:w="819" w:type="pct"/>
                  <w:shd w:val="clear" w:color="auto" w:fill="D9D9D9" w:themeFill="background1" w:themeFillShade="D9"/>
                  <w:vAlign w:val="bottom"/>
                </w:tcPr>
                <w:p w:rsidR="008507A1" w:rsidRDefault="008507A1" w:rsidP="009A723E">
                  <w:pPr>
                    <w:pStyle w:val="TableBodyText"/>
                  </w:pPr>
                  <w:r>
                    <w:t>3.2</w:t>
                  </w:r>
                </w:p>
              </w:tc>
              <w:tc>
                <w:tcPr>
                  <w:tcW w:w="819" w:type="pct"/>
                  <w:shd w:val="clear" w:color="auto" w:fill="D9D9D9" w:themeFill="background1" w:themeFillShade="D9"/>
                  <w:vAlign w:val="bottom"/>
                </w:tcPr>
                <w:p w:rsidR="008507A1" w:rsidRDefault="008507A1" w:rsidP="009A723E">
                  <w:pPr>
                    <w:pStyle w:val="TableBodyText"/>
                  </w:pPr>
                  <w:r>
                    <w:t>3.7</w:t>
                  </w:r>
                </w:p>
              </w:tc>
              <w:tc>
                <w:tcPr>
                  <w:tcW w:w="717" w:type="pct"/>
                  <w:shd w:val="clear" w:color="auto" w:fill="D9D9D9" w:themeFill="background1" w:themeFillShade="D9"/>
                  <w:vAlign w:val="bottom"/>
                </w:tcPr>
                <w:p w:rsidR="008507A1" w:rsidRDefault="008507A1" w:rsidP="009A723E">
                  <w:pPr>
                    <w:pStyle w:val="TableBodyText"/>
                  </w:pPr>
                  <w:r>
                    <w:t>6.0</w:t>
                  </w:r>
                </w:p>
              </w:tc>
              <w:tc>
                <w:tcPr>
                  <w:tcW w:w="921" w:type="pct"/>
                  <w:shd w:val="clear" w:color="auto" w:fill="D9D9D9" w:themeFill="background1" w:themeFillShade="D9"/>
                  <w:vAlign w:val="bottom"/>
                </w:tcPr>
                <w:p w:rsidR="008507A1" w:rsidRPr="00691FA4" w:rsidRDefault="008507A1" w:rsidP="009A723E">
                  <w:pPr>
                    <w:pStyle w:val="TableBodyText"/>
                  </w:pPr>
                  <w:r w:rsidRPr="00691FA4">
                    <w:t>2.4</w:t>
                  </w:r>
                </w:p>
              </w:tc>
            </w:tr>
            <w:tr w:rsidR="008507A1" w:rsidTr="00691FA4">
              <w:tc>
                <w:tcPr>
                  <w:tcW w:w="907" w:type="pct"/>
                </w:tcPr>
                <w:p w:rsidR="008507A1" w:rsidRPr="00F01364" w:rsidRDefault="008507A1" w:rsidP="009A723E">
                  <w:pPr>
                    <w:pStyle w:val="TableBodyText"/>
                    <w:jc w:val="left"/>
                    <w:rPr>
                      <w:rStyle w:val="DraftingNote"/>
                      <w:b w:val="0"/>
                      <w:color w:val="auto"/>
                      <w:sz w:val="20"/>
                      <w:u w:val="none"/>
                    </w:rPr>
                  </w:pPr>
                  <w:proofErr w:type="spellStart"/>
                  <w:r w:rsidRPr="00564BDC">
                    <w:t>PNCE</w:t>
                  </w:r>
                  <w:proofErr w:type="spellEnd"/>
                  <w:r w:rsidRPr="00564BDC">
                    <w:t>-based</w:t>
                  </w:r>
                  <w:r w:rsidRPr="00263927">
                    <w:rPr>
                      <w:rStyle w:val="NoteLabel"/>
                    </w:rPr>
                    <w:t>a</w:t>
                  </w:r>
                </w:p>
              </w:tc>
              <w:tc>
                <w:tcPr>
                  <w:tcW w:w="818" w:type="pct"/>
                  <w:vAlign w:val="bottom"/>
                </w:tcPr>
                <w:p w:rsidR="008507A1" w:rsidRDefault="008507A1" w:rsidP="009A723E">
                  <w:pPr>
                    <w:pStyle w:val="TableBodyText"/>
                  </w:pPr>
                  <w:r>
                    <w:t>3.1</w:t>
                  </w:r>
                </w:p>
              </w:tc>
              <w:tc>
                <w:tcPr>
                  <w:tcW w:w="819" w:type="pct"/>
                  <w:vAlign w:val="bottom"/>
                </w:tcPr>
                <w:p w:rsidR="008507A1" w:rsidRDefault="008507A1" w:rsidP="009A723E">
                  <w:pPr>
                    <w:pStyle w:val="TableBodyText"/>
                  </w:pPr>
                  <w:r>
                    <w:t>3.7</w:t>
                  </w:r>
                </w:p>
              </w:tc>
              <w:tc>
                <w:tcPr>
                  <w:tcW w:w="819" w:type="pct"/>
                  <w:vAlign w:val="bottom"/>
                </w:tcPr>
                <w:p w:rsidR="008507A1" w:rsidRDefault="008507A1" w:rsidP="009A723E">
                  <w:pPr>
                    <w:pStyle w:val="TableBodyText"/>
                  </w:pPr>
                  <w:r>
                    <w:t>2.1</w:t>
                  </w:r>
                </w:p>
              </w:tc>
              <w:tc>
                <w:tcPr>
                  <w:tcW w:w="717" w:type="pct"/>
                  <w:vAlign w:val="bottom"/>
                </w:tcPr>
                <w:p w:rsidR="008507A1" w:rsidRDefault="008507A1" w:rsidP="009A723E">
                  <w:pPr>
                    <w:pStyle w:val="TableBodyText"/>
                  </w:pPr>
                  <w:r>
                    <w:t>3.3</w:t>
                  </w:r>
                </w:p>
              </w:tc>
              <w:tc>
                <w:tcPr>
                  <w:tcW w:w="921" w:type="pct"/>
                  <w:vAlign w:val="bottom"/>
                </w:tcPr>
                <w:p w:rsidR="008507A1" w:rsidRPr="00691FA4" w:rsidRDefault="008507A1" w:rsidP="009A723E">
                  <w:pPr>
                    <w:pStyle w:val="TableBodyText"/>
                  </w:pPr>
                  <w:r w:rsidRPr="00691FA4">
                    <w:t>1.3</w:t>
                  </w:r>
                </w:p>
              </w:tc>
            </w:tr>
            <w:tr w:rsidR="008507A1" w:rsidTr="00691FA4">
              <w:tc>
                <w:tcPr>
                  <w:tcW w:w="907" w:type="pct"/>
                  <w:tcBorders>
                    <w:bottom w:val="single" w:sz="4" w:space="0" w:color="auto"/>
                  </w:tcBorders>
                  <w:shd w:val="clear" w:color="auto" w:fill="D9D9D9" w:themeFill="background1" w:themeFillShade="D9"/>
                </w:tcPr>
                <w:p w:rsidR="008507A1" w:rsidRPr="00564BDC" w:rsidRDefault="008507A1" w:rsidP="001909A9">
                  <w:pPr>
                    <w:pStyle w:val="TableBodyText"/>
                    <w:spacing w:before="40"/>
                    <w:jc w:val="left"/>
                  </w:pPr>
                  <w:r w:rsidRPr="00564BDC">
                    <w:t>ABS published</w:t>
                  </w:r>
                </w:p>
              </w:tc>
              <w:tc>
                <w:tcPr>
                  <w:tcW w:w="818" w:type="pct"/>
                  <w:tcBorders>
                    <w:bottom w:val="single" w:sz="4" w:space="0" w:color="auto"/>
                  </w:tcBorders>
                  <w:shd w:val="clear" w:color="auto" w:fill="D9D9D9" w:themeFill="background1" w:themeFillShade="D9"/>
                  <w:vAlign w:val="bottom"/>
                </w:tcPr>
                <w:p w:rsidR="008507A1" w:rsidRDefault="008507A1" w:rsidP="001909A9">
                  <w:pPr>
                    <w:pStyle w:val="TableBodyText"/>
                    <w:spacing w:before="40"/>
                  </w:pPr>
                  <w:r>
                    <w:t>2.8</w:t>
                  </w:r>
                </w:p>
              </w:tc>
              <w:tc>
                <w:tcPr>
                  <w:tcW w:w="819" w:type="pct"/>
                  <w:tcBorders>
                    <w:bottom w:val="single" w:sz="4" w:space="0" w:color="auto"/>
                  </w:tcBorders>
                  <w:shd w:val="clear" w:color="auto" w:fill="D9D9D9" w:themeFill="background1" w:themeFillShade="D9"/>
                  <w:vAlign w:val="bottom"/>
                </w:tcPr>
                <w:p w:rsidR="008507A1" w:rsidRDefault="008507A1" w:rsidP="001909A9">
                  <w:pPr>
                    <w:pStyle w:val="TableBodyText"/>
                    <w:spacing w:before="40"/>
                  </w:pPr>
                  <w:r>
                    <w:t>3.7</w:t>
                  </w:r>
                </w:p>
              </w:tc>
              <w:tc>
                <w:tcPr>
                  <w:tcW w:w="819" w:type="pct"/>
                  <w:tcBorders>
                    <w:bottom w:val="single" w:sz="4" w:space="0" w:color="auto"/>
                  </w:tcBorders>
                  <w:shd w:val="clear" w:color="auto" w:fill="D9D9D9" w:themeFill="background1" w:themeFillShade="D9"/>
                  <w:vAlign w:val="bottom"/>
                </w:tcPr>
                <w:p w:rsidR="008507A1" w:rsidRDefault="008507A1" w:rsidP="001909A9">
                  <w:pPr>
                    <w:pStyle w:val="TableBodyText"/>
                    <w:spacing w:before="40"/>
                  </w:pPr>
                  <w:r>
                    <w:t>3.4</w:t>
                  </w:r>
                </w:p>
              </w:tc>
              <w:tc>
                <w:tcPr>
                  <w:tcW w:w="717" w:type="pct"/>
                  <w:tcBorders>
                    <w:bottom w:val="single" w:sz="4" w:space="0" w:color="auto"/>
                  </w:tcBorders>
                  <w:shd w:val="clear" w:color="auto" w:fill="D9D9D9" w:themeFill="background1" w:themeFillShade="D9"/>
                  <w:vAlign w:val="bottom"/>
                </w:tcPr>
                <w:p w:rsidR="008507A1" w:rsidRDefault="008507A1" w:rsidP="001909A9">
                  <w:pPr>
                    <w:pStyle w:val="TableBodyText"/>
                    <w:spacing w:before="40"/>
                  </w:pPr>
                  <w:r>
                    <w:t>5.6</w:t>
                  </w:r>
                </w:p>
              </w:tc>
              <w:tc>
                <w:tcPr>
                  <w:tcW w:w="921" w:type="pct"/>
                  <w:tcBorders>
                    <w:bottom w:val="single" w:sz="4" w:space="0" w:color="auto"/>
                  </w:tcBorders>
                  <w:shd w:val="clear" w:color="auto" w:fill="D9D9D9" w:themeFill="background1" w:themeFillShade="D9"/>
                  <w:vAlign w:val="bottom"/>
                </w:tcPr>
                <w:p w:rsidR="008507A1" w:rsidRPr="00691FA4" w:rsidRDefault="008507A1" w:rsidP="001909A9">
                  <w:pPr>
                    <w:pStyle w:val="TableBodyText"/>
                    <w:spacing w:before="40"/>
                  </w:pPr>
                  <w:r w:rsidRPr="00691FA4">
                    <w:t>2.2</w:t>
                  </w:r>
                </w:p>
              </w:tc>
            </w:tr>
          </w:tbl>
          <w:p w:rsidR="008507A1" w:rsidRPr="00263927" w:rsidRDefault="008507A1" w:rsidP="008507A1">
            <w:pPr>
              <w:pStyle w:val="Note"/>
            </w:pPr>
            <w:r w:rsidRPr="00263927">
              <w:rPr>
                <w:rStyle w:val="NoteLabel"/>
              </w:rPr>
              <w:t>a</w:t>
            </w:r>
            <w:r w:rsidRPr="00564BDC">
              <w:t xml:space="preserve"> </w:t>
            </w:r>
            <w:r>
              <w:t>Authors’ estimates</w:t>
            </w:r>
            <w:r w:rsidRPr="00263927">
              <w:t>.</w:t>
            </w:r>
            <w:r w:rsidR="001377DF">
              <w:t xml:space="preserve"> Compares the growth in capital services indexes whether </w:t>
            </w:r>
            <w:proofErr w:type="spellStart"/>
            <w:r w:rsidR="001377DF">
              <w:t>NDC</w:t>
            </w:r>
            <w:proofErr w:type="spellEnd"/>
            <w:r w:rsidR="001377DF">
              <w:t xml:space="preserve"> and </w:t>
            </w:r>
            <w:proofErr w:type="spellStart"/>
            <w:r w:rsidR="001377DF">
              <w:t>PME</w:t>
            </w:r>
            <w:proofErr w:type="spellEnd"/>
            <w:r w:rsidR="001377DF">
              <w:t xml:space="preserve"> capital asset types are estimated using </w:t>
            </w:r>
            <w:proofErr w:type="spellStart"/>
            <w:r w:rsidR="001377DF">
              <w:t>GFCF</w:t>
            </w:r>
            <w:proofErr w:type="spellEnd"/>
            <w:r w:rsidR="001377DF">
              <w:t xml:space="preserve">-apportioned data or </w:t>
            </w:r>
            <w:proofErr w:type="spellStart"/>
            <w:r w:rsidR="001377DF">
              <w:t>PNCE</w:t>
            </w:r>
            <w:proofErr w:type="spellEnd"/>
            <w:r w:rsidR="001377DF">
              <w:t>-level data.</w:t>
            </w:r>
          </w:p>
          <w:p w:rsidR="008507A1" w:rsidRDefault="00E37016" w:rsidP="00771DD7">
            <w:pPr>
              <w:pStyle w:val="Source"/>
            </w:pPr>
            <w:r>
              <w:rPr>
                <w:i/>
              </w:rPr>
              <w:t>Source</w:t>
            </w:r>
            <w:r w:rsidR="008507A1">
              <w:rPr>
                <w:i/>
              </w:rPr>
              <w:t>s</w:t>
            </w:r>
            <w:r w:rsidR="008507A1">
              <w:t>: Authors estimates</w:t>
            </w:r>
            <w:r w:rsidR="00F96295">
              <w:t xml:space="preserve">; </w:t>
            </w:r>
            <w:r w:rsidR="008507A1">
              <w:t>ABS (</w:t>
            </w:r>
            <w:r w:rsidR="00C50FA4" w:rsidRPr="00CC074D">
              <w:rPr>
                <w:i/>
              </w:rPr>
              <w:t xml:space="preserve">Experimental Estimates of Industry Multifactor </w:t>
            </w:r>
            <w:r w:rsidR="005569A9">
              <w:rPr>
                <w:i/>
              </w:rPr>
              <w:t>P</w:t>
            </w:r>
            <w:r w:rsidR="00D54932">
              <w:rPr>
                <w:i/>
              </w:rPr>
              <w:t>roduct</w:t>
            </w:r>
            <w:r w:rsidR="00C50FA4" w:rsidRPr="00CC074D">
              <w:rPr>
                <w:i/>
              </w:rPr>
              <w:t>ivity</w:t>
            </w:r>
            <w:r w:rsidR="00CC074D">
              <w:rPr>
                <w:i/>
              </w:rPr>
              <w:t>,</w:t>
            </w:r>
            <w:r w:rsidR="00C50FA4" w:rsidRPr="00CC074D">
              <w:rPr>
                <w:i/>
              </w:rPr>
              <w:t xml:space="preserve"> 201</w:t>
            </w:r>
            <w:r w:rsidR="00CC074D">
              <w:rPr>
                <w:i/>
              </w:rPr>
              <w:t>0</w:t>
            </w:r>
            <w:r w:rsidR="00FF62BB">
              <w:rPr>
                <w:i/>
              </w:rPr>
              <w:noBreakHyphen/>
            </w:r>
            <w:r w:rsidR="00C50FA4" w:rsidRPr="00CC074D">
              <w:rPr>
                <w:i/>
              </w:rPr>
              <w:t>1</w:t>
            </w:r>
            <w:r w:rsidR="00CC074D">
              <w:rPr>
                <w:i/>
              </w:rPr>
              <w:t>1</w:t>
            </w:r>
            <w:r w:rsidR="00C50FA4" w:rsidRPr="00CC074D">
              <w:t>, Cat. no. 5260.0.55.002</w:t>
            </w:r>
            <w:r w:rsidR="008507A1">
              <w:t>).</w:t>
            </w:r>
          </w:p>
          <w:p w:rsidR="00826243" w:rsidRDefault="00DF5C72" w:rsidP="00383042">
            <w:pPr>
              <w:pStyle w:val="Box"/>
            </w:pPr>
            <w:r>
              <w:t xml:space="preserve">The main effect of using a </w:t>
            </w:r>
            <w:proofErr w:type="spellStart"/>
            <w:r>
              <w:t>PNCE</w:t>
            </w:r>
            <w:proofErr w:type="spellEnd"/>
            <w:r>
              <w:t xml:space="preserve"> measure </w:t>
            </w:r>
            <w:r w:rsidR="00383042">
              <w:t xml:space="preserve">was </w:t>
            </w:r>
            <w:r>
              <w:t xml:space="preserve">that capital services growth </w:t>
            </w:r>
            <w:r w:rsidR="00383042">
              <w:t xml:space="preserve">was </w:t>
            </w:r>
            <w:r>
              <w:t xml:space="preserve">much slower over the last two productivity cycles, relative to the </w:t>
            </w:r>
            <w:proofErr w:type="spellStart"/>
            <w:r>
              <w:t>GFCF</w:t>
            </w:r>
            <w:proofErr w:type="spellEnd"/>
            <w:r>
              <w:t xml:space="preserve">-based and ABS measures. (This should be expected, given that the </w:t>
            </w:r>
            <w:proofErr w:type="spellStart"/>
            <w:r>
              <w:t>PNCE</w:t>
            </w:r>
            <w:proofErr w:type="spellEnd"/>
            <w:r>
              <w:t xml:space="preserve"> data records slower growth in key asset types for </w:t>
            </w:r>
            <w:r w:rsidR="002E6911">
              <w:t>Manufacturing</w:t>
            </w:r>
            <w:r>
              <w:t xml:space="preserve">, as seen in figure </w:t>
            </w:r>
            <w:proofErr w:type="spellStart"/>
            <w:r w:rsidR="00261100">
              <w:t>A.3</w:t>
            </w:r>
            <w:proofErr w:type="spellEnd"/>
            <w:r>
              <w:t>, above.)</w:t>
            </w:r>
          </w:p>
        </w:tc>
      </w:tr>
      <w:tr w:rsidR="004D15EB" w:rsidTr="009A723E">
        <w:trPr>
          <w:cantSplit/>
        </w:trPr>
        <w:tc>
          <w:tcPr>
            <w:tcW w:w="8771" w:type="dxa"/>
            <w:tcBorders>
              <w:top w:val="nil"/>
              <w:left w:val="single" w:sz="6" w:space="0" w:color="auto"/>
              <w:bottom w:val="single" w:sz="6" w:space="0" w:color="auto"/>
              <w:right w:val="single" w:sz="6" w:space="0" w:color="auto"/>
            </w:tcBorders>
          </w:tcPr>
          <w:p w:rsidR="004D15EB" w:rsidRDefault="004D15EB" w:rsidP="009A723E">
            <w:pPr>
              <w:pStyle w:val="Box"/>
              <w:spacing w:before="0" w:line="120" w:lineRule="exact"/>
            </w:pPr>
          </w:p>
        </w:tc>
      </w:tr>
      <w:tr w:rsidR="004D15EB" w:rsidRPr="000863A5" w:rsidTr="009A723E">
        <w:tc>
          <w:tcPr>
            <w:tcW w:w="8771" w:type="dxa"/>
            <w:tcBorders>
              <w:top w:val="nil"/>
              <w:left w:val="nil"/>
              <w:bottom w:val="nil"/>
              <w:right w:val="nil"/>
            </w:tcBorders>
          </w:tcPr>
          <w:p w:rsidR="004D15EB" w:rsidRPr="00626D32" w:rsidRDefault="004D15EB" w:rsidP="009A723E">
            <w:pPr>
              <w:pStyle w:val="BoxSpaceBelow"/>
            </w:pPr>
          </w:p>
        </w:tc>
      </w:tr>
    </w:tbl>
    <w:p w:rsidR="00E02A9A" w:rsidRPr="00A12447" w:rsidRDefault="003F535F" w:rsidP="00C334CC">
      <w:pPr>
        <w:pStyle w:val="BodyText"/>
      </w:pPr>
      <w:r>
        <w:lastRenderedPageBreak/>
        <w:t>Financial</w:t>
      </w:r>
      <w:r w:rsidR="009D04A8">
        <w:t>-</w:t>
      </w:r>
      <w:r>
        <w:t xml:space="preserve">year </w:t>
      </w:r>
      <w:r w:rsidR="009D04A8">
        <w:t>totals</w:t>
      </w:r>
      <w:r>
        <w:t xml:space="preserve"> were constructed from the quarterly </w:t>
      </w:r>
      <w:proofErr w:type="spellStart"/>
      <w:r w:rsidR="00E02A9A" w:rsidRPr="00A12447">
        <w:t>PNCE</w:t>
      </w:r>
      <w:proofErr w:type="spellEnd"/>
      <w:r w:rsidR="00E02A9A" w:rsidRPr="00A12447">
        <w:t xml:space="preserve"> data</w:t>
      </w:r>
      <w:r>
        <w:t>. S</w:t>
      </w:r>
      <w:r w:rsidR="00E02A9A" w:rsidRPr="00A12447">
        <w:t>ome missing observations</w:t>
      </w:r>
      <w:r>
        <w:t xml:space="preserve"> (due to ABS confidentiality requirements) had to be imputed</w:t>
      </w:r>
      <w:r w:rsidR="00E02A9A" w:rsidRPr="00A12447">
        <w:t>. A summary of the missing observation</w:t>
      </w:r>
      <w:r w:rsidR="0013475E">
        <w:t>s</w:t>
      </w:r>
      <w:r w:rsidR="00E02A9A" w:rsidRPr="00A12447">
        <w:t xml:space="preserve"> by subdivision-asset pair is shown in table</w:t>
      </w:r>
      <w:r w:rsidR="00242242">
        <w:t> </w:t>
      </w:r>
      <w:proofErr w:type="spellStart"/>
      <w:r w:rsidR="00E02A9A" w:rsidRPr="00A12447">
        <w:t>A.5</w:t>
      </w:r>
      <w:proofErr w:type="spellEnd"/>
      <w:r w:rsidR="00E02A9A" w:rsidRPr="00A12447">
        <w:t>. Around 7</w:t>
      </w:r>
      <w:r w:rsidR="005A1157">
        <w:t xml:space="preserve"> per cent</w:t>
      </w:r>
      <w:r w:rsidR="005A1157" w:rsidRPr="00A12447">
        <w:t xml:space="preserve"> </w:t>
      </w:r>
      <w:r w:rsidR="00E02A9A" w:rsidRPr="00A12447">
        <w:t>of observations are missing by asset type, but less than 1</w:t>
      </w:r>
      <w:r w:rsidR="005A1157">
        <w:t xml:space="preserve"> per cent</w:t>
      </w:r>
      <w:r w:rsidR="005A1157" w:rsidRPr="00A12447">
        <w:t xml:space="preserve"> </w:t>
      </w:r>
      <w:r w:rsidR="00E02A9A" w:rsidRPr="00A12447">
        <w:t xml:space="preserve">of observations </w:t>
      </w:r>
      <w:r w:rsidR="008237D9">
        <w:t>were</w:t>
      </w:r>
      <w:r w:rsidR="008237D9" w:rsidRPr="00A12447">
        <w:t xml:space="preserve"> </w:t>
      </w:r>
      <w:r w:rsidR="00E02A9A" w:rsidRPr="00A12447">
        <w:t xml:space="preserve">missing for total capital expenditure. </w:t>
      </w:r>
      <w:r w:rsidR="00FA02AC">
        <w:t>A</w:t>
      </w:r>
      <w:r w:rsidR="00E02A9A" w:rsidRPr="00A12447">
        <w:t xml:space="preserve">ll of the missing observations occur </w:t>
      </w:r>
      <w:r w:rsidR="00FA02AC">
        <w:t>after the</w:t>
      </w:r>
      <w:r w:rsidR="00FA02AC" w:rsidRPr="00A12447">
        <w:t xml:space="preserve"> </w:t>
      </w:r>
      <w:r w:rsidR="00E02A9A" w:rsidRPr="00A12447">
        <w:t>September</w:t>
      </w:r>
      <w:r w:rsidR="00FA02AC">
        <w:t xml:space="preserve"> </w:t>
      </w:r>
      <w:r w:rsidR="00E02A9A" w:rsidRPr="00A12447">
        <w:t xml:space="preserve">quarter 2006. </w:t>
      </w:r>
    </w:p>
    <w:p w:rsidR="00E02A9A" w:rsidRPr="00A12447" w:rsidRDefault="00E02A9A" w:rsidP="00E02A9A">
      <w:pPr>
        <w:pStyle w:val="TableTitle"/>
      </w:pPr>
      <w:r w:rsidRPr="00242242">
        <w:rPr>
          <w:b w:val="0"/>
        </w:rPr>
        <w:t xml:space="preserve">Table </w:t>
      </w:r>
      <w:bookmarkStart w:id="18" w:name="OLE_LINK9"/>
      <w:proofErr w:type="spellStart"/>
      <w:r w:rsidR="00D86322">
        <w:rPr>
          <w:b w:val="0"/>
        </w:rPr>
        <w:t>A.</w:t>
      </w:r>
      <w:r w:rsidR="001459D9">
        <w:rPr>
          <w:b w:val="0"/>
          <w:noProof/>
        </w:rPr>
        <w:t>5</w:t>
      </w:r>
      <w:bookmarkEnd w:id="18"/>
      <w:proofErr w:type="spellEnd"/>
      <w:r w:rsidR="003D1693">
        <w:tab/>
        <w:t xml:space="preserve">Missing </w:t>
      </w:r>
      <w:proofErr w:type="spellStart"/>
      <w:r w:rsidR="00CD7CA5">
        <w:t>PNCE</w:t>
      </w:r>
      <w:proofErr w:type="spellEnd"/>
      <w:r w:rsidR="00CD7CA5">
        <w:t xml:space="preserve"> </w:t>
      </w:r>
      <w:r w:rsidR="003D1693">
        <w:t>data by M</w:t>
      </w:r>
      <w:r w:rsidRPr="00A12447">
        <w:t>anufacturing subdivision and asset type</w:t>
      </w:r>
      <w:r w:rsidR="003D1693">
        <w:t xml:space="preserve">, </w:t>
      </w:r>
      <w:r w:rsidR="003D1693" w:rsidRPr="00A12447">
        <w:t>1987</w:t>
      </w:r>
      <w:r w:rsidR="00FF62BB">
        <w:noBreakHyphen/>
      </w:r>
      <w:r w:rsidR="003D1693" w:rsidRPr="00A12447">
        <w:t>88 to 2010</w:t>
      </w:r>
      <w:r w:rsidR="00FF62BB">
        <w:noBreakHyphen/>
      </w:r>
      <w:r w:rsidR="003D1693" w:rsidRPr="00A12447">
        <w:t>11</w:t>
      </w:r>
    </w:p>
    <w:p w:rsidR="00E02A9A" w:rsidRPr="00A12447" w:rsidRDefault="003D1693" w:rsidP="00E02A9A">
      <w:pPr>
        <w:pStyle w:val="Subtitle"/>
      </w:pPr>
      <w:r>
        <w:t>Quarters not published</w:t>
      </w:r>
      <w:r w:rsidRPr="003D1693">
        <w:rPr>
          <w:rStyle w:val="NoteLabel"/>
        </w:rPr>
        <w:t>a</w:t>
      </w:r>
    </w:p>
    <w:tbl>
      <w:tblPr>
        <w:tblW w:w="0" w:type="auto"/>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4139"/>
        <w:gridCol w:w="1544"/>
        <w:gridCol w:w="1544"/>
        <w:gridCol w:w="1544"/>
        <w:gridCol w:w="6"/>
        <w:gridCol w:w="6"/>
        <w:gridCol w:w="6"/>
      </w:tblGrid>
      <w:tr w:rsidR="003D1693" w:rsidRPr="00242242" w:rsidTr="00691FA4">
        <w:tc>
          <w:tcPr>
            <w:tcW w:w="4139" w:type="dxa"/>
            <w:tcBorders>
              <w:top w:val="single" w:sz="4" w:space="0" w:color="auto"/>
              <w:bottom w:val="single" w:sz="4" w:space="0" w:color="auto"/>
            </w:tcBorders>
            <w:vAlign w:val="bottom"/>
          </w:tcPr>
          <w:p w:rsidR="003D1693" w:rsidRPr="00242242" w:rsidRDefault="003D1693" w:rsidP="00691FA4">
            <w:pPr>
              <w:pStyle w:val="TableColumnHeading"/>
              <w:ind w:right="0"/>
              <w:jc w:val="left"/>
            </w:pPr>
            <w:proofErr w:type="spellStart"/>
            <w:r>
              <w:t>ANZSIC06</w:t>
            </w:r>
            <w:proofErr w:type="spellEnd"/>
            <w:r>
              <w:t xml:space="preserve"> subdivision</w:t>
            </w:r>
          </w:p>
        </w:tc>
        <w:tc>
          <w:tcPr>
            <w:tcW w:w="1544" w:type="dxa"/>
            <w:tcBorders>
              <w:top w:val="single" w:sz="4" w:space="0" w:color="auto"/>
              <w:bottom w:val="single" w:sz="4" w:space="0" w:color="auto"/>
            </w:tcBorders>
            <w:vAlign w:val="bottom"/>
          </w:tcPr>
          <w:p w:rsidR="003D1693" w:rsidRPr="00A12447" w:rsidRDefault="003D1693" w:rsidP="00F96295">
            <w:pPr>
              <w:pStyle w:val="TableColumnHeading"/>
            </w:pPr>
            <w:r w:rsidRPr="00A12447">
              <w:t>Equipment</w:t>
            </w:r>
          </w:p>
        </w:tc>
        <w:tc>
          <w:tcPr>
            <w:tcW w:w="1544" w:type="dxa"/>
            <w:tcBorders>
              <w:top w:val="single" w:sz="4" w:space="0" w:color="auto"/>
              <w:bottom w:val="single" w:sz="4" w:space="0" w:color="auto"/>
            </w:tcBorders>
            <w:vAlign w:val="bottom"/>
          </w:tcPr>
          <w:p w:rsidR="003D1693" w:rsidRPr="00A12447" w:rsidRDefault="003D1693" w:rsidP="00F96295">
            <w:pPr>
              <w:pStyle w:val="TableColumnHeading"/>
            </w:pPr>
            <w:r w:rsidRPr="00A12447">
              <w:t>Buildings</w:t>
            </w:r>
          </w:p>
        </w:tc>
        <w:tc>
          <w:tcPr>
            <w:tcW w:w="1544" w:type="dxa"/>
            <w:tcBorders>
              <w:top w:val="single" w:sz="4" w:space="0" w:color="auto"/>
              <w:bottom w:val="single" w:sz="4" w:space="0" w:color="auto"/>
            </w:tcBorders>
            <w:vAlign w:val="bottom"/>
          </w:tcPr>
          <w:p w:rsidR="003D1693" w:rsidRPr="00A12447" w:rsidRDefault="003D1693" w:rsidP="00F96295">
            <w:pPr>
              <w:pStyle w:val="TableColumnHeading"/>
            </w:pPr>
            <w:r w:rsidRPr="00A12447">
              <w:t>Total</w:t>
            </w:r>
            <w:r>
              <w:t xml:space="preserve"> of equipment </w:t>
            </w:r>
            <w:r w:rsidR="006E3C66">
              <w:br/>
            </w:r>
            <w:r>
              <w:t>and building</w:t>
            </w:r>
            <w:r w:rsidRPr="00A12447">
              <w:t>s</w:t>
            </w:r>
          </w:p>
        </w:tc>
        <w:tc>
          <w:tcPr>
            <w:tcW w:w="0" w:type="auto"/>
            <w:tcBorders>
              <w:top w:val="nil"/>
              <w:bottom w:val="single" w:sz="4" w:space="0" w:color="auto"/>
            </w:tcBorders>
            <w:vAlign w:val="bottom"/>
          </w:tcPr>
          <w:p w:rsidR="003D1693" w:rsidRPr="00242242" w:rsidRDefault="003D1693" w:rsidP="003D1693">
            <w:pPr>
              <w:pStyle w:val="TableUnitsRow"/>
              <w:jc w:val="left"/>
              <w:rPr>
                <w:i/>
              </w:rPr>
            </w:pPr>
          </w:p>
        </w:tc>
        <w:tc>
          <w:tcPr>
            <w:tcW w:w="0" w:type="auto"/>
            <w:tcBorders>
              <w:top w:val="nil"/>
              <w:bottom w:val="single" w:sz="4" w:space="0" w:color="auto"/>
            </w:tcBorders>
            <w:vAlign w:val="bottom"/>
          </w:tcPr>
          <w:p w:rsidR="003D1693" w:rsidRPr="00242242" w:rsidRDefault="003D1693" w:rsidP="003D1693">
            <w:pPr>
              <w:pStyle w:val="TableUnitsRow"/>
              <w:jc w:val="left"/>
              <w:rPr>
                <w:i/>
              </w:rPr>
            </w:pPr>
          </w:p>
        </w:tc>
        <w:tc>
          <w:tcPr>
            <w:tcW w:w="0" w:type="auto"/>
            <w:tcBorders>
              <w:top w:val="nil"/>
              <w:bottom w:val="single" w:sz="4" w:space="0" w:color="auto"/>
            </w:tcBorders>
            <w:vAlign w:val="bottom"/>
          </w:tcPr>
          <w:p w:rsidR="003D1693" w:rsidRPr="00242242" w:rsidRDefault="003D1693" w:rsidP="003D1693">
            <w:pPr>
              <w:pStyle w:val="TableUnitsRow"/>
              <w:ind w:right="28"/>
              <w:jc w:val="left"/>
              <w:rPr>
                <w:i/>
              </w:rPr>
            </w:pPr>
          </w:p>
        </w:tc>
      </w:tr>
      <w:tr w:rsidR="009D04A8" w:rsidRPr="00A12447" w:rsidTr="00691FA4">
        <w:tc>
          <w:tcPr>
            <w:tcW w:w="4139" w:type="dxa"/>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Food </w:t>
            </w:r>
            <w:r w:rsidR="00F43EED">
              <w:t>p</w:t>
            </w:r>
            <w:r w:rsidRPr="00A12447">
              <w:t xml:space="preserve">roduct </w:t>
            </w:r>
            <w:proofErr w:type="spellStart"/>
            <w:r w:rsidR="006E3C66">
              <w:t>mfg</w:t>
            </w:r>
            <w:proofErr w:type="spellEnd"/>
          </w:p>
        </w:tc>
        <w:tc>
          <w:tcPr>
            <w:tcW w:w="1544" w:type="dxa"/>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1544" w:type="dxa"/>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1544" w:type="dxa"/>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0" w:type="auto"/>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ind w:right="0"/>
            </w:pPr>
          </w:p>
        </w:tc>
        <w:tc>
          <w:tcPr>
            <w:tcW w:w="0" w:type="auto"/>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ind w:right="0"/>
            </w:pPr>
          </w:p>
        </w:tc>
        <w:tc>
          <w:tcPr>
            <w:tcW w:w="0" w:type="auto"/>
            <w:tcBorders>
              <w:top w:val="single" w:sz="4" w:space="0" w:color="auto"/>
            </w:tcBorders>
            <w:shd w:val="clear" w:color="auto" w:fill="D9D9D9" w:themeFill="background1" w:themeFillShade="D9"/>
            <w:vAlign w:val="bottom"/>
          </w:tcPr>
          <w:p w:rsidR="00E02A9A" w:rsidRPr="00A12447" w:rsidRDefault="00E02A9A" w:rsidP="00691FA4">
            <w:pPr>
              <w:pStyle w:val="TableBodyText"/>
              <w:spacing w:before="40"/>
              <w:ind w:right="0"/>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 xml:space="preserve">Beverage </w:t>
            </w:r>
            <w:r w:rsidR="000F02DD">
              <w:t>&amp;</w:t>
            </w:r>
            <w:r w:rsidRPr="00A12447">
              <w:t xml:space="preserve"> </w:t>
            </w:r>
            <w:r w:rsidR="00F43EED">
              <w:t>t</w:t>
            </w:r>
            <w:r w:rsidRPr="00A12447">
              <w:t xml:space="preserve">obacco </w:t>
            </w:r>
            <w:r w:rsidR="00F43EED">
              <w:t>p</w:t>
            </w:r>
            <w:r w:rsidRPr="00A12447">
              <w:t xml:space="preserve">roduct </w:t>
            </w:r>
            <w:proofErr w:type="spellStart"/>
            <w:r w:rsidR="006E3C66">
              <w:t>mfg</w:t>
            </w:r>
            <w:proofErr w:type="spellEnd"/>
          </w:p>
        </w:tc>
        <w:tc>
          <w:tcPr>
            <w:tcW w:w="1544" w:type="dxa"/>
            <w:vAlign w:val="bottom"/>
          </w:tcPr>
          <w:p w:rsidR="00E02A9A" w:rsidRPr="00A12447" w:rsidRDefault="00E02A9A" w:rsidP="00691FA4">
            <w:pPr>
              <w:pStyle w:val="TableBodyText"/>
              <w:spacing w:before="40"/>
            </w:pPr>
            <w:r w:rsidRPr="00A12447">
              <w:t>0</w:t>
            </w:r>
          </w:p>
        </w:tc>
        <w:tc>
          <w:tcPr>
            <w:tcW w:w="1544" w:type="dxa"/>
            <w:vAlign w:val="bottom"/>
          </w:tcPr>
          <w:p w:rsidR="00E02A9A" w:rsidRPr="00A12447" w:rsidRDefault="00E02A9A" w:rsidP="00691FA4">
            <w:pPr>
              <w:pStyle w:val="TableBodyText"/>
              <w:spacing w:before="40"/>
            </w:pPr>
            <w:r w:rsidRPr="00A12447">
              <w:t>0</w:t>
            </w:r>
          </w:p>
        </w:tc>
        <w:tc>
          <w:tcPr>
            <w:tcW w:w="1544" w:type="dxa"/>
            <w:vAlign w:val="bottom"/>
          </w:tcPr>
          <w:p w:rsidR="00E02A9A" w:rsidRPr="00A12447" w:rsidRDefault="00E02A9A" w:rsidP="00691FA4">
            <w:pPr>
              <w:pStyle w:val="TableBodyText"/>
              <w:spacing w:before="40"/>
            </w:pPr>
            <w:r w:rsidRPr="00A12447">
              <w:t>0</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Textile, </w:t>
            </w:r>
            <w:r w:rsidR="00F43EED">
              <w:t>l</w:t>
            </w:r>
            <w:r w:rsidRPr="00A12447">
              <w:t xml:space="preserve">eather, </w:t>
            </w:r>
            <w:r w:rsidR="00F43EED">
              <w:t>c</w:t>
            </w:r>
            <w:r w:rsidRPr="00A12447">
              <w:t xml:space="preserve">lothing </w:t>
            </w:r>
            <w:r w:rsidR="000F02DD">
              <w:t>&amp;</w:t>
            </w:r>
            <w:r w:rsidRPr="00A12447">
              <w:t xml:space="preserve"> </w:t>
            </w:r>
            <w:r w:rsidR="00F43EED">
              <w:t>f</w:t>
            </w:r>
            <w:r w:rsidRPr="00A12447">
              <w:t xml:space="preserve">ootwear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15</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15</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3</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 xml:space="preserve">Wood </w:t>
            </w:r>
            <w:r w:rsidR="00F43EED">
              <w:t>p</w:t>
            </w:r>
            <w:r w:rsidRPr="00A12447">
              <w:t xml:space="preserve">roduct </w:t>
            </w:r>
            <w:proofErr w:type="spellStart"/>
            <w:r w:rsidR="006E3C66">
              <w:t>mfg</w:t>
            </w:r>
            <w:proofErr w:type="spellEnd"/>
          </w:p>
        </w:tc>
        <w:tc>
          <w:tcPr>
            <w:tcW w:w="1544" w:type="dxa"/>
            <w:vAlign w:val="bottom"/>
          </w:tcPr>
          <w:p w:rsidR="00E02A9A" w:rsidRPr="00A12447" w:rsidRDefault="00E02A9A" w:rsidP="00691FA4">
            <w:pPr>
              <w:pStyle w:val="TableBodyText"/>
              <w:spacing w:before="40"/>
            </w:pPr>
            <w:r w:rsidRPr="00A12447">
              <w:t>10</w:t>
            </w:r>
          </w:p>
        </w:tc>
        <w:tc>
          <w:tcPr>
            <w:tcW w:w="1544" w:type="dxa"/>
            <w:vAlign w:val="bottom"/>
          </w:tcPr>
          <w:p w:rsidR="00E02A9A" w:rsidRPr="00A12447" w:rsidRDefault="00E02A9A" w:rsidP="00691FA4">
            <w:pPr>
              <w:pStyle w:val="TableBodyText"/>
              <w:spacing w:before="40"/>
            </w:pPr>
            <w:r w:rsidRPr="00A12447">
              <w:t>9</w:t>
            </w:r>
          </w:p>
        </w:tc>
        <w:tc>
          <w:tcPr>
            <w:tcW w:w="1544" w:type="dxa"/>
            <w:vAlign w:val="bottom"/>
          </w:tcPr>
          <w:p w:rsidR="00E02A9A" w:rsidRPr="00A12447" w:rsidRDefault="00E02A9A" w:rsidP="00691FA4">
            <w:pPr>
              <w:pStyle w:val="TableBodyText"/>
              <w:spacing w:before="40"/>
            </w:pPr>
            <w:r w:rsidRPr="00A12447">
              <w:t>1</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Pulp, </w:t>
            </w:r>
            <w:r w:rsidR="00F43EED">
              <w:t>p</w:t>
            </w:r>
            <w:r w:rsidRPr="00A12447">
              <w:t xml:space="preserve">aper </w:t>
            </w:r>
            <w:r w:rsidR="000F02DD">
              <w:t>&amp;</w:t>
            </w:r>
            <w:r w:rsidRPr="00A12447">
              <w:t xml:space="preserve"> </w:t>
            </w:r>
            <w:r w:rsidR="00F43EED">
              <w:t>c</w:t>
            </w:r>
            <w:r w:rsidRPr="00A12447">
              <w:t xml:space="preserve">onverted </w:t>
            </w:r>
            <w:r w:rsidR="00F43EED">
              <w:t>p</w:t>
            </w:r>
            <w:r w:rsidRPr="00A12447">
              <w:t xml:space="preserve">aper </w:t>
            </w:r>
            <w:r w:rsidR="00F43EED">
              <w:t>p</w:t>
            </w:r>
            <w:r w:rsidRPr="00A12447">
              <w:t xml:space="preserve">roduct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16</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16</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Printing (incl</w:t>
            </w:r>
            <w:r w:rsidR="006E3C66">
              <w:t>.</w:t>
            </w:r>
            <w:r w:rsidRPr="00A12447">
              <w:t xml:space="preserve"> </w:t>
            </w:r>
            <w:r w:rsidR="00F43EED">
              <w:t>r</w:t>
            </w:r>
            <w:r w:rsidRPr="00A12447">
              <w:t xml:space="preserve">eproduction of </w:t>
            </w:r>
            <w:r w:rsidR="00F43EED">
              <w:t>r</w:t>
            </w:r>
            <w:r w:rsidRPr="00A12447">
              <w:t xml:space="preserve">ecorded </w:t>
            </w:r>
            <w:r w:rsidR="00F43EED">
              <w:t>m</w:t>
            </w:r>
            <w:r w:rsidRPr="00A12447">
              <w:t>edia)</w:t>
            </w:r>
          </w:p>
        </w:tc>
        <w:tc>
          <w:tcPr>
            <w:tcW w:w="1544" w:type="dxa"/>
            <w:vAlign w:val="bottom"/>
          </w:tcPr>
          <w:p w:rsidR="00E02A9A" w:rsidRPr="00A12447" w:rsidRDefault="00E02A9A" w:rsidP="00691FA4">
            <w:pPr>
              <w:pStyle w:val="TableBodyText"/>
              <w:spacing w:before="40"/>
            </w:pPr>
            <w:r w:rsidRPr="00A12447">
              <w:t>11</w:t>
            </w:r>
          </w:p>
        </w:tc>
        <w:tc>
          <w:tcPr>
            <w:tcW w:w="1544" w:type="dxa"/>
            <w:vAlign w:val="bottom"/>
          </w:tcPr>
          <w:p w:rsidR="00E02A9A" w:rsidRPr="00A12447" w:rsidRDefault="00E02A9A" w:rsidP="00691FA4">
            <w:pPr>
              <w:pStyle w:val="TableBodyText"/>
              <w:spacing w:before="40"/>
            </w:pPr>
            <w:r w:rsidRPr="00A12447">
              <w:t>11</w:t>
            </w:r>
          </w:p>
        </w:tc>
        <w:tc>
          <w:tcPr>
            <w:tcW w:w="1544" w:type="dxa"/>
            <w:vAlign w:val="bottom"/>
          </w:tcPr>
          <w:p w:rsidR="00E02A9A" w:rsidRPr="00A12447" w:rsidRDefault="00E02A9A" w:rsidP="00691FA4">
            <w:pPr>
              <w:pStyle w:val="TableBodyText"/>
              <w:spacing w:before="40"/>
            </w:pPr>
            <w:r w:rsidRPr="00A12447">
              <w:t>2</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Petroleum </w:t>
            </w:r>
            <w:r w:rsidR="000F02DD">
              <w:t>&amp;</w:t>
            </w:r>
            <w:r w:rsidRPr="00A12447">
              <w:t xml:space="preserve"> </w:t>
            </w:r>
            <w:r w:rsidR="00F43EED">
              <w:t>c</w:t>
            </w:r>
            <w:r w:rsidRPr="00A12447">
              <w:t xml:space="preserve">oal </w:t>
            </w:r>
            <w:r w:rsidR="00F43EED">
              <w:t>p</w:t>
            </w:r>
            <w:r w:rsidRPr="00A12447">
              <w:t xml:space="preserve">roduct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19</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18</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2</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 xml:space="preserve">Basic </w:t>
            </w:r>
            <w:r w:rsidR="00F43EED">
              <w:t>c</w:t>
            </w:r>
            <w:r w:rsidRPr="00A12447">
              <w:t xml:space="preserve">hemical </w:t>
            </w:r>
            <w:r w:rsidR="000F02DD">
              <w:t>&amp;</w:t>
            </w:r>
            <w:r w:rsidRPr="00A12447">
              <w:t xml:space="preserve"> </w:t>
            </w:r>
            <w:r w:rsidR="00F43EED">
              <w:t>c</w:t>
            </w:r>
            <w:r w:rsidRPr="00A12447">
              <w:t xml:space="preserve">hemical </w:t>
            </w:r>
            <w:r w:rsidR="00F43EED">
              <w:t>p</w:t>
            </w:r>
            <w:r w:rsidRPr="00A12447">
              <w:t xml:space="preserve">roduct </w:t>
            </w:r>
            <w:proofErr w:type="spellStart"/>
            <w:r w:rsidR="006E3C66">
              <w:t>mfg</w:t>
            </w:r>
            <w:proofErr w:type="spellEnd"/>
          </w:p>
        </w:tc>
        <w:tc>
          <w:tcPr>
            <w:tcW w:w="1544" w:type="dxa"/>
            <w:vAlign w:val="bottom"/>
          </w:tcPr>
          <w:p w:rsidR="00E02A9A" w:rsidRPr="00A12447" w:rsidRDefault="00E02A9A" w:rsidP="00691FA4">
            <w:pPr>
              <w:pStyle w:val="TableBodyText"/>
              <w:spacing w:before="40"/>
            </w:pPr>
            <w:r w:rsidRPr="00A12447">
              <w:t>0</w:t>
            </w:r>
          </w:p>
        </w:tc>
        <w:tc>
          <w:tcPr>
            <w:tcW w:w="1544" w:type="dxa"/>
            <w:vAlign w:val="bottom"/>
          </w:tcPr>
          <w:p w:rsidR="00E02A9A" w:rsidRPr="00A12447" w:rsidRDefault="00E02A9A" w:rsidP="00691FA4">
            <w:pPr>
              <w:pStyle w:val="TableBodyText"/>
              <w:spacing w:before="40"/>
            </w:pPr>
            <w:r w:rsidRPr="00A12447">
              <w:t>0</w:t>
            </w:r>
          </w:p>
        </w:tc>
        <w:tc>
          <w:tcPr>
            <w:tcW w:w="1544" w:type="dxa"/>
            <w:vAlign w:val="bottom"/>
          </w:tcPr>
          <w:p w:rsidR="00E02A9A" w:rsidRPr="00A12447" w:rsidRDefault="00E02A9A" w:rsidP="00691FA4">
            <w:pPr>
              <w:pStyle w:val="TableBodyText"/>
              <w:spacing w:before="40"/>
            </w:pPr>
            <w:r w:rsidRPr="00A12447">
              <w:t>0</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Polymer </w:t>
            </w:r>
            <w:r w:rsidR="00F43EED">
              <w:t>p</w:t>
            </w:r>
            <w:r w:rsidRPr="00A12447">
              <w:t xml:space="preserve">roduct </w:t>
            </w:r>
            <w:r w:rsidR="000F02DD">
              <w:t>&amp;</w:t>
            </w:r>
            <w:r w:rsidRPr="00A12447">
              <w:t xml:space="preserve"> </w:t>
            </w:r>
            <w:r w:rsidR="00F43EED">
              <w:t>r</w:t>
            </w:r>
            <w:r w:rsidRPr="00A12447">
              <w:t xml:space="preserve">ubber </w:t>
            </w:r>
            <w:r w:rsidR="00F43EED">
              <w:t>p</w:t>
            </w:r>
            <w:r w:rsidRPr="00A12447">
              <w:t xml:space="preserve">roduct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9</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9</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Non-</w:t>
            </w:r>
            <w:r w:rsidR="00F43EED">
              <w:t>m</w:t>
            </w:r>
            <w:r w:rsidRPr="00A12447">
              <w:t xml:space="preserve">etallic </w:t>
            </w:r>
            <w:r w:rsidR="00F43EED">
              <w:t>m</w:t>
            </w:r>
            <w:r w:rsidRPr="00A12447">
              <w:t xml:space="preserve">ineral </w:t>
            </w:r>
            <w:r w:rsidR="00F43EED">
              <w:t>p</w:t>
            </w:r>
            <w:r w:rsidRPr="00A12447">
              <w:t xml:space="preserve">roduct </w:t>
            </w:r>
            <w:proofErr w:type="spellStart"/>
            <w:r w:rsidR="006E3C66">
              <w:t>mfg</w:t>
            </w:r>
            <w:proofErr w:type="spellEnd"/>
          </w:p>
        </w:tc>
        <w:tc>
          <w:tcPr>
            <w:tcW w:w="1544" w:type="dxa"/>
            <w:vAlign w:val="bottom"/>
          </w:tcPr>
          <w:p w:rsidR="00E02A9A" w:rsidRPr="00A12447" w:rsidRDefault="00E02A9A" w:rsidP="00691FA4">
            <w:pPr>
              <w:pStyle w:val="TableBodyText"/>
              <w:spacing w:before="40"/>
            </w:pPr>
            <w:r w:rsidRPr="00A12447">
              <w:t>2</w:t>
            </w:r>
          </w:p>
        </w:tc>
        <w:tc>
          <w:tcPr>
            <w:tcW w:w="1544" w:type="dxa"/>
            <w:vAlign w:val="bottom"/>
          </w:tcPr>
          <w:p w:rsidR="00E02A9A" w:rsidRPr="00A12447" w:rsidRDefault="00E02A9A" w:rsidP="00691FA4">
            <w:pPr>
              <w:pStyle w:val="TableBodyText"/>
              <w:spacing w:before="40"/>
            </w:pPr>
            <w:r w:rsidRPr="00A12447">
              <w:t>2</w:t>
            </w:r>
          </w:p>
        </w:tc>
        <w:tc>
          <w:tcPr>
            <w:tcW w:w="1544" w:type="dxa"/>
            <w:vAlign w:val="bottom"/>
          </w:tcPr>
          <w:p w:rsidR="00E02A9A" w:rsidRPr="00A12447" w:rsidRDefault="00E02A9A" w:rsidP="00691FA4">
            <w:pPr>
              <w:pStyle w:val="TableBodyText"/>
              <w:spacing w:before="40"/>
            </w:pPr>
            <w:r w:rsidRPr="00A12447">
              <w:t>0</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Primary </w:t>
            </w:r>
            <w:r w:rsidR="00F43EED">
              <w:t>m</w:t>
            </w:r>
            <w:r w:rsidRPr="00A12447">
              <w:t xml:space="preserve">etal </w:t>
            </w:r>
            <w:r w:rsidR="000F02DD">
              <w:t>&amp;</w:t>
            </w:r>
            <w:r w:rsidRPr="00A12447">
              <w:t xml:space="preserve"> </w:t>
            </w:r>
            <w:r w:rsidR="00F43EED">
              <w:t>m</w:t>
            </w:r>
            <w:r w:rsidRPr="00A12447">
              <w:t xml:space="preserve">etal </w:t>
            </w:r>
            <w:r w:rsidR="00F43EED">
              <w:t>p</w:t>
            </w:r>
            <w:r w:rsidRPr="00A12447">
              <w:t xml:space="preserve">roduct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 xml:space="preserve">Fabricated </w:t>
            </w:r>
            <w:r w:rsidR="00F43EED">
              <w:t>m</w:t>
            </w:r>
            <w:r w:rsidRPr="00A12447">
              <w:t xml:space="preserve">etal </w:t>
            </w:r>
            <w:r w:rsidR="00F43EED">
              <w:t>p</w:t>
            </w:r>
            <w:r w:rsidRPr="00A12447">
              <w:t xml:space="preserve">roduct </w:t>
            </w:r>
            <w:proofErr w:type="spellStart"/>
            <w:r w:rsidR="006E3C66">
              <w:t>mfg</w:t>
            </w:r>
            <w:proofErr w:type="spellEnd"/>
          </w:p>
        </w:tc>
        <w:tc>
          <w:tcPr>
            <w:tcW w:w="1544" w:type="dxa"/>
            <w:vAlign w:val="bottom"/>
          </w:tcPr>
          <w:p w:rsidR="00E02A9A" w:rsidRPr="00A12447" w:rsidRDefault="00E02A9A" w:rsidP="00691FA4">
            <w:pPr>
              <w:pStyle w:val="TableBodyText"/>
              <w:spacing w:before="40"/>
            </w:pPr>
            <w:r w:rsidRPr="00A12447">
              <w:t>3</w:t>
            </w:r>
          </w:p>
        </w:tc>
        <w:tc>
          <w:tcPr>
            <w:tcW w:w="1544" w:type="dxa"/>
            <w:vAlign w:val="bottom"/>
          </w:tcPr>
          <w:p w:rsidR="00E02A9A" w:rsidRPr="00A12447" w:rsidRDefault="00E02A9A" w:rsidP="00691FA4">
            <w:pPr>
              <w:pStyle w:val="TableBodyText"/>
              <w:spacing w:before="40"/>
            </w:pPr>
            <w:r w:rsidRPr="00A12447">
              <w:t>3</w:t>
            </w:r>
          </w:p>
        </w:tc>
        <w:tc>
          <w:tcPr>
            <w:tcW w:w="1544" w:type="dxa"/>
            <w:vAlign w:val="bottom"/>
          </w:tcPr>
          <w:p w:rsidR="00E02A9A" w:rsidRPr="00A12447" w:rsidRDefault="00E02A9A" w:rsidP="00691FA4">
            <w:pPr>
              <w:pStyle w:val="TableBodyText"/>
              <w:spacing w:before="40"/>
            </w:pPr>
            <w:r w:rsidRPr="00A12447">
              <w:t>0</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Transport </w:t>
            </w:r>
            <w:r w:rsidR="00F43EED">
              <w:t>e</w:t>
            </w:r>
            <w:r w:rsidRPr="00A12447">
              <w:t xml:space="preserve">quipment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0</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A12447" w:rsidTr="00691FA4">
        <w:tc>
          <w:tcPr>
            <w:tcW w:w="4139" w:type="dxa"/>
            <w:vAlign w:val="bottom"/>
          </w:tcPr>
          <w:p w:rsidR="00E02A9A" w:rsidRPr="00A12447" w:rsidRDefault="00E02A9A" w:rsidP="00691FA4">
            <w:pPr>
              <w:pStyle w:val="TableBodyText"/>
              <w:spacing w:before="40"/>
              <w:ind w:right="0"/>
              <w:jc w:val="left"/>
            </w:pPr>
            <w:r w:rsidRPr="00A12447">
              <w:t xml:space="preserve">Machinery </w:t>
            </w:r>
            <w:r w:rsidR="000F02DD">
              <w:t>&amp;</w:t>
            </w:r>
            <w:r w:rsidRPr="00A12447">
              <w:t xml:space="preserve"> </w:t>
            </w:r>
            <w:r w:rsidR="00F43EED">
              <w:t>e</w:t>
            </w:r>
            <w:r w:rsidRPr="00A12447">
              <w:t xml:space="preserve">quipment </w:t>
            </w:r>
            <w:proofErr w:type="spellStart"/>
            <w:r w:rsidR="006E3C66">
              <w:t>mfg</w:t>
            </w:r>
            <w:proofErr w:type="spellEnd"/>
          </w:p>
        </w:tc>
        <w:tc>
          <w:tcPr>
            <w:tcW w:w="1544" w:type="dxa"/>
            <w:vAlign w:val="bottom"/>
          </w:tcPr>
          <w:p w:rsidR="00E02A9A" w:rsidRPr="00A12447" w:rsidRDefault="00E02A9A" w:rsidP="00691FA4">
            <w:pPr>
              <w:pStyle w:val="TableBodyText"/>
              <w:spacing w:before="40"/>
            </w:pPr>
            <w:r w:rsidRPr="00A12447">
              <w:t>3</w:t>
            </w:r>
          </w:p>
        </w:tc>
        <w:tc>
          <w:tcPr>
            <w:tcW w:w="1544" w:type="dxa"/>
            <w:vAlign w:val="bottom"/>
          </w:tcPr>
          <w:p w:rsidR="00E02A9A" w:rsidRPr="00A12447" w:rsidRDefault="00E02A9A" w:rsidP="00691FA4">
            <w:pPr>
              <w:pStyle w:val="TableBodyText"/>
              <w:spacing w:before="40"/>
            </w:pPr>
            <w:r w:rsidRPr="00A12447">
              <w:t>2</w:t>
            </w:r>
          </w:p>
        </w:tc>
        <w:tc>
          <w:tcPr>
            <w:tcW w:w="1544" w:type="dxa"/>
            <w:vAlign w:val="bottom"/>
          </w:tcPr>
          <w:p w:rsidR="00E02A9A" w:rsidRPr="00A12447" w:rsidRDefault="00E02A9A" w:rsidP="00691FA4">
            <w:pPr>
              <w:pStyle w:val="TableBodyText"/>
              <w:spacing w:before="40"/>
            </w:pPr>
            <w:r w:rsidRPr="00A12447">
              <w:t>1</w:t>
            </w: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pPr>
          </w:p>
        </w:tc>
        <w:tc>
          <w:tcPr>
            <w:tcW w:w="0" w:type="auto"/>
            <w:shd w:val="clear" w:color="auto" w:fill="auto"/>
            <w:vAlign w:val="bottom"/>
          </w:tcPr>
          <w:p w:rsidR="00E02A9A" w:rsidRPr="00A12447" w:rsidRDefault="00E02A9A" w:rsidP="00691FA4">
            <w:pPr>
              <w:pStyle w:val="TableBodyText"/>
              <w:spacing w:before="40"/>
              <w:ind w:right="28"/>
            </w:pPr>
          </w:p>
        </w:tc>
      </w:tr>
      <w:tr w:rsidR="009D04A8" w:rsidRPr="00A12447" w:rsidTr="00691FA4">
        <w:tc>
          <w:tcPr>
            <w:tcW w:w="4139" w:type="dxa"/>
            <w:shd w:val="clear" w:color="auto" w:fill="D9D9D9" w:themeFill="background1" w:themeFillShade="D9"/>
            <w:vAlign w:val="bottom"/>
          </w:tcPr>
          <w:p w:rsidR="00E02A9A" w:rsidRPr="00A12447" w:rsidRDefault="00E02A9A" w:rsidP="00691FA4">
            <w:pPr>
              <w:pStyle w:val="TableBodyText"/>
              <w:spacing w:before="40"/>
              <w:ind w:right="0"/>
              <w:jc w:val="left"/>
            </w:pPr>
            <w:r w:rsidRPr="00A12447">
              <w:t xml:space="preserve">Furniture </w:t>
            </w:r>
            <w:r w:rsidR="000F02DD">
              <w:t>&amp;</w:t>
            </w:r>
            <w:r w:rsidRPr="00A12447">
              <w:t xml:space="preserve"> </w:t>
            </w:r>
            <w:r w:rsidR="00F43EED">
              <w:t>o</w:t>
            </w:r>
            <w:r w:rsidRPr="00A12447">
              <w:t xml:space="preserve">ther </w:t>
            </w:r>
            <w:proofErr w:type="spellStart"/>
            <w:r w:rsidR="006E3C66">
              <w:t>mfg</w:t>
            </w:r>
            <w:proofErr w:type="spellEnd"/>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14</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14</w:t>
            </w:r>
          </w:p>
        </w:tc>
        <w:tc>
          <w:tcPr>
            <w:tcW w:w="1544" w:type="dxa"/>
            <w:shd w:val="clear" w:color="auto" w:fill="D9D9D9" w:themeFill="background1" w:themeFillShade="D9"/>
            <w:vAlign w:val="bottom"/>
          </w:tcPr>
          <w:p w:rsidR="00E02A9A" w:rsidRPr="00A12447" w:rsidRDefault="00E02A9A" w:rsidP="00691FA4">
            <w:pPr>
              <w:pStyle w:val="TableBodyText"/>
              <w:spacing w:before="40"/>
            </w:pPr>
            <w:r w:rsidRPr="00A12447">
              <w:t>6</w:t>
            </w: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pPr>
          </w:p>
        </w:tc>
        <w:tc>
          <w:tcPr>
            <w:tcW w:w="0" w:type="auto"/>
            <w:shd w:val="clear" w:color="auto" w:fill="D9D9D9" w:themeFill="background1" w:themeFillShade="D9"/>
            <w:vAlign w:val="bottom"/>
          </w:tcPr>
          <w:p w:rsidR="00E02A9A" w:rsidRPr="00A12447" w:rsidRDefault="00E02A9A" w:rsidP="00691FA4">
            <w:pPr>
              <w:pStyle w:val="TableBodyText"/>
              <w:spacing w:before="40"/>
              <w:ind w:right="28"/>
            </w:pPr>
          </w:p>
        </w:tc>
      </w:tr>
      <w:tr w:rsidR="009D04A8" w:rsidRPr="009D04A8" w:rsidTr="00691FA4">
        <w:tc>
          <w:tcPr>
            <w:tcW w:w="4139" w:type="dxa"/>
            <w:vAlign w:val="bottom"/>
          </w:tcPr>
          <w:p w:rsidR="00E02A9A" w:rsidRPr="00242242" w:rsidRDefault="009D04A8" w:rsidP="00691FA4">
            <w:pPr>
              <w:pStyle w:val="TableBodyText"/>
              <w:spacing w:before="40"/>
              <w:ind w:left="720" w:right="0" w:hanging="714"/>
              <w:jc w:val="left"/>
              <w:rPr>
                <w:b/>
              </w:rPr>
            </w:pPr>
            <w:r>
              <w:rPr>
                <w:b/>
              </w:rPr>
              <w:t>T</w:t>
            </w:r>
            <w:r w:rsidR="00E02A9A" w:rsidRPr="00242242">
              <w:rPr>
                <w:b/>
              </w:rPr>
              <w:t>otal</w:t>
            </w:r>
            <w:r w:rsidR="00766953">
              <w:rPr>
                <w:rStyle w:val="NoteLabel"/>
              </w:rPr>
              <w:t>b</w:t>
            </w:r>
          </w:p>
        </w:tc>
        <w:tc>
          <w:tcPr>
            <w:tcW w:w="1544" w:type="dxa"/>
            <w:vAlign w:val="bottom"/>
          </w:tcPr>
          <w:p w:rsidR="00E02A9A" w:rsidRPr="00242242" w:rsidRDefault="00E02A9A" w:rsidP="00691FA4">
            <w:pPr>
              <w:pStyle w:val="TableBodyText"/>
              <w:framePr w:w="2155" w:hSpace="227" w:vSpace="181" w:wrap="around" w:vAnchor="text" w:hAnchor="page" w:xAlign="outside" w:y="1"/>
              <w:tabs>
                <w:tab w:val="right" w:pos="8789"/>
              </w:tabs>
              <w:spacing w:before="40"/>
              <w:ind w:hanging="737"/>
              <w:rPr>
                <w:b/>
              </w:rPr>
            </w:pPr>
            <w:r w:rsidRPr="00242242">
              <w:rPr>
                <w:b/>
              </w:rPr>
              <w:t>103</w:t>
            </w:r>
          </w:p>
        </w:tc>
        <w:tc>
          <w:tcPr>
            <w:tcW w:w="1544" w:type="dxa"/>
            <w:vAlign w:val="bottom"/>
          </w:tcPr>
          <w:p w:rsidR="00E02A9A" w:rsidRPr="00242242" w:rsidRDefault="00E02A9A" w:rsidP="00691FA4">
            <w:pPr>
              <w:pStyle w:val="TableBodyText"/>
              <w:framePr w:w="2155" w:hSpace="227" w:vSpace="181" w:wrap="around" w:vAnchor="text" w:hAnchor="page" w:xAlign="outside" w:y="1"/>
              <w:tabs>
                <w:tab w:val="right" w:pos="8789"/>
              </w:tabs>
              <w:spacing w:before="40"/>
              <w:ind w:hanging="737"/>
              <w:rPr>
                <w:b/>
              </w:rPr>
            </w:pPr>
            <w:r w:rsidRPr="00242242">
              <w:rPr>
                <w:b/>
              </w:rPr>
              <w:t>100</w:t>
            </w:r>
          </w:p>
        </w:tc>
        <w:tc>
          <w:tcPr>
            <w:tcW w:w="1544" w:type="dxa"/>
            <w:vAlign w:val="bottom"/>
          </w:tcPr>
          <w:p w:rsidR="00E02A9A" w:rsidRPr="00242242" w:rsidRDefault="00D91D94" w:rsidP="00691FA4">
            <w:pPr>
              <w:pStyle w:val="TableBodyText"/>
              <w:framePr w:w="2155" w:hSpace="227" w:vSpace="181" w:wrap="around" w:vAnchor="text" w:hAnchor="page" w:xAlign="outside" w:y="1"/>
              <w:tabs>
                <w:tab w:val="right" w:pos="8789"/>
              </w:tabs>
              <w:spacing w:before="40"/>
              <w:ind w:right="124" w:hanging="737"/>
              <w:rPr>
                <w:b/>
              </w:rPr>
            </w:pPr>
            <w:r>
              <w:rPr>
                <w:b/>
              </w:rPr>
              <w:t>15</w:t>
            </w:r>
          </w:p>
        </w:tc>
        <w:tc>
          <w:tcPr>
            <w:tcW w:w="0" w:type="auto"/>
            <w:shd w:val="clear" w:color="auto" w:fill="auto"/>
            <w:vAlign w:val="bottom"/>
          </w:tcPr>
          <w:p w:rsidR="00E02A9A" w:rsidRPr="00242242" w:rsidRDefault="00E02A9A" w:rsidP="00691FA4">
            <w:pPr>
              <w:pStyle w:val="TableBodyText"/>
              <w:overflowPunct w:val="0"/>
              <w:autoSpaceDE w:val="0"/>
              <w:autoSpaceDN w:val="0"/>
              <w:adjustRightInd w:val="0"/>
              <w:spacing w:before="40"/>
              <w:rPr>
                <w:b/>
              </w:rPr>
            </w:pPr>
          </w:p>
        </w:tc>
        <w:tc>
          <w:tcPr>
            <w:tcW w:w="0" w:type="auto"/>
            <w:shd w:val="clear" w:color="auto" w:fill="auto"/>
            <w:vAlign w:val="bottom"/>
          </w:tcPr>
          <w:p w:rsidR="00E02A9A" w:rsidRPr="00242242" w:rsidRDefault="00E02A9A" w:rsidP="00691FA4">
            <w:pPr>
              <w:pStyle w:val="TableBodyText"/>
              <w:overflowPunct w:val="0"/>
              <w:autoSpaceDE w:val="0"/>
              <w:autoSpaceDN w:val="0"/>
              <w:adjustRightInd w:val="0"/>
              <w:spacing w:before="40"/>
              <w:rPr>
                <w:b/>
              </w:rPr>
            </w:pPr>
          </w:p>
        </w:tc>
        <w:tc>
          <w:tcPr>
            <w:tcW w:w="0" w:type="auto"/>
            <w:shd w:val="clear" w:color="auto" w:fill="auto"/>
            <w:vAlign w:val="bottom"/>
          </w:tcPr>
          <w:p w:rsidR="00E02A9A" w:rsidRPr="00242242" w:rsidRDefault="00E02A9A" w:rsidP="00691FA4">
            <w:pPr>
              <w:pStyle w:val="TableBodyText"/>
              <w:overflowPunct w:val="0"/>
              <w:autoSpaceDE w:val="0"/>
              <w:autoSpaceDN w:val="0"/>
              <w:adjustRightInd w:val="0"/>
              <w:spacing w:before="40"/>
              <w:rPr>
                <w:b/>
              </w:rPr>
            </w:pPr>
          </w:p>
        </w:tc>
      </w:tr>
    </w:tbl>
    <w:p w:rsidR="00E02A9A" w:rsidRPr="00A12447" w:rsidRDefault="007958CA" w:rsidP="00E02A9A">
      <w:pPr>
        <w:pStyle w:val="Note"/>
      </w:pPr>
      <w:r>
        <w:rPr>
          <w:rStyle w:val="NoteLabel"/>
        </w:rPr>
        <w:t>a</w:t>
      </w:r>
      <w:r>
        <w:t> </w:t>
      </w:r>
      <w:r w:rsidR="009D04A8">
        <w:t xml:space="preserve">Not published is defined by the ABS as </w:t>
      </w:r>
      <w:r w:rsidR="00E02A9A" w:rsidRPr="00A12447">
        <w:t xml:space="preserve">’not available for publication but included in totals where applicable, unless otherwise stated’. </w:t>
      </w:r>
      <w:r w:rsidR="00E02A9A" w:rsidRPr="00EC1F6C">
        <w:rPr>
          <w:rStyle w:val="NoteLabel"/>
        </w:rPr>
        <w:t>b</w:t>
      </w:r>
      <w:r w:rsidR="00E02A9A" w:rsidRPr="00A12447">
        <w:t xml:space="preserve"> The total number of observations is 1470 (98 quarters by 15 industry subdivisions).</w:t>
      </w:r>
    </w:p>
    <w:p w:rsidR="00E02A9A" w:rsidRPr="00A12447" w:rsidRDefault="00E02A9A" w:rsidP="00E02A9A">
      <w:pPr>
        <w:pStyle w:val="Source"/>
      </w:pPr>
      <w:r w:rsidRPr="00EC1F6C">
        <w:rPr>
          <w:i/>
        </w:rPr>
        <w:t>Source</w:t>
      </w:r>
      <w:r w:rsidRPr="00564BDC">
        <w:t>:</w:t>
      </w:r>
      <w:r w:rsidRPr="00A12447">
        <w:t xml:space="preserve"> </w:t>
      </w:r>
      <w:r w:rsidR="00F96295">
        <w:t xml:space="preserve">ABS (unpublished Survey of </w:t>
      </w:r>
      <w:r w:rsidR="00F96295" w:rsidRPr="00C500A0">
        <w:t>New Capital Expenditure data</w:t>
      </w:r>
      <w:r w:rsidR="00F96295">
        <w:t>).</w:t>
      </w:r>
    </w:p>
    <w:p w:rsidR="00E02A9A" w:rsidRPr="00A12447" w:rsidRDefault="009D04A8" w:rsidP="00E02A9A">
      <w:pPr>
        <w:pStyle w:val="BodyText"/>
      </w:pPr>
      <w:r>
        <w:t>Where</w:t>
      </w:r>
      <w:r w:rsidR="00E02A9A" w:rsidRPr="00A12447">
        <w:t xml:space="preserve"> </w:t>
      </w:r>
      <w:r w:rsidR="00C500A0">
        <w:t xml:space="preserve">data </w:t>
      </w:r>
      <w:r w:rsidR="00383042">
        <w:t xml:space="preserve">were </w:t>
      </w:r>
      <w:r>
        <w:t>available for one of the two asset types and for the total</w:t>
      </w:r>
      <w:r w:rsidR="00C63362">
        <w:t xml:space="preserve"> of both asset types</w:t>
      </w:r>
      <w:r>
        <w:t>, t</w:t>
      </w:r>
      <w:r w:rsidR="00E02A9A" w:rsidRPr="00A12447">
        <w:t xml:space="preserve">he missing value </w:t>
      </w:r>
      <w:r w:rsidR="00383042">
        <w:t>was</w:t>
      </w:r>
      <w:r w:rsidR="00E02A9A" w:rsidRPr="00A12447">
        <w:t xml:space="preserve"> imputed as the difference between the total and the value of the investment in the asset for which there </w:t>
      </w:r>
      <w:r w:rsidR="00383042">
        <w:t>were</w:t>
      </w:r>
      <w:r w:rsidR="00383042" w:rsidRPr="00A12447">
        <w:t xml:space="preserve"> </w:t>
      </w:r>
      <w:r w:rsidR="00E02A9A" w:rsidRPr="00A12447">
        <w:t xml:space="preserve">data. </w:t>
      </w:r>
      <w:r w:rsidR="00E02A9A" w:rsidRPr="00A12447" w:rsidDel="009D04A8">
        <w:t xml:space="preserve">In many cases, however, there </w:t>
      </w:r>
      <w:r w:rsidR="00383042">
        <w:t>were</w:t>
      </w:r>
      <w:r w:rsidR="00383042" w:rsidRPr="00A12447" w:rsidDel="009D04A8">
        <w:t xml:space="preserve"> </w:t>
      </w:r>
      <w:r w:rsidR="00E02A9A" w:rsidRPr="00A12447" w:rsidDel="009D04A8">
        <w:t xml:space="preserve">total values but missing observations for both asset types. </w:t>
      </w:r>
      <w:r w:rsidR="00E02A9A" w:rsidRPr="00A12447">
        <w:t xml:space="preserve">The imputation </w:t>
      </w:r>
      <w:r w:rsidR="00383042">
        <w:t xml:space="preserve">method </w:t>
      </w:r>
      <w:r w:rsidR="00E02A9A" w:rsidRPr="00A12447">
        <w:t xml:space="preserve">in </w:t>
      </w:r>
      <w:r w:rsidR="00383042" w:rsidRPr="00A12447">
        <w:t>th</w:t>
      </w:r>
      <w:r w:rsidR="00383042">
        <w:t>at</w:t>
      </w:r>
      <w:r w:rsidR="00383042" w:rsidRPr="00A12447">
        <w:t xml:space="preserve"> </w:t>
      </w:r>
      <w:r w:rsidR="00E02A9A" w:rsidRPr="00A12447">
        <w:t>case is discussed in box</w:t>
      </w:r>
      <w:r w:rsidR="00771DD7">
        <w:t xml:space="preserve"> </w:t>
      </w:r>
      <w:proofErr w:type="spellStart"/>
      <w:r w:rsidR="003F215F">
        <w:t>A.4</w:t>
      </w:r>
      <w:proofErr w:type="spellEnd"/>
      <w:r w:rsidR="00E02A9A" w:rsidRPr="00A12447">
        <w:t>.</w:t>
      </w:r>
    </w:p>
    <w:p w:rsidR="00EC1F6C" w:rsidRDefault="00EC1F6C" w:rsidP="00EC1F6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2A9A" w:rsidRPr="00BD1002" w:rsidTr="00732933">
        <w:tc>
          <w:tcPr>
            <w:tcW w:w="8771" w:type="dxa"/>
            <w:tcBorders>
              <w:top w:val="single" w:sz="6" w:space="0" w:color="auto"/>
              <w:bottom w:val="nil"/>
            </w:tcBorders>
          </w:tcPr>
          <w:p w:rsidR="00E02A9A" w:rsidRPr="00B43BE3" w:rsidRDefault="00E02A9A" w:rsidP="00CD7CA5">
            <w:pPr>
              <w:pStyle w:val="BoxTitle"/>
              <w:rPr>
                <w:sz w:val="24"/>
                <w:szCs w:val="24"/>
              </w:rPr>
            </w:pPr>
            <w:r w:rsidRPr="00B43BE3">
              <w:rPr>
                <w:b w:val="0"/>
                <w:sz w:val="24"/>
                <w:szCs w:val="24"/>
              </w:rPr>
              <w:t xml:space="preserve">Box </w:t>
            </w:r>
            <w:bookmarkStart w:id="19" w:name="OLE_LINK10"/>
            <w:proofErr w:type="spellStart"/>
            <w:r w:rsidR="003F215F" w:rsidRPr="00B43BE3">
              <w:rPr>
                <w:b w:val="0"/>
                <w:sz w:val="24"/>
                <w:szCs w:val="24"/>
              </w:rPr>
              <w:t>A.</w:t>
            </w:r>
            <w:r w:rsidR="001459D9">
              <w:rPr>
                <w:b w:val="0"/>
                <w:noProof/>
                <w:sz w:val="24"/>
                <w:szCs w:val="24"/>
              </w:rPr>
              <w:t>4</w:t>
            </w:r>
            <w:bookmarkEnd w:id="19"/>
            <w:proofErr w:type="spellEnd"/>
            <w:r w:rsidRPr="00B43BE3">
              <w:rPr>
                <w:sz w:val="24"/>
                <w:szCs w:val="24"/>
              </w:rPr>
              <w:tab/>
              <w:t xml:space="preserve">Imputing missing observations in </w:t>
            </w:r>
            <w:r w:rsidR="00CD7CA5" w:rsidRPr="00B43BE3">
              <w:rPr>
                <w:sz w:val="24"/>
                <w:szCs w:val="24"/>
              </w:rPr>
              <w:t xml:space="preserve">private new capital expenditure </w:t>
            </w:r>
            <w:r w:rsidRPr="00B43BE3">
              <w:rPr>
                <w:sz w:val="24"/>
                <w:szCs w:val="24"/>
              </w:rPr>
              <w:t>data</w:t>
            </w:r>
          </w:p>
        </w:tc>
      </w:tr>
      <w:tr w:rsidR="00E02A9A" w:rsidRPr="00A12447" w:rsidTr="00732933">
        <w:trPr>
          <w:cantSplit/>
        </w:trPr>
        <w:tc>
          <w:tcPr>
            <w:tcW w:w="8771" w:type="dxa"/>
            <w:tcBorders>
              <w:top w:val="nil"/>
              <w:left w:val="single" w:sz="6" w:space="0" w:color="auto"/>
              <w:bottom w:val="nil"/>
              <w:right w:val="single" w:sz="6" w:space="0" w:color="auto"/>
            </w:tcBorders>
          </w:tcPr>
          <w:p w:rsidR="00E02A9A" w:rsidRPr="00A12447" w:rsidRDefault="00E02A9A" w:rsidP="00AE6B55">
            <w:pPr>
              <w:pStyle w:val="Box"/>
            </w:pPr>
            <w:r w:rsidRPr="00A12447">
              <w:t xml:space="preserve">The following process </w:t>
            </w:r>
            <w:r w:rsidR="00383042">
              <w:t>wa</w:t>
            </w:r>
            <w:r w:rsidR="00383042" w:rsidRPr="00A12447">
              <w:t xml:space="preserve">s </w:t>
            </w:r>
            <w:r w:rsidRPr="00A12447">
              <w:t xml:space="preserve">followed in order to clean the </w:t>
            </w:r>
            <w:proofErr w:type="spellStart"/>
            <w:r w:rsidRPr="00A12447">
              <w:t>PNCE</w:t>
            </w:r>
            <w:proofErr w:type="spellEnd"/>
            <w:r w:rsidRPr="00A12447">
              <w:t xml:space="preserve"> data received by the ABS</w:t>
            </w:r>
            <w:r w:rsidR="00DB7AA8">
              <w:t>. In any quarter for a particular asset in a particular subdivision</w:t>
            </w:r>
            <w:r w:rsidR="00AE6B55">
              <w:t xml:space="preserve"> if</w:t>
            </w:r>
            <w:r w:rsidRPr="00A12447">
              <w:t xml:space="preserve"> there </w:t>
            </w:r>
            <w:r w:rsidR="00383042">
              <w:t>were</w:t>
            </w:r>
            <w:r w:rsidR="00383042" w:rsidRPr="00A12447">
              <w:t xml:space="preserve"> </w:t>
            </w:r>
            <w:r w:rsidRPr="00A12447">
              <w:t xml:space="preserve">data available it </w:t>
            </w:r>
            <w:r w:rsidR="00383042">
              <w:t>wa</w:t>
            </w:r>
            <w:r w:rsidR="00383042" w:rsidRPr="00A12447">
              <w:t xml:space="preserve">s </w:t>
            </w:r>
            <w:r w:rsidRPr="00A12447">
              <w:t>kept ‘as is’</w:t>
            </w:r>
            <w:r w:rsidR="00AE6B55">
              <w:t xml:space="preserve">. Where data </w:t>
            </w:r>
            <w:r w:rsidR="00383042">
              <w:t xml:space="preserve">were </w:t>
            </w:r>
            <w:r w:rsidR="00AE6B55">
              <w:t>missing:</w:t>
            </w:r>
          </w:p>
          <w:p w:rsidR="00E02A9A" w:rsidRPr="00A12447" w:rsidRDefault="00E02A9A" w:rsidP="00C334CC">
            <w:pPr>
              <w:pStyle w:val="BoxListNumber"/>
            </w:pPr>
            <w:r w:rsidRPr="00A12447">
              <w:t xml:space="preserve">If there </w:t>
            </w:r>
            <w:r w:rsidR="00383042">
              <w:t>wa</w:t>
            </w:r>
            <w:r w:rsidR="00383042" w:rsidRPr="00A12447">
              <w:t xml:space="preserve">s </w:t>
            </w:r>
            <w:r w:rsidRPr="00A12447">
              <w:t xml:space="preserve">a missing value, the most recent, previous available value for the asset-subdivision in question </w:t>
            </w:r>
            <w:r w:rsidR="00383042">
              <w:t>wa</w:t>
            </w:r>
            <w:r w:rsidR="00383042" w:rsidRPr="00A12447">
              <w:t xml:space="preserve">s </w:t>
            </w:r>
            <w:r w:rsidRPr="00A12447">
              <w:t xml:space="preserve">used to derive a ratio of the total of subdivision asset expenditure in that previously available quarter. This ratio </w:t>
            </w:r>
            <w:r w:rsidR="00383042">
              <w:t>wa</w:t>
            </w:r>
            <w:r w:rsidR="00383042" w:rsidRPr="00A12447">
              <w:t xml:space="preserve">s </w:t>
            </w:r>
            <w:r w:rsidRPr="00A12447">
              <w:t xml:space="preserve">then applied to the total value for the quarter where there </w:t>
            </w:r>
            <w:r w:rsidR="00383042">
              <w:t>wa</w:t>
            </w:r>
            <w:r w:rsidR="00383042" w:rsidRPr="00A12447">
              <w:t xml:space="preserve">s </w:t>
            </w:r>
            <w:r w:rsidRPr="00A12447">
              <w:t xml:space="preserve">the missing data in order to impute a value. This </w:t>
            </w:r>
            <w:r w:rsidR="00383042" w:rsidRPr="00A12447">
              <w:t>solve</w:t>
            </w:r>
            <w:r w:rsidR="00383042">
              <w:t>d</w:t>
            </w:r>
            <w:r w:rsidR="00383042" w:rsidRPr="00A12447">
              <w:t xml:space="preserve"> </w:t>
            </w:r>
            <w:r w:rsidRPr="00A12447">
              <w:t xml:space="preserve">for the majority of missing values. </w:t>
            </w:r>
          </w:p>
          <w:p w:rsidR="00E02A9A" w:rsidRPr="00A12447" w:rsidRDefault="00E02A9A" w:rsidP="00C334CC">
            <w:pPr>
              <w:pStyle w:val="BoxQuote"/>
            </w:pPr>
            <w:r w:rsidRPr="00A12447">
              <w:t xml:space="preserve">For example: There </w:t>
            </w:r>
            <w:r w:rsidR="00383042">
              <w:t>wa</w:t>
            </w:r>
            <w:r w:rsidR="00383042" w:rsidRPr="00A12447">
              <w:t xml:space="preserve">s </w:t>
            </w:r>
            <w:r w:rsidRPr="00A12447">
              <w:t xml:space="preserve">missing data for equipment </w:t>
            </w:r>
            <w:r w:rsidR="00AE6B55">
              <w:t>capital expenditure</w:t>
            </w:r>
            <w:r w:rsidRPr="00A12447">
              <w:t xml:space="preserve"> in the September 2006 q</w:t>
            </w:r>
            <w:r w:rsidR="00AE6B55">
              <w:t>uarter</w:t>
            </w:r>
            <w:r w:rsidRPr="00A12447">
              <w:t xml:space="preserve"> for </w:t>
            </w:r>
            <w:r w:rsidR="00766953">
              <w:t xml:space="preserve">Textiles, </w:t>
            </w:r>
            <w:r w:rsidR="006C15CA">
              <w:t>l</w:t>
            </w:r>
            <w:r w:rsidR="00766953">
              <w:t xml:space="preserve">eather, </w:t>
            </w:r>
            <w:r w:rsidR="006C15CA">
              <w:t>c</w:t>
            </w:r>
            <w:r w:rsidR="00766953">
              <w:t xml:space="preserve">lothing and </w:t>
            </w:r>
            <w:r w:rsidR="006C15CA">
              <w:t>f</w:t>
            </w:r>
            <w:r w:rsidR="00766953">
              <w:t>ootwear</w:t>
            </w:r>
            <w:r w:rsidRPr="00A12447">
              <w:t>. In the previous q</w:t>
            </w:r>
            <w:r w:rsidR="00AE6B55">
              <w:t>uarter</w:t>
            </w:r>
            <w:r w:rsidRPr="00A12447">
              <w:t xml:space="preserve">, there was expenditure of $47 million. Total </w:t>
            </w:r>
            <w:r w:rsidR="00AE6B55">
              <w:t>capital expenditure</w:t>
            </w:r>
            <w:r w:rsidRPr="00A12447">
              <w:t xml:space="preserve"> </w:t>
            </w:r>
            <w:r w:rsidR="004F4A89">
              <w:t>for Textiles, leather, clothing and footwear</w:t>
            </w:r>
            <w:r w:rsidR="004F4A89" w:rsidRPr="00A12447">
              <w:t xml:space="preserve"> </w:t>
            </w:r>
            <w:r w:rsidRPr="00A12447">
              <w:t>for the June 2006 q</w:t>
            </w:r>
            <w:r w:rsidR="00AE6B55">
              <w:t>uarter</w:t>
            </w:r>
            <w:r w:rsidRPr="00A12447">
              <w:t xml:space="preserve"> was $50 million, meaning that equipment manufacturing comprised 94</w:t>
            </w:r>
            <w:r w:rsidR="00D50A0A">
              <w:t xml:space="preserve"> per cent</w:t>
            </w:r>
            <w:r w:rsidR="00D50A0A" w:rsidRPr="00A12447">
              <w:t xml:space="preserve"> </w:t>
            </w:r>
            <w:r w:rsidRPr="00A12447">
              <w:t xml:space="preserve">of total </w:t>
            </w:r>
            <w:r w:rsidR="00AE6B55">
              <w:t>capital expenditure</w:t>
            </w:r>
            <w:r w:rsidRPr="00A12447">
              <w:t>. The data indicate that there was $37</w:t>
            </w:r>
            <w:r w:rsidR="00C95229">
              <w:t> </w:t>
            </w:r>
            <w:r w:rsidRPr="00A12447">
              <w:t xml:space="preserve">million in total </w:t>
            </w:r>
            <w:r w:rsidR="00AE6B55">
              <w:t>capital expenditure</w:t>
            </w:r>
            <w:r w:rsidRPr="00A12447">
              <w:t xml:space="preserve"> for </w:t>
            </w:r>
            <w:r w:rsidR="004F4A89">
              <w:t>Textiles, leather, clothing and footwear</w:t>
            </w:r>
            <w:r w:rsidRPr="00A12447">
              <w:t xml:space="preserve"> in the September 2006 quarter. Applying the same ratio of 94</w:t>
            </w:r>
            <w:r w:rsidR="00D50A0A">
              <w:t xml:space="preserve"> per cent</w:t>
            </w:r>
            <w:r w:rsidR="00D50A0A" w:rsidRPr="00A12447">
              <w:t xml:space="preserve"> </w:t>
            </w:r>
            <w:r w:rsidRPr="00A12447">
              <w:t xml:space="preserve">to this number imputes equipment </w:t>
            </w:r>
            <w:r w:rsidR="00AE6B55">
              <w:t>capital expenditure</w:t>
            </w:r>
            <w:r w:rsidRPr="00A12447">
              <w:t xml:space="preserve"> for September 2006 as $34.7</w:t>
            </w:r>
            <w:r w:rsidR="00E70A76">
              <w:t xml:space="preserve"> </w:t>
            </w:r>
            <w:r w:rsidRPr="00A12447">
              <w:t>m</w:t>
            </w:r>
            <w:r w:rsidR="00E70A76">
              <w:t>illion</w:t>
            </w:r>
            <w:r w:rsidRPr="00A12447">
              <w:t>.</w:t>
            </w:r>
          </w:p>
          <w:p w:rsidR="00E02A9A" w:rsidRDefault="00E02A9A" w:rsidP="00732933">
            <w:pPr>
              <w:pStyle w:val="BoxListNumber"/>
            </w:pPr>
            <w:r w:rsidRPr="00A12447">
              <w:t xml:space="preserve">If </w:t>
            </w:r>
            <w:r w:rsidR="00C500A0">
              <w:t xml:space="preserve">data </w:t>
            </w:r>
            <w:r w:rsidR="00383042">
              <w:t>were</w:t>
            </w:r>
            <w:r w:rsidR="00383042" w:rsidRPr="00A12447">
              <w:t xml:space="preserve"> </w:t>
            </w:r>
            <w:r w:rsidRPr="00A12447">
              <w:t xml:space="preserve">missing both for an asset and total within a subdivision, then the total </w:t>
            </w:r>
            <w:r w:rsidR="00383042">
              <w:t>could</w:t>
            </w:r>
            <w:r w:rsidR="00383042" w:rsidRPr="00A12447">
              <w:t xml:space="preserve"> </w:t>
            </w:r>
            <w:r w:rsidRPr="00A12447">
              <w:t xml:space="preserve">often be recovered by consulting the published </w:t>
            </w:r>
            <w:proofErr w:type="spellStart"/>
            <w:r w:rsidRPr="00A12447">
              <w:t>PNCE</w:t>
            </w:r>
            <w:proofErr w:type="spellEnd"/>
            <w:r w:rsidRPr="00A12447">
              <w:t xml:space="preserve"> data, which </w:t>
            </w:r>
            <w:r w:rsidR="00383042" w:rsidRPr="00A12447">
              <w:t>ha</w:t>
            </w:r>
            <w:r w:rsidR="00383042">
              <w:t>d</w:t>
            </w:r>
            <w:r w:rsidR="00383042" w:rsidRPr="00A12447">
              <w:t xml:space="preserve"> </w:t>
            </w:r>
            <w:r w:rsidRPr="00A12447">
              <w:t>fewer missing observations than that received from the data request from the ABS.</w:t>
            </w:r>
            <w:r w:rsidR="00BB2F49">
              <w:rPr>
                <w:rStyle w:val="FootnoteReference"/>
              </w:rPr>
              <w:t>*</w:t>
            </w:r>
            <w:r w:rsidRPr="00A12447">
              <w:t xml:space="preserve"> With the totals, step 2 </w:t>
            </w:r>
            <w:r w:rsidR="00383042" w:rsidRPr="00A12447">
              <w:t>c</w:t>
            </w:r>
            <w:r w:rsidR="00383042">
              <w:t>ould</w:t>
            </w:r>
            <w:r w:rsidR="00383042" w:rsidRPr="00A12447">
              <w:t xml:space="preserve"> </w:t>
            </w:r>
            <w:r w:rsidRPr="00A12447">
              <w:t>then be carried out to impute missing values for asset</w:t>
            </w:r>
            <w:r w:rsidR="00C95229">
              <w:noBreakHyphen/>
            </w:r>
            <w:r w:rsidRPr="00A12447">
              <w:t>subsector pairs.</w:t>
            </w:r>
          </w:p>
          <w:p w:rsidR="00C74289" w:rsidRPr="00A12447" w:rsidRDefault="00C74289" w:rsidP="00C74289">
            <w:pPr>
              <w:pStyle w:val="BoxListNumber"/>
            </w:pPr>
            <w:r w:rsidRPr="00C74289">
              <w:t xml:space="preserve">For the remaining missing observations, the total of multiple missing values was derived as the difference between the published total </w:t>
            </w:r>
            <w:proofErr w:type="spellStart"/>
            <w:r w:rsidR="00EA0AC2">
              <w:t>PNCE</w:t>
            </w:r>
            <w:proofErr w:type="spellEnd"/>
            <w:r w:rsidRPr="00C74289">
              <w:t xml:space="preserve"> for Manufacturing </w:t>
            </w:r>
            <w:r w:rsidR="002706AC">
              <w:t xml:space="preserve">(which includes the value of the missing data in aggregate) </w:t>
            </w:r>
            <w:r w:rsidRPr="00C74289">
              <w:t>and the sum of the reported values by asset type. This total for missing values was then split across industry subdivisions using the proportions from the most recent previous data.</w:t>
            </w:r>
          </w:p>
          <w:p w:rsidR="00E02A9A" w:rsidRPr="00C95229" w:rsidRDefault="00E02A9A" w:rsidP="00C334CC">
            <w:pPr>
              <w:pStyle w:val="BoxQuote"/>
            </w:pPr>
            <w:r w:rsidRPr="00C95229">
              <w:t xml:space="preserve">For example: There </w:t>
            </w:r>
            <w:r w:rsidR="00383042" w:rsidRPr="00C95229">
              <w:t xml:space="preserve">was </w:t>
            </w:r>
            <w:r w:rsidRPr="00C95229">
              <w:t xml:space="preserve">missing data for total </w:t>
            </w:r>
            <w:r w:rsidR="00AE6B55" w:rsidRPr="00C95229">
              <w:t>capital expenditure</w:t>
            </w:r>
            <w:r w:rsidRPr="00C95229">
              <w:t xml:space="preserve"> in the June 2007 quarter for both </w:t>
            </w:r>
            <w:r w:rsidR="00C95229">
              <w:t>P</w:t>
            </w:r>
            <w:r w:rsidRPr="00C95229">
              <w:t xml:space="preserve">etroleum and </w:t>
            </w:r>
            <w:r w:rsidR="00C95229">
              <w:t>O</w:t>
            </w:r>
            <w:r w:rsidRPr="00C95229">
              <w:t xml:space="preserve">ther manufacturing. The total </w:t>
            </w:r>
            <w:r w:rsidR="00AE6B55" w:rsidRPr="00C95229">
              <w:t>capital expenditure</w:t>
            </w:r>
            <w:r w:rsidRPr="00C95229">
              <w:t xml:space="preserve"> for this quarter as published </w:t>
            </w:r>
            <w:r w:rsidR="00383042" w:rsidRPr="00C95229">
              <w:t xml:space="preserve">was </w:t>
            </w:r>
            <w:r w:rsidRPr="00C95229">
              <w:t>$2901</w:t>
            </w:r>
            <w:r w:rsidR="00E70A76" w:rsidRPr="00C95229">
              <w:t xml:space="preserve"> </w:t>
            </w:r>
            <w:r w:rsidRPr="00C95229">
              <w:t>m</w:t>
            </w:r>
            <w:r w:rsidR="00E70A76" w:rsidRPr="00C95229">
              <w:t>illion</w:t>
            </w:r>
            <w:r w:rsidRPr="00C95229">
              <w:t>, while the sum of the asset data is $2792</w:t>
            </w:r>
            <w:r w:rsidR="00E70A76" w:rsidRPr="00C95229">
              <w:t xml:space="preserve"> </w:t>
            </w:r>
            <w:r w:rsidRPr="00C95229">
              <w:t>m</w:t>
            </w:r>
            <w:r w:rsidR="00E70A76" w:rsidRPr="00C95229">
              <w:t>illion</w:t>
            </w:r>
            <w:r w:rsidRPr="00C95229">
              <w:t xml:space="preserve"> </w:t>
            </w:r>
            <w:r w:rsidR="00AE6B55" w:rsidRPr="00C95229">
              <w:t>—</w:t>
            </w:r>
            <w:r w:rsidRPr="00C95229">
              <w:t xml:space="preserve"> a difference of $109</w:t>
            </w:r>
            <w:r w:rsidR="00E70A76" w:rsidRPr="00C95229">
              <w:t xml:space="preserve"> </w:t>
            </w:r>
            <w:r w:rsidRPr="00C95229">
              <w:t>m</w:t>
            </w:r>
            <w:r w:rsidR="00E70A76" w:rsidRPr="00C95229">
              <w:t>illion</w:t>
            </w:r>
            <w:r w:rsidRPr="00C95229">
              <w:t xml:space="preserve">. </w:t>
            </w:r>
            <w:r w:rsidR="0044567F" w:rsidRPr="00C95229">
              <w:t>Petroleum account</w:t>
            </w:r>
            <w:r w:rsidR="00383042" w:rsidRPr="00C95229">
              <w:t>ed</w:t>
            </w:r>
            <w:r w:rsidR="0044567F" w:rsidRPr="00C95229">
              <w:t xml:space="preserve"> for 82 per cent of</w:t>
            </w:r>
            <w:r w:rsidR="00A534AE" w:rsidRPr="00C95229">
              <w:t xml:space="preserve"> </w:t>
            </w:r>
            <w:r w:rsidR="00C95229">
              <w:t>P</w:t>
            </w:r>
            <w:r w:rsidR="00A534AE" w:rsidRPr="00C95229">
              <w:t xml:space="preserve">etroleum and </w:t>
            </w:r>
            <w:r w:rsidR="00C95229">
              <w:t>O</w:t>
            </w:r>
            <w:r w:rsidR="00A534AE" w:rsidRPr="00C95229">
              <w:t xml:space="preserve">ther manufacturing </w:t>
            </w:r>
            <w:proofErr w:type="spellStart"/>
            <w:r w:rsidR="00A534AE" w:rsidRPr="00C95229">
              <w:t>PNC</w:t>
            </w:r>
            <w:r w:rsidR="00676489" w:rsidRPr="00C95229">
              <w:t>E</w:t>
            </w:r>
            <w:proofErr w:type="spellEnd"/>
            <w:r w:rsidR="00A534AE" w:rsidRPr="00C95229">
              <w:t xml:space="preserve"> in the March quarter of 2007, and </w:t>
            </w:r>
            <w:r w:rsidR="00B545EF" w:rsidRPr="00C95229">
              <w:t xml:space="preserve">it </w:t>
            </w:r>
            <w:r w:rsidR="00383042" w:rsidRPr="00C95229">
              <w:t>wa</w:t>
            </w:r>
            <w:r w:rsidR="00B545EF" w:rsidRPr="00C95229">
              <w:t xml:space="preserve">s this proportion </w:t>
            </w:r>
            <w:r w:rsidR="00383042" w:rsidRPr="00C95229">
              <w:t xml:space="preserve">that was </w:t>
            </w:r>
            <w:r w:rsidR="00B545EF" w:rsidRPr="00C95229">
              <w:t>applied to</w:t>
            </w:r>
            <w:r w:rsidR="00A534AE" w:rsidRPr="00C95229">
              <w:t xml:space="preserve"> the $109</w:t>
            </w:r>
            <w:r w:rsidR="00E70A76" w:rsidRPr="00C95229">
              <w:t> </w:t>
            </w:r>
            <w:r w:rsidR="00A534AE" w:rsidRPr="00C95229">
              <w:t>m</w:t>
            </w:r>
            <w:r w:rsidR="00E70A76" w:rsidRPr="00C95229">
              <w:t>illion</w:t>
            </w:r>
            <w:r w:rsidR="00A534AE" w:rsidRPr="00C95229">
              <w:t xml:space="preserve"> </w:t>
            </w:r>
            <w:r w:rsidR="00B545EF" w:rsidRPr="00C95229">
              <w:t>for</w:t>
            </w:r>
            <w:r w:rsidR="00A534AE" w:rsidRPr="00C95229">
              <w:t xml:space="preserve"> Petroleum </w:t>
            </w:r>
            <w:r w:rsidR="00B545EF" w:rsidRPr="00C95229">
              <w:t>in</w:t>
            </w:r>
            <w:r w:rsidR="00A534AE" w:rsidRPr="00C95229">
              <w:t xml:space="preserve"> the June quarter of 2007.</w:t>
            </w:r>
            <w:r w:rsidR="00BC6C31" w:rsidRPr="00C95229">
              <w:t xml:space="preserve"> </w:t>
            </w:r>
          </w:p>
          <w:p w:rsidR="00E02A9A" w:rsidRDefault="00E02A9A" w:rsidP="00383042">
            <w:pPr>
              <w:pStyle w:val="Box"/>
            </w:pPr>
            <w:r w:rsidRPr="00A12447">
              <w:t xml:space="preserve">This process </w:t>
            </w:r>
            <w:r w:rsidR="00426F7B">
              <w:t>impute</w:t>
            </w:r>
            <w:r w:rsidR="00383042">
              <w:t>d</w:t>
            </w:r>
            <w:r w:rsidR="00426F7B" w:rsidRPr="00A12447">
              <w:t xml:space="preserve"> </w:t>
            </w:r>
            <w:r w:rsidRPr="00A12447">
              <w:t>all the missing values.</w:t>
            </w:r>
          </w:p>
          <w:p w:rsidR="00BB2F49" w:rsidRDefault="00BB2F49" w:rsidP="00383042">
            <w:pPr>
              <w:pStyle w:val="Box"/>
            </w:pPr>
            <w:r>
              <w:t>_________________________</w:t>
            </w:r>
          </w:p>
          <w:p w:rsidR="00BB2F49" w:rsidRPr="00A12447" w:rsidRDefault="00BB2F49" w:rsidP="00BB2F49">
            <w:pPr>
              <w:pStyle w:val="Box"/>
              <w:spacing w:line="240" w:lineRule="atLeast"/>
            </w:pPr>
            <w:r>
              <w:rPr>
                <w:rStyle w:val="FootnoteReference"/>
              </w:rPr>
              <w:t>*</w:t>
            </w:r>
            <w:r>
              <w:t xml:space="preserve"> </w:t>
            </w:r>
            <w:r w:rsidRPr="00BB2F49">
              <w:rPr>
                <w:sz w:val="18"/>
                <w:szCs w:val="18"/>
              </w:rPr>
              <w:t xml:space="preserve">The discrepancy between the missing observations for total subdivision </w:t>
            </w:r>
            <w:proofErr w:type="spellStart"/>
            <w:r w:rsidRPr="00BB2F49">
              <w:rPr>
                <w:sz w:val="18"/>
                <w:szCs w:val="18"/>
              </w:rPr>
              <w:t>PNCE</w:t>
            </w:r>
            <w:proofErr w:type="spellEnd"/>
            <w:r w:rsidRPr="00BB2F49">
              <w:rPr>
                <w:sz w:val="18"/>
                <w:szCs w:val="18"/>
              </w:rPr>
              <w:t xml:space="preserve"> in the published and purchased data arises as the ABS has a stricter policy on quality surrounding purchased data.</w:t>
            </w:r>
          </w:p>
        </w:tc>
      </w:tr>
      <w:tr w:rsidR="00E02A9A" w:rsidRPr="00A12447" w:rsidTr="00732933">
        <w:trPr>
          <w:cantSplit/>
        </w:trPr>
        <w:tc>
          <w:tcPr>
            <w:tcW w:w="8771" w:type="dxa"/>
            <w:tcBorders>
              <w:top w:val="nil"/>
              <w:left w:val="single" w:sz="6" w:space="0" w:color="auto"/>
              <w:bottom w:val="single" w:sz="6" w:space="0" w:color="auto"/>
              <w:right w:val="single" w:sz="6" w:space="0" w:color="auto"/>
            </w:tcBorders>
          </w:tcPr>
          <w:p w:rsidR="00E02A9A" w:rsidRPr="00A12447" w:rsidRDefault="00E02A9A" w:rsidP="00732933">
            <w:pPr>
              <w:pStyle w:val="Box"/>
              <w:spacing w:before="0" w:line="120" w:lineRule="exact"/>
            </w:pPr>
          </w:p>
        </w:tc>
      </w:tr>
      <w:tr w:rsidR="00EC1F6C" w:rsidRPr="000863A5" w:rsidTr="00EC1F6C">
        <w:tc>
          <w:tcPr>
            <w:tcW w:w="8771" w:type="dxa"/>
            <w:tcBorders>
              <w:top w:val="nil"/>
              <w:left w:val="nil"/>
              <w:bottom w:val="nil"/>
              <w:right w:val="nil"/>
            </w:tcBorders>
          </w:tcPr>
          <w:p w:rsidR="00EC1F6C" w:rsidRPr="00626D32" w:rsidRDefault="00EC1F6C" w:rsidP="00EC1F6C">
            <w:pPr>
              <w:pStyle w:val="BoxSpaceBelow"/>
            </w:pPr>
          </w:p>
        </w:tc>
      </w:tr>
    </w:tbl>
    <w:p w:rsidR="00BB2F49" w:rsidRDefault="00BB2F49" w:rsidP="00B43BE3">
      <w:pPr>
        <w:pStyle w:val="BodyText"/>
      </w:pPr>
    </w:p>
    <w:p w:rsidR="00BB2F49" w:rsidRDefault="00BB2F49" w:rsidP="00BB2F49">
      <w:pPr>
        <w:pStyle w:val="BodyText"/>
      </w:pPr>
      <w:r>
        <w:br w:type="page"/>
      </w:r>
    </w:p>
    <w:p w:rsidR="00B27C58" w:rsidRDefault="000E1BC9" w:rsidP="00B43BE3">
      <w:pPr>
        <w:pStyle w:val="BodyText"/>
        <w:rPr>
          <w:i/>
          <w:sz w:val="22"/>
        </w:rPr>
      </w:pPr>
      <w:r w:rsidRPr="00A12447">
        <w:lastRenderedPageBreak/>
        <w:t xml:space="preserve">The complete </w:t>
      </w:r>
      <w:proofErr w:type="spellStart"/>
      <w:r w:rsidRPr="00A12447">
        <w:t>PNCE</w:t>
      </w:r>
      <w:proofErr w:type="spellEnd"/>
      <w:r w:rsidRPr="00A12447">
        <w:t xml:space="preserve"> data </w:t>
      </w:r>
      <w:r w:rsidR="00C3411B">
        <w:t xml:space="preserve">series </w:t>
      </w:r>
      <w:r w:rsidR="0080161F">
        <w:t xml:space="preserve">was </w:t>
      </w:r>
      <w:r w:rsidR="00C3411B">
        <w:t xml:space="preserve">used to calculate </w:t>
      </w:r>
      <w:r w:rsidRPr="00A12447">
        <w:t xml:space="preserve">the </w:t>
      </w:r>
      <w:r w:rsidR="00C3411B">
        <w:t xml:space="preserve">subsector </w:t>
      </w:r>
      <w:r w:rsidRPr="00A12447">
        <w:t xml:space="preserve">shares of total </w:t>
      </w:r>
      <w:r w:rsidR="002E6911">
        <w:t>Manufacturing</w:t>
      </w:r>
      <w:r w:rsidR="00C3411B">
        <w:t xml:space="preserve"> </w:t>
      </w:r>
      <w:r w:rsidRPr="00A12447">
        <w:t xml:space="preserve">investment </w:t>
      </w:r>
      <w:r w:rsidR="00C3411B">
        <w:t>for non-dwelling construction and for machinery and equipment</w:t>
      </w:r>
      <w:r w:rsidRPr="00A12447">
        <w:t xml:space="preserve">. These shares </w:t>
      </w:r>
      <w:r w:rsidR="0080161F">
        <w:t>were</w:t>
      </w:r>
      <w:r w:rsidR="0080161F" w:rsidRPr="00A12447">
        <w:t xml:space="preserve"> </w:t>
      </w:r>
      <w:r w:rsidRPr="00A12447">
        <w:t xml:space="preserve">then applied to the relevant </w:t>
      </w:r>
      <w:proofErr w:type="spellStart"/>
      <w:r w:rsidRPr="00A12447">
        <w:t>GFCF</w:t>
      </w:r>
      <w:proofErr w:type="spellEnd"/>
      <w:r w:rsidRPr="00A12447">
        <w:t xml:space="preserve"> asset type in order to generate </w:t>
      </w:r>
      <w:proofErr w:type="spellStart"/>
      <w:r w:rsidRPr="00A12447">
        <w:t>GFCF</w:t>
      </w:r>
      <w:proofErr w:type="spellEnd"/>
      <w:r w:rsidRPr="00A12447">
        <w:t xml:space="preserve"> by subsector for the purposes of the PIM.</w:t>
      </w:r>
    </w:p>
    <w:p w:rsidR="00E02A9A" w:rsidRPr="00925BF0" w:rsidRDefault="00E02A9A" w:rsidP="00465F16">
      <w:pPr>
        <w:pStyle w:val="Heading6"/>
      </w:pPr>
      <w:r w:rsidRPr="00925BF0">
        <w:t xml:space="preserve">R&amp;D </w:t>
      </w:r>
      <w:r w:rsidR="0043568D">
        <w:t>c</w:t>
      </w:r>
      <w:r w:rsidRPr="00925BF0">
        <w:t>apital</w:t>
      </w:r>
    </w:p>
    <w:p w:rsidR="00E02A9A" w:rsidRPr="00A12447" w:rsidRDefault="00E02A9A" w:rsidP="00E02A9A">
      <w:pPr>
        <w:pStyle w:val="BodyText"/>
      </w:pPr>
      <w:r w:rsidRPr="00A12447">
        <w:t xml:space="preserve">As with the tangible asset types above, there is no subsector-level disaggregation of R&amp;D </w:t>
      </w:r>
      <w:proofErr w:type="spellStart"/>
      <w:r w:rsidRPr="00A12447">
        <w:t>GFCF</w:t>
      </w:r>
      <w:proofErr w:type="spellEnd"/>
      <w:r w:rsidRPr="00A12447">
        <w:t xml:space="preserve">. A similar process to </w:t>
      </w:r>
      <w:r w:rsidR="00784542">
        <w:t xml:space="preserve">that used for </w:t>
      </w:r>
      <w:r w:rsidRPr="00A12447">
        <w:t xml:space="preserve">apportioning total </w:t>
      </w:r>
      <w:r w:rsidR="002E6911">
        <w:t>Manufacturing</w:t>
      </w:r>
      <w:r w:rsidRPr="00A12447">
        <w:t xml:space="preserve"> </w:t>
      </w:r>
      <w:proofErr w:type="spellStart"/>
      <w:r w:rsidRPr="00A12447">
        <w:t>GFCF</w:t>
      </w:r>
      <w:proofErr w:type="spellEnd"/>
      <w:r w:rsidRPr="00A12447">
        <w:t xml:space="preserve"> </w:t>
      </w:r>
      <w:r w:rsidR="00784542">
        <w:t>for non-dwelling construction and machinery and equipment</w:t>
      </w:r>
      <w:r w:rsidRPr="00A12447">
        <w:t xml:space="preserve"> </w:t>
      </w:r>
      <w:r w:rsidR="005B27B3">
        <w:t>wa</w:t>
      </w:r>
      <w:r w:rsidR="005B27B3" w:rsidRPr="00A12447">
        <w:t xml:space="preserve">s </w:t>
      </w:r>
      <w:r w:rsidRPr="00A12447">
        <w:t>used</w:t>
      </w:r>
      <w:r w:rsidR="00784542">
        <w:t>. C</w:t>
      </w:r>
      <w:r w:rsidRPr="00A12447">
        <w:t>urrent</w:t>
      </w:r>
      <w:r w:rsidRPr="00A12447">
        <w:rPr>
          <w:rStyle w:val="FootnoteReference"/>
        </w:rPr>
        <w:footnoteReference w:id="10"/>
      </w:r>
      <w:r w:rsidRPr="00A12447">
        <w:t xml:space="preserve"> business expenditure on R&amp;D (</w:t>
      </w:r>
      <w:proofErr w:type="spellStart"/>
      <w:r w:rsidRPr="00A12447">
        <w:t>BERD</w:t>
      </w:r>
      <w:proofErr w:type="spellEnd"/>
      <w:r w:rsidRPr="00A12447">
        <w:t xml:space="preserve">) </w:t>
      </w:r>
      <w:r w:rsidR="00784542">
        <w:t xml:space="preserve">is </w:t>
      </w:r>
      <w:r w:rsidRPr="00A12447">
        <w:t>used</w:t>
      </w:r>
      <w:r w:rsidR="0082749D" w:rsidRPr="00A12447">
        <w:t xml:space="preserve"> to derive the subsector shares</w:t>
      </w:r>
      <w:r w:rsidRPr="00A12447">
        <w:t xml:space="preserve">. Two sources of data </w:t>
      </w:r>
      <w:r w:rsidR="005B27B3">
        <w:t>we</w:t>
      </w:r>
      <w:r w:rsidR="005B27B3" w:rsidRPr="00A12447">
        <w:t xml:space="preserve">re </w:t>
      </w:r>
      <w:r w:rsidRPr="00A12447">
        <w:t>used:</w:t>
      </w:r>
    </w:p>
    <w:p w:rsidR="00E02A9A" w:rsidRPr="00A12447" w:rsidRDefault="0009044F" w:rsidP="00C43095">
      <w:pPr>
        <w:pStyle w:val="ListNumber"/>
      </w:pPr>
      <w:r>
        <w:t xml:space="preserve">Current </w:t>
      </w:r>
      <w:proofErr w:type="spellStart"/>
      <w:r w:rsidR="00E02A9A" w:rsidRPr="00A12447">
        <w:t>BERD</w:t>
      </w:r>
      <w:proofErr w:type="spellEnd"/>
      <w:r w:rsidR="00E02A9A" w:rsidRPr="00A12447">
        <w:t xml:space="preserve"> from ABS </w:t>
      </w:r>
      <w:r>
        <w:t>(</w:t>
      </w:r>
      <w:r w:rsidR="00C43095" w:rsidRPr="00465F16">
        <w:rPr>
          <w:i/>
        </w:rPr>
        <w:t>Survey of Research and</w:t>
      </w:r>
      <w:r w:rsidR="003D1693">
        <w:rPr>
          <w:i/>
        </w:rPr>
        <w:t xml:space="preserve"> Experimental Development</w:t>
      </w:r>
      <w:r w:rsidR="003D1693" w:rsidRPr="003D1693">
        <w:t>,</w:t>
      </w:r>
      <w:r>
        <w:t xml:space="preserve"> Cat. no. </w:t>
      </w:r>
      <w:r w:rsidR="003D1693">
        <w:t>8104.0)</w:t>
      </w:r>
      <w:r w:rsidR="00E02A9A" w:rsidRPr="00A12447">
        <w:t xml:space="preserve"> </w:t>
      </w:r>
      <w:r w:rsidRPr="00A12447">
        <w:t>from 1992</w:t>
      </w:r>
      <w:r w:rsidR="00FF62BB">
        <w:noBreakHyphen/>
      </w:r>
      <w:r w:rsidRPr="00A12447">
        <w:t>93 to 2010</w:t>
      </w:r>
      <w:r w:rsidR="00FF62BB">
        <w:noBreakHyphen/>
      </w:r>
      <w:r w:rsidRPr="00A12447">
        <w:t>11</w:t>
      </w:r>
      <w:r>
        <w:t xml:space="preserve">. </w:t>
      </w:r>
    </w:p>
    <w:p w:rsidR="00E02A9A" w:rsidRPr="00A12447" w:rsidRDefault="0009044F" w:rsidP="00E02A9A">
      <w:pPr>
        <w:pStyle w:val="ListNumber"/>
      </w:pPr>
      <w:r w:rsidRPr="00465F16">
        <w:rPr>
          <w:i/>
        </w:rPr>
        <w:t>Total</w:t>
      </w:r>
      <w:r>
        <w:t xml:space="preserve"> </w:t>
      </w:r>
      <w:proofErr w:type="spellStart"/>
      <w:r>
        <w:t>BERD</w:t>
      </w:r>
      <w:proofErr w:type="spellEnd"/>
      <w:r>
        <w:t xml:space="preserve"> </w:t>
      </w:r>
      <w:r w:rsidR="00FB61A8">
        <w:t xml:space="preserve">(including both current and capitalised) </w:t>
      </w:r>
      <w:r>
        <w:t xml:space="preserve">from </w:t>
      </w:r>
      <w:r w:rsidR="00E02A9A" w:rsidRPr="00A12447">
        <w:t xml:space="preserve">Shanks and Zheng </w:t>
      </w:r>
      <w:r w:rsidR="00C96E64">
        <w:t>(</w:t>
      </w:r>
      <w:r w:rsidR="00E02A9A" w:rsidRPr="00A12447">
        <w:t xml:space="preserve">2006), </w:t>
      </w:r>
      <w:r w:rsidR="00AD5BC3">
        <w:t>from 1968</w:t>
      </w:r>
      <w:r w:rsidR="00FF62BB">
        <w:noBreakHyphen/>
      </w:r>
      <w:r w:rsidR="00AD5BC3">
        <w:t>69 to</w:t>
      </w:r>
      <w:r w:rsidR="00C96E64">
        <w:t xml:space="preserve"> 2002</w:t>
      </w:r>
      <w:r w:rsidR="00FF62BB">
        <w:noBreakHyphen/>
      </w:r>
      <w:r w:rsidR="00C96E64">
        <w:t>03</w:t>
      </w:r>
      <w:r w:rsidR="00E02A9A" w:rsidRPr="00A12447">
        <w:t>. The overlap over the period between 1992</w:t>
      </w:r>
      <w:r w:rsidR="00FF62BB">
        <w:noBreakHyphen/>
      </w:r>
      <w:r w:rsidR="00E02A9A" w:rsidRPr="00A12447">
        <w:t>93 and 2002</w:t>
      </w:r>
      <w:r w:rsidR="00FF62BB">
        <w:noBreakHyphen/>
      </w:r>
      <w:r w:rsidR="00E02A9A" w:rsidRPr="00A12447">
        <w:t xml:space="preserve">03 with the data source above </w:t>
      </w:r>
      <w:r w:rsidR="005B27B3">
        <w:t>wa</w:t>
      </w:r>
      <w:r w:rsidR="005B27B3" w:rsidRPr="00A12447">
        <w:t xml:space="preserve">s </w:t>
      </w:r>
      <w:r w:rsidR="00E02A9A" w:rsidRPr="00A12447">
        <w:t xml:space="preserve">used to determine the proportion of </w:t>
      </w:r>
      <w:r w:rsidR="00C96E64">
        <w:t xml:space="preserve">total </w:t>
      </w:r>
      <w:proofErr w:type="spellStart"/>
      <w:r w:rsidR="00C96E64">
        <w:t>BERD</w:t>
      </w:r>
      <w:proofErr w:type="spellEnd"/>
      <w:r w:rsidR="00C96E64">
        <w:t xml:space="preserve"> that is current </w:t>
      </w:r>
      <w:proofErr w:type="spellStart"/>
      <w:r w:rsidR="00C96E64">
        <w:t>BERD</w:t>
      </w:r>
      <w:proofErr w:type="spellEnd"/>
      <w:r w:rsidR="00C96E64">
        <w:t xml:space="preserve">. </w:t>
      </w:r>
    </w:p>
    <w:p w:rsidR="00E02A9A" w:rsidRDefault="00E76D34" w:rsidP="00E02A9A">
      <w:pPr>
        <w:pStyle w:val="BodyText"/>
      </w:pPr>
      <w:r>
        <w:t xml:space="preserve">Data were </w:t>
      </w:r>
      <w:proofErr w:type="spellStart"/>
      <w:r>
        <w:t>concorded</w:t>
      </w:r>
      <w:proofErr w:type="spellEnd"/>
      <w:r>
        <w:t xml:space="preserve"> into </w:t>
      </w:r>
      <w:proofErr w:type="spellStart"/>
      <w:r>
        <w:t>ANZSIC06</w:t>
      </w:r>
      <w:proofErr w:type="spellEnd"/>
      <w:r>
        <w:t xml:space="preserve"> where necessary (</w:t>
      </w:r>
      <w:r w:rsidR="00E02A9A" w:rsidRPr="00A12447">
        <w:t>box</w:t>
      </w:r>
      <w:r w:rsidR="00E84962">
        <w:t xml:space="preserve"> </w:t>
      </w:r>
      <w:proofErr w:type="spellStart"/>
      <w:r w:rsidR="003F215F">
        <w:t>A.5</w:t>
      </w:r>
      <w:proofErr w:type="spellEnd"/>
      <w:r>
        <w:t>)</w:t>
      </w:r>
      <w:r w:rsidR="00E02A9A" w:rsidRPr="00A12447">
        <w:t>.</w:t>
      </w:r>
    </w:p>
    <w:p w:rsidR="0068711F" w:rsidRPr="00A12447" w:rsidRDefault="0068711F" w:rsidP="0068711F">
      <w:pPr>
        <w:pStyle w:val="Heading6"/>
      </w:pPr>
      <w:r w:rsidRPr="00A12447">
        <w:t>Software capital investment</w:t>
      </w:r>
    </w:p>
    <w:p w:rsidR="0068711F" w:rsidRPr="00A12447" w:rsidRDefault="0068711F" w:rsidP="0068711F">
      <w:pPr>
        <w:pStyle w:val="BodyText"/>
      </w:pPr>
      <w:r w:rsidRPr="00A12447">
        <w:t xml:space="preserve">There is no readily available data source for software investment at the </w:t>
      </w:r>
      <w:r>
        <w:t>Manufacturing</w:t>
      </w:r>
      <w:r w:rsidRPr="00A12447">
        <w:t xml:space="preserve"> </w:t>
      </w:r>
      <w:r>
        <w:t>subsector</w:t>
      </w:r>
      <w:r w:rsidRPr="00A12447">
        <w:t xml:space="preserve"> level of disaggregation. </w:t>
      </w:r>
      <w:r>
        <w:t>Total Manufacturing s</w:t>
      </w:r>
      <w:r w:rsidRPr="00A12447">
        <w:t xml:space="preserve">oftware </w:t>
      </w:r>
      <w:proofErr w:type="spellStart"/>
      <w:r>
        <w:t>GFCF</w:t>
      </w:r>
      <w:proofErr w:type="spellEnd"/>
      <w:r w:rsidRPr="00A12447">
        <w:t xml:space="preserve"> </w:t>
      </w:r>
      <w:r>
        <w:t>was</w:t>
      </w:r>
      <w:r w:rsidRPr="00A12447">
        <w:t xml:space="preserve"> simply apportioned in the same ratio of each </w:t>
      </w:r>
      <w:r>
        <w:t>subsector</w:t>
      </w:r>
      <w:r w:rsidRPr="00A12447">
        <w:t>’s share of total machinery and equipment investment.</w:t>
      </w:r>
      <w:r>
        <w:t xml:space="preserve"> Because the lifespan assumed by the ABS for computer software varies depending on whether the software is ‘purchased’ or developed ‘in-house’, another</w:t>
      </w:r>
      <w:r w:rsidRPr="00A12447">
        <w:t xml:space="preserve"> imputation has to be made regarding what proportion of computer software is ‘purchased’ relative to ‘developed in-house’</w:t>
      </w:r>
      <w:r>
        <w:t xml:space="preserve">. </w:t>
      </w:r>
      <w:r w:rsidRPr="00A12447">
        <w:t xml:space="preserve">Due to a lack of data, the developed in-house proportion for a subdivision </w:t>
      </w:r>
      <w:r>
        <w:t>was</w:t>
      </w:r>
      <w:r w:rsidRPr="00A12447">
        <w:t xml:space="preserve"> taken to be the same as the proportion of total investment made up by R&amp;D (on the grounds that R&amp;D intensive industries are more likely to develop their own software).</w:t>
      </w:r>
      <w:r w:rsidRPr="00A12447">
        <w:rPr>
          <w:rStyle w:val="FootnoteReference"/>
        </w:rPr>
        <w:footnoteReference w:id="11"/>
      </w:r>
    </w:p>
    <w:p w:rsidR="00EC1F6C" w:rsidRDefault="00EC1F6C" w:rsidP="00EC1F6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2A9A" w:rsidRPr="00BD1002" w:rsidTr="00732933">
        <w:tc>
          <w:tcPr>
            <w:tcW w:w="8771" w:type="dxa"/>
            <w:tcBorders>
              <w:top w:val="single" w:sz="6" w:space="0" w:color="auto"/>
              <w:bottom w:val="nil"/>
            </w:tcBorders>
          </w:tcPr>
          <w:p w:rsidR="00E02A9A" w:rsidRPr="00383042" w:rsidRDefault="00E02A9A" w:rsidP="00CD7CA5">
            <w:pPr>
              <w:pStyle w:val="BoxTitle"/>
              <w:rPr>
                <w:rFonts w:cs="Arial"/>
                <w:sz w:val="24"/>
                <w:szCs w:val="24"/>
              </w:rPr>
            </w:pPr>
            <w:r w:rsidRPr="00383042">
              <w:rPr>
                <w:rFonts w:cs="Arial"/>
                <w:b w:val="0"/>
                <w:sz w:val="24"/>
                <w:szCs w:val="24"/>
              </w:rPr>
              <w:t xml:space="preserve">Box </w:t>
            </w:r>
            <w:bookmarkStart w:id="20" w:name="OLE_LINK11"/>
            <w:proofErr w:type="spellStart"/>
            <w:r w:rsidR="003F215F" w:rsidRPr="00383042">
              <w:rPr>
                <w:rFonts w:cs="Arial"/>
                <w:b w:val="0"/>
                <w:sz w:val="24"/>
                <w:szCs w:val="24"/>
              </w:rPr>
              <w:t>A.</w:t>
            </w:r>
            <w:r w:rsidR="001459D9">
              <w:rPr>
                <w:rFonts w:cs="Arial"/>
                <w:b w:val="0"/>
                <w:noProof/>
                <w:sz w:val="24"/>
                <w:szCs w:val="24"/>
              </w:rPr>
              <w:t>5</w:t>
            </w:r>
            <w:bookmarkEnd w:id="20"/>
            <w:proofErr w:type="spellEnd"/>
            <w:r w:rsidRPr="00383042">
              <w:rPr>
                <w:rFonts w:cs="Arial"/>
                <w:sz w:val="24"/>
                <w:szCs w:val="24"/>
              </w:rPr>
              <w:tab/>
            </w:r>
            <w:proofErr w:type="spellStart"/>
            <w:r w:rsidRPr="00383042">
              <w:rPr>
                <w:rFonts w:cs="Arial"/>
                <w:sz w:val="24"/>
                <w:szCs w:val="24"/>
              </w:rPr>
              <w:t>ANZSIC</w:t>
            </w:r>
            <w:proofErr w:type="spellEnd"/>
            <w:r w:rsidRPr="00383042">
              <w:rPr>
                <w:rFonts w:cs="Arial"/>
                <w:sz w:val="24"/>
                <w:szCs w:val="24"/>
              </w:rPr>
              <w:t xml:space="preserve"> concordance issues relat</w:t>
            </w:r>
            <w:r w:rsidR="00F34CDF" w:rsidRPr="00383042">
              <w:rPr>
                <w:rFonts w:cs="Arial"/>
                <w:sz w:val="24"/>
                <w:szCs w:val="24"/>
              </w:rPr>
              <w:t>ed</w:t>
            </w:r>
            <w:r w:rsidRPr="00383042">
              <w:rPr>
                <w:rFonts w:cs="Arial"/>
                <w:sz w:val="24"/>
                <w:szCs w:val="24"/>
              </w:rPr>
              <w:t xml:space="preserve"> to </w:t>
            </w:r>
            <w:r w:rsidR="00CD7CA5" w:rsidRPr="00383042">
              <w:rPr>
                <w:rFonts w:cs="Arial"/>
                <w:sz w:val="24"/>
                <w:szCs w:val="24"/>
              </w:rPr>
              <w:t xml:space="preserve">business expenditure on </w:t>
            </w:r>
            <w:r w:rsidRPr="00383042">
              <w:rPr>
                <w:rFonts w:cs="Arial"/>
                <w:sz w:val="24"/>
                <w:szCs w:val="24"/>
              </w:rPr>
              <w:t>R</w:t>
            </w:r>
            <w:r w:rsidR="00CD7CA5" w:rsidRPr="00383042">
              <w:rPr>
                <w:rFonts w:cs="Arial"/>
                <w:sz w:val="24"/>
                <w:szCs w:val="24"/>
              </w:rPr>
              <w:t>&amp;</w:t>
            </w:r>
            <w:r w:rsidRPr="00383042">
              <w:rPr>
                <w:rFonts w:cs="Arial"/>
                <w:sz w:val="24"/>
                <w:szCs w:val="24"/>
              </w:rPr>
              <w:t>D</w:t>
            </w:r>
          </w:p>
        </w:tc>
      </w:tr>
      <w:tr w:rsidR="00E02A9A" w:rsidRPr="00A12447" w:rsidTr="00732933">
        <w:trPr>
          <w:cantSplit/>
        </w:trPr>
        <w:tc>
          <w:tcPr>
            <w:tcW w:w="8771" w:type="dxa"/>
            <w:tcBorders>
              <w:top w:val="nil"/>
              <w:left w:val="single" w:sz="6" w:space="0" w:color="auto"/>
              <w:bottom w:val="nil"/>
              <w:right w:val="single" w:sz="6" w:space="0" w:color="auto"/>
            </w:tcBorders>
          </w:tcPr>
          <w:p w:rsidR="00E73663" w:rsidRPr="00C95229" w:rsidRDefault="001B04B6" w:rsidP="00C334CC">
            <w:pPr>
              <w:pStyle w:val="Box"/>
            </w:pPr>
            <w:r w:rsidRPr="00C95229">
              <w:t>Business expenditure on R&amp;D (</w:t>
            </w:r>
            <w:proofErr w:type="spellStart"/>
            <w:r w:rsidRPr="00C95229">
              <w:t>BERD</w:t>
            </w:r>
            <w:proofErr w:type="spellEnd"/>
            <w:r w:rsidRPr="00C95229">
              <w:t xml:space="preserve">) is not </w:t>
            </w:r>
            <w:r w:rsidR="000D255F" w:rsidRPr="00C95229">
              <w:t>published</w:t>
            </w:r>
            <w:r w:rsidRPr="00C95229">
              <w:t xml:space="preserve"> on an </w:t>
            </w:r>
            <w:proofErr w:type="spellStart"/>
            <w:r w:rsidRPr="00C95229">
              <w:t>ANZSIC06</w:t>
            </w:r>
            <w:proofErr w:type="spellEnd"/>
            <w:r w:rsidRPr="00C95229">
              <w:t xml:space="preserve"> basis prior to 200</w:t>
            </w:r>
            <w:r w:rsidR="000D255F" w:rsidRPr="00C95229">
              <w:t>5</w:t>
            </w:r>
            <w:r w:rsidR="00FF62BB" w:rsidRPr="00C95229">
              <w:noBreakHyphen/>
            </w:r>
            <w:r w:rsidRPr="00C95229">
              <w:t>0</w:t>
            </w:r>
            <w:r w:rsidR="000D255F" w:rsidRPr="00C95229">
              <w:t>6</w:t>
            </w:r>
            <w:r w:rsidR="00E73663" w:rsidRPr="00C95229">
              <w:t xml:space="preserve">, but there is an overlap between </w:t>
            </w:r>
            <w:proofErr w:type="spellStart"/>
            <w:r w:rsidR="00E73663" w:rsidRPr="00C95229">
              <w:t>ANZSIC93</w:t>
            </w:r>
            <w:proofErr w:type="spellEnd"/>
            <w:r w:rsidR="00E73663" w:rsidRPr="00C95229">
              <w:t xml:space="preserve"> and </w:t>
            </w:r>
            <w:proofErr w:type="spellStart"/>
            <w:r w:rsidR="00E73663" w:rsidRPr="00C95229">
              <w:t>ANZSIC06</w:t>
            </w:r>
            <w:proofErr w:type="spellEnd"/>
            <w:r w:rsidR="00E73663" w:rsidRPr="00C95229">
              <w:t xml:space="preserve"> </w:t>
            </w:r>
            <w:proofErr w:type="spellStart"/>
            <w:r w:rsidR="00E73663" w:rsidRPr="00C95229">
              <w:t>BERD</w:t>
            </w:r>
            <w:proofErr w:type="spellEnd"/>
            <w:r w:rsidR="00E73663" w:rsidRPr="00C95229">
              <w:t xml:space="preserve"> data for the years 2005</w:t>
            </w:r>
            <w:r w:rsidR="00FF62BB" w:rsidRPr="00C95229">
              <w:noBreakHyphen/>
            </w:r>
            <w:r w:rsidR="00E73663" w:rsidRPr="00C95229">
              <w:t>06 and 2006</w:t>
            </w:r>
            <w:r w:rsidR="00FF62BB" w:rsidRPr="00C95229">
              <w:noBreakHyphen/>
            </w:r>
            <w:r w:rsidR="00E73663" w:rsidRPr="00C95229">
              <w:t xml:space="preserve">07. An inspection of this data indicates that there are large differences in the </w:t>
            </w:r>
            <w:proofErr w:type="spellStart"/>
            <w:r w:rsidR="00E73663" w:rsidRPr="00C95229">
              <w:t>BERD</w:t>
            </w:r>
            <w:proofErr w:type="spellEnd"/>
            <w:r w:rsidR="00E73663" w:rsidRPr="00C95229">
              <w:t xml:space="preserve"> between the </w:t>
            </w:r>
            <w:proofErr w:type="spellStart"/>
            <w:r w:rsidR="00E73663" w:rsidRPr="00C95229">
              <w:t>ANZSIC93</w:t>
            </w:r>
            <w:proofErr w:type="spellEnd"/>
            <w:r w:rsidR="00E73663" w:rsidRPr="00C95229">
              <w:t xml:space="preserve"> divisions Printing, publishing </w:t>
            </w:r>
            <w:r w:rsidR="002F0361" w:rsidRPr="00C95229">
              <w:t>and</w:t>
            </w:r>
            <w:r w:rsidR="00E73663" w:rsidRPr="00C95229">
              <w:t xml:space="preserve"> recorded media</w:t>
            </w:r>
            <w:r w:rsidR="00465F16" w:rsidRPr="00C95229">
              <w:t xml:space="preserve">, </w:t>
            </w:r>
            <w:r w:rsidR="00E73663" w:rsidRPr="00C95229">
              <w:t xml:space="preserve">Textile, clothing, footwear </w:t>
            </w:r>
            <w:r w:rsidR="002F0361" w:rsidRPr="00C95229">
              <w:t>and</w:t>
            </w:r>
            <w:r w:rsidR="00E73663" w:rsidRPr="00C95229">
              <w:t xml:space="preserve"> leather m</w:t>
            </w:r>
            <w:r w:rsidR="00465F16" w:rsidRPr="00C95229">
              <w:t>anufacturing,</w:t>
            </w:r>
            <w:r w:rsidR="00E73663" w:rsidRPr="00C95229">
              <w:t xml:space="preserve"> </w:t>
            </w:r>
            <w:r w:rsidR="00465F16" w:rsidRPr="00C95229">
              <w:t xml:space="preserve">and Other manufacturing </w:t>
            </w:r>
            <w:r w:rsidR="00E73663" w:rsidRPr="00C95229">
              <w:t xml:space="preserve">with their </w:t>
            </w:r>
            <w:proofErr w:type="spellStart"/>
            <w:r w:rsidR="00E73663" w:rsidRPr="00C95229">
              <w:t>ANZSIC06</w:t>
            </w:r>
            <w:proofErr w:type="spellEnd"/>
            <w:r w:rsidR="00E73663" w:rsidRPr="00C95229">
              <w:t xml:space="preserve"> sub</w:t>
            </w:r>
            <w:r w:rsidR="00465F16" w:rsidRPr="00C95229">
              <w:t>division</w:t>
            </w:r>
            <w:r w:rsidR="00E73663" w:rsidRPr="00C95229">
              <w:t xml:space="preserve"> counterparts. (See table </w:t>
            </w:r>
            <w:proofErr w:type="spellStart"/>
            <w:r w:rsidR="006C15CA" w:rsidRPr="00C95229">
              <w:t>A.2</w:t>
            </w:r>
            <w:proofErr w:type="spellEnd"/>
            <w:r w:rsidR="00E73663" w:rsidRPr="00C95229">
              <w:t xml:space="preserve"> for concordances.)</w:t>
            </w:r>
          </w:p>
          <w:p w:rsidR="00EC1F6C" w:rsidRPr="00C95229" w:rsidRDefault="00E73663" w:rsidP="0068711F">
            <w:pPr>
              <w:pStyle w:val="Box"/>
            </w:pPr>
            <w:r w:rsidRPr="00C95229">
              <w:t xml:space="preserve">These differences make it unfeasible to simply ‘splice’ the historical </w:t>
            </w:r>
            <w:proofErr w:type="spellStart"/>
            <w:r w:rsidRPr="00C95229">
              <w:t>ANZSIC93</w:t>
            </w:r>
            <w:proofErr w:type="spellEnd"/>
            <w:r w:rsidRPr="00C95229">
              <w:t xml:space="preserve"> to the post-2005</w:t>
            </w:r>
            <w:r w:rsidR="00FF62BB" w:rsidRPr="00C95229">
              <w:noBreakHyphen/>
            </w:r>
            <w:r w:rsidRPr="00C95229">
              <w:t xml:space="preserve">06 </w:t>
            </w:r>
            <w:proofErr w:type="spellStart"/>
            <w:r w:rsidRPr="00C95229">
              <w:t>ANZSIC06</w:t>
            </w:r>
            <w:proofErr w:type="spellEnd"/>
            <w:r w:rsidRPr="00C95229">
              <w:t xml:space="preserve"> data without making an adjustment </w:t>
            </w:r>
            <w:r w:rsidR="00BA26A9" w:rsidRPr="00C95229">
              <w:t xml:space="preserve">for the change in classifications. </w:t>
            </w:r>
            <w:r w:rsidR="00DE62DA" w:rsidRPr="00C95229">
              <w:t>The proportion that publishing (</w:t>
            </w:r>
            <w:proofErr w:type="spellStart"/>
            <w:r w:rsidR="00DE62DA" w:rsidRPr="00C95229">
              <w:t>ANZSIC93</w:t>
            </w:r>
            <w:proofErr w:type="spellEnd"/>
            <w:r w:rsidR="00DE62DA" w:rsidRPr="00C95229">
              <w:t xml:space="preserve"> group 242) makes of </w:t>
            </w:r>
            <w:r w:rsidR="00465F16" w:rsidRPr="00C95229">
              <w:t xml:space="preserve">the </w:t>
            </w:r>
            <w:proofErr w:type="spellStart"/>
            <w:r w:rsidR="00DE62DA" w:rsidRPr="00C95229">
              <w:t>ANZSIC93</w:t>
            </w:r>
            <w:proofErr w:type="spellEnd"/>
            <w:r w:rsidR="00DE62DA" w:rsidRPr="00C95229">
              <w:t xml:space="preserve"> </w:t>
            </w:r>
            <w:r w:rsidR="00465F16" w:rsidRPr="00C95229">
              <w:t xml:space="preserve">Printing, publishing </w:t>
            </w:r>
            <w:r w:rsidR="002F0361" w:rsidRPr="00C95229">
              <w:t>and</w:t>
            </w:r>
            <w:r w:rsidR="00465F16" w:rsidRPr="00C95229">
              <w:t xml:space="preserve"> recorded media subdivision </w:t>
            </w:r>
            <w:r w:rsidR="00DE62DA" w:rsidRPr="00C95229">
              <w:t xml:space="preserve">in the overlap years </w:t>
            </w:r>
            <w:r w:rsidR="005B27B3" w:rsidRPr="00C95229">
              <w:t xml:space="preserve">was </w:t>
            </w:r>
            <w:r w:rsidR="00DE62DA" w:rsidRPr="00C95229">
              <w:t xml:space="preserve">removed back through the series to make the </w:t>
            </w:r>
            <w:proofErr w:type="spellStart"/>
            <w:r w:rsidR="00DE62DA" w:rsidRPr="00C95229">
              <w:t>BERD</w:t>
            </w:r>
            <w:proofErr w:type="spellEnd"/>
            <w:r w:rsidR="00DE62DA" w:rsidRPr="00C95229">
              <w:t xml:space="preserve"> data consistent with the </w:t>
            </w:r>
            <w:proofErr w:type="spellStart"/>
            <w:r w:rsidR="00DE62DA" w:rsidRPr="00C95229">
              <w:t>ANZSIC06</w:t>
            </w:r>
            <w:proofErr w:type="spellEnd"/>
            <w:r w:rsidR="00DE62DA" w:rsidRPr="00C95229">
              <w:t xml:space="preserve"> sub</w:t>
            </w:r>
            <w:r w:rsidR="00465F16" w:rsidRPr="00C95229">
              <w:t>division</w:t>
            </w:r>
            <w:r w:rsidR="00DE62DA" w:rsidRPr="00C95229">
              <w:t xml:space="preserve"> for P</w:t>
            </w:r>
            <w:r w:rsidR="00465F16" w:rsidRPr="00C95229">
              <w:t xml:space="preserve">rinting </w:t>
            </w:r>
            <w:r w:rsidR="002F0361" w:rsidRPr="00C95229">
              <w:t>and</w:t>
            </w:r>
            <w:r w:rsidR="00465F16" w:rsidRPr="00C95229">
              <w:t xml:space="preserve"> recorded media</w:t>
            </w:r>
            <w:r w:rsidR="00DE62DA" w:rsidRPr="00C95229">
              <w:t xml:space="preserve"> (</w:t>
            </w:r>
            <w:r w:rsidR="0047240B" w:rsidRPr="00C95229">
              <w:t xml:space="preserve">see </w:t>
            </w:r>
            <w:r w:rsidR="00DE62DA" w:rsidRPr="00C95229">
              <w:t xml:space="preserve">figure). </w:t>
            </w:r>
          </w:p>
        </w:tc>
      </w:tr>
      <w:tr w:rsidR="0068711F" w:rsidRPr="00A12447" w:rsidTr="00732933">
        <w:trPr>
          <w:cantSplit/>
        </w:trPr>
        <w:tc>
          <w:tcPr>
            <w:tcW w:w="8771" w:type="dxa"/>
            <w:tcBorders>
              <w:top w:val="nil"/>
              <w:left w:val="single" w:sz="6" w:space="0" w:color="auto"/>
              <w:bottom w:val="nil"/>
              <w:right w:val="single" w:sz="6" w:space="0" w:color="auto"/>
            </w:tcBorders>
          </w:tcPr>
          <w:p w:rsidR="0068711F" w:rsidRPr="002D7FC6" w:rsidRDefault="0068711F" w:rsidP="00EA1DF5">
            <w:pPr>
              <w:pStyle w:val="BodyText"/>
              <w:rPr>
                <w:rFonts w:ascii="Arial" w:eastAsiaTheme="minorHAnsi" w:hAnsi="Arial" w:cs="Arial"/>
                <w:b/>
                <w:sz w:val="22"/>
                <w:szCs w:val="22"/>
                <w:lang w:eastAsia="en-US"/>
              </w:rPr>
            </w:pPr>
            <w:proofErr w:type="spellStart"/>
            <w:r w:rsidRPr="002D7FC6">
              <w:rPr>
                <w:rFonts w:ascii="Arial" w:eastAsiaTheme="minorHAnsi" w:hAnsi="Arial" w:cs="Arial"/>
                <w:b/>
                <w:sz w:val="22"/>
                <w:szCs w:val="22"/>
                <w:lang w:eastAsia="en-US"/>
              </w:rPr>
              <w:t>BERD</w:t>
            </w:r>
            <w:proofErr w:type="spellEnd"/>
            <w:r w:rsidRPr="002D7FC6">
              <w:rPr>
                <w:rFonts w:ascii="Arial" w:eastAsiaTheme="minorHAnsi" w:hAnsi="Arial" w:cs="Arial"/>
                <w:b/>
                <w:sz w:val="22"/>
                <w:szCs w:val="22"/>
                <w:lang w:eastAsia="en-US"/>
              </w:rPr>
              <w:t xml:space="preserve"> in Printing and recorded media</w:t>
            </w:r>
          </w:p>
          <w:p w:rsidR="0068711F" w:rsidRPr="0047240B" w:rsidRDefault="0068711F" w:rsidP="00EA1DF5">
            <w:pPr>
              <w:pStyle w:val="Subtitle"/>
              <w:overflowPunct/>
              <w:autoSpaceDE/>
              <w:autoSpaceDN/>
              <w:adjustRightInd/>
              <w:ind w:left="0"/>
              <w:rPr>
                <w:rFonts w:eastAsiaTheme="minorHAnsi" w:cstheme="minorBidi"/>
                <w:szCs w:val="22"/>
                <w:lang w:eastAsia="en-US"/>
              </w:rPr>
            </w:pPr>
            <w:r w:rsidRPr="0047240B">
              <w:rPr>
                <w:rFonts w:eastAsiaTheme="minorHAnsi" w:cstheme="minorBidi"/>
                <w:szCs w:val="22"/>
                <w:lang w:eastAsia="en-US"/>
              </w:rPr>
              <w:t xml:space="preserve">$m </w:t>
            </w:r>
            <w:r>
              <w:rPr>
                <w:rFonts w:eastAsiaTheme="minorHAnsi" w:cstheme="minorBidi"/>
                <w:szCs w:val="22"/>
                <w:lang w:eastAsia="en-US"/>
              </w:rPr>
              <w:t>(</w:t>
            </w:r>
            <w:r w:rsidRPr="0047240B">
              <w:rPr>
                <w:rFonts w:eastAsiaTheme="minorHAnsi" w:cstheme="minorBidi"/>
                <w:szCs w:val="22"/>
                <w:lang w:eastAsia="en-US"/>
              </w:rPr>
              <w:t xml:space="preserve">current </w:t>
            </w:r>
            <w:r>
              <w:rPr>
                <w:rFonts w:eastAsiaTheme="minorHAnsi" w:cstheme="minorBidi"/>
                <w:szCs w:val="22"/>
                <w:lang w:eastAsia="en-US"/>
              </w:rPr>
              <w:t>prices)</w:t>
            </w:r>
          </w:p>
          <w:tbl>
            <w:tblPr>
              <w:tblW w:w="8363" w:type="dxa"/>
              <w:tblBorders>
                <w:top w:val="single" w:sz="6" w:space="0" w:color="auto"/>
                <w:bottom w:val="single" w:sz="6" w:space="0" w:color="auto"/>
              </w:tblBorders>
              <w:tblLayout w:type="fixed"/>
              <w:tblLook w:val="0000" w:firstRow="0" w:lastRow="0" w:firstColumn="0" w:lastColumn="0" w:noHBand="0" w:noVBand="0"/>
            </w:tblPr>
            <w:tblGrid>
              <w:gridCol w:w="8363"/>
            </w:tblGrid>
            <w:tr w:rsidR="0068711F" w:rsidRPr="00A12447" w:rsidTr="00EA1DF5">
              <w:tc>
                <w:tcPr>
                  <w:tcW w:w="8363" w:type="dxa"/>
                  <w:vAlign w:val="bottom"/>
                </w:tcPr>
                <w:p w:rsidR="0068711F" w:rsidRPr="00A12447" w:rsidRDefault="00CF42E7" w:rsidP="00EA1DF5">
                  <w:pPr>
                    <w:pStyle w:val="Figure"/>
                    <w:spacing w:before="0" w:after="0"/>
                    <w:ind w:left="-391"/>
                    <w:jc w:val="right"/>
                  </w:pPr>
                  <w:r>
                    <w:pict>
                      <v:shape id="_x0000_i1027" type="#_x0000_t75" alt="This figure shows the difference in business expenditure on R&amp;D between the ANZSIC93 Printing, publishing and recorded media subdivision series and its ANZSIC06 subdivision counterpart – Printing and recorded media in the years from 1968 69 to 2010 11. Prior to 2005-06, the ANZSIC06 series is imputed. The difference between the ANZSIC93 and ANZSIC06 series is considerable with the ANZSIC93 series consistently higher and more volatile especially from the mid 1980s. " style="width:421.95pt;height:200.1pt">
                        <v:imagedata r:id="rId11" o:title=""/>
                      </v:shape>
                    </w:pict>
                  </w:r>
                </w:p>
              </w:tc>
            </w:tr>
          </w:tbl>
          <w:p w:rsidR="0068711F" w:rsidRPr="00A12447" w:rsidRDefault="0068711F" w:rsidP="00EA1DF5">
            <w:pPr>
              <w:pStyle w:val="Box"/>
            </w:pPr>
            <w:r w:rsidRPr="00C95229">
              <w:t>A similar method was used to adjust for changes in Textile, clothing, footwear and leather manufacturing, and Other manufacturing</w:t>
            </w:r>
            <w:r>
              <w:t>.</w:t>
            </w:r>
          </w:p>
        </w:tc>
      </w:tr>
      <w:tr w:rsidR="0068711F" w:rsidRPr="00A12447" w:rsidTr="00EA1DF5">
        <w:trPr>
          <w:cantSplit/>
        </w:trPr>
        <w:tc>
          <w:tcPr>
            <w:tcW w:w="8771" w:type="dxa"/>
            <w:tcBorders>
              <w:top w:val="nil"/>
              <w:left w:val="single" w:sz="6" w:space="0" w:color="auto"/>
              <w:bottom w:val="nil"/>
              <w:right w:val="single" w:sz="6" w:space="0" w:color="auto"/>
            </w:tcBorders>
          </w:tcPr>
          <w:p w:rsidR="0068711F" w:rsidRPr="00A12447" w:rsidRDefault="0068711F" w:rsidP="00EA1DF5">
            <w:pPr>
              <w:pStyle w:val="BoxSource"/>
            </w:pPr>
            <w:r>
              <w:rPr>
                <w:i/>
              </w:rPr>
              <w:t>Sources</w:t>
            </w:r>
            <w:r w:rsidRPr="00564BDC">
              <w:t>:</w:t>
            </w:r>
            <w:r w:rsidRPr="00A12447">
              <w:t xml:space="preserve"> Authors</w:t>
            </w:r>
            <w:r>
              <w:t>’</w:t>
            </w:r>
            <w:r w:rsidRPr="00A12447">
              <w:t xml:space="preserve"> estimates based on ABS (</w:t>
            </w:r>
            <w:r w:rsidRPr="00465F16">
              <w:rPr>
                <w:i/>
              </w:rPr>
              <w:t>Research and Experimental Development, Businesses, Australia</w:t>
            </w:r>
            <w:r>
              <w:t>, various issues, Cat. no.</w:t>
            </w:r>
            <w:r w:rsidRPr="00A12447">
              <w:t xml:space="preserve"> 8104.0)</w:t>
            </w:r>
            <w:r>
              <w:t>;</w:t>
            </w:r>
            <w:r w:rsidRPr="00A12447">
              <w:t xml:space="preserve"> </w:t>
            </w:r>
            <w:r w:rsidRPr="0007454F">
              <w:t>and Shanks and Zheng (2006).</w:t>
            </w:r>
          </w:p>
        </w:tc>
      </w:tr>
      <w:tr w:rsidR="0068711F" w:rsidRPr="00A12447" w:rsidTr="00732933">
        <w:trPr>
          <w:cantSplit/>
        </w:trPr>
        <w:tc>
          <w:tcPr>
            <w:tcW w:w="8771" w:type="dxa"/>
            <w:tcBorders>
              <w:top w:val="nil"/>
              <w:left w:val="single" w:sz="6" w:space="0" w:color="auto"/>
              <w:bottom w:val="single" w:sz="6" w:space="0" w:color="auto"/>
              <w:right w:val="single" w:sz="6" w:space="0" w:color="auto"/>
            </w:tcBorders>
          </w:tcPr>
          <w:p w:rsidR="0068711F" w:rsidRPr="00A12447" w:rsidRDefault="0068711F" w:rsidP="00732933">
            <w:pPr>
              <w:pStyle w:val="Box"/>
              <w:spacing w:before="0" w:line="120" w:lineRule="exact"/>
            </w:pPr>
          </w:p>
        </w:tc>
      </w:tr>
      <w:tr w:rsidR="0068711F" w:rsidRPr="000863A5" w:rsidTr="00EC1F6C">
        <w:tc>
          <w:tcPr>
            <w:tcW w:w="8771" w:type="dxa"/>
            <w:tcBorders>
              <w:top w:val="nil"/>
              <w:left w:val="nil"/>
              <w:bottom w:val="nil"/>
              <w:right w:val="nil"/>
            </w:tcBorders>
          </w:tcPr>
          <w:p w:rsidR="0068711F" w:rsidRPr="00626D32" w:rsidRDefault="0068711F" w:rsidP="00EC1F6C">
            <w:pPr>
              <w:pStyle w:val="BoxSpaceBelow"/>
            </w:pPr>
          </w:p>
        </w:tc>
      </w:tr>
    </w:tbl>
    <w:p w:rsidR="005B27B3" w:rsidRDefault="005B27B3">
      <w:pPr>
        <w:overflowPunct/>
        <w:autoSpaceDE/>
        <w:autoSpaceDN/>
        <w:adjustRightInd/>
        <w:rPr>
          <w:i/>
          <w:sz w:val="22"/>
        </w:rPr>
      </w:pPr>
      <w:r>
        <w:br w:type="page"/>
      </w:r>
    </w:p>
    <w:p w:rsidR="00E02A9A" w:rsidRPr="00A12447" w:rsidRDefault="00E02A9A" w:rsidP="003E0138">
      <w:pPr>
        <w:pStyle w:val="Heading6"/>
      </w:pPr>
      <w:r w:rsidRPr="00A12447">
        <w:lastRenderedPageBreak/>
        <w:t>Deflation of current price capital series</w:t>
      </w:r>
    </w:p>
    <w:p w:rsidR="00E02A9A" w:rsidRPr="00A12447" w:rsidRDefault="00E97457" w:rsidP="00E02A9A">
      <w:pPr>
        <w:pStyle w:val="BodyText"/>
      </w:pPr>
      <w:r>
        <w:t xml:space="preserve">The nominal investment series, as estimated above, are </w:t>
      </w:r>
      <w:r w:rsidR="00E02A9A" w:rsidRPr="00A12447">
        <w:t>deflated using implicit price deflators supplied by the ABS.</w:t>
      </w:r>
      <w:r w:rsidR="00E02A9A" w:rsidRPr="003E0138">
        <w:rPr>
          <w:rStyle w:val="FootnoteReference"/>
        </w:rPr>
        <w:footnoteReference w:id="12"/>
      </w:r>
      <w:r w:rsidR="00E02A9A" w:rsidRPr="00A12447">
        <w:t xml:space="preserve"> A specific deflator for each asset type (non</w:t>
      </w:r>
      <w:r w:rsidR="00C95229">
        <w:noBreakHyphen/>
      </w:r>
      <w:r w:rsidR="00E02A9A" w:rsidRPr="00A12447">
        <w:t xml:space="preserve">dwelling construction, machinery and equipment, R&amp;D, and computer software) </w:t>
      </w:r>
      <w:r w:rsidR="001F24F2">
        <w:t>was</w:t>
      </w:r>
      <w:r w:rsidR="001F24F2" w:rsidRPr="00A12447">
        <w:t xml:space="preserve"> </w:t>
      </w:r>
      <w:r w:rsidR="00E02A9A" w:rsidRPr="00A12447">
        <w:t xml:space="preserve">applied across all </w:t>
      </w:r>
      <w:r w:rsidR="002E6911">
        <w:t>Manufacturing</w:t>
      </w:r>
      <w:r w:rsidR="00E02A9A" w:rsidRPr="00A12447">
        <w:t xml:space="preserve"> </w:t>
      </w:r>
      <w:r>
        <w:t>subsectors</w:t>
      </w:r>
      <w:r w:rsidR="00E02A9A" w:rsidRPr="00A12447">
        <w:t>.</w:t>
      </w:r>
      <w:r w:rsidR="00021D0C">
        <w:t xml:space="preserve"> No subsector-specific price deflators are available.</w:t>
      </w:r>
    </w:p>
    <w:p w:rsidR="0035132E" w:rsidRPr="00A12447" w:rsidRDefault="00E02A9A" w:rsidP="003E0138">
      <w:pPr>
        <w:pStyle w:val="Heading6"/>
      </w:pPr>
      <w:r w:rsidRPr="00A12447">
        <w:t xml:space="preserve">PIM </w:t>
      </w:r>
      <w:r w:rsidR="00426419">
        <w:t>a</w:t>
      </w:r>
      <w:r w:rsidR="00426419" w:rsidRPr="00A12447">
        <w:t>ssumptions</w:t>
      </w:r>
    </w:p>
    <w:p w:rsidR="000D1AA2" w:rsidRDefault="00662517" w:rsidP="0015384D">
      <w:pPr>
        <w:pStyle w:val="BodyText"/>
      </w:pPr>
      <w:r w:rsidRPr="00A12447">
        <w:t xml:space="preserve">The </w:t>
      </w:r>
      <w:r w:rsidR="00736D22">
        <w:t xml:space="preserve">real </w:t>
      </w:r>
      <w:r w:rsidRPr="00A12447">
        <w:t xml:space="preserve">investment </w:t>
      </w:r>
      <w:r w:rsidR="00736D22">
        <w:t>series</w:t>
      </w:r>
      <w:r w:rsidR="00736D22" w:rsidRPr="00A12447">
        <w:t xml:space="preserve"> </w:t>
      </w:r>
      <w:r w:rsidRPr="00A12447">
        <w:t xml:space="preserve">discussed above </w:t>
      </w:r>
      <w:r w:rsidR="0005372F">
        <w:t>wer</w:t>
      </w:r>
      <w:r w:rsidR="006D417A">
        <w:t>e</w:t>
      </w:r>
      <w:r w:rsidR="0005372F" w:rsidRPr="00A12447">
        <w:t xml:space="preserve"> </w:t>
      </w:r>
      <w:r w:rsidRPr="00A12447">
        <w:t>used in the PIM to generate productive capital stocks for each asset in each subsector. The PIM uses the following parameters</w:t>
      </w:r>
      <w:r w:rsidR="00B41F18" w:rsidRPr="00A12447">
        <w:t xml:space="preserve"> (table </w:t>
      </w:r>
      <w:proofErr w:type="spellStart"/>
      <w:r w:rsidR="00D86322">
        <w:t>A.6</w:t>
      </w:r>
      <w:proofErr w:type="spellEnd"/>
      <w:r w:rsidR="00B41F18" w:rsidRPr="00A12447">
        <w:t>)</w:t>
      </w:r>
      <w:r w:rsidR="007178CC">
        <w:t>.</w:t>
      </w:r>
      <w:r w:rsidR="00F34CDF">
        <w:t xml:space="preserve"> </w:t>
      </w:r>
      <w:r w:rsidR="00912727">
        <w:t xml:space="preserve">The same assumptions </w:t>
      </w:r>
      <w:r w:rsidR="003D670C">
        <w:t xml:space="preserve">were </w:t>
      </w:r>
      <w:r w:rsidR="00912727">
        <w:t xml:space="preserve">used for each of the subsectors — data </w:t>
      </w:r>
      <w:r w:rsidR="00434CC3">
        <w:t xml:space="preserve">were </w:t>
      </w:r>
      <w:r w:rsidR="00912727">
        <w:t xml:space="preserve">not available to </w:t>
      </w:r>
      <w:r w:rsidR="00B57F4B">
        <w:t>derive</w:t>
      </w:r>
      <w:r w:rsidR="00912727">
        <w:t xml:space="preserve"> subsector specific parameters.</w:t>
      </w:r>
    </w:p>
    <w:p w:rsidR="00BB2F49" w:rsidRPr="00A12447" w:rsidRDefault="00BB2F49" w:rsidP="0015384D">
      <w:pPr>
        <w:pStyle w:val="BodyText"/>
      </w:pPr>
      <w:r w:rsidRPr="00A12447">
        <w:t xml:space="preserve">One key difference between the ABS PIM and the PIM used in this paper </w:t>
      </w:r>
      <w:r>
        <w:t>relates to</w:t>
      </w:r>
      <w:r w:rsidRPr="00A12447">
        <w:t xml:space="preserve"> the use of a retirement function. The ABS includes such a function, which allows for some proportion of assets to be retired before and after the mean asset lives listed above. The </w:t>
      </w:r>
      <w:r>
        <w:t>subsector</w:t>
      </w:r>
      <w:r w:rsidRPr="00A12447">
        <w:t xml:space="preserve"> estimates </w:t>
      </w:r>
      <w:r>
        <w:t xml:space="preserve">in this paper </w:t>
      </w:r>
      <w:r w:rsidRPr="00A12447">
        <w:t xml:space="preserve">do not use a retirement function on the grounds that </w:t>
      </w:r>
      <w:r>
        <w:t xml:space="preserve">the additional complexity is not warranted given that previous studies found that </w:t>
      </w:r>
      <w:r w:rsidRPr="00A12447">
        <w:t xml:space="preserve">it </w:t>
      </w:r>
      <w:r>
        <w:t xml:space="preserve">did not </w:t>
      </w:r>
      <w:r w:rsidRPr="00A12447">
        <w:t>significantly change the results</w:t>
      </w:r>
      <w:r>
        <w:t xml:space="preserve"> (</w:t>
      </w:r>
      <w:r w:rsidRPr="0007454F">
        <w:t>Gretton and Fisher 1997</w:t>
      </w:r>
      <w:r>
        <w:t>)</w:t>
      </w:r>
      <w:r w:rsidR="00941276">
        <w:t>.</w:t>
      </w:r>
    </w:p>
    <w:p w:rsidR="007350CA" w:rsidRPr="00A12447" w:rsidRDefault="007350CA">
      <w:pPr>
        <w:pStyle w:val="TableTitle"/>
      </w:pPr>
      <w:r w:rsidRPr="003E0138">
        <w:rPr>
          <w:b w:val="0"/>
        </w:rPr>
        <w:lastRenderedPageBreak/>
        <w:t xml:space="preserve">Table </w:t>
      </w:r>
      <w:bookmarkStart w:id="21" w:name="OLE_LINK21"/>
      <w:proofErr w:type="spellStart"/>
      <w:r w:rsidRPr="003E0138">
        <w:rPr>
          <w:b w:val="0"/>
        </w:rPr>
        <w:t>A.</w:t>
      </w:r>
      <w:r w:rsidR="001459D9">
        <w:rPr>
          <w:b w:val="0"/>
          <w:noProof/>
        </w:rPr>
        <w:t>6</w:t>
      </w:r>
      <w:bookmarkEnd w:id="21"/>
      <w:proofErr w:type="spellEnd"/>
      <w:r w:rsidRPr="00A12447">
        <w:tab/>
      </w:r>
      <w:r w:rsidR="00D220F3" w:rsidRPr="00A12447">
        <w:t xml:space="preserve">PIM parameters used by the ABS and </w:t>
      </w:r>
      <w:r w:rsidR="00CD7CA5">
        <w:t xml:space="preserve">in </w:t>
      </w:r>
      <w:r w:rsidR="00D220F3" w:rsidRPr="00A12447">
        <w:t>this paper</w:t>
      </w:r>
    </w:p>
    <w:tbl>
      <w:tblPr>
        <w:tblW w:w="5000" w:type="pct"/>
        <w:tblLayout w:type="fixed"/>
        <w:tblCellMar>
          <w:left w:w="0" w:type="dxa"/>
          <w:right w:w="0" w:type="dxa"/>
        </w:tblCellMar>
        <w:tblLook w:val="0000" w:firstRow="0" w:lastRow="0" w:firstColumn="0" w:lastColumn="0" w:noHBand="0" w:noVBand="0"/>
      </w:tblPr>
      <w:tblGrid>
        <w:gridCol w:w="2931"/>
        <w:gridCol w:w="2930"/>
        <w:gridCol w:w="2928"/>
      </w:tblGrid>
      <w:tr w:rsidR="007350CA" w:rsidRPr="00FB5B79" w:rsidTr="00C334CC">
        <w:tc>
          <w:tcPr>
            <w:tcW w:w="1667" w:type="pct"/>
            <w:tcBorders>
              <w:top w:val="single" w:sz="6" w:space="0" w:color="auto"/>
              <w:bottom w:val="single" w:sz="6" w:space="0" w:color="auto"/>
            </w:tcBorders>
            <w:shd w:val="clear" w:color="auto" w:fill="auto"/>
          </w:tcPr>
          <w:p w:rsidR="007350CA" w:rsidRPr="00FB5B79" w:rsidRDefault="007470A5" w:rsidP="00FB5B79">
            <w:pPr>
              <w:pStyle w:val="TableColumnHeading"/>
              <w:jc w:val="left"/>
            </w:pPr>
            <w:r w:rsidRPr="00FB5B79">
              <w:br/>
            </w:r>
            <w:r w:rsidR="007350CA" w:rsidRPr="00FB5B79">
              <w:t>Parameter</w:t>
            </w:r>
          </w:p>
        </w:tc>
        <w:tc>
          <w:tcPr>
            <w:tcW w:w="1667" w:type="pct"/>
            <w:tcBorders>
              <w:top w:val="single" w:sz="6" w:space="0" w:color="auto"/>
              <w:bottom w:val="single" w:sz="6" w:space="0" w:color="auto"/>
            </w:tcBorders>
            <w:shd w:val="clear" w:color="auto" w:fill="auto"/>
          </w:tcPr>
          <w:p w:rsidR="007350CA" w:rsidRPr="00FB5B79" w:rsidRDefault="00533C9B" w:rsidP="00FB5B79">
            <w:pPr>
              <w:pStyle w:val="TableColumnHeading"/>
              <w:jc w:val="left"/>
            </w:pPr>
            <w:r w:rsidRPr="00FB5B79">
              <w:t>Used</w:t>
            </w:r>
            <w:r w:rsidR="007350CA" w:rsidRPr="00FB5B79">
              <w:t xml:space="preserve"> by ABS for </w:t>
            </w:r>
            <w:r w:rsidR="002E6911" w:rsidRPr="00FB5B79">
              <w:t>M</w:t>
            </w:r>
            <w:r w:rsidR="007350CA" w:rsidRPr="00FB5B79">
              <w:t>anufacturing</w:t>
            </w:r>
            <w:r w:rsidR="002E6911" w:rsidRPr="00FB5B79">
              <w:t xml:space="preserve"> in aggregate</w:t>
            </w:r>
          </w:p>
        </w:tc>
        <w:tc>
          <w:tcPr>
            <w:tcW w:w="1666" w:type="pct"/>
            <w:tcBorders>
              <w:top w:val="single" w:sz="6" w:space="0" w:color="auto"/>
              <w:bottom w:val="single" w:sz="6" w:space="0" w:color="auto"/>
            </w:tcBorders>
            <w:shd w:val="clear" w:color="auto" w:fill="auto"/>
          </w:tcPr>
          <w:p w:rsidR="007350CA" w:rsidRPr="00FB5B79" w:rsidRDefault="00533C9B" w:rsidP="00FB5B79">
            <w:pPr>
              <w:pStyle w:val="TableColumnHeading"/>
              <w:jc w:val="left"/>
            </w:pPr>
            <w:r w:rsidRPr="00FB5B79">
              <w:t>Used</w:t>
            </w:r>
            <w:r w:rsidR="007350CA" w:rsidRPr="00FB5B79">
              <w:t xml:space="preserve"> in this paper for</w:t>
            </w:r>
            <w:r w:rsidR="00884385" w:rsidRPr="00FB5B79">
              <w:t xml:space="preserve"> each of the</w:t>
            </w:r>
            <w:r w:rsidR="007350CA" w:rsidRPr="00FB5B79">
              <w:t xml:space="preserve"> subsectors</w:t>
            </w:r>
          </w:p>
        </w:tc>
      </w:tr>
      <w:tr w:rsidR="007350CA" w:rsidRPr="00A12447" w:rsidTr="00C95229">
        <w:trPr>
          <w:trHeight w:val="272"/>
        </w:trPr>
        <w:tc>
          <w:tcPr>
            <w:tcW w:w="1667" w:type="pct"/>
            <w:shd w:val="clear" w:color="auto" w:fill="auto"/>
            <w:vAlign w:val="bottom"/>
          </w:tcPr>
          <w:p w:rsidR="007350CA" w:rsidRPr="00A12447" w:rsidRDefault="00A72BED" w:rsidP="00FB5B79">
            <w:pPr>
              <w:pStyle w:val="TableBodyText"/>
              <w:spacing w:before="40"/>
              <w:jc w:val="left"/>
            </w:pPr>
            <w:r w:rsidRPr="00A12447">
              <w:t>Mean asset life</w:t>
            </w:r>
          </w:p>
        </w:tc>
        <w:tc>
          <w:tcPr>
            <w:tcW w:w="1667" w:type="pct"/>
            <w:shd w:val="clear" w:color="auto" w:fill="auto"/>
            <w:vAlign w:val="bottom"/>
          </w:tcPr>
          <w:p w:rsidR="007350CA" w:rsidRPr="00A12447" w:rsidRDefault="007350CA" w:rsidP="00FB5B79">
            <w:pPr>
              <w:pStyle w:val="TableBodyText"/>
              <w:spacing w:before="40"/>
              <w:jc w:val="left"/>
            </w:pPr>
          </w:p>
        </w:tc>
        <w:tc>
          <w:tcPr>
            <w:tcW w:w="1666" w:type="pct"/>
            <w:shd w:val="clear" w:color="auto" w:fill="auto"/>
            <w:vAlign w:val="bottom"/>
          </w:tcPr>
          <w:p w:rsidR="007350CA" w:rsidRPr="00A12447" w:rsidRDefault="007350CA" w:rsidP="00FB5B79">
            <w:pPr>
              <w:pStyle w:val="TableBodyText"/>
              <w:spacing w:before="40"/>
              <w:ind w:right="28"/>
              <w:jc w:val="left"/>
            </w:pPr>
          </w:p>
        </w:tc>
      </w:tr>
      <w:tr w:rsidR="007350CA" w:rsidRPr="00A12447" w:rsidTr="00C95229">
        <w:trPr>
          <w:trHeight w:val="272"/>
        </w:trPr>
        <w:tc>
          <w:tcPr>
            <w:tcW w:w="1667" w:type="pct"/>
            <w:shd w:val="clear" w:color="auto" w:fill="D9D9D9" w:themeFill="background1" w:themeFillShade="D9"/>
            <w:vAlign w:val="bottom"/>
          </w:tcPr>
          <w:p w:rsidR="007350CA" w:rsidRPr="00A12447" w:rsidRDefault="00A72BED" w:rsidP="00FB5B79">
            <w:pPr>
              <w:pStyle w:val="TableBodyText"/>
              <w:spacing w:after="0"/>
              <w:jc w:val="left"/>
            </w:pPr>
            <w:r w:rsidRPr="00A12447">
              <w:t xml:space="preserve">    Non-dwelling construction</w:t>
            </w:r>
          </w:p>
        </w:tc>
        <w:tc>
          <w:tcPr>
            <w:tcW w:w="1667" w:type="pct"/>
            <w:shd w:val="clear" w:color="auto" w:fill="D9D9D9" w:themeFill="background1" w:themeFillShade="D9"/>
            <w:vAlign w:val="bottom"/>
          </w:tcPr>
          <w:p w:rsidR="007350CA" w:rsidRPr="00A12447" w:rsidRDefault="00A72BED" w:rsidP="00FB5B79">
            <w:pPr>
              <w:pStyle w:val="TableBodyText"/>
              <w:spacing w:after="0"/>
              <w:jc w:val="left"/>
              <w:rPr>
                <w:i/>
              </w:rPr>
            </w:pPr>
            <w:r w:rsidRPr="00A12447">
              <w:t>38 years</w:t>
            </w:r>
          </w:p>
        </w:tc>
        <w:tc>
          <w:tcPr>
            <w:tcW w:w="1666" w:type="pct"/>
            <w:shd w:val="clear" w:color="auto" w:fill="D9D9D9" w:themeFill="background1" w:themeFillShade="D9"/>
            <w:vAlign w:val="bottom"/>
          </w:tcPr>
          <w:p w:rsidR="007350CA" w:rsidRPr="00A12447" w:rsidRDefault="00A72BED" w:rsidP="00FB5B79">
            <w:pPr>
              <w:pStyle w:val="TableBodyText"/>
              <w:spacing w:after="0"/>
              <w:ind w:right="28"/>
              <w:jc w:val="left"/>
              <w:rPr>
                <w:i/>
              </w:rPr>
            </w:pPr>
            <w:r w:rsidRPr="00A12447">
              <w:t>38 years</w:t>
            </w:r>
          </w:p>
        </w:tc>
      </w:tr>
      <w:tr w:rsidR="007350CA" w:rsidRPr="00A12447" w:rsidTr="00C95229">
        <w:trPr>
          <w:trHeight w:val="272"/>
        </w:trPr>
        <w:tc>
          <w:tcPr>
            <w:tcW w:w="1667" w:type="pct"/>
            <w:shd w:val="clear" w:color="auto" w:fill="auto"/>
            <w:vAlign w:val="bottom"/>
          </w:tcPr>
          <w:p w:rsidR="007350CA" w:rsidRPr="00A12447" w:rsidRDefault="00A72BED" w:rsidP="00FB5B79">
            <w:pPr>
              <w:pStyle w:val="TableBodyText"/>
              <w:spacing w:after="0"/>
              <w:jc w:val="left"/>
            </w:pPr>
            <w:r w:rsidRPr="00A12447">
              <w:t xml:space="preserve">    Machinery </w:t>
            </w:r>
            <w:r w:rsidR="00F43EED">
              <w:t>&amp;</w:t>
            </w:r>
            <w:r w:rsidRPr="00A12447">
              <w:t xml:space="preserve"> equipment</w:t>
            </w:r>
          </w:p>
        </w:tc>
        <w:tc>
          <w:tcPr>
            <w:tcW w:w="1667" w:type="pct"/>
            <w:shd w:val="clear" w:color="auto" w:fill="auto"/>
            <w:vAlign w:val="bottom"/>
          </w:tcPr>
          <w:p w:rsidR="007350CA" w:rsidRPr="00A12447" w:rsidRDefault="00A72BED" w:rsidP="00FB5B79">
            <w:pPr>
              <w:pStyle w:val="TableBodyText"/>
              <w:spacing w:after="0"/>
              <w:jc w:val="left"/>
              <w:rPr>
                <w:i/>
              </w:rPr>
            </w:pPr>
            <w:r w:rsidRPr="00A12447">
              <w:t>14.4 years</w:t>
            </w:r>
            <w:r w:rsidRPr="003E0138">
              <w:rPr>
                <w:rStyle w:val="NoteLabel"/>
              </w:rPr>
              <w:t>a</w:t>
            </w:r>
          </w:p>
        </w:tc>
        <w:tc>
          <w:tcPr>
            <w:tcW w:w="1666" w:type="pct"/>
            <w:shd w:val="clear" w:color="auto" w:fill="auto"/>
            <w:vAlign w:val="bottom"/>
          </w:tcPr>
          <w:p w:rsidR="007350CA" w:rsidRPr="00A12447" w:rsidRDefault="00A72BED" w:rsidP="00FB5B79">
            <w:pPr>
              <w:pStyle w:val="TableBodyText"/>
              <w:spacing w:after="0"/>
              <w:ind w:right="28"/>
              <w:jc w:val="left"/>
              <w:rPr>
                <w:i/>
              </w:rPr>
            </w:pPr>
            <w:r w:rsidRPr="00A12447">
              <w:t>14.4 years</w:t>
            </w:r>
          </w:p>
        </w:tc>
      </w:tr>
      <w:tr w:rsidR="007350CA" w:rsidRPr="00A12447" w:rsidTr="00C95229">
        <w:trPr>
          <w:trHeight w:val="272"/>
        </w:trPr>
        <w:tc>
          <w:tcPr>
            <w:tcW w:w="1667" w:type="pct"/>
            <w:shd w:val="clear" w:color="auto" w:fill="D9D9D9" w:themeFill="background1" w:themeFillShade="D9"/>
            <w:vAlign w:val="bottom"/>
          </w:tcPr>
          <w:p w:rsidR="007350CA" w:rsidRPr="00A12447" w:rsidRDefault="00A72BED" w:rsidP="00FB5B79">
            <w:pPr>
              <w:pStyle w:val="TableBodyText"/>
              <w:spacing w:after="0"/>
              <w:jc w:val="left"/>
            </w:pPr>
            <w:r w:rsidRPr="00A12447">
              <w:t xml:space="preserve">    Research </w:t>
            </w:r>
            <w:r w:rsidR="00F43EED">
              <w:t>&amp;</w:t>
            </w:r>
            <w:r w:rsidRPr="00A12447">
              <w:t xml:space="preserve"> development</w:t>
            </w:r>
          </w:p>
        </w:tc>
        <w:tc>
          <w:tcPr>
            <w:tcW w:w="1667" w:type="pct"/>
            <w:shd w:val="clear" w:color="auto" w:fill="D9D9D9" w:themeFill="background1" w:themeFillShade="D9"/>
            <w:vAlign w:val="bottom"/>
          </w:tcPr>
          <w:p w:rsidR="007350CA" w:rsidRPr="00A12447" w:rsidRDefault="00A72BED" w:rsidP="00FB5B79">
            <w:pPr>
              <w:pStyle w:val="TableBodyText"/>
              <w:spacing w:after="0"/>
              <w:jc w:val="left"/>
              <w:rPr>
                <w:i/>
              </w:rPr>
            </w:pPr>
            <w:r w:rsidRPr="00A12447">
              <w:t>11 years</w:t>
            </w:r>
          </w:p>
        </w:tc>
        <w:tc>
          <w:tcPr>
            <w:tcW w:w="1666" w:type="pct"/>
            <w:shd w:val="clear" w:color="auto" w:fill="D9D9D9" w:themeFill="background1" w:themeFillShade="D9"/>
            <w:vAlign w:val="bottom"/>
          </w:tcPr>
          <w:p w:rsidR="007350CA" w:rsidRPr="00A12447" w:rsidRDefault="00A72BED" w:rsidP="00FB5B79">
            <w:pPr>
              <w:pStyle w:val="TableBodyText"/>
              <w:spacing w:after="0"/>
              <w:ind w:right="28"/>
              <w:jc w:val="left"/>
              <w:rPr>
                <w:i/>
              </w:rPr>
            </w:pPr>
            <w:r w:rsidRPr="00A12447">
              <w:t>11 years</w:t>
            </w:r>
          </w:p>
        </w:tc>
      </w:tr>
      <w:tr w:rsidR="007350CA" w:rsidRPr="00A12447" w:rsidTr="00C95229">
        <w:trPr>
          <w:trHeight w:val="272"/>
        </w:trPr>
        <w:tc>
          <w:tcPr>
            <w:tcW w:w="1667" w:type="pct"/>
            <w:shd w:val="clear" w:color="auto" w:fill="auto"/>
            <w:vAlign w:val="bottom"/>
          </w:tcPr>
          <w:p w:rsidR="007350CA" w:rsidRPr="00A12447" w:rsidRDefault="00B20418" w:rsidP="00FB5B79">
            <w:pPr>
              <w:pStyle w:val="TableBodyText"/>
              <w:spacing w:after="0"/>
              <w:jc w:val="left"/>
            </w:pPr>
            <w:r w:rsidRPr="00A12447">
              <w:t xml:space="preserve">    </w:t>
            </w:r>
            <w:r w:rsidR="00A72BED" w:rsidRPr="00A12447">
              <w:t>Software</w:t>
            </w:r>
          </w:p>
        </w:tc>
        <w:tc>
          <w:tcPr>
            <w:tcW w:w="1667" w:type="pct"/>
            <w:shd w:val="clear" w:color="auto" w:fill="auto"/>
            <w:vAlign w:val="bottom"/>
          </w:tcPr>
          <w:p w:rsidR="007350CA" w:rsidRPr="00A12447" w:rsidRDefault="00A72BED" w:rsidP="00FB5B79">
            <w:pPr>
              <w:pStyle w:val="TableBodyText"/>
              <w:spacing w:after="0"/>
              <w:jc w:val="left"/>
              <w:rPr>
                <w:i/>
              </w:rPr>
            </w:pPr>
            <w:r w:rsidRPr="00A12447">
              <w:t>4-8 years</w:t>
            </w:r>
            <w:r w:rsidR="00A948FA" w:rsidRPr="003E0138">
              <w:rPr>
                <w:rStyle w:val="NoteLabel"/>
              </w:rPr>
              <w:t>b</w:t>
            </w:r>
          </w:p>
        </w:tc>
        <w:tc>
          <w:tcPr>
            <w:tcW w:w="1666" w:type="pct"/>
            <w:shd w:val="clear" w:color="auto" w:fill="auto"/>
            <w:vAlign w:val="bottom"/>
          </w:tcPr>
          <w:p w:rsidR="007350CA" w:rsidRPr="00A12447" w:rsidRDefault="00A72BED" w:rsidP="00FB5B79">
            <w:pPr>
              <w:pStyle w:val="TableBodyText"/>
              <w:spacing w:after="0"/>
              <w:ind w:right="28"/>
              <w:jc w:val="left"/>
              <w:rPr>
                <w:i/>
              </w:rPr>
            </w:pPr>
            <w:r w:rsidRPr="00A12447">
              <w:t>4-8 years</w:t>
            </w:r>
          </w:p>
        </w:tc>
      </w:tr>
      <w:tr w:rsidR="007350CA" w:rsidRPr="00A12447" w:rsidTr="00C95229">
        <w:trPr>
          <w:trHeight w:val="272"/>
        </w:trPr>
        <w:tc>
          <w:tcPr>
            <w:tcW w:w="1667" w:type="pct"/>
            <w:shd w:val="clear" w:color="auto" w:fill="D9D9D9" w:themeFill="background1" w:themeFillShade="D9"/>
            <w:vAlign w:val="bottom"/>
          </w:tcPr>
          <w:p w:rsidR="007350CA" w:rsidRPr="00A12447" w:rsidRDefault="007350CA" w:rsidP="00FB5B79">
            <w:pPr>
              <w:pStyle w:val="TableBodyText"/>
              <w:spacing w:after="0"/>
              <w:jc w:val="left"/>
            </w:pPr>
          </w:p>
        </w:tc>
        <w:tc>
          <w:tcPr>
            <w:tcW w:w="1667" w:type="pct"/>
            <w:shd w:val="clear" w:color="auto" w:fill="D9D9D9" w:themeFill="background1" w:themeFillShade="D9"/>
            <w:vAlign w:val="bottom"/>
          </w:tcPr>
          <w:p w:rsidR="007350CA" w:rsidRPr="00A12447" w:rsidRDefault="007350CA" w:rsidP="00FB5B79">
            <w:pPr>
              <w:pStyle w:val="TableBodyText"/>
              <w:spacing w:after="0"/>
              <w:jc w:val="left"/>
            </w:pPr>
          </w:p>
        </w:tc>
        <w:tc>
          <w:tcPr>
            <w:tcW w:w="1666" w:type="pct"/>
            <w:shd w:val="clear" w:color="auto" w:fill="D9D9D9" w:themeFill="background1" w:themeFillShade="D9"/>
            <w:vAlign w:val="bottom"/>
          </w:tcPr>
          <w:p w:rsidR="007350CA" w:rsidRPr="00A12447" w:rsidRDefault="007350CA" w:rsidP="00FB5B79">
            <w:pPr>
              <w:pStyle w:val="TableBodyText"/>
              <w:spacing w:after="0"/>
              <w:ind w:right="28"/>
              <w:jc w:val="left"/>
            </w:pPr>
          </w:p>
        </w:tc>
      </w:tr>
      <w:tr w:rsidR="007350CA" w:rsidRPr="00A12447" w:rsidTr="00C95229">
        <w:trPr>
          <w:trHeight w:val="272"/>
        </w:trPr>
        <w:tc>
          <w:tcPr>
            <w:tcW w:w="1667" w:type="pct"/>
            <w:shd w:val="clear" w:color="auto" w:fill="auto"/>
            <w:vAlign w:val="bottom"/>
          </w:tcPr>
          <w:p w:rsidR="007350CA" w:rsidRPr="00A12447" w:rsidRDefault="00A948FA" w:rsidP="00C95229">
            <w:pPr>
              <w:pStyle w:val="TableBodyText"/>
              <w:jc w:val="left"/>
            </w:pPr>
            <w:r w:rsidRPr="00A12447">
              <w:t>Age efficiency profile</w:t>
            </w:r>
            <w:r w:rsidRPr="003E0138">
              <w:rPr>
                <w:rStyle w:val="NoteLabel"/>
              </w:rPr>
              <w:t>c</w:t>
            </w:r>
          </w:p>
        </w:tc>
        <w:tc>
          <w:tcPr>
            <w:tcW w:w="1667" w:type="pct"/>
            <w:shd w:val="clear" w:color="auto" w:fill="auto"/>
            <w:vAlign w:val="bottom"/>
          </w:tcPr>
          <w:p w:rsidR="007350CA" w:rsidRPr="00A12447" w:rsidRDefault="007350CA" w:rsidP="00C95229">
            <w:pPr>
              <w:pStyle w:val="TableBodyText"/>
              <w:jc w:val="left"/>
            </w:pPr>
          </w:p>
        </w:tc>
        <w:tc>
          <w:tcPr>
            <w:tcW w:w="1666" w:type="pct"/>
            <w:shd w:val="clear" w:color="auto" w:fill="auto"/>
            <w:vAlign w:val="bottom"/>
          </w:tcPr>
          <w:p w:rsidR="007350CA" w:rsidRPr="00A12447" w:rsidRDefault="007350CA" w:rsidP="00C95229">
            <w:pPr>
              <w:pStyle w:val="TableBodyText"/>
              <w:ind w:right="28"/>
              <w:jc w:val="left"/>
            </w:pPr>
          </w:p>
        </w:tc>
      </w:tr>
      <w:tr w:rsidR="007350CA" w:rsidRPr="00A12447" w:rsidTr="00C95229">
        <w:trPr>
          <w:trHeight w:val="272"/>
        </w:trPr>
        <w:tc>
          <w:tcPr>
            <w:tcW w:w="1667" w:type="pct"/>
            <w:shd w:val="clear" w:color="auto" w:fill="D9D9D9" w:themeFill="background1" w:themeFillShade="D9"/>
            <w:vAlign w:val="bottom"/>
          </w:tcPr>
          <w:p w:rsidR="007350CA" w:rsidRPr="00A12447" w:rsidRDefault="00A948FA" w:rsidP="00FB5B79">
            <w:pPr>
              <w:pStyle w:val="TableBodyText"/>
              <w:spacing w:after="0"/>
              <w:jc w:val="left"/>
            </w:pPr>
            <w:r w:rsidRPr="00A12447">
              <w:t xml:space="preserve">    Non-dwelling construction</w:t>
            </w:r>
          </w:p>
        </w:tc>
        <w:tc>
          <w:tcPr>
            <w:tcW w:w="1667" w:type="pct"/>
            <w:shd w:val="clear" w:color="auto" w:fill="D9D9D9" w:themeFill="background1" w:themeFillShade="D9"/>
            <w:vAlign w:val="bottom"/>
          </w:tcPr>
          <w:p w:rsidR="007350CA" w:rsidRPr="00A12447" w:rsidRDefault="00A948FA" w:rsidP="00FB5B79">
            <w:pPr>
              <w:pStyle w:val="TableBodyText"/>
              <w:spacing w:after="0"/>
              <w:jc w:val="left"/>
              <w:rPr>
                <w:i/>
              </w:rPr>
            </w:pPr>
            <w:r w:rsidRPr="00A12447">
              <w:t>0.75</w:t>
            </w:r>
          </w:p>
        </w:tc>
        <w:tc>
          <w:tcPr>
            <w:tcW w:w="1666" w:type="pct"/>
            <w:shd w:val="clear" w:color="auto" w:fill="D9D9D9" w:themeFill="background1" w:themeFillShade="D9"/>
            <w:vAlign w:val="bottom"/>
          </w:tcPr>
          <w:p w:rsidR="007350CA" w:rsidRPr="00A12447" w:rsidRDefault="00A948FA" w:rsidP="00FB5B79">
            <w:pPr>
              <w:pStyle w:val="TableBodyText"/>
              <w:spacing w:after="0"/>
              <w:ind w:right="28"/>
              <w:jc w:val="left"/>
              <w:rPr>
                <w:i/>
              </w:rPr>
            </w:pPr>
            <w:r w:rsidRPr="00A12447">
              <w:t>0.75</w:t>
            </w:r>
          </w:p>
        </w:tc>
      </w:tr>
      <w:tr w:rsidR="007350CA" w:rsidRPr="00A12447" w:rsidTr="00C95229">
        <w:trPr>
          <w:trHeight w:val="272"/>
        </w:trPr>
        <w:tc>
          <w:tcPr>
            <w:tcW w:w="1667" w:type="pct"/>
            <w:shd w:val="clear" w:color="auto" w:fill="auto"/>
            <w:vAlign w:val="bottom"/>
          </w:tcPr>
          <w:p w:rsidR="007350CA" w:rsidRPr="00A12447" w:rsidRDefault="00A948FA" w:rsidP="00FB5B79">
            <w:pPr>
              <w:pStyle w:val="TableBodyText"/>
              <w:spacing w:after="0"/>
              <w:jc w:val="left"/>
            </w:pPr>
            <w:r w:rsidRPr="00A12447">
              <w:t xml:space="preserve">    Machinery </w:t>
            </w:r>
            <w:r w:rsidR="00F43EED">
              <w:t>&amp;</w:t>
            </w:r>
            <w:r w:rsidRPr="00A12447">
              <w:t xml:space="preserve"> equipment</w:t>
            </w:r>
          </w:p>
        </w:tc>
        <w:tc>
          <w:tcPr>
            <w:tcW w:w="1667" w:type="pct"/>
            <w:shd w:val="clear" w:color="auto" w:fill="auto"/>
            <w:vAlign w:val="bottom"/>
          </w:tcPr>
          <w:p w:rsidR="007350CA" w:rsidRPr="00A12447" w:rsidRDefault="00A948FA" w:rsidP="00FB5B79">
            <w:pPr>
              <w:pStyle w:val="TableBodyText"/>
              <w:spacing w:after="0"/>
              <w:jc w:val="left"/>
              <w:rPr>
                <w:i/>
              </w:rPr>
            </w:pPr>
            <w:r w:rsidRPr="00A12447">
              <w:t>0.50</w:t>
            </w:r>
          </w:p>
        </w:tc>
        <w:tc>
          <w:tcPr>
            <w:tcW w:w="1666" w:type="pct"/>
            <w:shd w:val="clear" w:color="auto" w:fill="auto"/>
            <w:vAlign w:val="bottom"/>
          </w:tcPr>
          <w:p w:rsidR="007350CA" w:rsidRPr="00A12447" w:rsidRDefault="00A948FA" w:rsidP="00FB5B79">
            <w:pPr>
              <w:pStyle w:val="TableBodyText"/>
              <w:spacing w:after="0"/>
              <w:ind w:right="28"/>
              <w:jc w:val="left"/>
              <w:rPr>
                <w:i/>
              </w:rPr>
            </w:pPr>
            <w:r w:rsidRPr="00A12447">
              <w:t>0.50</w:t>
            </w:r>
          </w:p>
        </w:tc>
      </w:tr>
      <w:tr w:rsidR="00A948FA" w:rsidRPr="00A12447" w:rsidTr="00C95229">
        <w:trPr>
          <w:trHeight w:val="272"/>
        </w:trPr>
        <w:tc>
          <w:tcPr>
            <w:tcW w:w="1667" w:type="pct"/>
            <w:shd w:val="clear" w:color="auto" w:fill="D9D9D9" w:themeFill="background1" w:themeFillShade="D9"/>
            <w:vAlign w:val="bottom"/>
          </w:tcPr>
          <w:p w:rsidR="00A948FA" w:rsidRPr="00A12447" w:rsidRDefault="00A948FA" w:rsidP="00FB5B79">
            <w:pPr>
              <w:pStyle w:val="TableBodyText"/>
              <w:spacing w:after="0"/>
              <w:jc w:val="left"/>
            </w:pPr>
            <w:r w:rsidRPr="00A12447">
              <w:t xml:space="preserve">    Research </w:t>
            </w:r>
            <w:r w:rsidR="00F43EED">
              <w:t>&amp;</w:t>
            </w:r>
            <w:r w:rsidRPr="00A12447">
              <w:t xml:space="preserve"> development</w:t>
            </w:r>
          </w:p>
        </w:tc>
        <w:tc>
          <w:tcPr>
            <w:tcW w:w="1667" w:type="pct"/>
            <w:shd w:val="clear" w:color="auto" w:fill="D9D9D9" w:themeFill="background1" w:themeFillShade="D9"/>
            <w:vAlign w:val="bottom"/>
          </w:tcPr>
          <w:p w:rsidR="00A948FA" w:rsidRPr="00C334CC" w:rsidRDefault="00A948FA" w:rsidP="00FB5B79">
            <w:pPr>
              <w:pStyle w:val="TableBodyText"/>
              <w:framePr w:w="2155" w:hSpace="227" w:vSpace="181" w:wrap="around" w:vAnchor="text" w:hAnchor="page" w:xAlign="outside" w:y="1"/>
              <w:spacing w:after="0"/>
              <w:jc w:val="left"/>
            </w:pPr>
            <w:r w:rsidRPr="00A12447">
              <w:t>0.50</w:t>
            </w:r>
            <w:r w:rsidRPr="003E0138">
              <w:rPr>
                <w:rStyle w:val="NoteLabel"/>
              </w:rPr>
              <w:t>d</w:t>
            </w:r>
          </w:p>
        </w:tc>
        <w:tc>
          <w:tcPr>
            <w:tcW w:w="1666" w:type="pct"/>
            <w:shd w:val="clear" w:color="auto" w:fill="D9D9D9" w:themeFill="background1" w:themeFillShade="D9"/>
            <w:vAlign w:val="bottom"/>
          </w:tcPr>
          <w:p w:rsidR="00A948FA" w:rsidRPr="00A12447" w:rsidRDefault="00A948FA" w:rsidP="00FB5B79">
            <w:pPr>
              <w:pStyle w:val="TableBodyText"/>
              <w:spacing w:after="0"/>
              <w:ind w:right="28"/>
              <w:jc w:val="left"/>
              <w:rPr>
                <w:i/>
              </w:rPr>
            </w:pPr>
            <w:r w:rsidRPr="00A12447">
              <w:t>0.50</w:t>
            </w:r>
          </w:p>
        </w:tc>
      </w:tr>
      <w:tr w:rsidR="00A948FA" w:rsidRPr="00A12447" w:rsidTr="00C95229">
        <w:trPr>
          <w:trHeight w:val="272"/>
        </w:trPr>
        <w:tc>
          <w:tcPr>
            <w:tcW w:w="1667" w:type="pct"/>
            <w:shd w:val="clear" w:color="auto" w:fill="auto"/>
            <w:vAlign w:val="bottom"/>
          </w:tcPr>
          <w:p w:rsidR="00A948FA" w:rsidRPr="00A12447" w:rsidRDefault="00A948FA" w:rsidP="00FB5B79">
            <w:pPr>
              <w:pStyle w:val="TableBodyText"/>
              <w:spacing w:after="0"/>
              <w:jc w:val="left"/>
            </w:pPr>
            <w:r w:rsidRPr="00A12447">
              <w:t xml:space="preserve">    Software</w:t>
            </w:r>
          </w:p>
        </w:tc>
        <w:tc>
          <w:tcPr>
            <w:tcW w:w="1667" w:type="pct"/>
            <w:shd w:val="clear" w:color="auto" w:fill="auto"/>
            <w:vAlign w:val="bottom"/>
          </w:tcPr>
          <w:p w:rsidR="00A948FA" w:rsidRPr="00A12447" w:rsidRDefault="00A948FA" w:rsidP="00FB5B79">
            <w:pPr>
              <w:pStyle w:val="TableBodyText"/>
              <w:spacing w:after="0"/>
              <w:jc w:val="left"/>
              <w:rPr>
                <w:i/>
              </w:rPr>
            </w:pPr>
            <w:r w:rsidRPr="00A12447">
              <w:t>0.50</w:t>
            </w:r>
          </w:p>
        </w:tc>
        <w:tc>
          <w:tcPr>
            <w:tcW w:w="1666" w:type="pct"/>
            <w:shd w:val="clear" w:color="auto" w:fill="auto"/>
            <w:vAlign w:val="bottom"/>
          </w:tcPr>
          <w:p w:rsidR="00A948FA" w:rsidRPr="00A12447" w:rsidRDefault="00A948FA" w:rsidP="00FB5B79">
            <w:pPr>
              <w:pStyle w:val="TableBodyText"/>
              <w:spacing w:after="0"/>
              <w:ind w:right="28"/>
              <w:jc w:val="left"/>
              <w:rPr>
                <w:i/>
              </w:rPr>
            </w:pPr>
            <w:r w:rsidRPr="00A12447">
              <w:t>0.50</w:t>
            </w:r>
          </w:p>
        </w:tc>
      </w:tr>
      <w:tr w:rsidR="00A948FA" w:rsidRPr="00A12447" w:rsidTr="00C95229">
        <w:trPr>
          <w:trHeight w:val="272"/>
        </w:trPr>
        <w:tc>
          <w:tcPr>
            <w:tcW w:w="1667" w:type="pct"/>
            <w:shd w:val="clear" w:color="auto" w:fill="D9D9D9" w:themeFill="background1" w:themeFillShade="D9"/>
            <w:vAlign w:val="bottom"/>
          </w:tcPr>
          <w:p w:rsidR="00A948FA" w:rsidRPr="00A12447" w:rsidRDefault="00A948FA" w:rsidP="00FB5B79">
            <w:pPr>
              <w:pStyle w:val="TableBodyText"/>
              <w:spacing w:after="0"/>
              <w:jc w:val="left"/>
            </w:pPr>
          </w:p>
        </w:tc>
        <w:tc>
          <w:tcPr>
            <w:tcW w:w="1667" w:type="pct"/>
            <w:shd w:val="clear" w:color="auto" w:fill="D9D9D9" w:themeFill="background1" w:themeFillShade="D9"/>
            <w:vAlign w:val="bottom"/>
          </w:tcPr>
          <w:p w:rsidR="00A948FA" w:rsidRPr="00A12447" w:rsidRDefault="00A948FA" w:rsidP="00FB5B79">
            <w:pPr>
              <w:pStyle w:val="TableBodyText"/>
              <w:spacing w:after="0"/>
              <w:jc w:val="left"/>
            </w:pPr>
          </w:p>
        </w:tc>
        <w:tc>
          <w:tcPr>
            <w:tcW w:w="1666" w:type="pct"/>
            <w:shd w:val="clear" w:color="auto" w:fill="D9D9D9" w:themeFill="background1" w:themeFillShade="D9"/>
            <w:vAlign w:val="bottom"/>
          </w:tcPr>
          <w:p w:rsidR="00A948FA" w:rsidRPr="00A12447" w:rsidRDefault="00A948FA" w:rsidP="00FB5B79">
            <w:pPr>
              <w:pStyle w:val="TableBodyText"/>
              <w:spacing w:after="0"/>
              <w:ind w:right="28"/>
              <w:jc w:val="left"/>
            </w:pPr>
          </w:p>
        </w:tc>
      </w:tr>
      <w:tr w:rsidR="00A948FA" w:rsidRPr="00A12447" w:rsidTr="00C95229">
        <w:trPr>
          <w:trHeight w:val="272"/>
        </w:trPr>
        <w:tc>
          <w:tcPr>
            <w:tcW w:w="1667" w:type="pct"/>
            <w:shd w:val="clear" w:color="auto" w:fill="auto"/>
            <w:vAlign w:val="bottom"/>
          </w:tcPr>
          <w:p w:rsidR="00A948FA" w:rsidRPr="00A12447" w:rsidRDefault="00A948FA" w:rsidP="00FB5B79">
            <w:pPr>
              <w:pStyle w:val="TableBodyText"/>
              <w:spacing w:after="0"/>
              <w:jc w:val="left"/>
            </w:pPr>
            <w:r w:rsidRPr="00A12447">
              <w:t>Retirement function</w:t>
            </w:r>
          </w:p>
        </w:tc>
        <w:tc>
          <w:tcPr>
            <w:tcW w:w="1667" w:type="pct"/>
            <w:shd w:val="clear" w:color="auto" w:fill="auto"/>
            <w:vAlign w:val="bottom"/>
          </w:tcPr>
          <w:p w:rsidR="00A948FA" w:rsidRPr="00A12447" w:rsidRDefault="00A948FA" w:rsidP="00FB5B79">
            <w:pPr>
              <w:pStyle w:val="TableBodyText"/>
              <w:spacing w:after="0"/>
              <w:jc w:val="left"/>
              <w:rPr>
                <w:i/>
              </w:rPr>
            </w:pPr>
            <w:r w:rsidRPr="00A12447">
              <w:t xml:space="preserve">Yes </w:t>
            </w:r>
            <w:r w:rsidR="000502D9">
              <w:t>(</w:t>
            </w:r>
            <w:r w:rsidRPr="00A12447">
              <w:t>Winfrey distribution</w:t>
            </w:r>
            <w:r w:rsidR="000502D9">
              <w:t>)</w:t>
            </w:r>
          </w:p>
        </w:tc>
        <w:tc>
          <w:tcPr>
            <w:tcW w:w="1666" w:type="pct"/>
            <w:shd w:val="clear" w:color="auto" w:fill="auto"/>
            <w:vAlign w:val="bottom"/>
          </w:tcPr>
          <w:p w:rsidR="00A948FA" w:rsidRPr="00A12447" w:rsidRDefault="00A948FA" w:rsidP="00FB5B79">
            <w:pPr>
              <w:pStyle w:val="TableBodyText"/>
              <w:spacing w:after="0"/>
              <w:ind w:right="28"/>
              <w:jc w:val="left"/>
              <w:rPr>
                <w:i/>
              </w:rPr>
            </w:pPr>
            <w:r w:rsidRPr="00A12447">
              <w:t>No retirement function</w:t>
            </w:r>
          </w:p>
        </w:tc>
      </w:tr>
      <w:tr w:rsidR="00A948FA" w:rsidRPr="00A12447" w:rsidTr="00C95229">
        <w:trPr>
          <w:trHeight w:val="272"/>
        </w:trPr>
        <w:tc>
          <w:tcPr>
            <w:tcW w:w="1667" w:type="pct"/>
            <w:shd w:val="clear" w:color="auto" w:fill="D9D9D9" w:themeFill="background1" w:themeFillShade="D9"/>
            <w:vAlign w:val="bottom"/>
          </w:tcPr>
          <w:p w:rsidR="00A948FA" w:rsidRPr="00A12447" w:rsidRDefault="00A948FA" w:rsidP="00FB5B79">
            <w:pPr>
              <w:pStyle w:val="TableBodyText"/>
              <w:spacing w:after="0"/>
              <w:jc w:val="left"/>
            </w:pPr>
          </w:p>
        </w:tc>
        <w:tc>
          <w:tcPr>
            <w:tcW w:w="1667" w:type="pct"/>
            <w:shd w:val="clear" w:color="auto" w:fill="D9D9D9" w:themeFill="background1" w:themeFillShade="D9"/>
            <w:vAlign w:val="bottom"/>
          </w:tcPr>
          <w:p w:rsidR="00A948FA" w:rsidRPr="00A12447" w:rsidRDefault="00A948FA" w:rsidP="00FB5B79">
            <w:pPr>
              <w:pStyle w:val="TableBodyText"/>
              <w:spacing w:after="0"/>
              <w:jc w:val="left"/>
            </w:pPr>
          </w:p>
        </w:tc>
        <w:tc>
          <w:tcPr>
            <w:tcW w:w="1666" w:type="pct"/>
            <w:shd w:val="clear" w:color="auto" w:fill="D9D9D9" w:themeFill="background1" w:themeFillShade="D9"/>
            <w:vAlign w:val="bottom"/>
          </w:tcPr>
          <w:p w:rsidR="00A948FA" w:rsidRPr="00A12447" w:rsidRDefault="00A948FA" w:rsidP="00FB5B79">
            <w:pPr>
              <w:pStyle w:val="TableBodyText"/>
              <w:spacing w:after="0"/>
              <w:ind w:right="28"/>
              <w:jc w:val="left"/>
            </w:pPr>
          </w:p>
        </w:tc>
      </w:tr>
      <w:tr w:rsidR="007801CF" w:rsidRPr="00A12447" w:rsidTr="00C95229">
        <w:trPr>
          <w:trHeight w:val="272"/>
        </w:trPr>
        <w:tc>
          <w:tcPr>
            <w:tcW w:w="1667" w:type="pct"/>
            <w:tcBorders>
              <w:bottom w:val="single" w:sz="6" w:space="0" w:color="auto"/>
            </w:tcBorders>
            <w:shd w:val="clear" w:color="auto" w:fill="auto"/>
            <w:vAlign w:val="bottom"/>
          </w:tcPr>
          <w:p w:rsidR="007801CF" w:rsidRPr="00C334CC" w:rsidRDefault="007801CF" w:rsidP="00FB5B79">
            <w:pPr>
              <w:pStyle w:val="TableBodyText"/>
              <w:spacing w:after="0"/>
              <w:jc w:val="left"/>
            </w:pPr>
            <w:r w:rsidRPr="00A12447">
              <w:t>Real discount rate</w:t>
            </w:r>
            <w:r w:rsidRPr="003E0138">
              <w:rPr>
                <w:rStyle w:val="NoteLabel"/>
              </w:rPr>
              <w:t>e</w:t>
            </w:r>
          </w:p>
        </w:tc>
        <w:tc>
          <w:tcPr>
            <w:tcW w:w="1667" w:type="pct"/>
            <w:tcBorders>
              <w:bottom w:val="single" w:sz="6" w:space="0" w:color="auto"/>
            </w:tcBorders>
            <w:shd w:val="clear" w:color="auto" w:fill="auto"/>
            <w:vAlign w:val="bottom"/>
          </w:tcPr>
          <w:p w:rsidR="007801CF" w:rsidRPr="00A12447" w:rsidRDefault="007801CF" w:rsidP="00FB5B79">
            <w:pPr>
              <w:pStyle w:val="TableBodyText"/>
              <w:spacing w:after="0"/>
              <w:jc w:val="left"/>
              <w:rPr>
                <w:i/>
              </w:rPr>
            </w:pPr>
            <w:r w:rsidRPr="00A12447">
              <w:t>4 per cent</w:t>
            </w:r>
          </w:p>
        </w:tc>
        <w:tc>
          <w:tcPr>
            <w:tcW w:w="1666" w:type="pct"/>
            <w:tcBorders>
              <w:bottom w:val="single" w:sz="6" w:space="0" w:color="auto"/>
            </w:tcBorders>
            <w:shd w:val="clear" w:color="auto" w:fill="auto"/>
            <w:vAlign w:val="bottom"/>
          </w:tcPr>
          <w:p w:rsidR="007801CF" w:rsidRPr="00A12447" w:rsidRDefault="007801CF" w:rsidP="00FB5B79">
            <w:pPr>
              <w:pStyle w:val="TableBodyText"/>
              <w:spacing w:after="0"/>
              <w:ind w:right="28"/>
              <w:jc w:val="left"/>
              <w:rPr>
                <w:i/>
              </w:rPr>
            </w:pPr>
            <w:r w:rsidRPr="00A12447">
              <w:t>4 per cent</w:t>
            </w:r>
          </w:p>
        </w:tc>
      </w:tr>
    </w:tbl>
    <w:p w:rsidR="007350CA" w:rsidRPr="00A12447" w:rsidRDefault="007350CA" w:rsidP="007801CF">
      <w:pPr>
        <w:pStyle w:val="Note"/>
      </w:pPr>
      <w:r w:rsidRPr="00FC4F9F">
        <w:rPr>
          <w:rStyle w:val="NoteLabel"/>
        </w:rPr>
        <w:t>a</w:t>
      </w:r>
      <w:r w:rsidRPr="00A12447">
        <w:t xml:space="preserve"> </w:t>
      </w:r>
      <w:r w:rsidR="00A948FA" w:rsidRPr="00A12447">
        <w:t xml:space="preserve">The weighted average of the mean asset life for machinery and equipment was published in the earlier edition of concepts, sources and methods. In practice, the ABS uses a different asset life for a larger number of machinery and equipment assets, while the productive capital stock measures derived here use this weighted average for a single machinery and equipment asset class. </w:t>
      </w:r>
      <w:r w:rsidR="00A948FA" w:rsidRPr="00FC4F9F">
        <w:rPr>
          <w:rStyle w:val="NoteLabel"/>
        </w:rPr>
        <w:t>b</w:t>
      </w:r>
      <w:r w:rsidR="00A948FA" w:rsidRPr="00A12447">
        <w:t xml:space="preserve"> The mean asset life for software depends on when the investment was made, and whether it was made on in-house software or purchased software. The parameters used in the paper match those of the ABS exactly in this regard. </w:t>
      </w:r>
      <w:r w:rsidR="00A948FA" w:rsidRPr="00FC4F9F">
        <w:rPr>
          <w:rStyle w:val="NoteLabel"/>
        </w:rPr>
        <w:t>c</w:t>
      </w:r>
      <w:r w:rsidR="00FC4F9F">
        <w:rPr>
          <w:rStyle w:val="NoteLabel"/>
        </w:rPr>
        <w:t xml:space="preserve"> </w:t>
      </w:r>
      <w:r w:rsidR="00A948FA" w:rsidRPr="00A12447">
        <w:t xml:space="preserve">The ABS uses a hyperbolic age efficiency profile, where efficiency is defined as </w:t>
      </w:r>
      <w:r w:rsidR="00C229D3" w:rsidRPr="00A12447">
        <w:t>[</w:t>
      </w:r>
      <w:r w:rsidR="00A948FA" w:rsidRPr="00A12447">
        <w:t>(M – t)</w:t>
      </w:r>
      <w:r w:rsidR="00C229D3" w:rsidRPr="00A12447">
        <w:t xml:space="preserve">/(M – </w:t>
      </w:r>
      <w:proofErr w:type="spellStart"/>
      <w:r w:rsidR="00C229D3" w:rsidRPr="00A12447">
        <w:t>bt</w:t>
      </w:r>
      <w:proofErr w:type="spellEnd"/>
      <w:r w:rsidR="00C229D3" w:rsidRPr="00A12447">
        <w:t xml:space="preserve">)], where M is the mean asset life, t is the age of the asset at a particular point in time and b is efficiency reduction parameter detailed in the table. </w:t>
      </w:r>
      <w:r w:rsidR="00C229D3" w:rsidRPr="00FC4F9F">
        <w:rPr>
          <w:rStyle w:val="NoteLabel"/>
        </w:rPr>
        <w:t>d</w:t>
      </w:r>
      <w:r w:rsidR="00C229D3" w:rsidRPr="00A12447">
        <w:t xml:space="preserve"> </w:t>
      </w:r>
      <w:r w:rsidR="00A171D5" w:rsidRPr="00A12447">
        <w:t>This value is not published, but was determined via correspondence with the ABS.</w:t>
      </w:r>
      <w:r w:rsidR="00C229D3" w:rsidRPr="00A12447">
        <w:t xml:space="preserve"> </w:t>
      </w:r>
      <w:r w:rsidR="007801CF" w:rsidRPr="00FC4F9F">
        <w:rPr>
          <w:rStyle w:val="NoteLabel"/>
        </w:rPr>
        <w:t>e</w:t>
      </w:r>
      <w:r w:rsidR="007801CF" w:rsidRPr="00A12447">
        <w:t xml:space="preserve"> The net present value of future capital services can be calculated by dis</w:t>
      </w:r>
      <w:r w:rsidR="00305DF8" w:rsidRPr="00A12447">
        <w:t xml:space="preserve">counting the capital services flow using this discount rate, chosen by the ABS. </w:t>
      </w:r>
      <w:r w:rsidR="00655241" w:rsidRPr="00A12447">
        <w:t>This allows the construction of net capital stocks, the difference of which between consecutive years is equal to the depreciation.</w:t>
      </w:r>
    </w:p>
    <w:p w:rsidR="007350CA" w:rsidRPr="00A12447" w:rsidRDefault="003E0138" w:rsidP="00C334CC">
      <w:pPr>
        <w:pStyle w:val="Source"/>
      </w:pPr>
      <w:r>
        <w:rPr>
          <w:i/>
        </w:rPr>
        <w:t>Source</w:t>
      </w:r>
      <w:r w:rsidR="007350CA" w:rsidRPr="00564BDC">
        <w:t>:</w:t>
      </w:r>
      <w:r w:rsidR="007350CA" w:rsidRPr="00A12447">
        <w:t xml:space="preserve"> </w:t>
      </w:r>
      <w:r w:rsidR="00A72D1E" w:rsidRPr="00A12447">
        <w:t>ABS</w:t>
      </w:r>
      <w:r w:rsidR="005F2293">
        <w:t xml:space="preserve"> (</w:t>
      </w:r>
      <w:r w:rsidR="005F2293">
        <w:rPr>
          <w:i/>
        </w:rPr>
        <w:t xml:space="preserve">Australian System of National Accounts: Concepts, Sources and Methods, </w:t>
      </w:r>
      <w:r w:rsidR="005F2293">
        <w:t>Cat. no. 5216.0, 2000 and 2012 editions).</w:t>
      </w:r>
      <w:r w:rsidR="00A72D1E" w:rsidRPr="00A12447">
        <w:t xml:space="preserve"> </w:t>
      </w:r>
    </w:p>
    <w:p w:rsidR="001266B1" w:rsidRPr="00A12447" w:rsidRDefault="001266B1" w:rsidP="003E41FC">
      <w:pPr>
        <w:pStyle w:val="Heading6"/>
      </w:pPr>
      <w:r w:rsidRPr="00A12447">
        <w:t>Initial capital stocks</w:t>
      </w:r>
    </w:p>
    <w:p w:rsidR="00A8269E" w:rsidRPr="00A12447" w:rsidRDefault="005F6906" w:rsidP="00C334CC">
      <w:pPr>
        <w:pStyle w:val="BodyText"/>
      </w:pPr>
      <w:r>
        <w:t>T</w:t>
      </w:r>
      <w:r w:rsidR="00A8269E" w:rsidRPr="00A12447">
        <w:t>he PIM</w:t>
      </w:r>
      <w:r>
        <w:t xml:space="preserve"> also requires an </w:t>
      </w:r>
      <w:r w:rsidR="00A8269E" w:rsidRPr="00A12447">
        <w:t>initial stock of capital for each asset and an as</w:t>
      </w:r>
      <w:r w:rsidR="00634B8A" w:rsidRPr="00A12447">
        <w:t xml:space="preserve">sumption about </w:t>
      </w:r>
      <w:r>
        <w:t>the</w:t>
      </w:r>
      <w:r w:rsidRPr="00A12447">
        <w:t xml:space="preserve"> </w:t>
      </w:r>
      <w:r w:rsidR="00634B8A" w:rsidRPr="00A12447">
        <w:t>average age</w:t>
      </w:r>
      <w:r>
        <w:t xml:space="preserve"> of that stock</w:t>
      </w:r>
      <w:r w:rsidR="00FE0AF0" w:rsidRPr="00A12447">
        <w:t xml:space="preserve">. The PIM </w:t>
      </w:r>
      <w:r w:rsidR="00DB7CBF" w:rsidRPr="00A12447">
        <w:t>constructed for</w:t>
      </w:r>
      <w:r w:rsidR="00FE0AF0" w:rsidRPr="00A12447">
        <w:t xml:space="preserve"> this paper starts in 1973</w:t>
      </w:r>
      <w:r w:rsidR="00FF62BB">
        <w:noBreakHyphen/>
      </w:r>
      <w:r w:rsidR="00FE0AF0" w:rsidRPr="00A12447">
        <w:t xml:space="preserve">74 and </w:t>
      </w:r>
      <w:r w:rsidR="006318FA" w:rsidRPr="00A12447">
        <w:t>use</w:t>
      </w:r>
      <w:r w:rsidR="006318FA">
        <w:t>d</w:t>
      </w:r>
      <w:r w:rsidR="006318FA" w:rsidRPr="00A12447">
        <w:t xml:space="preserve"> </w:t>
      </w:r>
      <w:r w:rsidR="00FE0AF0" w:rsidRPr="00A12447">
        <w:t>the following assumptions regarding initial capital stocks and their ages:</w:t>
      </w:r>
    </w:p>
    <w:p w:rsidR="00B11DA2" w:rsidRPr="00A12447" w:rsidRDefault="00B11DA2" w:rsidP="003E41FC">
      <w:pPr>
        <w:pStyle w:val="ListBullet"/>
      </w:pPr>
      <w:r w:rsidRPr="00A12447">
        <w:t xml:space="preserve">For non-dwelling construction and machinery and equipment, the net capital stock values available from </w:t>
      </w:r>
      <w:r w:rsidRPr="0007454F">
        <w:t>PC (2003</w:t>
      </w:r>
      <w:r w:rsidRPr="00A12447">
        <w:t xml:space="preserve">) </w:t>
      </w:r>
      <w:r w:rsidR="00A12B7F">
        <w:t>were</w:t>
      </w:r>
      <w:r w:rsidR="00A12B7F" w:rsidRPr="00A12447">
        <w:t xml:space="preserve"> </w:t>
      </w:r>
      <w:r w:rsidRPr="00A12447">
        <w:t xml:space="preserve">used. The average age of these two assets is chosen to be 14 and 7 years, respectively, based on ABS assumptions </w:t>
      </w:r>
      <w:r w:rsidRPr="0007454F">
        <w:t xml:space="preserve">from </w:t>
      </w:r>
      <w:r w:rsidR="006C153A" w:rsidRPr="0007454F">
        <w:t>ABS (</w:t>
      </w:r>
      <w:proofErr w:type="spellStart"/>
      <w:r w:rsidR="006C153A" w:rsidRPr="0007454F">
        <w:t>2000</w:t>
      </w:r>
      <w:r w:rsidR="00627480" w:rsidRPr="0007454F">
        <w:t>a</w:t>
      </w:r>
      <w:proofErr w:type="spellEnd"/>
      <w:r w:rsidR="006C153A" w:rsidRPr="00A12447">
        <w:t>)</w:t>
      </w:r>
      <w:r w:rsidRPr="00A12447">
        <w:t xml:space="preserve">. </w:t>
      </w:r>
    </w:p>
    <w:p w:rsidR="00B11DA2" w:rsidRPr="00A12447" w:rsidRDefault="00B11DA2" w:rsidP="003E41FC">
      <w:pPr>
        <w:pStyle w:val="ListBullet"/>
      </w:pPr>
      <w:r w:rsidRPr="00A12447">
        <w:t xml:space="preserve">For R&amp;D, data from </w:t>
      </w:r>
      <w:r w:rsidRPr="0007454F">
        <w:t>Shanks and Zheng (2006</w:t>
      </w:r>
      <w:r w:rsidRPr="00A12447">
        <w:t xml:space="preserve">) </w:t>
      </w:r>
      <w:r w:rsidR="00B74AE9">
        <w:t>was</w:t>
      </w:r>
      <w:r w:rsidR="00B74AE9" w:rsidRPr="00A12447">
        <w:t xml:space="preserve"> </w:t>
      </w:r>
      <w:r w:rsidRPr="00A12447">
        <w:t xml:space="preserve">used as the capital stock for R&amp;D. </w:t>
      </w:r>
      <w:r w:rsidR="00634B8A" w:rsidRPr="00A12447">
        <w:t>The starting stock of R&amp;D is assumed to be 0 years old.</w:t>
      </w:r>
    </w:p>
    <w:p w:rsidR="00B11DA2" w:rsidRPr="00A12447" w:rsidRDefault="00B11DA2" w:rsidP="003E41FC">
      <w:pPr>
        <w:pStyle w:val="ListBullet"/>
      </w:pPr>
      <w:r w:rsidRPr="00A12447">
        <w:lastRenderedPageBreak/>
        <w:t>For computer software, the total constant price value of capital stock is known for 1973</w:t>
      </w:r>
      <w:r w:rsidR="00FF62BB">
        <w:noBreakHyphen/>
      </w:r>
      <w:r w:rsidRPr="00A12447">
        <w:t xml:space="preserve">74, but there is no information about its disaggregation. The total, </w:t>
      </w:r>
      <w:r w:rsidR="009405C4">
        <w:t>was</w:t>
      </w:r>
      <w:r w:rsidR="009405C4" w:rsidRPr="00A12447">
        <w:t xml:space="preserve"> </w:t>
      </w:r>
      <w:r w:rsidRPr="00A12447">
        <w:t>therefore apportioned by the distribution of software investment in the following year (1974</w:t>
      </w:r>
      <w:r w:rsidR="00FF62BB">
        <w:noBreakHyphen/>
      </w:r>
      <w:r w:rsidRPr="00A12447">
        <w:t xml:space="preserve">75). A further distribution </w:t>
      </w:r>
      <w:r w:rsidR="00BE17DA">
        <w:t>was</w:t>
      </w:r>
      <w:r w:rsidR="00BE17DA" w:rsidRPr="00A12447">
        <w:t xml:space="preserve"> </w:t>
      </w:r>
      <w:r w:rsidRPr="00A12447">
        <w:t xml:space="preserve">then needed to apportion computer software investment between ‘in-house’ and ‘purchased’. The in-house investment </w:t>
      </w:r>
      <w:r w:rsidR="002D6CE9">
        <w:t>was</w:t>
      </w:r>
      <w:r w:rsidR="002D6CE9" w:rsidRPr="00A12447">
        <w:t xml:space="preserve"> </w:t>
      </w:r>
      <w:r w:rsidRPr="00A12447">
        <w:t xml:space="preserve">assumed to be the same proportion of total computer software investment as R&amp;D investment comprises of total investment within an industry. </w:t>
      </w:r>
      <w:r w:rsidR="00634B8A" w:rsidRPr="00A12447">
        <w:t xml:space="preserve">The starting stock of software capital is assumed to be 0 years old. </w:t>
      </w:r>
    </w:p>
    <w:p w:rsidR="005B655D" w:rsidRPr="00A12447" w:rsidRDefault="005B655D" w:rsidP="003E41FC">
      <w:pPr>
        <w:pStyle w:val="Heading6"/>
      </w:pPr>
      <w:r w:rsidRPr="00A12447">
        <w:t>Net capital stock and depreciation</w:t>
      </w:r>
    </w:p>
    <w:p w:rsidR="005B655D" w:rsidRPr="00A12447" w:rsidRDefault="006A5D01" w:rsidP="006A5D01">
      <w:pPr>
        <w:pStyle w:val="BodyText"/>
      </w:pPr>
      <w:r>
        <w:t xml:space="preserve">The PIM allows the calculation of productive capital stock for each period of time. The productive capital stock can then be discounted over the remaining productive life for different vintages of assets to derive net capital stock </w:t>
      </w:r>
      <w:r w:rsidR="003E41FC">
        <w:t>—</w:t>
      </w:r>
      <w:r>
        <w:t xml:space="preserve"> which is the net present value of future capital services from the productive capital stock. This is detailed by the ABS:</w:t>
      </w:r>
    </w:p>
    <w:p w:rsidR="005314E3" w:rsidRPr="00A12447" w:rsidRDefault="00380DAA" w:rsidP="00C334CC">
      <w:pPr>
        <w:pStyle w:val="Quote"/>
      </w:pPr>
      <w:r w:rsidRPr="00A12447">
        <w:t>The age-efficiency function describes the decline in the flow of capital services of an asset as it ages. Using the discount rate, the net present value of future capital services can be readily calculated. For instance, when multiplied by a suitable scalar, the first value of the age-price function represents the present discounted value of the capital services provided by an asset over its entire life. The second value of the age-price function represents the present discounted value of the capital services provided by an asset from the end of its first year until the end of its life. The third value represents the present discounted value of the capital services provided by an asset from the end of its second year until the</w:t>
      </w:r>
      <w:r w:rsidR="0004766E">
        <w:t xml:space="preserve"> end of its life, and so on. … </w:t>
      </w:r>
      <w:r w:rsidRPr="00A12447">
        <w:t xml:space="preserve">When the net present values of the different assets are aggregated for a particular period, they form the net capital stock for that period. </w:t>
      </w:r>
      <w:r w:rsidRPr="0007454F">
        <w:t>(ABS</w:t>
      </w:r>
      <w:r w:rsidR="005630C8" w:rsidRPr="0007454F">
        <w:t xml:space="preserve"> </w:t>
      </w:r>
      <w:proofErr w:type="spellStart"/>
      <w:r w:rsidR="003376E7" w:rsidRPr="0007454F">
        <w:t>2012</w:t>
      </w:r>
      <w:r w:rsidR="00C26325">
        <w:t>c</w:t>
      </w:r>
      <w:proofErr w:type="spellEnd"/>
      <w:r w:rsidR="003376E7" w:rsidRPr="0007454F">
        <w:t>,</w:t>
      </w:r>
      <w:r w:rsidRPr="0007454F">
        <w:t xml:space="preserve"> p</w:t>
      </w:r>
      <w:r w:rsidR="005630C8" w:rsidRPr="0007454F">
        <w:t xml:space="preserve">. </w:t>
      </w:r>
      <w:r w:rsidRPr="0007454F">
        <w:t>36</w:t>
      </w:r>
      <w:r w:rsidR="00B10497">
        <w:t>3</w:t>
      </w:r>
      <w:r w:rsidRPr="00A12447">
        <w:t>)</w:t>
      </w:r>
    </w:p>
    <w:p w:rsidR="006A5D01" w:rsidRDefault="00380DAA" w:rsidP="00C334CC">
      <w:pPr>
        <w:pStyle w:val="BodyText"/>
      </w:pPr>
      <w:r w:rsidRPr="00A12447">
        <w:t>A discount rate is</w:t>
      </w:r>
      <w:r w:rsidR="006A5D01">
        <w:t>, therefore,</w:t>
      </w:r>
      <w:r w:rsidRPr="00A12447">
        <w:t xml:space="preserve"> needed to derive net capital stock </w:t>
      </w:r>
      <w:r w:rsidR="00181C4E">
        <w:t>—</w:t>
      </w:r>
      <w:r w:rsidR="00181C4E" w:rsidRPr="00A12447">
        <w:t xml:space="preserve"> </w:t>
      </w:r>
      <w:r w:rsidRPr="00A12447">
        <w:t>the ABS uses 4</w:t>
      </w:r>
      <w:r w:rsidR="005630C8">
        <w:t> </w:t>
      </w:r>
      <w:r w:rsidRPr="00A12447">
        <w:t xml:space="preserve">per cent, and this parameter </w:t>
      </w:r>
      <w:r w:rsidR="008B7712">
        <w:t>was</w:t>
      </w:r>
      <w:r w:rsidR="008B7712" w:rsidRPr="00A12447">
        <w:t xml:space="preserve"> </w:t>
      </w:r>
      <w:r w:rsidRPr="00A12447">
        <w:t xml:space="preserve">adopted in this paper for all assets and subsectors as well. </w:t>
      </w:r>
    </w:p>
    <w:p w:rsidR="00181C4E" w:rsidRDefault="006A5D01" w:rsidP="00C334CC">
      <w:pPr>
        <w:pStyle w:val="BodyText"/>
      </w:pPr>
      <w:r>
        <w:t xml:space="preserve">The change in net present value for each vintage of asset between periods defines economic depreciation. This depreciation, taken as a share of net capital stock for a given period defines the depreciation rate. </w:t>
      </w:r>
      <w:r w:rsidR="007F0598" w:rsidRPr="00A12447">
        <w:t>Depreciation rates are needed as part of the calculation of the rental prices.</w:t>
      </w:r>
      <w:r w:rsidR="00181C4E" w:rsidRPr="00181C4E">
        <w:t xml:space="preserve"> </w:t>
      </w:r>
    </w:p>
    <w:p w:rsidR="007350CA" w:rsidRPr="00A12447" w:rsidRDefault="00D20FD2" w:rsidP="00D20FD2">
      <w:pPr>
        <w:pStyle w:val="Heading4"/>
      </w:pPr>
      <w:r w:rsidRPr="00A12447">
        <w:t xml:space="preserve">Calculating </w:t>
      </w:r>
      <w:r w:rsidR="00064C93">
        <w:t>r</w:t>
      </w:r>
      <w:r w:rsidRPr="00A12447">
        <w:t xml:space="preserve">ental </w:t>
      </w:r>
      <w:r w:rsidR="00064C93">
        <w:t>p</w:t>
      </w:r>
      <w:r w:rsidRPr="00A12447">
        <w:t>rices</w:t>
      </w:r>
    </w:p>
    <w:p w:rsidR="00AD213A" w:rsidRPr="00A12447" w:rsidRDefault="00295203" w:rsidP="00AD213A">
      <w:pPr>
        <w:pStyle w:val="BodyText"/>
      </w:pPr>
      <w:r>
        <w:t>Product</w:t>
      </w:r>
      <w:r w:rsidRPr="00A12447">
        <w:t xml:space="preserve">ive </w:t>
      </w:r>
      <w:r w:rsidR="00C470FD" w:rsidRPr="00A12447">
        <w:t xml:space="preserve">capital stocks </w:t>
      </w:r>
      <w:r w:rsidR="00181C4E">
        <w:t>for different asset types</w:t>
      </w:r>
      <w:r w:rsidR="00CA4AF4">
        <w:t xml:space="preserve"> are not simply added together to derive capital services, but are instead weighted according to the relative rental price and relative volumes of productive capital stock of each asset (see </w:t>
      </w:r>
      <w:r>
        <w:t>equation </w:t>
      </w:r>
      <w:proofErr w:type="spellStart"/>
      <w:r w:rsidR="00CA4AF4">
        <w:t>A2</w:t>
      </w:r>
      <w:proofErr w:type="spellEnd"/>
      <w:r w:rsidR="00CA4AF4">
        <w:t xml:space="preserve">). </w:t>
      </w:r>
      <w:r w:rsidR="00AD213A" w:rsidRPr="00A12447">
        <w:t xml:space="preserve">The methodology used by the ABS to </w:t>
      </w:r>
      <w:r w:rsidR="00593AE2">
        <w:t>calculate rental prices</w:t>
      </w:r>
      <w:r w:rsidR="00AD213A" w:rsidRPr="00A12447">
        <w:t xml:space="preserve"> is </w:t>
      </w:r>
      <w:r w:rsidR="00AD213A" w:rsidRPr="00A12447">
        <w:lastRenderedPageBreak/>
        <w:t xml:space="preserve">followed as closely as possible. For a subsector </w:t>
      </w:r>
      <w:proofErr w:type="spellStart"/>
      <w:r w:rsidR="00AD213A" w:rsidRPr="00A12447">
        <w:t>i</w:t>
      </w:r>
      <w:proofErr w:type="spellEnd"/>
      <w:r w:rsidR="00AD213A" w:rsidRPr="00A12447">
        <w:t xml:space="preserve"> with asset type j in time t, the rental price is given as:</w:t>
      </w:r>
    </w:p>
    <w:p w:rsidR="00AD213A" w:rsidRPr="00A12447" w:rsidRDefault="00FE7C90" w:rsidP="00AD213A">
      <w:pPr>
        <w:pStyle w:val="BodyText"/>
        <w:jc w:val="right"/>
      </w:pPr>
      <m:oMath>
        <m:sSub>
          <m:sSubPr>
            <m:ctrlPr>
              <w:rPr>
                <w:rFonts w:ascii="Cambria Math" w:hAnsi="Cambria Math"/>
                <w:i/>
              </w:rPr>
            </m:ctrlPr>
          </m:sSubPr>
          <m:e>
            <m:r>
              <w:rPr>
                <w:rFonts w:ascii="Cambria Math" w:hAnsi="Cambria Math"/>
              </w:rPr>
              <m:t>R</m:t>
            </m:r>
          </m:e>
          <m:sub>
            <m:r>
              <w:rPr>
                <w:rFonts w:ascii="Cambria Math" w:hAnsi="Cambria Math"/>
              </w:rPr>
              <m:t>ijt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ijt</m:t>
            </m:r>
          </m:sub>
        </m:sSub>
        <m:sSub>
          <m:sSubPr>
            <m:ctrlPr>
              <w:rPr>
                <w:rFonts w:ascii="Cambria Math" w:hAnsi="Cambria Math"/>
                <w:i/>
              </w:rPr>
            </m:ctrlPr>
          </m:sSubPr>
          <m:e>
            <m:r>
              <w:rPr>
                <w:rFonts w:ascii="Cambria Math" w:hAnsi="Cambria Math"/>
              </w:rPr>
              <m:t>p</m:t>
            </m:r>
          </m:e>
          <m:sub>
            <m:r>
              <w:rPr>
                <w:rFonts w:ascii="Cambria Math" w:hAnsi="Cambria Math"/>
              </w:rPr>
              <m:t>i</m:t>
            </m:r>
            <m:r>
              <w:rPr>
                <w:rFonts w:ascii="Cambria Math" w:hAnsi="Cambria Math"/>
              </w:rPr>
              <m:t>jt</m:t>
            </m:r>
          </m:sub>
        </m:sSub>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ijt</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g</m:t>
                    </m:r>
                  </m:e>
                  <m:sub>
                    <m:r>
                      <w:rPr>
                        <w:rFonts w:ascii="Cambria Math" w:hAnsi="Cambria Math"/>
                      </w:rPr>
                      <m:t>ijt</m:t>
                    </m:r>
                  </m:sub>
                </m:sSub>
              </m:e>
            </m:acc>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ijt</m:t>
            </m:r>
          </m:sub>
        </m:sSub>
        <m:sSub>
          <m:sSubPr>
            <m:ctrlPr>
              <w:rPr>
                <w:rFonts w:ascii="Cambria Math" w:hAnsi="Cambria Math"/>
                <w:i/>
              </w:rPr>
            </m:ctrlPr>
          </m:sSubPr>
          <m:e>
            <m:r>
              <w:rPr>
                <w:rFonts w:ascii="Cambria Math" w:hAnsi="Cambria Math"/>
              </w:rPr>
              <m:t>x</m:t>
            </m:r>
          </m:e>
          <m:sub>
            <m:r>
              <w:rPr>
                <w:rFonts w:ascii="Cambria Math" w:hAnsi="Cambria Math"/>
              </w:rPr>
              <m:t>it</m:t>
            </m:r>
          </m:sub>
        </m:sSub>
      </m:oMath>
      <w:r w:rsidR="00AD213A" w:rsidRPr="00A12447">
        <w:t xml:space="preserve">                            (</w:t>
      </w:r>
      <w:bookmarkStart w:id="22" w:name="OLE_LINK24"/>
      <w:bookmarkStart w:id="23" w:name="OLE_LINK25"/>
      <w:r w:rsidR="005D7AD4" w:rsidRPr="00A12447">
        <w:t>A</w:t>
      </w:r>
      <w:bookmarkEnd w:id="22"/>
      <w:r w:rsidR="00334BA7">
        <w:t>4</w:t>
      </w:r>
      <w:bookmarkEnd w:id="23"/>
      <w:r w:rsidR="00AD213A" w:rsidRPr="00A12447">
        <w:t>)</w:t>
      </w:r>
    </w:p>
    <w:p w:rsidR="00AD213A" w:rsidRPr="00A12447" w:rsidRDefault="00AD213A" w:rsidP="00AD213A">
      <w:pPr>
        <w:pStyle w:val="BodyText"/>
      </w:pPr>
      <w:r w:rsidRPr="00A12447">
        <w:t>Where R denotes the rental price, T an income</w:t>
      </w:r>
      <w:r w:rsidR="00E72049">
        <w:t xml:space="preserve"> </w:t>
      </w:r>
      <w:r w:rsidRPr="00A12447">
        <w:t xml:space="preserve">tax parameter, p the price of the asset, </w:t>
      </w:r>
      <w:proofErr w:type="spellStart"/>
      <w:r w:rsidRPr="00A12447">
        <w:t>i</w:t>
      </w:r>
      <w:proofErr w:type="spellEnd"/>
      <w:r w:rsidRPr="00A12447">
        <w:t xml:space="preserve"> the nominal internal rate of return of the asset, d the rate of deprecation, g</w:t>
      </w:r>
      <w:r w:rsidR="007F4294">
        <w:t> </w:t>
      </w:r>
      <w:r w:rsidRPr="00A12447">
        <w:t xml:space="preserve">the change in price of the asset and x the indirect tax parameter. Effectively, the rental price represents the replacement cost of capital in that it embodies the value of the asset (its internal rate of return and cost to cover depreciation, less any increase in the value of the asset). </w:t>
      </w:r>
    </w:p>
    <w:p w:rsidR="00AD213A" w:rsidRPr="00A12447" w:rsidRDefault="00AD213A" w:rsidP="00AD213A">
      <w:pPr>
        <w:pStyle w:val="BodyText"/>
      </w:pPr>
      <w:r w:rsidRPr="00A12447">
        <w:t>The components of the rental price equation are sourced from a variety of sources</w:t>
      </w:r>
      <w:r w:rsidR="005630C8">
        <w:t>.</w:t>
      </w:r>
    </w:p>
    <w:p w:rsidR="00AD213A" w:rsidRPr="00A12447" w:rsidRDefault="00100889" w:rsidP="00AD213A">
      <w:pPr>
        <w:pStyle w:val="ListBullet"/>
      </w:pPr>
      <w:r w:rsidRPr="00A12447">
        <w:t>The income tax parameter</w:t>
      </w:r>
      <w:r w:rsidR="00AD213A" w:rsidRPr="00A12447">
        <w:t xml:space="preserve"> (T) </w:t>
      </w:r>
      <w:r w:rsidR="005C4E5A">
        <w:t>were</w:t>
      </w:r>
      <w:r w:rsidR="005C4E5A" w:rsidRPr="00A12447">
        <w:t xml:space="preserve"> </w:t>
      </w:r>
      <w:r w:rsidR="00AD213A" w:rsidRPr="00A12447">
        <w:t>sourced from unpublished ABS data</w:t>
      </w:r>
      <w:r w:rsidR="00E72049">
        <w:t xml:space="preserve"> and is the same across each </w:t>
      </w:r>
      <w:r w:rsidR="002E6911">
        <w:t>Manufacturing</w:t>
      </w:r>
      <w:r w:rsidR="00E72049">
        <w:t xml:space="preserve"> subsector</w:t>
      </w:r>
      <w:r w:rsidR="005630C8">
        <w:t>.</w:t>
      </w:r>
    </w:p>
    <w:p w:rsidR="00100889" w:rsidRPr="00A12447" w:rsidRDefault="00100889" w:rsidP="00AD213A">
      <w:pPr>
        <w:pStyle w:val="ListBullet"/>
      </w:pPr>
      <w:r w:rsidRPr="00A12447">
        <w:t xml:space="preserve">The indirect tax parameter (x) </w:t>
      </w:r>
      <w:r w:rsidR="005C4E5A">
        <w:t>was</w:t>
      </w:r>
      <w:r w:rsidR="005C4E5A" w:rsidRPr="00A12447">
        <w:t xml:space="preserve"> </w:t>
      </w:r>
      <w:r w:rsidRPr="00A12447">
        <w:t>calculated from ABS data</w:t>
      </w:r>
      <w:r w:rsidR="001F6DFC" w:rsidRPr="00A12447">
        <w:t xml:space="preserve"> (specifically, other taxes less subsidies as a share of current price net capital stock)</w:t>
      </w:r>
      <w:r w:rsidR="00E72049">
        <w:t xml:space="preserve"> and is the same across each </w:t>
      </w:r>
      <w:r w:rsidR="002E6911">
        <w:t>Manufacturing</w:t>
      </w:r>
      <w:r w:rsidR="00E72049">
        <w:t xml:space="preserve"> subsector</w:t>
      </w:r>
      <w:r w:rsidR="005630C8">
        <w:t>.</w:t>
      </w:r>
    </w:p>
    <w:p w:rsidR="00AD213A" w:rsidRPr="00A12447" w:rsidRDefault="00AD213A" w:rsidP="00AD213A">
      <w:pPr>
        <w:pStyle w:val="ListBullet"/>
      </w:pPr>
      <w:r w:rsidRPr="00A12447">
        <w:t xml:space="preserve">The price deflator data (p) </w:t>
      </w:r>
      <w:r w:rsidR="005C4E5A">
        <w:t>were</w:t>
      </w:r>
      <w:r w:rsidR="005C4E5A" w:rsidRPr="00A12447">
        <w:t xml:space="preserve"> </w:t>
      </w:r>
      <w:r w:rsidRPr="00A12447">
        <w:t xml:space="preserve">sourced from ABS </w:t>
      </w:r>
      <w:r w:rsidR="002E6911">
        <w:t>National Accounts</w:t>
      </w:r>
      <w:r w:rsidRPr="00A12447">
        <w:t xml:space="preserve"> data and unpublished data</w:t>
      </w:r>
      <w:r w:rsidR="00E72049">
        <w:t xml:space="preserve"> </w:t>
      </w:r>
      <w:r w:rsidR="005630C8">
        <w:t>—</w:t>
      </w:r>
      <w:r w:rsidR="00E72049">
        <w:t xml:space="preserve"> it is the same across each </w:t>
      </w:r>
      <w:r w:rsidR="002E6911">
        <w:t>Manufacturing</w:t>
      </w:r>
      <w:r w:rsidR="00E72049">
        <w:t xml:space="preserve"> subsector</w:t>
      </w:r>
      <w:r w:rsidR="005630C8">
        <w:t>.</w:t>
      </w:r>
    </w:p>
    <w:p w:rsidR="00AD213A" w:rsidRPr="00A12447" w:rsidRDefault="00AD213A" w:rsidP="00AD213A">
      <w:pPr>
        <w:pStyle w:val="ListBullet"/>
      </w:pPr>
      <w:r w:rsidRPr="00A12447">
        <w:t xml:space="preserve">Depreciation </w:t>
      </w:r>
      <w:r w:rsidR="00771A4D" w:rsidRPr="00A12447">
        <w:t xml:space="preserve">(d) </w:t>
      </w:r>
      <w:r w:rsidR="005C4E5A">
        <w:t>was</w:t>
      </w:r>
      <w:r w:rsidR="005C4E5A" w:rsidRPr="00A12447">
        <w:t xml:space="preserve"> </w:t>
      </w:r>
      <w:r w:rsidRPr="00A12447">
        <w:t>calculated in the process of determining productive capital stock from the PIM</w:t>
      </w:r>
      <w:r w:rsidR="00C470FD" w:rsidRPr="00A12447">
        <w:t xml:space="preserve"> (discussed previously)</w:t>
      </w:r>
      <w:r w:rsidR="00E72049">
        <w:t xml:space="preserve"> </w:t>
      </w:r>
      <w:r w:rsidR="005630C8">
        <w:t>—</w:t>
      </w:r>
      <w:r w:rsidR="00E72049">
        <w:t xml:space="preserve"> accordingly, it is different across each </w:t>
      </w:r>
      <w:r w:rsidR="002E6911">
        <w:t>Manufacturing</w:t>
      </w:r>
      <w:r w:rsidR="00E72049">
        <w:t xml:space="preserve"> subsector</w:t>
      </w:r>
      <w:r w:rsidRPr="00A12447">
        <w:t>.</w:t>
      </w:r>
    </w:p>
    <w:p w:rsidR="00AB4FCF" w:rsidRDefault="00AD213A" w:rsidP="00AD213A">
      <w:pPr>
        <w:pStyle w:val="BodyText"/>
      </w:pPr>
      <w:r w:rsidRPr="00A12447">
        <w:t xml:space="preserve">In practice, equation </w:t>
      </w:r>
      <w:r w:rsidR="00334BA7">
        <w:t>A4</w:t>
      </w:r>
      <w:r w:rsidR="00CA4AF4" w:rsidRPr="00A12447">
        <w:t xml:space="preserve"> </w:t>
      </w:r>
      <w:r w:rsidRPr="00A12447">
        <w:t xml:space="preserve">is solved ‘endogenously’ for the rate of return </w:t>
      </w:r>
      <w:proofErr w:type="spellStart"/>
      <w:r w:rsidRPr="00A12447">
        <w:t>i</w:t>
      </w:r>
      <w:proofErr w:type="spellEnd"/>
      <w:r w:rsidRPr="00A12447">
        <w:t xml:space="preserve"> by assuming that capital income is equal to the rental price R multiplied by the productive capital stock</w:t>
      </w:r>
      <w:r w:rsidR="00AB4FCF">
        <w:t>:</w:t>
      </w:r>
    </w:p>
    <w:p w:rsidR="00AB4FCF" w:rsidRPr="00A12447" w:rsidRDefault="00FE7C90" w:rsidP="00AB4FCF">
      <w:pPr>
        <w:pStyle w:val="BodyText"/>
        <w:jc w:val="right"/>
      </w:pPr>
      <m:oMath>
        <m:sSub>
          <m:sSubPr>
            <m:ctrlPr>
              <w:rPr>
                <w:rFonts w:ascii="Cambria Math" w:hAnsi="Cambria Math"/>
                <w:i/>
              </w:rPr>
            </m:ctrlPr>
          </m:sSubPr>
          <m:e>
            <m:r>
              <w:rPr>
                <w:rFonts w:ascii="Cambria Math" w:hAnsi="Cambria Math"/>
              </w:rPr>
              <m:t>i</m:t>
            </m:r>
          </m:e>
          <m:sub>
            <m:r>
              <w:rPr>
                <w:rFonts w:ascii="Cambria Math" w:hAnsi="Cambria Math"/>
              </w:rPr>
              <m:t>it</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R</m:t>
                    </m:r>
                  </m:e>
                  <m:sub>
                    <m:r>
                      <w:rPr>
                        <w:rFonts w:ascii="Cambria Math" w:hAnsi="Cambria Math"/>
                      </w:rPr>
                      <m:t>ijt</m:t>
                    </m:r>
                  </m:sub>
                </m:sSub>
                <m:sSub>
                  <m:sSubPr>
                    <m:ctrlPr>
                      <w:rPr>
                        <w:rFonts w:ascii="Cambria Math" w:hAnsi="Cambria Math"/>
                        <w:i/>
                      </w:rPr>
                    </m:ctrlPr>
                  </m:sSubPr>
                  <m:e>
                    <m:r>
                      <w:rPr>
                        <w:rFonts w:ascii="Cambria Math" w:hAnsi="Cambria Math"/>
                      </w:rPr>
                      <m:t>K</m:t>
                    </m:r>
                  </m:e>
                  <m:sub>
                    <m:r>
                      <w:rPr>
                        <w:rFonts w:ascii="Cambria Math" w:hAnsi="Cambria Math"/>
                      </w:rPr>
                      <m:t>ijt</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K</m:t>
                    </m:r>
                  </m:e>
                  <m:sub>
                    <m:r>
                      <w:rPr>
                        <w:rFonts w:ascii="Cambria Math" w:hAnsi="Cambria Math"/>
                      </w:rPr>
                      <m:t>ijt</m:t>
                    </m:r>
                  </m:sub>
                </m:sSub>
              </m:e>
            </m:nary>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ijt</m:t>
                    </m:r>
                  </m:sub>
                </m:sSub>
                <m:sSub>
                  <m:sSubPr>
                    <m:ctrlPr>
                      <w:rPr>
                        <w:rFonts w:ascii="Cambria Math" w:hAnsi="Cambria Math"/>
                        <w:i/>
                      </w:rPr>
                    </m:ctrlPr>
                  </m:sSubPr>
                  <m:e>
                    <m:r>
                      <w:rPr>
                        <w:rFonts w:ascii="Cambria Math" w:hAnsi="Cambria Math"/>
                      </w:rPr>
                      <m:t>p</m:t>
                    </m:r>
                  </m:e>
                  <m:sub>
                    <m:r>
                      <w:rPr>
                        <w:rFonts w:ascii="Cambria Math" w:hAnsi="Cambria Math"/>
                      </w:rPr>
                      <m:t>ijt</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ijt</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g</m:t>
                            </m:r>
                          </m:e>
                          <m:sub>
                            <m:r>
                              <w:rPr>
                                <w:rFonts w:ascii="Cambria Math" w:hAnsi="Cambria Math"/>
                              </w:rPr>
                              <m:t>ijt</m:t>
                            </m:r>
                          </m:sub>
                        </m:sSub>
                      </m:e>
                    </m:acc>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ijt</m:t>
                    </m:r>
                  </m:sub>
                </m:sSub>
                <m:sSub>
                  <m:sSubPr>
                    <m:ctrlPr>
                      <w:rPr>
                        <w:rFonts w:ascii="Cambria Math" w:hAnsi="Cambria Math"/>
                        <w:i/>
                      </w:rPr>
                    </m:ctrlPr>
                  </m:sSubPr>
                  <m:e>
                    <m:r>
                      <w:rPr>
                        <w:rFonts w:ascii="Cambria Math" w:hAnsi="Cambria Math"/>
                      </w:rPr>
                      <m:t>x</m:t>
                    </m:r>
                  </m:e>
                  <m:sub>
                    <m:r>
                      <w:rPr>
                        <w:rFonts w:ascii="Cambria Math" w:hAnsi="Cambria Math"/>
                      </w:rPr>
                      <m:t>it</m:t>
                    </m:r>
                  </m:sub>
                </m:sSub>
              </m:e>
            </m:d>
          </m:num>
          <m:den>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K</m:t>
                    </m:r>
                  </m:e>
                  <m:sub>
                    <m:r>
                      <w:rPr>
                        <w:rFonts w:ascii="Cambria Math" w:hAnsi="Cambria Math"/>
                      </w:rPr>
                      <m:t>ijt</m:t>
                    </m:r>
                  </m:sub>
                </m:sSub>
                <m:sSub>
                  <m:sSubPr>
                    <m:ctrlPr>
                      <w:rPr>
                        <w:rFonts w:ascii="Cambria Math" w:hAnsi="Cambria Math"/>
                        <w:i/>
                      </w:rPr>
                    </m:ctrlPr>
                  </m:sSubPr>
                  <m:e>
                    <m:r>
                      <w:rPr>
                        <w:rFonts w:ascii="Cambria Math" w:hAnsi="Cambria Math"/>
                      </w:rPr>
                      <m:t>T</m:t>
                    </m:r>
                  </m:e>
                  <m:sub>
                    <m:r>
                      <w:rPr>
                        <w:rFonts w:ascii="Cambria Math" w:hAnsi="Cambria Math"/>
                      </w:rPr>
                      <m:t>ijt</m:t>
                    </m:r>
                  </m:sub>
                </m:sSub>
                <m:sSub>
                  <m:sSubPr>
                    <m:ctrlPr>
                      <w:rPr>
                        <w:rFonts w:ascii="Cambria Math" w:hAnsi="Cambria Math"/>
                        <w:i/>
                      </w:rPr>
                    </m:ctrlPr>
                  </m:sSubPr>
                  <m:e>
                    <m:r>
                      <w:rPr>
                        <w:rFonts w:ascii="Cambria Math" w:hAnsi="Cambria Math"/>
                      </w:rPr>
                      <m:t>p</m:t>
                    </m:r>
                  </m:e>
                  <m:sub>
                    <m:r>
                      <w:rPr>
                        <w:rFonts w:ascii="Cambria Math" w:hAnsi="Cambria Math"/>
                      </w:rPr>
                      <m:t>ijt</m:t>
                    </m:r>
                  </m:sub>
                </m:sSub>
              </m:e>
            </m:nary>
          </m:den>
        </m:f>
      </m:oMath>
      <w:r w:rsidR="00AB4FCF" w:rsidRPr="00A12447">
        <w:t xml:space="preserve">                            (A</w:t>
      </w:r>
      <w:r w:rsidR="00334BA7">
        <w:t>5</w:t>
      </w:r>
      <w:r w:rsidR="00AB4FCF" w:rsidRPr="00A12447">
        <w:t>)</w:t>
      </w:r>
    </w:p>
    <w:p w:rsidR="00D94B66" w:rsidRDefault="00D94B66" w:rsidP="00AD213A">
      <w:pPr>
        <w:pStyle w:val="BodyText"/>
      </w:pPr>
      <w:r>
        <w:t xml:space="preserve">‘Gross operating surplus’, the income that accrues to capital (discussed below) </w:t>
      </w:r>
      <w:r w:rsidR="000A1C2D">
        <w:t xml:space="preserve">was </w:t>
      </w:r>
      <w:r>
        <w:t>used to calculate the internal rate of return, and, by extension, rental prices</w:t>
      </w:r>
      <w:r w:rsidR="00766953">
        <w:t>.</w:t>
      </w:r>
      <w:r>
        <w:t xml:space="preserve"> </w:t>
      </w:r>
    </w:p>
    <w:p w:rsidR="00AD213A" w:rsidRPr="00A12447" w:rsidRDefault="008710F9" w:rsidP="00AD213A">
      <w:pPr>
        <w:pStyle w:val="BodyText"/>
      </w:pPr>
      <w:r>
        <w:t>In the calculation of rental prices, the ABS applies two restrictions and t</w:t>
      </w:r>
      <w:r w:rsidR="00AD213A" w:rsidRPr="00A12447">
        <w:t xml:space="preserve">his process </w:t>
      </w:r>
      <w:r w:rsidR="00CF6BB7">
        <w:t>was</w:t>
      </w:r>
      <w:r w:rsidR="00CF6BB7" w:rsidRPr="00A12447">
        <w:t xml:space="preserve"> </w:t>
      </w:r>
      <w:r>
        <w:t xml:space="preserve">also </w:t>
      </w:r>
      <w:r w:rsidR="00AD213A" w:rsidRPr="00A12447">
        <w:t>used in this paper</w:t>
      </w:r>
      <w:r>
        <w:t>:</w:t>
      </w:r>
    </w:p>
    <w:p w:rsidR="00AD213A" w:rsidRPr="00A12447" w:rsidRDefault="00AD213A" w:rsidP="00AD213A">
      <w:pPr>
        <w:pStyle w:val="ListBullet"/>
      </w:pPr>
      <w:r w:rsidRPr="00A12447">
        <w:t xml:space="preserve">the internal rate of return </w:t>
      </w:r>
      <w:proofErr w:type="spellStart"/>
      <w:r w:rsidRPr="00A12447">
        <w:t>i</w:t>
      </w:r>
      <w:proofErr w:type="spellEnd"/>
      <w:r w:rsidRPr="00A12447">
        <w:t xml:space="preserve"> may not be lower than the </w:t>
      </w:r>
      <w:r w:rsidR="00EC10D4">
        <w:t>Consumer Price Index</w:t>
      </w:r>
      <w:r w:rsidRPr="00A12447">
        <w:t xml:space="preserve"> plus </w:t>
      </w:r>
      <w:r w:rsidR="005630C8">
        <w:t>4</w:t>
      </w:r>
      <w:r w:rsidRPr="00A12447">
        <w:t xml:space="preserve"> percentage points</w:t>
      </w:r>
    </w:p>
    <w:p w:rsidR="00AD213A" w:rsidRPr="00A12447" w:rsidRDefault="00AD213A" w:rsidP="00AD213A">
      <w:pPr>
        <w:pStyle w:val="ListBullet"/>
      </w:pPr>
      <w:r w:rsidRPr="00A12447">
        <w:t xml:space="preserve">rental prices are strictly positive </w:t>
      </w:r>
      <w:r w:rsidR="008710F9">
        <w:t>(</w:t>
      </w:r>
      <w:r w:rsidRPr="00A12447">
        <w:t xml:space="preserve">and are given a value of 0.001 </w:t>
      </w:r>
      <w:r w:rsidR="008710F9">
        <w:t xml:space="preserve">where </w:t>
      </w:r>
      <w:r w:rsidRPr="00A12447">
        <w:t xml:space="preserve">the </w:t>
      </w:r>
      <w:r w:rsidR="008710F9">
        <w:t xml:space="preserve">estimated value of equation </w:t>
      </w:r>
      <w:r w:rsidR="00334BA7">
        <w:t>A4</w:t>
      </w:r>
      <w:r w:rsidRPr="00A12447">
        <w:t xml:space="preserve"> </w:t>
      </w:r>
      <w:r w:rsidR="008710F9">
        <w:t>is</w:t>
      </w:r>
      <w:r w:rsidRPr="00A12447">
        <w:t xml:space="preserve"> non-positive</w:t>
      </w:r>
      <w:r w:rsidR="008710F9">
        <w:t>)</w:t>
      </w:r>
      <w:r w:rsidRPr="00A12447">
        <w:t>.</w:t>
      </w:r>
    </w:p>
    <w:p w:rsidR="00593AE2" w:rsidRDefault="00CA4ACB" w:rsidP="005630C8">
      <w:pPr>
        <w:pStyle w:val="BodyText"/>
      </w:pPr>
      <w:r w:rsidRPr="00A12447">
        <w:lastRenderedPageBreak/>
        <w:t xml:space="preserve">These rental price weights </w:t>
      </w:r>
      <w:r w:rsidR="0048137F">
        <w:t>were</w:t>
      </w:r>
      <w:r w:rsidR="0048137F" w:rsidRPr="00A12447">
        <w:t xml:space="preserve"> </w:t>
      </w:r>
      <w:r w:rsidRPr="00A12447">
        <w:t xml:space="preserve">then used </w:t>
      </w:r>
      <w:r w:rsidR="005D7AD4">
        <w:t xml:space="preserve">(as per equation </w:t>
      </w:r>
      <w:proofErr w:type="spellStart"/>
      <w:r w:rsidR="005D7AD4">
        <w:t>A2</w:t>
      </w:r>
      <w:proofErr w:type="spellEnd"/>
      <w:r w:rsidR="005D7AD4">
        <w:t xml:space="preserve">) </w:t>
      </w:r>
      <w:r w:rsidRPr="00A12447">
        <w:t xml:space="preserve">to create a weighted </w:t>
      </w:r>
      <w:proofErr w:type="spellStart"/>
      <w:r w:rsidRPr="00A12447">
        <w:t>Tornqvist</w:t>
      </w:r>
      <w:proofErr w:type="spellEnd"/>
      <w:r w:rsidRPr="00A12447">
        <w:t xml:space="preserve"> index of capital services for eac</w:t>
      </w:r>
      <w:r w:rsidR="00AD0642" w:rsidRPr="00A12447">
        <w:t xml:space="preserve">h subsector, as well as for </w:t>
      </w:r>
      <w:r w:rsidR="002E6911">
        <w:t>M</w:t>
      </w:r>
      <w:r w:rsidR="00AD0642" w:rsidRPr="00A12447">
        <w:t>anufacturing</w:t>
      </w:r>
      <w:r w:rsidR="002E6911">
        <w:t xml:space="preserve"> as a whole</w:t>
      </w:r>
      <w:r w:rsidR="00AD0642" w:rsidRPr="00A12447">
        <w:t>, as detailed above</w:t>
      </w:r>
      <w:r w:rsidR="00593AE2">
        <w:t>.</w:t>
      </w:r>
      <w:bookmarkStart w:id="24" w:name="OLE_LINK3"/>
    </w:p>
    <w:p w:rsidR="008822F6" w:rsidRDefault="006A4091" w:rsidP="008822F6">
      <w:pPr>
        <w:pStyle w:val="Heading2"/>
      </w:pPr>
      <w:proofErr w:type="spellStart"/>
      <w:r>
        <w:t>A.</w:t>
      </w:r>
      <w:r w:rsidR="001459D9">
        <w:rPr>
          <w:noProof/>
        </w:rPr>
        <w:t>6</w:t>
      </w:r>
      <w:bookmarkEnd w:id="24"/>
      <w:proofErr w:type="spellEnd"/>
      <w:r w:rsidR="008822F6">
        <w:tab/>
        <w:t>Income shares</w:t>
      </w:r>
    </w:p>
    <w:p w:rsidR="00F7092B" w:rsidRDefault="00D606D4" w:rsidP="008822F6">
      <w:pPr>
        <w:pStyle w:val="BodyText"/>
      </w:pPr>
      <w:r>
        <w:t>Subsector f</w:t>
      </w:r>
      <w:r w:rsidR="00F7092B">
        <w:t xml:space="preserve">actor income shares are required to combine the growth rates of capital services and hours worked. </w:t>
      </w:r>
      <w:r>
        <w:t>Subsector capital income levels are also required for the calculation of capital services (</w:t>
      </w:r>
      <w:r w:rsidR="00295203">
        <w:t xml:space="preserve">as discussed in </w:t>
      </w:r>
      <w:r>
        <w:t xml:space="preserve">section </w:t>
      </w:r>
      <w:proofErr w:type="spellStart"/>
      <w:r>
        <w:t>A.5</w:t>
      </w:r>
      <w:proofErr w:type="spellEnd"/>
      <w:r>
        <w:t>).</w:t>
      </w:r>
    </w:p>
    <w:p w:rsidR="000F5095" w:rsidRDefault="000F5095" w:rsidP="008822F6">
      <w:pPr>
        <w:pStyle w:val="BodyText"/>
      </w:pPr>
      <w:r>
        <w:t>To estimate factor income shares</w:t>
      </w:r>
      <w:r w:rsidR="00D1070C">
        <w:t>,</w:t>
      </w:r>
      <w:r>
        <w:t xml:space="preserve"> data are required for labour income (including </w:t>
      </w:r>
      <w:r w:rsidR="00804279">
        <w:t>labour-related</w:t>
      </w:r>
      <w:r w:rsidR="00B24A56">
        <w:t xml:space="preserve"> </w:t>
      </w:r>
      <w:r>
        <w:t xml:space="preserve">net taxes on production), capital income (including </w:t>
      </w:r>
      <w:r w:rsidR="00804279">
        <w:t>capital-related</w:t>
      </w:r>
      <w:r w:rsidR="00B24A56">
        <w:t xml:space="preserve"> </w:t>
      </w:r>
      <w:r>
        <w:t xml:space="preserve">net taxes on production) and value added at basic prices. </w:t>
      </w:r>
    </w:p>
    <w:p w:rsidR="000F5095" w:rsidRDefault="00B33E1E" w:rsidP="008822F6">
      <w:pPr>
        <w:pStyle w:val="BodyText"/>
      </w:pPr>
      <w:r>
        <w:t>At the aggregate level, the ABS uses f</w:t>
      </w:r>
      <w:r w:rsidR="007A31C6">
        <w:t xml:space="preserve">actor incomes from the </w:t>
      </w:r>
      <w:r w:rsidR="002E6911">
        <w:t>National Accounts</w:t>
      </w:r>
      <w:r w:rsidR="007A31C6">
        <w:t xml:space="preserve"> in estimating Manufacturing MFP growth. However, subsector level factor incomes are not available from that source. Therefore, l</w:t>
      </w:r>
      <w:r w:rsidR="000F5095">
        <w:t xml:space="preserve">abour income and value added data at the subsector level </w:t>
      </w:r>
      <w:r w:rsidR="00383042">
        <w:t>were</w:t>
      </w:r>
      <w:r w:rsidR="000F5095">
        <w:t xml:space="preserve"> compiled from ABS surveys covering </w:t>
      </w:r>
      <w:r w:rsidR="002E6911">
        <w:t>Manufacturing</w:t>
      </w:r>
      <w:r w:rsidR="000F5095">
        <w:t>.</w:t>
      </w:r>
      <w:r w:rsidR="006F0FE7">
        <w:rPr>
          <w:rStyle w:val="FootnoteReference"/>
        </w:rPr>
        <w:footnoteReference w:id="13"/>
      </w:r>
      <w:r w:rsidR="000F5095">
        <w:t xml:space="preserve"> Capital income </w:t>
      </w:r>
      <w:r w:rsidR="00383042">
        <w:t>was</w:t>
      </w:r>
      <w:r w:rsidR="000F5095">
        <w:t xml:space="preserve"> derived as the difference between these two series. The factor income levels </w:t>
      </w:r>
      <w:r w:rsidR="00383042">
        <w:t xml:space="preserve">were </w:t>
      </w:r>
      <w:r w:rsidR="000F5095">
        <w:t>then expressed as shares of value added.</w:t>
      </w:r>
      <w:r w:rsidR="00F7092B">
        <w:t xml:space="preserve"> </w:t>
      </w:r>
    </w:p>
    <w:p w:rsidR="001B4B99" w:rsidRDefault="001B4B99" w:rsidP="008822F6">
      <w:pPr>
        <w:pStyle w:val="BodyText"/>
      </w:pPr>
      <w:r>
        <w:t>Over the period from 1984</w:t>
      </w:r>
      <w:r w:rsidR="00FF62BB">
        <w:noBreakHyphen/>
      </w:r>
      <w:r>
        <w:t xml:space="preserve">85, Manufacturing </w:t>
      </w:r>
      <w:r w:rsidR="00383042">
        <w:t>was</w:t>
      </w:r>
      <w:r>
        <w:t xml:space="preserve"> included in three separate surveys. To compile a time series</w:t>
      </w:r>
      <w:r w:rsidR="004D08EF">
        <w:t>,</w:t>
      </w:r>
      <w:r>
        <w:t xml:space="preserve"> data were taken from the following surveys:</w:t>
      </w:r>
    </w:p>
    <w:p w:rsidR="00156FDC" w:rsidRDefault="00156FDC" w:rsidP="00156FDC">
      <w:pPr>
        <w:pStyle w:val="ListBullet"/>
      </w:pPr>
      <w:r>
        <w:t>200</w:t>
      </w:r>
      <w:r w:rsidR="00366330">
        <w:t>6</w:t>
      </w:r>
      <w:r w:rsidR="00FF62BB">
        <w:noBreakHyphen/>
      </w:r>
      <w:r>
        <w:t>0</w:t>
      </w:r>
      <w:r w:rsidR="00366330">
        <w:t>7</w:t>
      </w:r>
      <w:r>
        <w:t xml:space="preserve"> to </w:t>
      </w:r>
      <w:r w:rsidR="00EE142A">
        <w:t>2010</w:t>
      </w:r>
      <w:r w:rsidR="00FF62BB">
        <w:noBreakHyphen/>
      </w:r>
      <w:r w:rsidR="00EE142A">
        <w:t>11</w:t>
      </w:r>
      <w:r>
        <w:t xml:space="preserve"> from </w:t>
      </w:r>
      <w:r>
        <w:rPr>
          <w:i/>
        </w:rPr>
        <w:t xml:space="preserve">Australian Industry </w:t>
      </w:r>
      <w:r>
        <w:t>(ABS Cat. no. 8155.0).</w:t>
      </w:r>
      <w:r w:rsidR="00585856">
        <w:t xml:space="preserve"> </w:t>
      </w:r>
    </w:p>
    <w:p w:rsidR="000F5095" w:rsidRDefault="001B4B99" w:rsidP="001B4B99">
      <w:pPr>
        <w:pStyle w:val="ListBullet"/>
      </w:pPr>
      <w:r>
        <w:t>1987</w:t>
      </w:r>
      <w:r w:rsidR="00FF62BB">
        <w:noBreakHyphen/>
      </w:r>
      <w:r>
        <w:t>88 to 200</w:t>
      </w:r>
      <w:r w:rsidR="0053329A">
        <w:t>5</w:t>
      </w:r>
      <w:r w:rsidR="00FF62BB">
        <w:noBreakHyphen/>
      </w:r>
      <w:r>
        <w:t>0</w:t>
      </w:r>
      <w:r w:rsidR="0053329A">
        <w:t>6</w:t>
      </w:r>
      <w:r>
        <w:t xml:space="preserve"> from </w:t>
      </w:r>
      <w:r>
        <w:rPr>
          <w:i/>
        </w:rPr>
        <w:t>Manufacturing Industry</w:t>
      </w:r>
      <w:r w:rsidR="00E94B0C">
        <w:rPr>
          <w:i/>
        </w:rPr>
        <w:t>, Australia</w:t>
      </w:r>
      <w:r>
        <w:rPr>
          <w:i/>
        </w:rPr>
        <w:t xml:space="preserve"> </w:t>
      </w:r>
      <w:r>
        <w:t>(ABS Cat.</w:t>
      </w:r>
      <w:r w:rsidR="007F4294">
        <w:t> </w:t>
      </w:r>
      <w:r>
        <w:t>no.</w:t>
      </w:r>
      <w:r w:rsidR="007F4294">
        <w:t> </w:t>
      </w:r>
      <w:r>
        <w:t>8221.0)</w:t>
      </w:r>
      <w:r w:rsidR="00063A9A">
        <w:t xml:space="preserve"> — this is a census </w:t>
      </w:r>
      <w:r w:rsidR="002D37FE">
        <w:t xml:space="preserve">of Manufacturing </w:t>
      </w:r>
      <w:r w:rsidR="00063A9A">
        <w:t xml:space="preserve">so </w:t>
      </w:r>
      <w:r w:rsidR="00580D59">
        <w:t>was</w:t>
      </w:r>
      <w:r w:rsidR="00063A9A">
        <w:t xml:space="preserve"> used in preference to 8155.0 in the latter years when both surveys were published.</w:t>
      </w:r>
    </w:p>
    <w:p w:rsidR="00064C93" w:rsidRDefault="00156FDC" w:rsidP="000C6C17">
      <w:pPr>
        <w:pStyle w:val="ListBullet"/>
      </w:pPr>
      <w:r>
        <w:t>1984</w:t>
      </w:r>
      <w:r w:rsidR="00FF62BB">
        <w:noBreakHyphen/>
      </w:r>
      <w:r>
        <w:t>85 and 1986</w:t>
      </w:r>
      <w:r w:rsidR="00FF62BB">
        <w:noBreakHyphen/>
      </w:r>
      <w:r>
        <w:t xml:space="preserve">87 from </w:t>
      </w:r>
      <w:r w:rsidRPr="00DC318E">
        <w:rPr>
          <w:i/>
        </w:rPr>
        <w:t xml:space="preserve">Enterprise Statistics, Australia </w:t>
      </w:r>
      <w:r>
        <w:t>(ABS Cat.</w:t>
      </w:r>
      <w:r w:rsidR="007F4294">
        <w:t> </w:t>
      </w:r>
      <w:r>
        <w:t>no.</w:t>
      </w:r>
      <w:r w:rsidR="007F4294">
        <w:t> </w:t>
      </w:r>
      <w:r>
        <w:t>8103.0) — no survey was conducted in 1985</w:t>
      </w:r>
      <w:r w:rsidR="00FF62BB">
        <w:noBreakHyphen/>
      </w:r>
      <w:r>
        <w:t>86.</w:t>
      </w:r>
      <w:r w:rsidR="00DC318E">
        <w:rPr>
          <w:rStyle w:val="FootnoteReference"/>
        </w:rPr>
        <w:footnoteReference w:id="14"/>
      </w:r>
      <w:r>
        <w:t xml:space="preserve"> </w:t>
      </w:r>
    </w:p>
    <w:p w:rsidR="00753D0B" w:rsidRDefault="00753D0B">
      <w:pPr>
        <w:overflowPunct/>
        <w:autoSpaceDE/>
        <w:autoSpaceDN/>
        <w:adjustRightInd/>
        <w:rPr>
          <w:rFonts w:ascii="Arial" w:hAnsi="Arial"/>
          <w:b/>
        </w:rPr>
      </w:pPr>
      <w:r>
        <w:br w:type="page"/>
      </w:r>
    </w:p>
    <w:p w:rsidR="00D1070C" w:rsidRDefault="000C6C17" w:rsidP="00064C93">
      <w:pPr>
        <w:pStyle w:val="Heading3"/>
      </w:pPr>
      <w:r>
        <w:lastRenderedPageBreak/>
        <w:t>Labour income</w:t>
      </w:r>
    </w:p>
    <w:p w:rsidR="000C6C17" w:rsidRDefault="00C20C64" w:rsidP="00D1070C">
      <w:pPr>
        <w:pStyle w:val="BodyText"/>
      </w:pPr>
      <w:r>
        <w:t>The measure of labour income required includes ‘on costs’ such as superannuation, payroll tax and fringe benefits tax. While w</w:t>
      </w:r>
      <w:r w:rsidR="00D857FF">
        <w:t>ages and salaries is available from each of the surveys listed above</w:t>
      </w:r>
      <w:r>
        <w:t xml:space="preserve">, the </w:t>
      </w:r>
      <w:r w:rsidR="00D857FF">
        <w:t xml:space="preserve">reporting of ‘on costs’ varies. </w:t>
      </w:r>
    </w:p>
    <w:p w:rsidR="006052E5" w:rsidRDefault="006052E5" w:rsidP="00D1070C">
      <w:pPr>
        <w:pStyle w:val="BodyText"/>
      </w:pPr>
      <w:r>
        <w:t>Data for w</w:t>
      </w:r>
      <w:r w:rsidR="00331C7D">
        <w:t xml:space="preserve">ages and salaries </w:t>
      </w:r>
      <w:r>
        <w:t>an</w:t>
      </w:r>
      <w:r w:rsidR="004D08EF">
        <w:t>d</w:t>
      </w:r>
      <w:r>
        <w:t xml:space="preserve"> </w:t>
      </w:r>
      <w:r w:rsidR="004D08EF">
        <w:t>different types</w:t>
      </w:r>
      <w:r>
        <w:t xml:space="preserve"> of</w:t>
      </w:r>
      <w:r w:rsidR="00331C7D">
        <w:t xml:space="preserve"> ‘on costs’ </w:t>
      </w:r>
      <w:r w:rsidR="00580D59">
        <w:t xml:space="preserve">were </w:t>
      </w:r>
      <w:r w:rsidR="00331C7D">
        <w:t>available from 1997</w:t>
      </w:r>
      <w:r w:rsidR="00FF62BB">
        <w:noBreakHyphen/>
      </w:r>
      <w:r w:rsidR="00331C7D">
        <w:t xml:space="preserve">98. Prior to this, wages and salaries data </w:t>
      </w:r>
      <w:r w:rsidR="00580D59">
        <w:t xml:space="preserve">were </w:t>
      </w:r>
      <w:r w:rsidR="00331C7D">
        <w:t>scaled up using an ‘on costs’ percentage based on the data from 1997</w:t>
      </w:r>
      <w:r w:rsidR="00FF62BB">
        <w:noBreakHyphen/>
      </w:r>
      <w:r w:rsidR="00331C7D">
        <w:t>98. The 1997</w:t>
      </w:r>
      <w:r w:rsidR="00FF62BB">
        <w:noBreakHyphen/>
      </w:r>
      <w:r w:rsidR="00331C7D">
        <w:t xml:space="preserve">98 percentage </w:t>
      </w:r>
      <w:r w:rsidR="00580D59">
        <w:t>was</w:t>
      </w:r>
      <w:r w:rsidR="00331C7D">
        <w:t xml:space="preserve"> adjusted </w:t>
      </w:r>
      <w:r w:rsidR="006E3F9A">
        <w:t xml:space="preserve">to </w:t>
      </w:r>
      <w:r w:rsidR="00331C7D">
        <w:t xml:space="preserve">reflect changes </w:t>
      </w:r>
      <w:r w:rsidR="006E3F9A">
        <w:t xml:space="preserve">over time </w:t>
      </w:r>
      <w:r w:rsidR="00331C7D">
        <w:t xml:space="preserve">in </w:t>
      </w:r>
      <w:r>
        <w:t xml:space="preserve">fringe benefits tax and the superannuation guarantee. </w:t>
      </w:r>
      <w:r w:rsidR="00331C7D">
        <w:t xml:space="preserve">Fringe benefits tax was not introduced until 1986 </w:t>
      </w:r>
      <w:r>
        <w:t xml:space="preserve">and </w:t>
      </w:r>
      <w:r w:rsidR="00580D59">
        <w:t xml:space="preserve">was </w:t>
      </w:r>
      <w:r>
        <w:t xml:space="preserve">excluded prior to that. The percentage for superannuation </w:t>
      </w:r>
      <w:r w:rsidR="00580D59">
        <w:t>was</w:t>
      </w:r>
      <w:r>
        <w:t xml:space="preserve"> adjusted each year according to Australian Taxation Office information (</w:t>
      </w:r>
      <w:proofErr w:type="spellStart"/>
      <w:r w:rsidRPr="0007454F">
        <w:t>ATO</w:t>
      </w:r>
      <w:proofErr w:type="spellEnd"/>
      <w:r w:rsidRPr="0007454F">
        <w:t xml:space="preserve"> </w:t>
      </w:r>
      <w:r w:rsidR="00110C84" w:rsidRPr="0007454F">
        <w:t>2011</w:t>
      </w:r>
      <w:r>
        <w:t xml:space="preserve">) </w:t>
      </w:r>
      <w:r w:rsidR="0037076B">
        <w:t xml:space="preserve">and the </w:t>
      </w:r>
      <w:r w:rsidR="0037076B" w:rsidRPr="006052E5">
        <w:rPr>
          <w:i/>
        </w:rPr>
        <w:t xml:space="preserve">Superannuation Guarantee </w:t>
      </w:r>
      <w:r w:rsidR="00B354C7">
        <w:rPr>
          <w:i/>
        </w:rPr>
        <w:t xml:space="preserve">(Administration) </w:t>
      </w:r>
      <w:r w:rsidR="0037076B" w:rsidRPr="006052E5">
        <w:rPr>
          <w:i/>
        </w:rPr>
        <w:t>Act 19</w:t>
      </w:r>
      <w:r w:rsidR="00B354C7">
        <w:rPr>
          <w:i/>
        </w:rPr>
        <w:t>92</w:t>
      </w:r>
      <w:r w:rsidR="0037076B">
        <w:t xml:space="preserve">, </w:t>
      </w:r>
      <w:r>
        <w:t xml:space="preserve">as listed in the table </w:t>
      </w:r>
      <w:proofErr w:type="spellStart"/>
      <w:r w:rsidR="00D86322">
        <w:t>A.7</w:t>
      </w:r>
      <w:proofErr w:type="spellEnd"/>
      <w:r w:rsidR="00404C94">
        <w:t>.</w:t>
      </w:r>
    </w:p>
    <w:p w:rsidR="006052E5" w:rsidRDefault="006052E5">
      <w:pPr>
        <w:pStyle w:val="TableTitle"/>
      </w:pPr>
      <w:r>
        <w:rPr>
          <w:b w:val="0"/>
        </w:rPr>
        <w:t xml:space="preserve">Table </w:t>
      </w:r>
      <w:bookmarkStart w:id="25" w:name="OLE_LINK4"/>
      <w:proofErr w:type="spellStart"/>
      <w:r w:rsidR="005630C8">
        <w:rPr>
          <w:b w:val="0"/>
        </w:rPr>
        <w:t>A.</w:t>
      </w:r>
      <w:r w:rsidR="001459D9">
        <w:rPr>
          <w:b w:val="0"/>
          <w:noProof/>
        </w:rPr>
        <w:t>7</w:t>
      </w:r>
      <w:bookmarkEnd w:id="25"/>
      <w:proofErr w:type="spellEnd"/>
      <w:r>
        <w:tab/>
      </w:r>
      <w:r w:rsidR="00404C94">
        <w:t>Superannuation assumptions</w:t>
      </w:r>
      <w:r w:rsidR="00CD7CA5">
        <w:t xml:space="preserve"> used in income shares</w:t>
      </w:r>
    </w:p>
    <w:tbl>
      <w:tblPr>
        <w:tblW w:w="5000" w:type="pct"/>
        <w:tblCellMar>
          <w:left w:w="0" w:type="dxa"/>
          <w:right w:w="0" w:type="dxa"/>
        </w:tblCellMar>
        <w:tblLook w:val="0000" w:firstRow="0" w:lastRow="0" w:firstColumn="0" w:lastColumn="0" w:noHBand="0" w:noVBand="0"/>
      </w:tblPr>
      <w:tblGrid>
        <w:gridCol w:w="5811"/>
        <w:gridCol w:w="2978"/>
      </w:tblGrid>
      <w:tr w:rsidR="00404C94" w:rsidTr="00B354C7">
        <w:tc>
          <w:tcPr>
            <w:tcW w:w="3306" w:type="pct"/>
            <w:tcBorders>
              <w:top w:val="single" w:sz="6" w:space="0" w:color="auto"/>
              <w:bottom w:val="single" w:sz="6" w:space="0" w:color="auto"/>
            </w:tcBorders>
            <w:shd w:val="clear" w:color="auto" w:fill="auto"/>
          </w:tcPr>
          <w:p w:rsidR="00404C94" w:rsidRDefault="00404C94" w:rsidP="00404C94">
            <w:pPr>
              <w:pStyle w:val="TableColumnHeading"/>
              <w:jc w:val="left"/>
            </w:pPr>
            <w:r>
              <w:t>Year</w:t>
            </w:r>
          </w:p>
        </w:tc>
        <w:tc>
          <w:tcPr>
            <w:tcW w:w="1694" w:type="pct"/>
            <w:tcBorders>
              <w:top w:val="single" w:sz="6" w:space="0" w:color="auto"/>
              <w:bottom w:val="single" w:sz="6" w:space="0" w:color="auto"/>
            </w:tcBorders>
            <w:shd w:val="clear" w:color="auto" w:fill="auto"/>
          </w:tcPr>
          <w:p w:rsidR="00404C94" w:rsidRDefault="001A6DE7" w:rsidP="00491D5F">
            <w:pPr>
              <w:pStyle w:val="TableColumnHeading"/>
              <w:ind w:right="28"/>
            </w:pPr>
            <w:r>
              <w:t xml:space="preserve">Proportion </w:t>
            </w:r>
            <w:r w:rsidR="00404C94">
              <w:t>of wages and salaries</w:t>
            </w:r>
          </w:p>
        </w:tc>
      </w:tr>
      <w:tr w:rsidR="00404C94" w:rsidTr="006E3C66">
        <w:tc>
          <w:tcPr>
            <w:tcW w:w="3306" w:type="pct"/>
            <w:shd w:val="clear" w:color="auto" w:fill="D9D9D9" w:themeFill="background1" w:themeFillShade="D9"/>
            <w:vAlign w:val="bottom"/>
          </w:tcPr>
          <w:p w:rsidR="00404C94" w:rsidRPr="00404C94" w:rsidRDefault="00404C94" w:rsidP="00AC2331">
            <w:pPr>
              <w:pStyle w:val="TableBodyText"/>
              <w:jc w:val="left"/>
            </w:pPr>
            <w:r w:rsidRPr="00404C94">
              <w:t>1984</w:t>
            </w:r>
            <w:r w:rsidR="00FF62BB">
              <w:noBreakHyphen/>
            </w:r>
            <w:r w:rsidRPr="00404C94">
              <w:t xml:space="preserve">85 </w:t>
            </w:r>
            <w:r>
              <w:t>(</w:t>
            </w:r>
            <w:r w:rsidRPr="00404C94">
              <w:t>assume half workforce covered at 3</w:t>
            </w:r>
            <w:r w:rsidR="00AC2331">
              <w:t xml:space="preserve"> per cent</w:t>
            </w:r>
            <w:r>
              <w:t>)</w:t>
            </w:r>
          </w:p>
        </w:tc>
        <w:tc>
          <w:tcPr>
            <w:tcW w:w="1694" w:type="pct"/>
            <w:shd w:val="clear" w:color="auto" w:fill="D9D9D9" w:themeFill="background1" w:themeFillShade="D9"/>
            <w:vAlign w:val="bottom"/>
          </w:tcPr>
          <w:p w:rsidR="00404C94" w:rsidRDefault="00404C94" w:rsidP="00404C94">
            <w:pPr>
              <w:pStyle w:val="TableBodyText"/>
            </w:pPr>
            <w:r>
              <w:t>0.015</w:t>
            </w:r>
          </w:p>
        </w:tc>
      </w:tr>
      <w:tr w:rsidR="00404C94" w:rsidTr="00B354C7">
        <w:tc>
          <w:tcPr>
            <w:tcW w:w="3306" w:type="pct"/>
            <w:shd w:val="clear" w:color="auto" w:fill="auto"/>
            <w:vAlign w:val="bottom"/>
          </w:tcPr>
          <w:p w:rsidR="00404C94" w:rsidRPr="00404C94" w:rsidRDefault="00404C94" w:rsidP="00404C94">
            <w:pPr>
              <w:pStyle w:val="TableBodyText"/>
              <w:jc w:val="left"/>
            </w:pPr>
            <w:r w:rsidRPr="00404C94">
              <w:t>1985</w:t>
            </w:r>
            <w:r w:rsidR="00FF62BB">
              <w:noBreakHyphen/>
            </w:r>
            <w:r w:rsidRPr="00404C94">
              <w:t xml:space="preserve">86 </w:t>
            </w:r>
            <w:r>
              <w:t>(</w:t>
            </w:r>
            <w:r w:rsidR="007B26F4">
              <w:t xml:space="preserve">assume </w:t>
            </w:r>
            <w:r w:rsidRPr="00404C94">
              <w:t>linear growth</w:t>
            </w:r>
            <w:r w:rsidR="007B26F4">
              <w:t xml:space="preserve"> to 1989</w:t>
            </w:r>
            <w:r w:rsidR="00FF62BB">
              <w:noBreakHyphen/>
            </w:r>
            <w:r w:rsidR="007B26F4">
              <w:t>90</w:t>
            </w:r>
            <w:r>
              <w:t>)</w:t>
            </w:r>
          </w:p>
        </w:tc>
        <w:tc>
          <w:tcPr>
            <w:tcW w:w="1694" w:type="pct"/>
            <w:shd w:val="clear" w:color="auto" w:fill="auto"/>
            <w:vAlign w:val="bottom"/>
          </w:tcPr>
          <w:p w:rsidR="00404C94" w:rsidRDefault="00404C94" w:rsidP="00404C94">
            <w:pPr>
              <w:pStyle w:val="TableBodyText"/>
            </w:pPr>
            <w:r>
              <w:t>0.016</w:t>
            </w:r>
          </w:p>
        </w:tc>
      </w:tr>
      <w:tr w:rsidR="00404C94" w:rsidTr="006E3C66">
        <w:tc>
          <w:tcPr>
            <w:tcW w:w="3306" w:type="pct"/>
            <w:shd w:val="clear" w:color="auto" w:fill="D9D9D9" w:themeFill="background1" w:themeFillShade="D9"/>
            <w:vAlign w:val="bottom"/>
          </w:tcPr>
          <w:p w:rsidR="00404C94" w:rsidRPr="00404C94" w:rsidRDefault="00404C94" w:rsidP="00404C94">
            <w:pPr>
              <w:pStyle w:val="TableBodyText"/>
              <w:jc w:val="left"/>
            </w:pPr>
            <w:r w:rsidRPr="00404C94">
              <w:t>1986</w:t>
            </w:r>
            <w:r w:rsidR="00FF62BB">
              <w:noBreakHyphen/>
            </w:r>
            <w:r w:rsidRPr="00404C94">
              <w:t xml:space="preserve">87 </w:t>
            </w:r>
            <w:r w:rsidR="007B26F4">
              <w:t xml:space="preserve">(assume </w:t>
            </w:r>
            <w:r w:rsidR="007B26F4" w:rsidRPr="00404C94">
              <w:t>linear growth</w:t>
            </w:r>
            <w:r w:rsidR="007B26F4">
              <w:t xml:space="preserve"> to 1989</w:t>
            </w:r>
            <w:r w:rsidR="00FF62BB">
              <w:noBreakHyphen/>
            </w:r>
            <w:r w:rsidR="007B26F4">
              <w:t>90)</w:t>
            </w:r>
          </w:p>
        </w:tc>
        <w:tc>
          <w:tcPr>
            <w:tcW w:w="1694" w:type="pct"/>
            <w:shd w:val="clear" w:color="auto" w:fill="D9D9D9" w:themeFill="background1" w:themeFillShade="D9"/>
            <w:vAlign w:val="bottom"/>
          </w:tcPr>
          <w:p w:rsidR="00404C94" w:rsidRDefault="00404C94" w:rsidP="00404C94">
            <w:pPr>
              <w:pStyle w:val="TableBodyText"/>
            </w:pPr>
            <w:r>
              <w:t>0.017</w:t>
            </w:r>
          </w:p>
        </w:tc>
      </w:tr>
      <w:tr w:rsidR="00404C94" w:rsidTr="00B354C7">
        <w:tc>
          <w:tcPr>
            <w:tcW w:w="3306" w:type="pct"/>
            <w:shd w:val="clear" w:color="auto" w:fill="auto"/>
            <w:vAlign w:val="bottom"/>
          </w:tcPr>
          <w:p w:rsidR="00404C94" w:rsidRPr="00404C94" w:rsidRDefault="00404C94" w:rsidP="00404C94">
            <w:pPr>
              <w:pStyle w:val="TableBodyText"/>
              <w:jc w:val="left"/>
            </w:pPr>
            <w:r w:rsidRPr="00404C94">
              <w:t>1987</w:t>
            </w:r>
            <w:r w:rsidR="00FF62BB">
              <w:noBreakHyphen/>
            </w:r>
            <w:r w:rsidRPr="00404C94">
              <w:t xml:space="preserve">88 </w:t>
            </w:r>
            <w:r w:rsidR="007B26F4">
              <w:t xml:space="preserve">(assume </w:t>
            </w:r>
            <w:r w:rsidR="007B26F4" w:rsidRPr="00404C94">
              <w:t>linear growth</w:t>
            </w:r>
            <w:r w:rsidR="007B26F4">
              <w:t xml:space="preserve"> to 1989</w:t>
            </w:r>
            <w:r w:rsidR="00FF62BB">
              <w:noBreakHyphen/>
            </w:r>
            <w:r w:rsidR="007B26F4">
              <w:t>90)</w:t>
            </w:r>
          </w:p>
        </w:tc>
        <w:tc>
          <w:tcPr>
            <w:tcW w:w="1694" w:type="pct"/>
            <w:shd w:val="clear" w:color="auto" w:fill="auto"/>
            <w:vAlign w:val="bottom"/>
          </w:tcPr>
          <w:p w:rsidR="00404C94" w:rsidRDefault="00404C94" w:rsidP="00404C94">
            <w:pPr>
              <w:pStyle w:val="TableBodyText"/>
            </w:pPr>
            <w:r>
              <w:t>0.018</w:t>
            </w:r>
          </w:p>
        </w:tc>
      </w:tr>
      <w:tr w:rsidR="00404C94" w:rsidTr="006E3C66">
        <w:tc>
          <w:tcPr>
            <w:tcW w:w="3306" w:type="pct"/>
            <w:shd w:val="clear" w:color="auto" w:fill="D9D9D9" w:themeFill="background1" w:themeFillShade="D9"/>
            <w:vAlign w:val="bottom"/>
          </w:tcPr>
          <w:p w:rsidR="00404C94" w:rsidRPr="00404C94" w:rsidRDefault="00404C94" w:rsidP="00404C94">
            <w:pPr>
              <w:pStyle w:val="TableBodyText"/>
              <w:jc w:val="left"/>
            </w:pPr>
            <w:r w:rsidRPr="00404C94">
              <w:t>1988</w:t>
            </w:r>
            <w:r w:rsidR="00FF62BB">
              <w:noBreakHyphen/>
            </w:r>
            <w:r w:rsidRPr="00404C94">
              <w:t xml:space="preserve">89 </w:t>
            </w:r>
            <w:r w:rsidR="007B26F4">
              <w:t xml:space="preserve">(assume </w:t>
            </w:r>
            <w:r w:rsidR="007B26F4" w:rsidRPr="00404C94">
              <w:t>linear growth</w:t>
            </w:r>
            <w:r w:rsidR="007B26F4">
              <w:t xml:space="preserve"> to 1989</w:t>
            </w:r>
            <w:r w:rsidR="00FF62BB">
              <w:noBreakHyphen/>
            </w:r>
            <w:r w:rsidR="007B26F4">
              <w:t>90)</w:t>
            </w:r>
          </w:p>
        </w:tc>
        <w:tc>
          <w:tcPr>
            <w:tcW w:w="1694" w:type="pct"/>
            <w:shd w:val="clear" w:color="auto" w:fill="D9D9D9" w:themeFill="background1" w:themeFillShade="D9"/>
            <w:vAlign w:val="bottom"/>
          </w:tcPr>
          <w:p w:rsidR="00404C94" w:rsidRDefault="00404C94" w:rsidP="00404C94">
            <w:pPr>
              <w:pStyle w:val="TableBodyText"/>
            </w:pPr>
            <w:r>
              <w:t>0.019</w:t>
            </w:r>
          </w:p>
        </w:tc>
      </w:tr>
      <w:tr w:rsidR="00404C94" w:rsidTr="00B354C7">
        <w:tc>
          <w:tcPr>
            <w:tcW w:w="3306" w:type="pct"/>
            <w:shd w:val="clear" w:color="auto" w:fill="auto"/>
            <w:vAlign w:val="bottom"/>
          </w:tcPr>
          <w:p w:rsidR="00404C94" w:rsidRPr="00404C94" w:rsidRDefault="00404C94" w:rsidP="00404C94">
            <w:pPr>
              <w:pStyle w:val="TableBodyText"/>
              <w:jc w:val="left"/>
            </w:pPr>
            <w:r w:rsidRPr="00404C94">
              <w:t>1989</w:t>
            </w:r>
            <w:r w:rsidR="00FF62BB">
              <w:noBreakHyphen/>
            </w:r>
            <w:r w:rsidRPr="00404C94">
              <w:t xml:space="preserve">90 </w:t>
            </w:r>
            <w:r>
              <w:t>(</w:t>
            </w:r>
            <w:r w:rsidRPr="00404C94">
              <w:t>assume 2/3 workforce covered at 3</w:t>
            </w:r>
            <w:r w:rsidR="00AC2331">
              <w:t xml:space="preserve"> per cent</w:t>
            </w:r>
            <w:r>
              <w:t>)</w:t>
            </w:r>
          </w:p>
        </w:tc>
        <w:tc>
          <w:tcPr>
            <w:tcW w:w="1694" w:type="pct"/>
            <w:shd w:val="clear" w:color="auto" w:fill="auto"/>
            <w:vAlign w:val="bottom"/>
          </w:tcPr>
          <w:p w:rsidR="00404C94" w:rsidRDefault="00404C94" w:rsidP="00404C94">
            <w:pPr>
              <w:pStyle w:val="TableBodyText"/>
            </w:pPr>
            <w:r>
              <w:t>0.02</w:t>
            </w:r>
          </w:p>
        </w:tc>
      </w:tr>
      <w:tr w:rsidR="00404C94" w:rsidTr="006E3C66">
        <w:tc>
          <w:tcPr>
            <w:tcW w:w="3306" w:type="pct"/>
            <w:shd w:val="clear" w:color="auto" w:fill="D9D9D9" w:themeFill="background1" w:themeFillShade="D9"/>
            <w:vAlign w:val="bottom"/>
          </w:tcPr>
          <w:p w:rsidR="00404C94" w:rsidRPr="00404C94" w:rsidRDefault="00404C94" w:rsidP="00404C94">
            <w:pPr>
              <w:pStyle w:val="TableBodyText"/>
              <w:jc w:val="left"/>
            </w:pPr>
            <w:r w:rsidRPr="00404C94">
              <w:t>1990</w:t>
            </w:r>
            <w:r w:rsidR="00FF62BB">
              <w:noBreakHyphen/>
            </w:r>
            <w:r w:rsidRPr="00404C94">
              <w:t xml:space="preserve">91 </w:t>
            </w:r>
            <w:r>
              <w:t>(</w:t>
            </w:r>
            <w:r w:rsidRPr="00404C94">
              <w:t>assume 2/3 workforce covered at 3</w:t>
            </w:r>
            <w:r w:rsidR="00AC2331">
              <w:t xml:space="preserve"> per cent</w:t>
            </w:r>
            <w:r>
              <w:t>)</w:t>
            </w:r>
          </w:p>
        </w:tc>
        <w:tc>
          <w:tcPr>
            <w:tcW w:w="1694" w:type="pct"/>
            <w:shd w:val="clear" w:color="auto" w:fill="D9D9D9" w:themeFill="background1" w:themeFillShade="D9"/>
            <w:vAlign w:val="bottom"/>
          </w:tcPr>
          <w:p w:rsidR="00404C94" w:rsidRDefault="00404C94" w:rsidP="00404C94">
            <w:pPr>
              <w:pStyle w:val="TableBodyText"/>
            </w:pPr>
            <w:r>
              <w:t>0.02</w:t>
            </w:r>
          </w:p>
        </w:tc>
      </w:tr>
      <w:tr w:rsidR="00404C94" w:rsidTr="00B354C7">
        <w:tc>
          <w:tcPr>
            <w:tcW w:w="3306" w:type="pct"/>
            <w:shd w:val="clear" w:color="auto" w:fill="auto"/>
            <w:vAlign w:val="bottom"/>
          </w:tcPr>
          <w:p w:rsidR="00404C94" w:rsidRPr="00404C94" w:rsidRDefault="00404C94" w:rsidP="00404C94">
            <w:pPr>
              <w:pStyle w:val="TableBodyText"/>
              <w:jc w:val="left"/>
            </w:pPr>
            <w:r w:rsidRPr="00404C94">
              <w:t>1991</w:t>
            </w:r>
            <w:r w:rsidR="00FF62BB">
              <w:noBreakHyphen/>
            </w:r>
            <w:r w:rsidRPr="00404C94">
              <w:t xml:space="preserve">92 </w:t>
            </w:r>
            <w:r>
              <w:t>(</w:t>
            </w:r>
            <w:r w:rsidRPr="00404C94">
              <w:t>assume 2/3 workforce covered at 3</w:t>
            </w:r>
            <w:r w:rsidR="00AC2331">
              <w:t xml:space="preserve"> per cent</w:t>
            </w:r>
            <w:r>
              <w:t>)</w:t>
            </w:r>
          </w:p>
        </w:tc>
        <w:tc>
          <w:tcPr>
            <w:tcW w:w="1694" w:type="pct"/>
            <w:shd w:val="clear" w:color="auto" w:fill="auto"/>
            <w:vAlign w:val="bottom"/>
          </w:tcPr>
          <w:p w:rsidR="00404C94" w:rsidRDefault="00404C94" w:rsidP="00404C94">
            <w:pPr>
              <w:pStyle w:val="TableBodyText"/>
            </w:pPr>
            <w:r>
              <w:t>0.02</w:t>
            </w:r>
          </w:p>
        </w:tc>
      </w:tr>
      <w:tr w:rsidR="00404C94" w:rsidTr="006E3C66">
        <w:tc>
          <w:tcPr>
            <w:tcW w:w="3306" w:type="pct"/>
            <w:shd w:val="clear" w:color="auto" w:fill="D9D9D9" w:themeFill="background1" w:themeFillShade="D9"/>
            <w:vAlign w:val="bottom"/>
          </w:tcPr>
          <w:p w:rsidR="00404C94" w:rsidRPr="00404C94" w:rsidRDefault="00404C94" w:rsidP="00404C94">
            <w:pPr>
              <w:pStyle w:val="TableBodyText"/>
              <w:jc w:val="left"/>
            </w:pPr>
            <w:r w:rsidRPr="00404C94">
              <w:t>1992</w:t>
            </w:r>
            <w:r w:rsidR="00FF62BB">
              <w:noBreakHyphen/>
            </w:r>
            <w:r w:rsidRPr="00404C94">
              <w:t>93</w:t>
            </w:r>
            <w:r w:rsidR="005A6616">
              <w:t xml:space="preserve"> (Superannuation Guarantee </w:t>
            </w:r>
            <w:r w:rsidR="00B354C7">
              <w:t xml:space="preserve">Administration </w:t>
            </w:r>
            <w:r w:rsidR="005A6616">
              <w:t>Act)</w:t>
            </w:r>
          </w:p>
        </w:tc>
        <w:tc>
          <w:tcPr>
            <w:tcW w:w="1694" w:type="pct"/>
            <w:shd w:val="clear" w:color="auto" w:fill="D9D9D9" w:themeFill="background1" w:themeFillShade="D9"/>
            <w:vAlign w:val="bottom"/>
          </w:tcPr>
          <w:p w:rsidR="00404C94" w:rsidRDefault="00404C94" w:rsidP="00404C94">
            <w:pPr>
              <w:pStyle w:val="TableBodyText"/>
            </w:pPr>
            <w:r>
              <w:t>0.03</w:t>
            </w:r>
          </w:p>
        </w:tc>
      </w:tr>
      <w:tr w:rsidR="00404C94" w:rsidTr="00B354C7">
        <w:tc>
          <w:tcPr>
            <w:tcW w:w="3306" w:type="pct"/>
            <w:shd w:val="clear" w:color="auto" w:fill="auto"/>
            <w:vAlign w:val="bottom"/>
          </w:tcPr>
          <w:p w:rsidR="00404C94" w:rsidRPr="00404C94" w:rsidRDefault="00404C94" w:rsidP="00404C94">
            <w:pPr>
              <w:pStyle w:val="TableBodyText"/>
              <w:jc w:val="left"/>
            </w:pPr>
            <w:r w:rsidRPr="00404C94">
              <w:t>1993</w:t>
            </w:r>
            <w:r w:rsidR="00FF62BB">
              <w:noBreakHyphen/>
            </w:r>
            <w:r w:rsidRPr="00404C94">
              <w:t>94</w:t>
            </w:r>
            <w:r w:rsidR="005A6616">
              <w:t xml:space="preserve"> </w:t>
            </w:r>
            <w:r w:rsidR="00B354C7">
              <w:t>(Superannuation Guarantee Administration Act)</w:t>
            </w:r>
          </w:p>
        </w:tc>
        <w:tc>
          <w:tcPr>
            <w:tcW w:w="1694" w:type="pct"/>
            <w:shd w:val="clear" w:color="auto" w:fill="auto"/>
            <w:vAlign w:val="bottom"/>
          </w:tcPr>
          <w:p w:rsidR="00404C94" w:rsidRDefault="00404C94" w:rsidP="00404C94">
            <w:pPr>
              <w:pStyle w:val="TableBodyText"/>
            </w:pPr>
            <w:r>
              <w:t>0.03</w:t>
            </w:r>
          </w:p>
        </w:tc>
      </w:tr>
      <w:tr w:rsidR="00404C94" w:rsidTr="006E3C66">
        <w:tc>
          <w:tcPr>
            <w:tcW w:w="3306" w:type="pct"/>
            <w:shd w:val="clear" w:color="auto" w:fill="D9D9D9" w:themeFill="background1" w:themeFillShade="D9"/>
            <w:vAlign w:val="bottom"/>
          </w:tcPr>
          <w:p w:rsidR="00404C94" w:rsidRPr="00404C94" w:rsidRDefault="00404C94" w:rsidP="00404C94">
            <w:pPr>
              <w:pStyle w:val="TableBodyText"/>
              <w:jc w:val="left"/>
            </w:pPr>
            <w:r w:rsidRPr="00404C94">
              <w:t>1994</w:t>
            </w:r>
            <w:r w:rsidR="00FF62BB">
              <w:noBreakHyphen/>
            </w:r>
            <w:r w:rsidRPr="00404C94">
              <w:t>95</w:t>
            </w:r>
            <w:r w:rsidR="005A6616">
              <w:t xml:space="preserve"> </w:t>
            </w:r>
            <w:r w:rsidR="00B354C7">
              <w:t>(Superannuation Guarantee Administration Act)</w:t>
            </w:r>
          </w:p>
        </w:tc>
        <w:tc>
          <w:tcPr>
            <w:tcW w:w="1694" w:type="pct"/>
            <w:shd w:val="clear" w:color="auto" w:fill="D9D9D9" w:themeFill="background1" w:themeFillShade="D9"/>
            <w:vAlign w:val="bottom"/>
          </w:tcPr>
          <w:p w:rsidR="00404C94" w:rsidRDefault="00404C94" w:rsidP="00404C94">
            <w:pPr>
              <w:pStyle w:val="TableBodyText"/>
            </w:pPr>
            <w:r>
              <w:t>0.04</w:t>
            </w:r>
          </w:p>
        </w:tc>
      </w:tr>
      <w:tr w:rsidR="00404C94" w:rsidTr="00B354C7">
        <w:tc>
          <w:tcPr>
            <w:tcW w:w="3306" w:type="pct"/>
            <w:shd w:val="clear" w:color="auto" w:fill="auto"/>
            <w:vAlign w:val="bottom"/>
          </w:tcPr>
          <w:p w:rsidR="00404C94" w:rsidRPr="00404C94" w:rsidRDefault="00404C94" w:rsidP="00404C94">
            <w:pPr>
              <w:pStyle w:val="TableBodyText"/>
              <w:jc w:val="left"/>
            </w:pPr>
            <w:r w:rsidRPr="00404C94">
              <w:t>1995</w:t>
            </w:r>
            <w:r w:rsidR="00FF62BB">
              <w:noBreakHyphen/>
            </w:r>
            <w:r w:rsidRPr="00404C94">
              <w:t>96</w:t>
            </w:r>
            <w:r w:rsidR="005A6616">
              <w:t xml:space="preserve"> </w:t>
            </w:r>
            <w:r w:rsidR="00B354C7">
              <w:t>(Superannuation Guarantee Administration Act)</w:t>
            </w:r>
          </w:p>
        </w:tc>
        <w:tc>
          <w:tcPr>
            <w:tcW w:w="1694" w:type="pct"/>
            <w:shd w:val="clear" w:color="auto" w:fill="auto"/>
            <w:vAlign w:val="bottom"/>
          </w:tcPr>
          <w:p w:rsidR="00404C94" w:rsidRDefault="00404C94" w:rsidP="00404C94">
            <w:pPr>
              <w:pStyle w:val="TableBodyText"/>
            </w:pPr>
            <w:r>
              <w:t>0.05</w:t>
            </w:r>
          </w:p>
        </w:tc>
      </w:tr>
      <w:tr w:rsidR="00404C94" w:rsidTr="006E3C66">
        <w:tc>
          <w:tcPr>
            <w:tcW w:w="3306" w:type="pct"/>
            <w:tcBorders>
              <w:bottom w:val="single" w:sz="4" w:space="0" w:color="auto"/>
            </w:tcBorders>
            <w:shd w:val="clear" w:color="auto" w:fill="D9D9D9" w:themeFill="background1" w:themeFillShade="D9"/>
            <w:vAlign w:val="bottom"/>
          </w:tcPr>
          <w:p w:rsidR="00404C94" w:rsidRPr="00404C94" w:rsidRDefault="00404C94" w:rsidP="00404C94">
            <w:pPr>
              <w:pStyle w:val="TableBodyText"/>
              <w:jc w:val="left"/>
            </w:pPr>
            <w:r w:rsidRPr="00404C94">
              <w:t>1996</w:t>
            </w:r>
            <w:r w:rsidR="00FF62BB">
              <w:noBreakHyphen/>
            </w:r>
            <w:r w:rsidRPr="00404C94">
              <w:t>97</w:t>
            </w:r>
            <w:r w:rsidR="005A6616">
              <w:t xml:space="preserve"> </w:t>
            </w:r>
            <w:r w:rsidR="00B354C7">
              <w:t>(Superannuation Guarantee Administration Act)</w:t>
            </w:r>
          </w:p>
        </w:tc>
        <w:tc>
          <w:tcPr>
            <w:tcW w:w="1694" w:type="pct"/>
            <w:tcBorders>
              <w:bottom w:val="single" w:sz="4" w:space="0" w:color="auto"/>
            </w:tcBorders>
            <w:shd w:val="clear" w:color="auto" w:fill="D9D9D9" w:themeFill="background1" w:themeFillShade="D9"/>
            <w:vAlign w:val="bottom"/>
          </w:tcPr>
          <w:p w:rsidR="00404C94" w:rsidRDefault="00404C94" w:rsidP="00404C94">
            <w:pPr>
              <w:pStyle w:val="TableBodyText"/>
            </w:pPr>
            <w:r>
              <w:t>0.06</w:t>
            </w:r>
          </w:p>
        </w:tc>
      </w:tr>
    </w:tbl>
    <w:p w:rsidR="006052E5" w:rsidRPr="008E77FE" w:rsidRDefault="006052E5" w:rsidP="00491D5F">
      <w:pPr>
        <w:pStyle w:val="Source"/>
      </w:pPr>
      <w:r>
        <w:rPr>
          <w:i/>
        </w:rPr>
        <w:t>Source</w:t>
      </w:r>
      <w:r w:rsidR="00F96295">
        <w:rPr>
          <w:i/>
        </w:rPr>
        <w:t>s</w:t>
      </w:r>
      <w:r>
        <w:t xml:space="preserve">: </w:t>
      </w:r>
      <w:proofErr w:type="spellStart"/>
      <w:r w:rsidR="00B354C7" w:rsidRPr="0007454F">
        <w:t>ATO</w:t>
      </w:r>
      <w:proofErr w:type="spellEnd"/>
      <w:r w:rsidR="00B354C7" w:rsidRPr="0007454F">
        <w:t xml:space="preserve"> (2011</w:t>
      </w:r>
      <w:r w:rsidR="00B354C7">
        <w:t xml:space="preserve">); </w:t>
      </w:r>
      <w:r w:rsidR="00B354C7" w:rsidRPr="006052E5">
        <w:rPr>
          <w:i/>
        </w:rPr>
        <w:t xml:space="preserve">Superannuation Guarantee </w:t>
      </w:r>
      <w:r w:rsidR="00B354C7">
        <w:rPr>
          <w:i/>
        </w:rPr>
        <w:t xml:space="preserve">(Administration) </w:t>
      </w:r>
      <w:r w:rsidR="00B354C7" w:rsidRPr="006052E5">
        <w:rPr>
          <w:i/>
        </w:rPr>
        <w:t>Act 19</w:t>
      </w:r>
      <w:r w:rsidR="00B354C7">
        <w:rPr>
          <w:i/>
        </w:rPr>
        <w:t>92</w:t>
      </w:r>
      <w:r w:rsidR="00F96295">
        <w:rPr>
          <w:i/>
        </w:rPr>
        <w:t>.</w:t>
      </w:r>
    </w:p>
    <w:p w:rsidR="006052E5" w:rsidRDefault="00294B4B" w:rsidP="00D1070C">
      <w:pPr>
        <w:pStyle w:val="BodyText"/>
      </w:pPr>
      <w:r>
        <w:t>T</w:t>
      </w:r>
      <w:r w:rsidR="00FE06ED">
        <w:t xml:space="preserve">he explanatory notes to the surveys </w:t>
      </w:r>
      <w:r>
        <w:t xml:space="preserve">also indicate that the </w:t>
      </w:r>
      <w:r w:rsidR="00FE06ED">
        <w:t xml:space="preserve">inclusion of </w:t>
      </w:r>
      <w:r w:rsidR="0097604F">
        <w:t xml:space="preserve">‘in kind’ wages </w:t>
      </w:r>
      <w:r>
        <w:t>has changed over time</w:t>
      </w:r>
      <w:r w:rsidR="00FE06ED">
        <w:t xml:space="preserve">. However, no data appear to be available to enable an adjustment for this. </w:t>
      </w:r>
    </w:p>
    <w:p w:rsidR="00EE5896" w:rsidRDefault="00EE5896" w:rsidP="00EE5896">
      <w:pPr>
        <w:pStyle w:val="Heading3"/>
      </w:pPr>
      <w:r>
        <w:t>Value added</w:t>
      </w:r>
    </w:p>
    <w:p w:rsidR="00EE5896" w:rsidRDefault="001B0499" w:rsidP="00EE5896">
      <w:pPr>
        <w:pStyle w:val="BodyText"/>
      </w:pPr>
      <w:r>
        <w:t xml:space="preserve">The definition of value added reported in the </w:t>
      </w:r>
      <w:r w:rsidR="00B57F4B">
        <w:t xml:space="preserve">ABS </w:t>
      </w:r>
      <w:r>
        <w:t xml:space="preserve">industry surveys varies from that used by ABS </w:t>
      </w:r>
      <w:r w:rsidR="002E6911">
        <w:t>National Accounts</w:t>
      </w:r>
      <w:r>
        <w:t xml:space="preserve"> and changes over time.</w:t>
      </w:r>
    </w:p>
    <w:p w:rsidR="00156FDC" w:rsidRDefault="00EB5421" w:rsidP="00EE5896">
      <w:pPr>
        <w:pStyle w:val="BodyText"/>
      </w:pPr>
      <w:r>
        <w:t>From 1997</w:t>
      </w:r>
      <w:r w:rsidR="00FF62BB">
        <w:noBreakHyphen/>
      </w:r>
      <w:r>
        <w:t xml:space="preserve">98 to </w:t>
      </w:r>
      <w:r w:rsidR="00EE142A">
        <w:t>2010</w:t>
      </w:r>
      <w:r w:rsidR="00FF62BB">
        <w:noBreakHyphen/>
      </w:r>
      <w:r w:rsidR="00EE142A">
        <w:t>11</w:t>
      </w:r>
      <w:r>
        <w:t xml:space="preserve"> a measure of value added (broadly in line with that used by ABS </w:t>
      </w:r>
      <w:r w:rsidR="002E6911">
        <w:t>National Accounts</w:t>
      </w:r>
      <w:r>
        <w:t>) was published in Cat. no</w:t>
      </w:r>
      <w:r w:rsidR="007F4294">
        <w:t>s</w:t>
      </w:r>
      <w:r>
        <w:t xml:space="preserve"> 8221.0</w:t>
      </w:r>
      <w:r w:rsidR="007F4294">
        <w:t xml:space="preserve"> and </w:t>
      </w:r>
      <w:r>
        <w:t xml:space="preserve">8155.0. Prior to </w:t>
      </w:r>
      <w:r>
        <w:lastRenderedPageBreak/>
        <w:t>1997</w:t>
      </w:r>
      <w:r w:rsidR="006F4C34">
        <w:noBreakHyphen/>
      </w:r>
      <w:r>
        <w:t>98</w:t>
      </w:r>
      <w:r w:rsidR="0058148E">
        <w:t>,</w:t>
      </w:r>
      <w:r>
        <w:t xml:space="preserve"> value added (as measured in this way) </w:t>
      </w:r>
      <w:r w:rsidR="001E57DD">
        <w:t xml:space="preserve">was not available. </w:t>
      </w:r>
      <w:r w:rsidR="00E740C5">
        <w:t>From 1996</w:t>
      </w:r>
      <w:r w:rsidR="00FF62BB">
        <w:noBreakHyphen/>
      </w:r>
      <w:r w:rsidR="00E740C5">
        <w:t xml:space="preserve">97 back to </w:t>
      </w:r>
      <w:r w:rsidR="005733DF">
        <w:t>198</w:t>
      </w:r>
      <w:r w:rsidR="00F70196">
        <w:t>9</w:t>
      </w:r>
      <w:r w:rsidR="00FF62BB">
        <w:noBreakHyphen/>
      </w:r>
      <w:r w:rsidR="00F70196">
        <w:t>90</w:t>
      </w:r>
      <w:r w:rsidR="00E740C5">
        <w:t>, v</w:t>
      </w:r>
      <w:r w:rsidR="001E57DD">
        <w:t>alue added was imputed based on related data, as follows:</w:t>
      </w:r>
    </w:p>
    <w:p w:rsidR="00BB31C4" w:rsidRPr="00B650C5" w:rsidRDefault="005568F7" w:rsidP="00BB31C4">
      <w:pPr>
        <w:pStyle w:val="ListBullet"/>
      </w:pPr>
      <w:r>
        <w:t xml:space="preserve">Turnover was reported </w:t>
      </w:r>
      <w:r w:rsidR="00BD16DC">
        <w:t xml:space="preserve">in Cat. no. 8221.0 </w:t>
      </w:r>
      <w:r>
        <w:t xml:space="preserve">from </w:t>
      </w:r>
      <w:r w:rsidR="005733DF">
        <w:t>1989</w:t>
      </w:r>
      <w:r w:rsidR="00FF62BB">
        <w:noBreakHyphen/>
      </w:r>
      <w:r w:rsidR="005733DF">
        <w:t xml:space="preserve">90 </w:t>
      </w:r>
      <w:r w:rsidR="00BB31C4">
        <w:t xml:space="preserve">to </w:t>
      </w:r>
      <w:r w:rsidR="005733DF">
        <w:t>1997</w:t>
      </w:r>
      <w:r w:rsidR="00FF62BB">
        <w:noBreakHyphen/>
      </w:r>
      <w:r w:rsidR="005733DF">
        <w:t>98</w:t>
      </w:r>
      <w:r w:rsidR="00BB31C4">
        <w:t>.</w:t>
      </w:r>
      <w:r w:rsidR="00BB31C4" w:rsidRPr="00BB31C4">
        <w:t xml:space="preserve"> </w:t>
      </w:r>
      <w:r w:rsidR="00BB31C4">
        <w:t xml:space="preserve">The turnover growth rate was applied to </w:t>
      </w:r>
      <w:r w:rsidR="005733DF">
        <w:t>1997</w:t>
      </w:r>
      <w:r w:rsidR="00FF62BB">
        <w:noBreakHyphen/>
      </w:r>
      <w:r w:rsidR="005733DF">
        <w:t xml:space="preserve">98 </w:t>
      </w:r>
      <w:r w:rsidR="00BB31C4">
        <w:t xml:space="preserve">estimate of </w:t>
      </w:r>
      <w:r w:rsidR="007F7FC8">
        <w:t>value added</w:t>
      </w:r>
      <w:r w:rsidR="00BB31C4">
        <w:t xml:space="preserve"> to </w:t>
      </w:r>
      <w:proofErr w:type="spellStart"/>
      <w:r w:rsidR="00BB31C4">
        <w:t>backcast</w:t>
      </w:r>
      <w:proofErr w:type="spellEnd"/>
      <w:r w:rsidR="00BB31C4">
        <w:t xml:space="preserve"> </w:t>
      </w:r>
      <w:r w:rsidR="007F7FC8">
        <w:t>value added</w:t>
      </w:r>
      <w:r w:rsidR="00BB31C4">
        <w:t xml:space="preserve"> to </w:t>
      </w:r>
      <w:r w:rsidR="005733DF">
        <w:t>1989</w:t>
      </w:r>
      <w:r w:rsidR="00FF62BB">
        <w:noBreakHyphen/>
      </w:r>
      <w:r w:rsidR="005733DF">
        <w:t>90</w:t>
      </w:r>
      <w:r w:rsidR="00BB31C4">
        <w:t>.</w:t>
      </w:r>
      <w:r w:rsidR="00CE4490">
        <w:rPr>
          <w:rStyle w:val="FootnoteReference"/>
        </w:rPr>
        <w:footnoteReference w:id="15"/>
      </w:r>
    </w:p>
    <w:p w:rsidR="00E740C5" w:rsidRDefault="00E740C5" w:rsidP="00E740C5">
      <w:pPr>
        <w:pStyle w:val="BodyText"/>
      </w:pPr>
      <w:r>
        <w:t xml:space="preserve">Data prior to </w:t>
      </w:r>
      <w:r w:rsidR="00F70196">
        <w:t>1989</w:t>
      </w:r>
      <w:r w:rsidR="00FF62BB">
        <w:noBreakHyphen/>
      </w:r>
      <w:r w:rsidR="00F70196">
        <w:t>90</w:t>
      </w:r>
      <w:r>
        <w:t xml:space="preserve"> was </w:t>
      </w:r>
      <w:r w:rsidR="001A48EE">
        <w:t xml:space="preserve">either not reported for </w:t>
      </w:r>
      <w:r w:rsidR="007F7FC8">
        <w:t>value added</w:t>
      </w:r>
      <w:r w:rsidR="001A48EE">
        <w:t xml:space="preserve"> or reported for a different definition of </w:t>
      </w:r>
      <w:r w:rsidR="007F7FC8">
        <w:t>value added</w:t>
      </w:r>
      <w:r w:rsidR="001A48EE">
        <w:t>.</w:t>
      </w:r>
      <w:r>
        <w:t xml:space="preserve"> </w:t>
      </w:r>
    </w:p>
    <w:p w:rsidR="001A48EE" w:rsidRDefault="001A48EE" w:rsidP="001A48EE">
      <w:pPr>
        <w:pStyle w:val="ListBullet"/>
      </w:pPr>
      <w:r>
        <w:t>For 1984</w:t>
      </w:r>
      <w:r w:rsidR="00FF62BB">
        <w:noBreakHyphen/>
      </w:r>
      <w:r>
        <w:t>85 and 1986</w:t>
      </w:r>
      <w:r w:rsidR="00FF62BB">
        <w:noBreakHyphen/>
      </w:r>
      <w:r>
        <w:t>87 ABS published ‘</w:t>
      </w:r>
      <w:r w:rsidR="0058148E">
        <w:t>a</w:t>
      </w:r>
      <w:r>
        <w:t>dju</w:t>
      </w:r>
      <w:r w:rsidR="0058148E">
        <w:t>sted value added’. A number of intermediate expenses</w:t>
      </w:r>
      <w:r w:rsidR="008170B1">
        <w:t>,</w:t>
      </w:r>
      <w:r w:rsidR="0058148E">
        <w:t xml:space="preserve"> including </w:t>
      </w:r>
      <w:r>
        <w:t>land tax and payroll tax</w:t>
      </w:r>
      <w:r w:rsidR="008170B1">
        <w:t>,</w:t>
      </w:r>
      <w:r w:rsidR="0058148E">
        <w:t xml:space="preserve"> were deducted </w:t>
      </w:r>
      <w:r w:rsidR="008170B1">
        <w:t xml:space="preserve">by the ABS </w:t>
      </w:r>
      <w:r w:rsidR="0058148E">
        <w:t>in estimating this measure</w:t>
      </w:r>
      <w:r>
        <w:t xml:space="preserve">. </w:t>
      </w:r>
      <w:r w:rsidR="0058148E">
        <w:t>For consistency of the time series being used in this paper, l</w:t>
      </w:r>
      <w:r>
        <w:t xml:space="preserve">and tax and payroll tax </w:t>
      </w:r>
      <w:r w:rsidR="0058148E">
        <w:t xml:space="preserve">(for which data were also separately available) </w:t>
      </w:r>
      <w:r>
        <w:t>were added back to ‘adjusted value added’</w:t>
      </w:r>
      <w:r w:rsidR="002C6610">
        <w:t>. This provided a</w:t>
      </w:r>
      <w:r>
        <w:t xml:space="preserve"> measure closer to the </w:t>
      </w:r>
      <w:r w:rsidR="002E6911">
        <w:t>National Accounts</w:t>
      </w:r>
      <w:r>
        <w:t xml:space="preserve"> definition of value added. </w:t>
      </w:r>
    </w:p>
    <w:p w:rsidR="001A48EE" w:rsidRDefault="001A48EE" w:rsidP="001A48EE">
      <w:pPr>
        <w:pStyle w:val="ListBullet"/>
      </w:pPr>
      <w:r>
        <w:t>For 1987</w:t>
      </w:r>
      <w:r w:rsidR="00FF62BB">
        <w:noBreakHyphen/>
      </w:r>
      <w:r>
        <w:t>88 and 1988</w:t>
      </w:r>
      <w:r w:rsidR="00FF62BB">
        <w:noBreakHyphen/>
      </w:r>
      <w:r>
        <w:t xml:space="preserve">89 no value added measure was published. Growth in turnover was </w:t>
      </w:r>
      <w:r w:rsidR="0024234B">
        <w:t>applied to adjusted value added for 1986</w:t>
      </w:r>
      <w:r w:rsidR="00FF62BB">
        <w:noBreakHyphen/>
      </w:r>
      <w:r w:rsidR="0024234B">
        <w:t xml:space="preserve">87 </w:t>
      </w:r>
      <w:r>
        <w:t xml:space="preserve">to </w:t>
      </w:r>
      <w:r w:rsidR="00580D59">
        <w:t>impute</w:t>
      </w:r>
      <w:r>
        <w:t xml:space="preserve"> </w:t>
      </w:r>
      <w:r w:rsidR="0024234B">
        <w:t>a</w:t>
      </w:r>
      <w:r>
        <w:t xml:space="preserve">djusted value added for </w:t>
      </w:r>
      <w:r w:rsidR="00C67A75">
        <w:t>1987</w:t>
      </w:r>
      <w:r w:rsidR="00FF62BB">
        <w:noBreakHyphen/>
      </w:r>
      <w:r w:rsidR="00C67A75">
        <w:t>88 and 1988</w:t>
      </w:r>
      <w:r w:rsidR="00FF62BB">
        <w:noBreakHyphen/>
      </w:r>
      <w:r w:rsidR="00C67A75">
        <w:t>89</w:t>
      </w:r>
      <w:r>
        <w:t>.</w:t>
      </w:r>
    </w:p>
    <w:p w:rsidR="002D31F7" w:rsidRDefault="002D31F7" w:rsidP="002D31F7">
      <w:pPr>
        <w:pStyle w:val="BodyText"/>
      </w:pPr>
      <w:r>
        <w:t xml:space="preserve">An additional difference in the definition of </w:t>
      </w:r>
      <w:r w:rsidR="007F7FC8">
        <w:t>value added</w:t>
      </w:r>
      <w:r>
        <w:t xml:space="preserve"> for Petroleum </w:t>
      </w:r>
      <w:r w:rsidR="00064C93">
        <w:t>refining</w:t>
      </w:r>
      <w:r>
        <w:t xml:space="preserve"> prior to 1989</w:t>
      </w:r>
      <w:r w:rsidR="00FF62BB">
        <w:noBreakHyphen/>
      </w:r>
      <w:r>
        <w:t xml:space="preserve">90 is also noted by the </w:t>
      </w:r>
      <w:r w:rsidRPr="0007454F">
        <w:t>ABS</w:t>
      </w:r>
      <w:r w:rsidR="00C50FA4" w:rsidRPr="0007454F">
        <w:t xml:space="preserve"> (1993</w:t>
      </w:r>
      <w:r w:rsidR="00B57F4B" w:rsidRPr="0007454F">
        <w:t>,</w:t>
      </w:r>
      <w:r w:rsidR="00C50FA4" w:rsidRPr="0007454F">
        <w:t xml:space="preserve"> p</w:t>
      </w:r>
      <w:r w:rsidR="00C50FA4">
        <w:t>. 74)</w:t>
      </w:r>
      <w:r>
        <w:t xml:space="preserve">. </w:t>
      </w:r>
    </w:p>
    <w:p w:rsidR="002D31F7" w:rsidRDefault="002D31F7" w:rsidP="002D31F7">
      <w:pPr>
        <w:pStyle w:val="Quote"/>
      </w:pPr>
      <w:r>
        <w:t>Prior to this census, most commodities produced in the petroleum refining industry (</w:t>
      </w:r>
      <w:proofErr w:type="spellStart"/>
      <w:r>
        <w:t>ASIC</w:t>
      </w:r>
      <w:proofErr w:type="spellEnd"/>
      <w:r>
        <w:t xml:space="preserve"> Class 2770) were manufactured on commission for non-manufacturing businesses from materials owned and supplied by those businesses. In these cases, manufacturing turnover reflected only the value of commission earned by the manufacturing establishments involved (not the gross value of the commodities produced). Due to a change in accounting practices, a number of businesses have changed to reporting gross value of production. This change has significantly affected the comparability of turnover and value added statistics between 1989</w:t>
      </w:r>
      <w:r w:rsidR="00FF62BB">
        <w:noBreakHyphen/>
      </w:r>
      <w:r>
        <w:t>90 and previous years for Industry Subdivision 27.</w:t>
      </w:r>
    </w:p>
    <w:p w:rsidR="00897719" w:rsidRPr="00897719" w:rsidRDefault="00897719" w:rsidP="00897719">
      <w:pPr>
        <w:pStyle w:val="BodyText"/>
      </w:pPr>
      <w:r>
        <w:t xml:space="preserve">In the absence of an overlapping year of data for the two definitions of </w:t>
      </w:r>
      <w:r w:rsidR="007F7FC8">
        <w:t>value added</w:t>
      </w:r>
      <w:r>
        <w:t xml:space="preserve">, </w:t>
      </w:r>
      <w:r w:rsidR="007F7FC8">
        <w:t>value added</w:t>
      </w:r>
      <w:r>
        <w:t xml:space="preserve"> for 1988</w:t>
      </w:r>
      <w:r w:rsidR="00FF62BB">
        <w:noBreakHyphen/>
      </w:r>
      <w:r>
        <w:t xml:space="preserve">89 </w:t>
      </w:r>
      <w:r w:rsidR="00580D59">
        <w:t xml:space="preserve">was </w:t>
      </w:r>
      <w:r>
        <w:t xml:space="preserve">derived by assuming that the ratio of labour income to </w:t>
      </w:r>
      <w:r w:rsidR="007F7FC8">
        <w:t>value added</w:t>
      </w:r>
      <w:r>
        <w:t xml:space="preserve"> </w:t>
      </w:r>
      <w:r w:rsidR="00580D59">
        <w:t xml:space="preserve">was </w:t>
      </w:r>
      <w:r>
        <w:t>the same in 1988</w:t>
      </w:r>
      <w:r w:rsidR="00FF62BB">
        <w:noBreakHyphen/>
      </w:r>
      <w:r>
        <w:t>89 as in 1989</w:t>
      </w:r>
      <w:r w:rsidR="00FF62BB">
        <w:noBreakHyphen/>
      </w:r>
      <w:r>
        <w:t xml:space="preserve">90. </w:t>
      </w:r>
      <w:r w:rsidR="007F7FC8">
        <w:t>Value added</w:t>
      </w:r>
      <w:r>
        <w:t xml:space="preserve"> for 1984</w:t>
      </w:r>
      <w:r w:rsidR="00FF62BB">
        <w:noBreakHyphen/>
      </w:r>
      <w:r>
        <w:t>85 to 1987</w:t>
      </w:r>
      <w:r w:rsidR="00FF62BB">
        <w:noBreakHyphen/>
      </w:r>
      <w:r>
        <w:t xml:space="preserve">88 </w:t>
      </w:r>
      <w:r w:rsidR="00580D59">
        <w:t xml:space="preserve">was </w:t>
      </w:r>
      <w:r w:rsidR="00D811A8">
        <w:t xml:space="preserve">then </w:t>
      </w:r>
      <w:proofErr w:type="spellStart"/>
      <w:r>
        <w:t>backcast</w:t>
      </w:r>
      <w:proofErr w:type="spellEnd"/>
      <w:r>
        <w:t xml:space="preserve"> using the growth rate in the unadjusted </w:t>
      </w:r>
      <w:r w:rsidR="007F7FC8">
        <w:t>value added</w:t>
      </w:r>
      <w:r w:rsidR="001504CB">
        <w:t xml:space="preserve"> </w:t>
      </w:r>
      <w:r>
        <w:t>series</w:t>
      </w:r>
      <w:r w:rsidR="001504CB">
        <w:t xml:space="preserve"> as derived using the method applied to all other subsectors</w:t>
      </w:r>
      <w:r>
        <w:t>.</w:t>
      </w:r>
    </w:p>
    <w:p w:rsidR="006E249D" w:rsidRDefault="006E249D" w:rsidP="006E249D">
      <w:pPr>
        <w:pStyle w:val="Heading3"/>
      </w:pPr>
      <w:r>
        <w:lastRenderedPageBreak/>
        <w:t>Other breaks in series</w:t>
      </w:r>
    </w:p>
    <w:p w:rsidR="006E249D" w:rsidRDefault="006E249D" w:rsidP="006E249D">
      <w:pPr>
        <w:pStyle w:val="BodyText"/>
      </w:pPr>
      <w:r>
        <w:t>In addition to the various changes outlined above, there are some other breaks in series that affect both variables. These breaks</w:t>
      </w:r>
      <w:r w:rsidR="005B005E">
        <w:t>,</w:t>
      </w:r>
      <w:r>
        <w:t xml:space="preserve"> </w:t>
      </w:r>
      <w:r w:rsidR="005B005E">
        <w:t>and whether it was possible to adjust for them, is discussed below.</w:t>
      </w:r>
    </w:p>
    <w:p w:rsidR="006E249D" w:rsidRDefault="006E249D" w:rsidP="006E249D">
      <w:pPr>
        <w:pStyle w:val="Heading4"/>
      </w:pPr>
      <w:r>
        <w:t>Industry classification</w:t>
      </w:r>
    </w:p>
    <w:p w:rsidR="006E249D" w:rsidRDefault="006E249D" w:rsidP="006E249D">
      <w:pPr>
        <w:pStyle w:val="BodyText"/>
      </w:pPr>
      <w:r>
        <w:t xml:space="preserve">The data compiled </w:t>
      </w:r>
      <w:r w:rsidR="00580D59">
        <w:t xml:space="preserve">were </w:t>
      </w:r>
      <w:r>
        <w:t xml:space="preserve">in </w:t>
      </w:r>
      <w:proofErr w:type="spellStart"/>
      <w:r>
        <w:t>ASIC</w:t>
      </w:r>
      <w:proofErr w:type="spellEnd"/>
      <w:r>
        <w:t xml:space="preserve"> from 1984</w:t>
      </w:r>
      <w:r w:rsidR="00FF62BB">
        <w:noBreakHyphen/>
      </w:r>
      <w:r>
        <w:t>85 to 1988</w:t>
      </w:r>
      <w:r w:rsidR="00FF62BB">
        <w:noBreakHyphen/>
      </w:r>
      <w:r>
        <w:t xml:space="preserve">89, </w:t>
      </w:r>
      <w:proofErr w:type="spellStart"/>
      <w:r>
        <w:t>ANZSIC93</w:t>
      </w:r>
      <w:proofErr w:type="spellEnd"/>
      <w:r>
        <w:t xml:space="preserve"> from 1989</w:t>
      </w:r>
      <w:r w:rsidR="00976981">
        <w:noBreakHyphen/>
      </w:r>
      <w:r>
        <w:t>90 to 2003</w:t>
      </w:r>
      <w:r w:rsidR="00FF62BB">
        <w:noBreakHyphen/>
      </w:r>
      <w:r>
        <w:t xml:space="preserve">04, </w:t>
      </w:r>
      <w:proofErr w:type="spellStart"/>
      <w:r>
        <w:t>ANZSIC06</w:t>
      </w:r>
      <w:proofErr w:type="spellEnd"/>
      <w:r>
        <w:t xml:space="preserve"> from 2004</w:t>
      </w:r>
      <w:r w:rsidR="00FF62BB">
        <w:noBreakHyphen/>
      </w:r>
      <w:r>
        <w:t>05 to 2009</w:t>
      </w:r>
      <w:r w:rsidR="00FF62BB">
        <w:noBreakHyphen/>
      </w:r>
      <w:r>
        <w:t>10.</w:t>
      </w:r>
      <w:r w:rsidR="00B57F4B">
        <w:rPr>
          <w:rStyle w:val="FootnoteReference"/>
        </w:rPr>
        <w:footnoteReference w:id="16"/>
      </w:r>
      <w:r>
        <w:t xml:space="preserve"> Data </w:t>
      </w:r>
      <w:r w:rsidR="00580D59">
        <w:t xml:space="preserve">were </w:t>
      </w:r>
      <w:r>
        <w:t>available for 1989</w:t>
      </w:r>
      <w:r w:rsidR="00FF62BB">
        <w:noBreakHyphen/>
      </w:r>
      <w:r>
        <w:t xml:space="preserve">90 in </w:t>
      </w:r>
      <w:proofErr w:type="spellStart"/>
      <w:r>
        <w:t>ASIC</w:t>
      </w:r>
      <w:proofErr w:type="spellEnd"/>
      <w:r>
        <w:t xml:space="preserve"> and </w:t>
      </w:r>
      <w:proofErr w:type="spellStart"/>
      <w:r>
        <w:t>ANZSIC93</w:t>
      </w:r>
      <w:proofErr w:type="spellEnd"/>
      <w:r>
        <w:t xml:space="preserve"> and for 2004</w:t>
      </w:r>
      <w:r w:rsidR="00FF62BB">
        <w:noBreakHyphen/>
      </w:r>
      <w:r>
        <w:t xml:space="preserve">05 in </w:t>
      </w:r>
      <w:proofErr w:type="spellStart"/>
      <w:r>
        <w:t>ANZSIC93</w:t>
      </w:r>
      <w:proofErr w:type="spellEnd"/>
      <w:r>
        <w:t xml:space="preserve"> and </w:t>
      </w:r>
      <w:proofErr w:type="spellStart"/>
      <w:r>
        <w:t>ANZSIC06</w:t>
      </w:r>
      <w:proofErr w:type="spellEnd"/>
      <w:r>
        <w:t xml:space="preserve">. </w:t>
      </w:r>
    </w:p>
    <w:p w:rsidR="006E249D" w:rsidRDefault="006E249D" w:rsidP="006E249D">
      <w:pPr>
        <w:pStyle w:val="BodyText"/>
      </w:pPr>
      <w:r>
        <w:t xml:space="preserve">For each subsector, the closest corresponding subsector on the previous classification was identified. For each subsector (and total </w:t>
      </w:r>
      <w:r w:rsidR="002E6911">
        <w:t>Manufacturing</w:t>
      </w:r>
      <w:r>
        <w:t>) the ratio of the data under each classification for 1989</w:t>
      </w:r>
      <w:r w:rsidR="00FF62BB">
        <w:noBreakHyphen/>
      </w:r>
      <w:r>
        <w:t>90 and 2004</w:t>
      </w:r>
      <w:r w:rsidR="00FF62BB">
        <w:noBreakHyphen/>
      </w:r>
      <w:r>
        <w:t xml:space="preserve">05 was used to crudely ‘concord’ the data into the new classification. </w:t>
      </w:r>
      <w:r w:rsidR="00220257">
        <w:t xml:space="preserve">(This process was applied twice to convert the </w:t>
      </w:r>
      <w:proofErr w:type="spellStart"/>
      <w:r w:rsidR="00220257">
        <w:t>ASIC</w:t>
      </w:r>
      <w:proofErr w:type="spellEnd"/>
      <w:r w:rsidR="00220257">
        <w:t xml:space="preserve"> data into </w:t>
      </w:r>
      <w:proofErr w:type="spellStart"/>
      <w:r w:rsidR="00220257">
        <w:t>ANZSIC06</w:t>
      </w:r>
      <w:proofErr w:type="spellEnd"/>
      <w:r w:rsidR="00220257">
        <w:t>). These ratios were calculated for labour income and for value added</w:t>
      </w:r>
      <w:r w:rsidR="009605DD">
        <w:t xml:space="preserve"> (table</w:t>
      </w:r>
      <w:r w:rsidR="00DB24F0">
        <w:t xml:space="preserve"> </w:t>
      </w:r>
      <w:proofErr w:type="spellStart"/>
      <w:r w:rsidR="00D86322">
        <w:t>A.8</w:t>
      </w:r>
      <w:proofErr w:type="spellEnd"/>
      <w:r w:rsidR="009605DD">
        <w:t>)</w:t>
      </w:r>
      <w:r w:rsidR="00220257">
        <w:t xml:space="preserve">. </w:t>
      </w:r>
    </w:p>
    <w:p w:rsidR="004C235B" w:rsidRDefault="004C235B" w:rsidP="006E249D">
      <w:pPr>
        <w:pStyle w:val="BodyText"/>
      </w:pPr>
      <w:r>
        <w:t xml:space="preserve">It is acknowledged that this approach </w:t>
      </w:r>
      <w:r w:rsidR="002F0F55">
        <w:t xml:space="preserve">based on a single year of ‘overlapping’ data </w:t>
      </w:r>
      <w:r>
        <w:t>may yield less accurate results the further back in time it is applied (to the extent that the composition of the subsector has changed over time).</w:t>
      </w:r>
    </w:p>
    <w:p w:rsidR="00805EC1" w:rsidRDefault="00805EC1" w:rsidP="00805EC1">
      <w:pPr>
        <w:pStyle w:val="BodyText"/>
      </w:pPr>
      <w:r>
        <w:t xml:space="preserve">One way of assessing the </w:t>
      </w:r>
      <w:r w:rsidR="00580D59">
        <w:t xml:space="preserve">likely accuracy of the </w:t>
      </w:r>
      <w:proofErr w:type="spellStart"/>
      <w:r w:rsidR="00580D59">
        <w:t>backcast</w:t>
      </w:r>
      <w:proofErr w:type="spellEnd"/>
      <w:r w:rsidR="00580D59">
        <w:t xml:space="preserve"> series derived </w:t>
      </w:r>
      <w:r>
        <w:t xml:space="preserve">using these factors is to look at the change in the composition of the subsectors (at the class level) over time. This was done for the </w:t>
      </w:r>
      <w:r w:rsidR="00580D59">
        <w:t>sub</w:t>
      </w:r>
      <w:r>
        <w:t xml:space="preserve">sectors with the adjustment factors that </w:t>
      </w:r>
      <w:r w:rsidR="00580D59">
        <w:t>deviated most</w:t>
      </w:r>
      <w:r>
        <w:t xml:space="preserve"> from one (Printing</w:t>
      </w:r>
      <w:r w:rsidR="00986FA1">
        <w:t xml:space="preserve"> and recorded media</w:t>
      </w:r>
      <w:r>
        <w:t>, and T</w:t>
      </w:r>
      <w:r w:rsidR="00986FA1">
        <w:t xml:space="preserve">extile, clothing </w:t>
      </w:r>
      <w:r w:rsidR="00F43EED">
        <w:t>and</w:t>
      </w:r>
      <w:r>
        <w:t xml:space="preserve"> other manufacturing). In both cases, the classes within the </w:t>
      </w:r>
      <w:proofErr w:type="spellStart"/>
      <w:r>
        <w:t>ANZSIC93</w:t>
      </w:r>
      <w:proofErr w:type="spellEnd"/>
      <w:r>
        <w:t xml:space="preserve"> subdivision that mapped most closely to the corresponding </w:t>
      </w:r>
      <w:proofErr w:type="spellStart"/>
      <w:r>
        <w:t>ANZSIC06</w:t>
      </w:r>
      <w:proofErr w:type="spellEnd"/>
      <w:r>
        <w:t xml:space="preserve"> subsector were a fairly stable share (in aggregate) of the </w:t>
      </w:r>
      <w:proofErr w:type="spellStart"/>
      <w:r>
        <w:t>ANZSIC93</w:t>
      </w:r>
      <w:proofErr w:type="spellEnd"/>
      <w:r>
        <w:t xml:space="preserve"> subdivision total over time. </w:t>
      </w:r>
    </w:p>
    <w:p w:rsidR="003E732A" w:rsidRDefault="003E732A">
      <w:pPr>
        <w:pStyle w:val="TableTitle"/>
      </w:pPr>
      <w:r>
        <w:rPr>
          <w:b w:val="0"/>
        </w:rPr>
        <w:lastRenderedPageBreak/>
        <w:t xml:space="preserve">Table </w:t>
      </w:r>
      <w:bookmarkStart w:id="26" w:name="OLE_LINK7"/>
      <w:proofErr w:type="spellStart"/>
      <w:r w:rsidR="006A4091">
        <w:rPr>
          <w:b w:val="0"/>
        </w:rPr>
        <w:t>A.</w:t>
      </w:r>
      <w:r w:rsidR="001459D9">
        <w:rPr>
          <w:b w:val="0"/>
          <w:noProof/>
        </w:rPr>
        <w:t>8</w:t>
      </w:r>
      <w:bookmarkEnd w:id="26"/>
      <w:proofErr w:type="spellEnd"/>
      <w:r>
        <w:tab/>
      </w:r>
      <w:r w:rsidR="000814A0">
        <w:t xml:space="preserve">Conversion factors: </w:t>
      </w:r>
      <w:proofErr w:type="spellStart"/>
      <w:r w:rsidR="000814A0">
        <w:t>ASIC</w:t>
      </w:r>
      <w:proofErr w:type="spellEnd"/>
      <w:r w:rsidR="000814A0">
        <w:t>/</w:t>
      </w:r>
      <w:proofErr w:type="spellStart"/>
      <w:r>
        <w:t>ANZSIC93</w:t>
      </w:r>
      <w:proofErr w:type="spellEnd"/>
      <w:r>
        <w:t xml:space="preserve"> and </w:t>
      </w:r>
      <w:proofErr w:type="spellStart"/>
      <w:r>
        <w:t>ANZSIC93</w:t>
      </w:r>
      <w:proofErr w:type="spellEnd"/>
      <w:r w:rsidR="000814A0">
        <w:t>/06</w:t>
      </w:r>
    </w:p>
    <w:tbl>
      <w:tblPr>
        <w:tblW w:w="5000" w:type="pct"/>
        <w:tblCellMar>
          <w:left w:w="0" w:type="dxa"/>
          <w:right w:w="0" w:type="dxa"/>
        </w:tblCellMar>
        <w:tblLook w:val="0000" w:firstRow="0" w:lastRow="0" w:firstColumn="0" w:lastColumn="0" w:noHBand="0" w:noVBand="0"/>
      </w:tblPr>
      <w:tblGrid>
        <w:gridCol w:w="6078"/>
        <w:gridCol w:w="1453"/>
        <w:gridCol w:w="1258"/>
      </w:tblGrid>
      <w:tr w:rsidR="003E732A" w:rsidTr="00BB42F5">
        <w:tc>
          <w:tcPr>
            <w:tcW w:w="3468" w:type="pct"/>
            <w:tcBorders>
              <w:top w:val="single" w:sz="6" w:space="0" w:color="auto"/>
              <w:bottom w:val="single" w:sz="6" w:space="0" w:color="auto"/>
            </w:tcBorders>
            <w:shd w:val="clear" w:color="auto" w:fill="auto"/>
            <w:vAlign w:val="bottom"/>
          </w:tcPr>
          <w:p w:rsidR="003E732A" w:rsidRDefault="00434837" w:rsidP="00BF1DD5">
            <w:pPr>
              <w:pStyle w:val="TableColumnHeading"/>
              <w:jc w:val="left"/>
            </w:pPr>
            <w:r>
              <w:t>Subdivision</w:t>
            </w:r>
            <w:r w:rsidR="009539D8">
              <w:rPr>
                <w:rStyle w:val="NoteLabel"/>
                <w:i w:val="0"/>
              </w:rPr>
              <w:t>b</w:t>
            </w:r>
          </w:p>
        </w:tc>
        <w:tc>
          <w:tcPr>
            <w:tcW w:w="806" w:type="pct"/>
            <w:tcBorders>
              <w:top w:val="single" w:sz="6" w:space="0" w:color="auto"/>
              <w:bottom w:val="single" w:sz="6" w:space="0" w:color="auto"/>
            </w:tcBorders>
            <w:shd w:val="clear" w:color="auto" w:fill="auto"/>
            <w:vAlign w:val="bottom"/>
          </w:tcPr>
          <w:p w:rsidR="003E732A" w:rsidRDefault="003E732A" w:rsidP="00BF1DD5">
            <w:pPr>
              <w:pStyle w:val="TableColumnHeading"/>
            </w:pPr>
            <w:r>
              <w:t>Turnover/</w:t>
            </w:r>
            <w:r w:rsidR="007F7FC8">
              <w:t>value added</w:t>
            </w:r>
            <w:r>
              <w:t xml:space="preserve"> factor</w:t>
            </w:r>
            <w:r w:rsidR="00D15819" w:rsidRPr="00D15819">
              <w:rPr>
                <w:rStyle w:val="NoteLabel"/>
                <w:i w:val="0"/>
              </w:rPr>
              <w:t>a</w:t>
            </w:r>
          </w:p>
        </w:tc>
        <w:tc>
          <w:tcPr>
            <w:tcW w:w="726" w:type="pct"/>
            <w:tcBorders>
              <w:top w:val="single" w:sz="6" w:space="0" w:color="auto"/>
              <w:bottom w:val="single" w:sz="6" w:space="0" w:color="auto"/>
            </w:tcBorders>
            <w:shd w:val="clear" w:color="auto" w:fill="auto"/>
            <w:vAlign w:val="bottom"/>
          </w:tcPr>
          <w:p w:rsidR="003E732A" w:rsidRDefault="003E732A" w:rsidP="00BF1DD5">
            <w:pPr>
              <w:pStyle w:val="TableColumnHeading"/>
              <w:ind w:right="28"/>
            </w:pPr>
            <w:r>
              <w:t xml:space="preserve">Labour costs </w:t>
            </w:r>
            <w:r w:rsidR="004F2CEB">
              <w:br/>
            </w:r>
            <w:r>
              <w:t>factor</w:t>
            </w:r>
          </w:p>
        </w:tc>
      </w:tr>
      <w:tr w:rsidR="003E732A" w:rsidTr="000814A0">
        <w:tc>
          <w:tcPr>
            <w:tcW w:w="3468" w:type="pct"/>
            <w:tcBorders>
              <w:top w:val="single" w:sz="6" w:space="0" w:color="auto"/>
            </w:tcBorders>
          </w:tcPr>
          <w:p w:rsidR="003E732A" w:rsidRPr="003E732A" w:rsidRDefault="003E732A" w:rsidP="003E732A">
            <w:pPr>
              <w:pStyle w:val="TableUnitsRow"/>
              <w:jc w:val="left"/>
              <w:rPr>
                <w:i/>
              </w:rPr>
            </w:pPr>
            <w:proofErr w:type="spellStart"/>
            <w:r w:rsidRPr="003E732A">
              <w:rPr>
                <w:i/>
              </w:rPr>
              <w:t>ASIC</w:t>
            </w:r>
            <w:proofErr w:type="spellEnd"/>
            <w:r w:rsidRPr="003E732A">
              <w:rPr>
                <w:i/>
              </w:rPr>
              <w:t xml:space="preserve"> to </w:t>
            </w:r>
            <w:proofErr w:type="spellStart"/>
            <w:r w:rsidRPr="003E732A">
              <w:rPr>
                <w:i/>
              </w:rPr>
              <w:t>ANZSIC93</w:t>
            </w:r>
            <w:proofErr w:type="spellEnd"/>
            <w:r>
              <w:rPr>
                <w:i/>
              </w:rPr>
              <w:t xml:space="preserve"> (1989</w:t>
            </w:r>
            <w:r w:rsidR="00FF62BB">
              <w:rPr>
                <w:i/>
              </w:rPr>
              <w:noBreakHyphen/>
            </w:r>
            <w:r>
              <w:rPr>
                <w:i/>
              </w:rPr>
              <w:t>90)</w:t>
            </w:r>
          </w:p>
        </w:tc>
        <w:tc>
          <w:tcPr>
            <w:tcW w:w="806" w:type="pct"/>
            <w:tcBorders>
              <w:top w:val="single" w:sz="6" w:space="0" w:color="auto"/>
            </w:tcBorders>
          </w:tcPr>
          <w:p w:rsidR="003E732A" w:rsidRPr="00D15819" w:rsidRDefault="003E732A" w:rsidP="000814A0">
            <w:pPr>
              <w:pStyle w:val="TableUnitsRow"/>
              <w:ind w:right="0"/>
              <w:rPr>
                <w:i/>
              </w:rPr>
            </w:pPr>
            <w:r w:rsidRPr="00D15819">
              <w:rPr>
                <w:i/>
              </w:rPr>
              <w:t>Turnover</w:t>
            </w:r>
            <w:r w:rsidR="0049241B">
              <w:rPr>
                <w:i/>
              </w:rPr>
              <w:t xml:space="preserve"> factor</w:t>
            </w:r>
            <w:r w:rsidR="00BD73CE">
              <w:rPr>
                <w:i/>
              </w:rPr>
              <w:t xml:space="preserve"> </w:t>
            </w:r>
          </w:p>
        </w:tc>
        <w:tc>
          <w:tcPr>
            <w:tcW w:w="726" w:type="pct"/>
            <w:tcBorders>
              <w:top w:val="single" w:sz="6" w:space="0" w:color="auto"/>
            </w:tcBorders>
          </w:tcPr>
          <w:p w:rsidR="003E732A" w:rsidRDefault="003E732A" w:rsidP="003E732A">
            <w:pPr>
              <w:pStyle w:val="TableUnitsRow"/>
              <w:ind w:right="28"/>
            </w:pPr>
          </w:p>
        </w:tc>
      </w:tr>
      <w:tr w:rsidR="003E732A" w:rsidTr="006E3C66">
        <w:tc>
          <w:tcPr>
            <w:tcW w:w="3468" w:type="pct"/>
            <w:shd w:val="clear" w:color="auto" w:fill="D9D9D9" w:themeFill="background1" w:themeFillShade="D9"/>
            <w:vAlign w:val="bottom"/>
          </w:tcPr>
          <w:p w:rsidR="003E732A" w:rsidRDefault="006C760B" w:rsidP="00195F10">
            <w:pPr>
              <w:pStyle w:val="TableBodyText"/>
              <w:jc w:val="left"/>
            </w:pPr>
            <w:proofErr w:type="spellStart"/>
            <w:r>
              <w:t>ASIC</w:t>
            </w:r>
            <w:proofErr w:type="spellEnd"/>
            <w:r>
              <w:t xml:space="preserve"> 21 </w:t>
            </w:r>
            <w:r w:rsidR="00045243">
              <w:t>F</w:t>
            </w:r>
            <w:r w:rsidR="00195F10">
              <w:t>ood, beverage &amp; tobacco</w:t>
            </w:r>
            <w:r w:rsidR="00045243">
              <w:t xml:space="preserve"> to </w:t>
            </w:r>
            <w:r w:rsidR="001763C2">
              <w:br/>
            </w:r>
            <w:proofErr w:type="spellStart"/>
            <w:r>
              <w:t>ANZSIC93</w:t>
            </w:r>
            <w:proofErr w:type="spellEnd"/>
            <w:r>
              <w:t xml:space="preserve"> 21 </w:t>
            </w:r>
            <w:r w:rsidR="00195F10">
              <w:t>Food, beverage &amp; tobacco</w:t>
            </w:r>
          </w:p>
        </w:tc>
        <w:tc>
          <w:tcPr>
            <w:tcW w:w="806" w:type="pct"/>
            <w:shd w:val="clear" w:color="auto" w:fill="D9D9D9" w:themeFill="background1" w:themeFillShade="D9"/>
          </w:tcPr>
          <w:p w:rsidR="003E732A" w:rsidRDefault="003E732A" w:rsidP="003E732A">
            <w:pPr>
              <w:pStyle w:val="TableBodyText"/>
            </w:pPr>
            <w:r>
              <w:t>1.01</w:t>
            </w:r>
          </w:p>
        </w:tc>
        <w:tc>
          <w:tcPr>
            <w:tcW w:w="726" w:type="pct"/>
            <w:shd w:val="clear" w:color="auto" w:fill="D9D9D9" w:themeFill="background1" w:themeFillShade="D9"/>
          </w:tcPr>
          <w:p w:rsidR="003E732A" w:rsidRDefault="003E732A" w:rsidP="003E732A">
            <w:pPr>
              <w:pStyle w:val="TableBodyText"/>
              <w:ind w:right="28"/>
            </w:pPr>
            <w:r>
              <w:t>1.00</w:t>
            </w:r>
          </w:p>
        </w:tc>
      </w:tr>
      <w:tr w:rsidR="003E732A" w:rsidTr="000814A0">
        <w:tc>
          <w:tcPr>
            <w:tcW w:w="3468" w:type="pct"/>
            <w:shd w:val="clear" w:color="auto" w:fill="auto"/>
            <w:vAlign w:val="bottom"/>
          </w:tcPr>
          <w:p w:rsidR="003E732A" w:rsidRDefault="006C760B" w:rsidP="00426419">
            <w:pPr>
              <w:pStyle w:val="TableBodyText"/>
              <w:jc w:val="left"/>
            </w:pPr>
            <w:proofErr w:type="spellStart"/>
            <w:r>
              <w:t>ASIC</w:t>
            </w:r>
            <w:proofErr w:type="spellEnd"/>
            <w:r>
              <w:t xml:space="preserve"> 23+24 </w:t>
            </w:r>
            <w:r w:rsidR="003E732A">
              <w:t>T</w:t>
            </w:r>
            <w:r w:rsidR="00426419">
              <w:t>extiles</w:t>
            </w:r>
            <w:r>
              <w:t>,</w:t>
            </w:r>
            <w:r w:rsidR="00426419">
              <w:t xml:space="preserve"> </w:t>
            </w:r>
            <w:r w:rsidR="003E732A">
              <w:t>C</w:t>
            </w:r>
            <w:r w:rsidR="00426419">
              <w:t xml:space="preserve">lothing </w:t>
            </w:r>
            <w:r>
              <w:t>&amp;</w:t>
            </w:r>
            <w:r w:rsidR="00426419">
              <w:t xml:space="preserve"> footwear</w:t>
            </w:r>
            <w:r>
              <w:t xml:space="preserve"> to </w:t>
            </w:r>
            <w:r w:rsidR="001763C2">
              <w:br/>
            </w:r>
            <w:proofErr w:type="spellStart"/>
            <w:r>
              <w:t>ANZSIC93</w:t>
            </w:r>
            <w:proofErr w:type="spellEnd"/>
            <w:r>
              <w:t xml:space="preserve"> 22 T</w:t>
            </w:r>
            <w:r w:rsidR="00426419">
              <w:t xml:space="preserve">extiles, clothing, footwear &amp; leather </w:t>
            </w:r>
            <w:proofErr w:type="spellStart"/>
            <w:r w:rsidR="00426419">
              <w:t>mfg</w:t>
            </w:r>
            <w:proofErr w:type="spellEnd"/>
          </w:p>
        </w:tc>
        <w:tc>
          <w:tcPr>
            <w:tcW w:w="806" w:type="pct"/>
            <w:shd w:val="clear" w:color="auto" w:fill="auto"/>
          </w:tcPr>
          <w:p w:rsidR="003E732A" w:rsidRDefault="003E732A" w:rsidP="003E732A">
            <w:pPr>
              <w:pStyle w:val="TableBodyText"/>
            </w:pPr>
            <w:r>
              <w:t>1.07</w:t>
            </w:r>
          </w:p>
        </w:tc>
        <w:tc>
          <w:tcPr>
            <w:tcW w:w="726" w:type="pct"/>
            <w:shd w:val="clear" w:color="auto" w:fill="auto"/>
          </w:tcPr>
          <w:p w:rsidR="003E732A" w:rsidRDefault="003E732A" w:rsidP="003E732A">
            <w:pPr>
              <w:pStyle w:val="TableBodyText"/>
              <w:ind w:right="28"/>
            </w:pPr>
            <w:r>
              <w:t>1.06</w:t>
            </w:r>
          </w:p>
        </w:tc>
      </w:tr>
      <w:tr w:rsidR="003E732A" w:rsidTr="006E3C66">
        <w:tc>
          <w:tcPr>
            <w:tcW w:w="3468" w:type="pct"/>
            <w:shd w:val="clear" w:color="auto" w:fill="D9D9D9" w:themeFill="background1" w:themeFillShade="D9"/>
            <w:vAlign w:val="bottom"/>
          </w:tcPr>
          <w:p w:rsidR="003E732A" w:rsidRDefault="006C760B" w:rsidP="006C760B">
            <w:pPr>
              <w:pStyle w:val="TableBodyText"/>
              <w:jc w:val="left"/>
            </w:pPr>
            <w:proofErr w:type="spellStart"/>
            <w:r>
              <w:t>ASIC</w:t>
            </w:r>
            <w:proofErr w:type="spellEnd"/>
            <w:r>
              <w:t xml:space="preserve"> 25 Wood</w:t>
            </w:r>
            <w:r w:rsidR="00426419">
              <w:t>, wood products &amp; furniture</w:t>
            </w:r>
            <w:r>
              <w:t xml:space="preserve"> to </w:t>
            </w:r>
            <w:r w:rsidR="001763C2">
              <w:br/>
            </w:r>
            <w:proofErr w:type="spellStart"/>
            <w:r>
              <w:t>ANZSIC93</w:t>
            </w:r>
            <w:proofErr w:type="spellEnd"/>
            <w:r>
              <w:t xml:space="preserve"> 23 Wood &amp; paper</w:t>
            </w:r>
            <w:r w:rsidR="00426419">
              <w:t xml:space="preserve"> product </w:t>
            </w:r>
            <w:proofErr w:type="spellStart"/>
            <w:r w:rsidR="00426419">
              <w:t>mfg</w:t>
            </w:r>
            <w:proofErr w:type="spellEnd"/>
          </w:p>
        </w:tc>
        <w:tc>
          <w:tcPr>
            <w:tcW w:w="806" w:type="pct"/>
            <w:shd w:val="clear" w:color="auto" w:fill="D9D9D9" w:themeFill="background1" w:themeFillShade="D9"/>
          </w:tcPr>
          <w:p w:rsidR="003E732A" w:rsidRDefault="003E732A" w:rsidP="003E732A">
            <w:pPr>
              <w:pStyle w:val="TableBodyText"/>
            </w:pPr>
            <w:r>
              <w:t>1.15</w:t>
            </w:r>
          </w:p>
        </w:tc>
        <w:tc>
          <w:tcPr>
            <w:tcW w:w="726" w:type="pct"/>
            <w:shd w:val="clear" w:color="auto" w:fill="D9D9D9" w:themeFill="background1" w:themeFillShade="D9"/>
          </w:tcPr>
          <w:p w:rsidR="003E732A" w:rsidRDefault="003E732A" w:rsidP="003E732A">
            <w:pPr>
              <w:pStyle w:val="TableBodyText"/>
              <w:ind w:right="28"/>
            </w:pPr>
            <w:r>
              <w:t>0.95</w:t>
            </w:r>
          </w:p>
        </w:tc>
      </w:tr>
      <w:tr w:rsidR="003E732A" w:rsidTr="000814A0">
        <w:tc>
          <w:tcPr>
            <w:tcW w:w="3468" w:type="pct"/>
            <w:shd w:val="clear" w:color="auto" w:fill="auto"/>
            <w:vAlign w:val="bottom"/>
          </w:tcPr>
          <w:p w:rsidR="003E732A" w:rsidRDefault="006C760B" w:rsidP="00426419">
            <w:pPr>
              <w:pStyle w:val="TableBodyText"/>
              <w:jc w:val="left"/>
            </w:pPr>
            <w:proofErr w:type="spellStart"/>
            <w:r>
              <w:t>ASIC</w:t>
            </w:r>
            <w:proofErr w:type="spellEnd"/>
            <w:r>
              <w:t xml:space="preserve"> 26 Paper, </w:t>
            </w:r>
            <w:r w:rsidR="00426419">
              <w:t>p</w:t>
            </w:r>
            <w:r>
              <w:t xml:space="preserve">rinting &amp; </w:t>
            </w:r>
            <w:r w:rsidR="00064C93">
              <w:t>p</w:t>
            </w:r>
            <w:r>
              <w:t xml:space="preserve">ublishing to </w:t>
            </w:r>
            <w:r w:rsidR="001763C2">
              <w:br/>
            </w:r>
            <w:proofErr w:type="spellStart"/>
            <w:r>
              <w:t>ANZSIC93</w:t>
            </w:r>
            <w:proofErr w:type="spellEnd"/>
            <w:r>
              <w:t xml:space="preserve"> 24 </w:t>
            </w:r>
            <w:r w:rsidR="003E732A">
              <w:t>Printing</w:t>
            </w:r>
            <w:r w:rsidR="00426419">
              <w:t xml:space="preserve">, </w:t>
            </w:r>
            <w:r w:rsidR="00064C93">
              <w:t>p</w:t>
            </w:r>
            <w:r>
              <w:t>ublishing</w:t>
            </w:r>
            <w:r w:rsidR="00426419">
              <w:t xml:space="preserve"> &amp; recorded media</w:t>
            </w:r>
          </w:p>
        </w:tc>
        <w:tc>
          <w:tcPr>
            <w:tcW w:w="806" w:type="pct"/>
            <w:shd w:val="clear" w:color="auto" w:fill="auto"/>
          </w:tcPr>
          <w:p w:rsidR="003E732A" w:rsidRPr="004250E7" w:rsidRDefault="003E732A" w:rsidP="003E732A">
            <w:pPr>
              <w:pStyle w:val="TableBodyText"/>
              <w:rPr>
                <w:b/>
              </w:rPr>
            </w:pPr>
            <w:r w:rsidRPr="004250E7">
              <w:rPr>
                <w:b/>
              </w:rPr>
              <w:t>0.76</w:t>
            </w:r>
          </w:p>
        </w:tc>
        <w:tc>
          <w:tcPr>
            <w:tcW w:w="726" w:type="pct"/>
            <w:shd w:val="clear" w:color="auto" w:fill="auto"/>
          </w:tcPr>
          <w:p w:rsidR="003E732A" w:rsidRPr="004250E7" w:rsidRDefault="003E732A" w:rsidP="003E732A">
            <w:pPr>
              <w:pStyle w:val="TableBodyText"/>
              <w:ind w:right="28"/>
              <w:rPr>
                <w:b/>
              </w:rPr>
            </w:pPr>
            <w:r w:rsidRPr="004250E7">
              <w:rPr>
                <w:b/>
              </w:rPr>
              <w:t>0.81</w:t>
            </w:r>
          </w:p>
        </w:tc>
      </w:tr>
      <w:tr w:rsidR="003E732A" w:rsidTr="006E3C66">
        <w:tc>
          <w:tcPr>
            <w:tcW w:w="3468" w:type="pct"/>
            <w:shd w:val="clear" w:color="auto" w:fill="D9D9D9" w:themeFill="background1" w:themeFillShade="D9"/>
            <w:vAlign w:val="bottom"/>
          </w:tcPr>
          <w:p w:rsidR="003E732A" w:rsidRDefault="006C760B" w:rsidP="00426419">
            <w:pPr>
              <w:pStyle w:val="TableBodyText"/>
              <w:jc w:val="left"/>
            </w:pPr>
            <w:proofErr w:type="spellStart"/>
            <w:r>
              <w:t>ASIC</w:t>
            </w:r>
            <w:proofErr w:type="spellEnd"/>
            <w:r>
              <w:t xml:space="preserve"> 27 Chemical</w:t>
            </w:r>
            <w:r w:rsidR="00426419">
              <w:t>, petroleum &amp; coal products</w:t>
            </w:r>
            <w:r>
              <w:t xml:space="preserve"> to </w:t>
            </w:r>
            <w:r w:rsidR="001763C2">
              <w:br/>
            </w:r>
            <w:proofErr w:type="spellStart"/>
            <w:r>
              <w:t>ANZSIC</w:t>
            </w:r>
            <w:proofErr w:type="spellEnd"/>
            <w:r>
              <w:t xml:space="preserve"> 25 </w:t>
            </w:r>
            <w:r w:rsidR="003E732A">
              <w:t>Petrol</w:t>
            </w:r>
            <w:r w:rsidR="00426419">
              <w:t xml:space="preserve">eum, coal, chemical &amp; </w:t>
            </w:r>
            <w:proofErr w:type="spellStart"/>
            <w:r w:rsidR="00426419">
              <w:t>assoc’d</w:t>
            </w:r>
            <w:proofErr w:type="spellEnd"/>
            <w:r w:rsidR="00426419">
              <w:t xml:space="preserve"> product </w:t>
            </w:r>
            <w:proofErr w:type="spellStart"/>
            <w:r w:rsidR="00426419">
              <w:t>mfg</w:t>
            </w:r>
            <w:proofErr w:type="spellEnd"/>
          </w:p>
        </w:tc>
        <w:tc>
          <w:tcPr>
            <w:tcW w:w="806" w:type="pct"/>
            <w:shd w:val="clear" w:color="auto" w:fill="D9D9D9" w:themeFill="background1" w:themeFillShade="D9"/>
          </w:tcPr>
          <w:p w:rsidR="003E732A" w:rsidRPr="004250E7" w:rsidRDefault="003E732A" w:rsidP="003E732A">
            <w:pPr>
              <w:pStyle w:val="TableBodyText"/>
              <w:rPr>
                <w:b/>
              </w:rPr>
            </w:pPr>
            <w:r w:rsidRPr="004250E7">
              <w:rPr>
                <w:b/>
              </w:rPr>
              <w:t>1.29</w:t>
            </w:r>
          </w:p>
        </w:tc>
        <w:tc>
          <w:tcPr>
            <w:tcW w:w="726" w:type="pct"/>
            <w:shd w:val="clear" w:color="auto" w:fill="D9D9D9" w:themeFill="background1" w:themeFillShade="D9"/>
          </w:tcPr>
          <w:p w:rsidR="003E732A" w:rsidRPr="004250E7" w:rsidRDefault="003E732A" w:rsidP="003E732A">
            <w:pPr>
              <w:pStyle w:val="TableBodyText"/>
              <w:ind w:right="28"/>
              <w:rPr>
                <w:b/>
              </w:rPr>
            </w:pPr>
            <w:r w:rsidRPr="004250E7">
              <w:rPr>
                <w:b/>
              </w:rPr>
              <w:t>1.66</w:t>
            </w:r>
          </w:p>
        </w:tc>
      </w:tr>
      <w:tr w:rsidR="003E732A" w:rsidTr="000814A0">
        <w:tc>
          <w:tcPr>
            <w:tcW w:w="3468" w:type="pct"/>
            <w:shd w:val="clear" w:color="auto" w:fill="auto"/>
            <w:vAlign w:val="bottom"/>
          </w:tcPr>
          <w:p w:rsidR="003E732A" w:rsidRDefault="006C760B" w:rsidP="003E732A">
            <w:pPr>
              <w:pStyle w:val="TableBodyText"/>
              <w:jc w:val="left"/>
            </w:pPr>
            <w:proofErr w:type="spellStart"/>
            <w:r>
              <w:t>ASIC</w:t>
            </w:r>
            <w:proofErr w:type="spellEnd"/>
            <w:r>
              <w:t xml:space="preserve"> 28 </w:t>
            </w:r>
            <w:r w:rsidR="003E732A">
              <w:t>Non-metal</w:t>
            </w:r>
            <w:r w:rsidR="00426419">
              <w:t>lic mineral products</w:t>
            </w:r>
            <w:r>
              <w:t xml:space="preserve"> to </w:t>
            </w:r>
            <w:r w:rsidR="001763C2">
              <w:br/>
            </w:r>
            <w:proofErr w:type="spellStart"/>
            <w:r>
              <w:t>ANZSIC93</w:t>
            </w:r>
            <w:proofErr w:type="spellEnd"/>
            <w:r>
              <w:t xml:space="preserve"> 26 Non-metal</w:t>
            </w:r>
            <w:r w:rsidR="00195F10">
              <w:t xml:space="preserve">lic mineral product </w:t>
            </w:r>
            <w:proofErr w:type="spellStart"/>
            <w:r w:rsidR="00195F10">
              <w:t>mfg</w:t>
            </w:r>
            <w:proofErr w:type="spellEnd"/>
          </w:p>
        </w:tc>
        <w:tc>
          <w:tcPr>
            <w:tcW w:w="806" w:type="pct"/>
            <w:shd w:val="clear" w:color="auto" w:fill="auto"/>
          </w:tcPr>
          <w:p w:rsidR="003E732A" w:rsidRDefault="003E732A" w:rsidP="003E732A">
            <w:pPr>
              <w:pStyle w:val="TableBodyText"/>
            </w:pPr>
            <w:r>
              <w:t>1.03</w:t>
            </w:r>
          </w:p>
        </w:tc>
        <w:tc>
          <w:tcPr>
            <w:tcW w:w="726" w:type="pct"/>
            <w:shd w:val="clear" w:color="auto" w:fill="auto"/>
          </w:tcPr>
          <w:p w:rsidR="003E732A" w:rsidRDefault="003E732A" w:rsidP="003E732A">
            <w:pPr>
              <w:pStyle w:val="TableBodyText"/>
              <w:ind w:right="28"/>
            </w:pPr>
            <w:r>
              <w:t>1.03</w:t>
            </w:r>
          </w:p>
        </w:tc>
      </w:tr>
      <w:tr w:rsidR="003E732A" w:rsidTr="006E3C66">
        <w:tc>
          <w:tcPr>
            <w:tcW w:w="3468" w:type="pct"/>
            <w:shd w:val="clear" w:color="auto" w:fill="D9D9D9" w:themeFill="background1" w:themeFillShade="D9"/>
            <w:vAlign w:val="bottom"/>
          </w:tcPr>
          <w:p w:rsidR="003E732A" w:rsidRDefault="006C760B" w:rsidP="00426419">
            <w:pPr>
              <w:pStyle w:val="TableBodyText"/>
              <w:jc w:val="left"/>
            </w:pPr>
            <w:proofErr w:type="spellStart"/>
            <w:r>
              <w:t>ASIC</w:t>
            </w:r>
            <w:proofErr w:type="spellEnd"/>
            <w:r>
              <w:t xml:space="preserve"> 29+31 Basic</w:t>
            </w:r>
            <w:r w:rsidR="00426419">
              <w:t xml:space="preserve"> metal products</w:t>
            </w:r>
            <w:r>
              <w:t xml:space="preserve">, Fabricated </w:t>
            </w:r>
            <w:r w:rsidR="00426419">
              <w:t>m</w:t>
            </w:r>
            <w:r w:rsidR="003E732A">
              <w:t>etal</w:t>
            </w:r>
            <w:r w:rsidR="00426419">
              <w:t xml:space="preserve"> products</w:t>
            </w:r>
            <w:r>
              <w:t xml:space="preserve"> to </w:t>
            </w:r>
            <w:proofErr w:type="spellStart"/>
            <w:r>
              <w:t>ANZSIC93</w:t>
            </w:r>
            <w:proofErr w:type="spellEnd"/>
            <w:r>
              <w:t xml:space="preserve"> 27 Metal</w:t>
            </w:r>
            <w:r w:rsidR="00195F10">
              <w:t xml:space="preserve"> product </w:t>
            </w:r>
            <w:proofErr w:type="spellStart"/>
            <w:r w:rsidR="00195F10">
              <w:t>mfg</w:t>
            </w:r>
            <w:proofErr w:type="spellEnd"/>
          </w:p>
        </w:tc>
        <w:tc>
          <w:tcPr>
            <w:tcW w:w="806" w:type="pct"/>
            <w:shd w:val="clear" w:color="auto" w:fill="D9D9D9" w:themeFill="background1" w:themeFillShade="D9"/>
          </w:tcPr>
          <w:p w:rsidR="003E732A" w:rsidRDefault="003E732A" w:rsidP="003E732A">
            <w:pPr>
              <w:pStyle w:val="TableBodyText"/>
            </w:pPr>
            <w:r>
              <w:t>0.99</w:t>
            </w:r>
          </w:p>
        </w:tc>
        <w:tc>
          <w:tcPr>
            <w:tcW w:w="726" w:type="pct"/>
            <w:shd w:val="clear" w:color="auto" w:fill="D9D9D9" w:themeFill="background1" w:themeFillShade="D9"/>
          </w:tcPr>
          <w:p w:rsidR="003E732A" w:rsidRDefault="003E732A" w:rsidP="003E732A">
            <w:pPr>
              <w:pStyle w:val="TableBodyText"/>
              <w:ind w:right="28"/>
            </w:pPr>
            <w:r>
              <w:t>0.99</w:t>
            </w:r>
          </w:p>
        </w:tc>
      </w:tr>
      <w:tr w:rsidR="003E732A" w:rsidTr="000814A0">
        <w:tc>
          <w:tcPr>
            <w:tcW w:w="3468" w:type="pct"/>
            <w:shd w:val="clear" w:color="auto" w:fill="auto"/>
            <w:vAlign w:val="bottom"/>
          </w:tcPr>
          <w:p w:rsidR="003E732A" w:rsidRDefault="006C760B" w:rsidP="00195F10">
            <w:pPr>
              <w:pStyle w:val="TableBodyText"/>
              <w:ind w:right="0"/>
              <w:jc w:val="left"/>
            </w:pPr>
            <w:proofErr w:type="spellStart"/>
            <w:r>
              <w:t>ASIC</w:t>
            </w:r>
            <w:proofErr w:type="spellEnd"/>
            <w:r>
              <w:t xml:space="preserve"> 32+33 Transport equip, Other </w:t>
            </w:r>
            <w:r w:rsidR="00195F10">
              <w:t xml:space="preserve">machinery </w:t>
            </w:r>
            <w:r w:rsidR="003E732A">
              <w:t>&amp;</w:t>
            </w:r>
            <w:r w:rsidR="00195F10">
              <w:t xml:space="preserve"> equipment</w:t>
            </w:r>
            <w:r>
              <w:t xml:space="preserve"> to </w:t>
            </w:r>
            <w:proofErr w:type="spellStart"/>
            <w:r>
              <w:t>ANZSIC93</w:t>
            </w:r>
            <w:proofErr w:type="spellEnd"/>
            <w:r>
              <w:t xml:space="preserve"> 28 </w:t>
            </w:r>
            <w:r w:rsidR="00195F10">
              <w:t xml:space="preserve">Machinery &amp; equipment </w:t>
            </w:r>
            <w:proofErr w:type="spellStart"/>
            <w:r w:rsidR="00195F10">
              <w:t>mfg</w:t>
            </w:r>
            <w:proofErr w:type="spellEnd"/>
          </w:p>
        </w:tc>
        <w:tc>
          <w:tcPr>
            <w:tcW w:w="806" w:type="pct"/>
            <w:shd w:val="clear" w:color="auto" w:fill="auto"/>
          </w:tcPr>
          <w:p w:rsidR="003E732A" w:rsidRDefault="00925C11" w:rsidP="003E732A">
            <w:pPr>
              <w:pStyle w:val="TableBodyText"/>
            </w:pPr>
            <w:r>
              <w:t>1.01</w:t>
            </w:r>
          </w:p>
        </w:tc>
        <w:tc>
          <w:tcPr>
            <w:tcW w:w="726" w:type="pct"/>
            <w:shd w:val="clear" w:color="auto" w:fill="auto"/>
          </w:tcPr>
          <w:p w:rsidR="003E732A" w:rsidRDefault="00925C11" w:rsidP="003E732A">
            <w:pPr>
              <w:pStyle w:val="TableBodyText"/>
              <w:ind w:right="28"/>
            </w:pPr>
            <w:r>
              <w:t>1.01</w:t>
            </w:r>
          </w:p>
        </w:tc>
      </w:tr>
      <w:tr w:rsidR="003E732A" w:rsidTr="006E3C66">
        <w:tc>
          <w:tcPr>
            <w:tcW w:w="3468" w:type="pct"/>
            <w:shd w:val="clear" w:color="auto" w:fill="D9D9D9" w:themeFill="background1" w:themeFillShade="D9"/>
            <w:vAlign w:val="bottom"/>
          </w:tcPr>
          <w:p w:rsidR="003E732A" w:rsidRDefault="00140BDC" w:rsidP="006716CB">
            <w:pPr>
              <w:pStyle w:val="TableBodyText"/>
              <w:jc w:val="left"/>
            </w:pPr>
            <w:proofErr w:type="spellStart"/>
            <w:r>
              <w:t>ASIC</w:t>
            </w:r>
            <w:proofErr w:type="spellEnd"/>
            <w:r>
              <w:t xml:space="preserve"> 34 </w:t>
            </w:r>
            <w:proofErr w:type="spellStart"/>
            <w:r>
              <w:t>Misc</w:t>
            </w:r>
            <w:proofErr w:type="spellEnd"/>
            <w:r>
              <w:t xml:space="preserve"> </w:t>
            </w:r>
            <w:proofErr w:type="spellStart"/>
            <w:r>
              <w:t>mfg</w:t>
            </w:r>
            <w:proofErr w:type="spellEnd"/>
            <w:r>
              <w:t xml:space="preserve"> to </w:t>
            </w:r>
            <w:proofErr w:type="spellStart"/>
            <w:r>
              <w:t>ANZSIC93</w:t>
            </w:r>
            <w:proofErr w:type="spellEnd"/>
            <w:r>
              <w:t xml:space="preserve"> 29 Other </w:t>
            </w:r>
            <w:proofErr w:type="spellStart"/>
            <w:r>
              <w:t>mfg</w:t>
            </w:r>
            <w:proofErr w:type="spellEnd"/>
          </w:p>
        </w:tc>
        <w:tc>
          <w:tcPr>
            <w:tcW w:w="806" w:type="pct"/>
            <w:shd w:val="clear" w:color="auto" w:fill="D9D9D9" w:themeFill="background1" w:themeFillShade="D9"/>
          </w:tcPr>
          <w:p w:rsidR="003E732A" w:rsidRPr="004250E7" w:rsidRDefault="00925C11" w:rsidP="003E732A">
            <w:pPr>
              <w:pStyle w:val="TableBodyText"/>
              <w:rPr>
                <w:b/>
              </w:rPr>
            </w:pPr>
            <w:r w:rsidRPr="004250E7">
              <w:rPr>
                <w:b/>
              </w:rPr>
              <w:t>0.69</w:t>
            </w:r>
          </w:p>
        </w:tc>
        <w:tc>
          <w:tcPr>
            <w:tcW w:w="726" w:type="pct"/>
            <w:shd w:val="clear" w:color="auto" w:fill="D9D9D9" w:themeFill="background1" w:themeFillShade="D9"/>
          </w:tcPr>
          <w:p w:rsidR="003E732A" w:rsidRPr="004250E7" w:rsidRDefault="00925C11" w:rsidP="003E732A">
            <w:pPr>
              <w:pStyle w:val="TableBodyText"/>
              <w:ind w:right="28"/>
              <w:rPr>
                <w:b/>
              </w:rPr>
            </w:pPr>
            <w:r w:rsidRPr="004250E7">
              <w:rPr>
                <w:b/>
              </w:rPr>
              <w:t>0.83</w:t>
            </w:r>
          </w:p>
        </w:tc>
      </w:tr>
      <w:tr w:rsidR="003E732A" w:rsidTr="000814A0">
        <w:tc>
          <w:tcPr>
            <w:tcW w:w="3468" w:type="pct"/>
            <w:shd w:val="clear" w:color="auto" w:fill="auto"/>
            <w:vAlign w:val="bottom"/>
          </w:tcPr>
          <w:p w:rsidR="003E732A" w:rsidRDefault="00FC3F79" w:rsidP="00FC3F79">
            <w:pPr>
              <w:pStyle w:val="TableBodyText"/>
              <w:jc w:val="left"/>
            </w:pPr>
            <w:r>
              <w:t>Total Manufacturing</w:t>
            </w:r>
          </w:p>
        </w:tc>
        <w:tc>
          <w:tcPr>
            <w:tcW w:w="806" w:type="pct"/>
            <w:shd w:val="clear" w:color="auto" w:fill="auto"/>
          </w:tcPr>
          <w:p w:rsidR="003E732A" w:rsidRDefault="00925C11" w:rsidP="003E732A">
            <w:pPr>
              <w:pStyle w:val="TableBodyText"/>
            </w:pPr>
            <w:r>
              <w:t>1.01</w:t>
            </w:r>
          </w:p>
        </w:tc>
        <w:tc>
          <w:tcPr>
            <w:tcW w:w="726" w:type="pct"/>
            <w:shd w:val="clear" w:color="auto" w:fill="auto"/>
          </w:tcPr>
          <w:p w:rsidR="003E732A" w:rsidRDefault="00925C11" w:rsidP="003E732A">
            <w:pPr>
              <w:pStyle w:val="TableBodyText"/>
              <w:ind w:right="28"/>
            </w:pPr>
            <w:r>
              <w:t>1.02</w:t>
            </w:r>
          </w:p>
        </w:tc>
      </w:tr>
      <w:tr w:rsidR="003E732A" w:rsidTr="00D62A34">
        <w:tc>
          <w:tcPr>
            <w:tcW w:w="3468" w:type="pct"/>
            <w:tcBorders>
              <w:top w:val="dotted" w:sz="4" w:space="0" w:color="auto"/>
            </w:tcBorders>
            <w:shd w:val="clear" w:color="auto" w:fill="auto"/>
            <w:vAlign w:val="bottom"/>
          </w:tcPr>
          <w:p w:rsidR="003E732A" w:rsidRPr="003E732A" w:rsidRDefault="003E732A" w:rsidP="004F2CEB">
            <w:pPr>
              <w:pStyle w:val="TableUnitsRow"/>
              <w:jc w:val="left"/>
              <w:rPr>
                <w:i/>
              </w:rPr>
            </w:pPr>
            <w:proofErr w:type="spellStart"/>
            <w:r w:rsidRPr="003E732A">
              <w:rPr>
                <w:i/>
              </w:rPr>
              <w:t>ANZSIC93</w:t>
            </w:r>
            <w:proofErr w:type="spellEnd"/>
            <w:r>
              <w:rPr>
                <w:i/>
              </w:rPr>
              <w:t xml:space="preserve"> to </w:t>
            </w:r>
            <w:proofErr w:type="spellStart"/>
            <w:r>
              <w:rPr>
                <w:i/>
              </w:rPr>
              <w:t>ANZSIC06</w:t>
            </w:r>
            <w:proofErr w:type="spellEnd"/>
            <w:r>
              <w:rPr>
                <w:i/>
              </w:rPr>
              <w:t xml:space="preserve"> (2004</w:t>
            </w:r>
            <w:r w:rsidR="00FF62BB">
              <w:rPr>
                <w:i/>
              </w:rPr>
              <w:noBreakHyphen/>
            </w:r>
            <w:r>
              <w:rPr>
                <w:i/>
              </w:rPr>
              <w:t>05)</w:t>
            </w:r>
          </w:p>
        </w:tc>
        <w:tc>
          <w:tcPr>
            <w:tcW w:w="806" w:type="pct"/>
            <w:tcBorders>
              <w:top w:val="dotted" w:sz="4" w:space="0" w:color="auto"/>
            </w:tcBorders>
            <w:shd w:val="clear" w:color="auto" w:fill="auto"/>
            <w:vAlign w:val="bottom"/>
          </w:tcPr>
          <w:p w:rsidR="003E732A" w:rsidRPr="00D15819" w:rsidRDefault="007F7FC8" w:rsidP="00BD73CE">
            <w:pPr>
              <w:pStyle w:val="TableBodyText"/>
              <w:ind w:right="142"/>
              <w:rPr>
                <w:i/>
              </w:rPr>
            </w:pPr>
            <w:r>
              <w:rPr>
                <w:i/>
              </w:rPr>
              <w:t>Value added</w:t>
            </w:r>
            <w:r w:rsidR="0049241B">
              <w:rPr>
                <w:i/>
              </w:rPr>
              <w:t xml:space="preserve"> factor</w:t>
            </w:r>
          </w:p>
        </w:tc>
        <w:tc>
          <w:tcPr>
            <w:tcW w:w="726" w:type="pct"/>
            <w:tcBorders>
              <w:top w:val="dotted" w:sz="4" w:space="0" w:color="auto"/>
            </w:tcBorders>
            <w:shd w:val="clear" w:color="auto" w:fill="auto"/>
            <w:vAlign w:val="bottom"/>
          </w:tcPr>
          <w:p w:rsidR="003E732A" w:rsidRDefault="003E732A" w:rsidP="004F2CEB">
            <w:pPr>
              <w:pStyle w:val="TableBodyText"/>
              <w:ind w:right="28"/>
            </w:pPr>
          </w:p>
        </w:tc>
      </w:tr>
      <w:tr w:rsidR="003E732A" w:rsidTr="006E3C66">
        <w:tc>
          <w:tcPr>
            <w:tcW w:w="3468" w:type="pct"/>
            <w:shd w:val="clear" w:color="auto" w:fill="D9D9D9" w:themeFill="background1" w:themeFillShade="D9"/>
            <w:vAlign w:val="bottom"/>
          </w:tcPr>
          <w:p w:rsidR="003E732A" w:rsidRDefault="006C760B" w:rsidP="004F2CEB">
            <w:pPr>
              <w:pStyle w:val="TableBodyText"/>
              <w:jc w:val="left"/>
            </w:pPr>
            <w:proofErr w:type="spellStart"/>
            <w:r>
              <w:t>ANZSIC93</w:t>
            </w:r>
            <w:proofErr w:type="spellEnd"/>
            <w:r>
              <w:t xml:space="preserve"> </w:t>
            </w:r>
            <w:r w:rsidR="00045243">
              <w:t>21 F</w:t>
            </w:r>
            <w:r w:rsidR="00195F10">
              <w:t>ood, beverages &amp; tobacco</w:t>
            </w:r>
            <w:r w:rsidR="00045243">
              <w:t xml:space="preserve"> to </w:t>
            </w:r>
            <w:r w:rsidR="001763C2">
              <w:br/>
            </w:r>
            <w:proofErr w:type="spellStart"/>
            <w:r w:rsidR="00FC3F79">
              <w:t>ANZSIC06</w:t>
            </w:r>
            <w:proofErr w:type="spellEnd"/>
            <w:r w:rsidR="00FC3F79">
              <w:t xml:space="preserve"> </w:t>
            </w:r>
            <w:r w:rsidR="00195F10">
              <w:t xml:space="preserve">11+12 Food product </w:t>
            </w:r>
            <w:proofErr w:type="spellStart"/>
            <w:r w:rsidR="00195F10">
              <w:t>mfg</w:t>
            </w:r>
            <w:proofErr w:type="spellEnd"/>
            <w:r w:rsidR="00195F10">
              <w:t xml:space="preserve">; Beverage &amp; tobacco </w:t>
            </w:r>
            <w:proofErr w:type="spellStart"/>
            <w:r w:rsidR="00195F10">
              <w:t>mfg</w:t>
            </w:r>
            <w:proofErr w:type="spellEnd"/>
          </w:p>
        </w:tc>
        <w:tc>
          <w:tcPr>
            <w:tcW w:w="806" w:type="pct"/>
            <w:shd w:val="clear" w:color="auto" w:fill="D9D9D9" w:themeFill="background1" w:themeFillShade="D9"/>
          </w:tcPr>
          <w:p w:rsidR="003E732A" w:rsidRDefault="003E732A" w:rsidP="003E732A">
            <w:pPr>
              <w:pStyle w:val="TableBodyText"/>
            </w:pPr>
            <w:r>
              <w:t>1.01</w:t>
            </w:r>
          </w:p>
        </w:tc>
        <w:tc>
          <w:tcPr>
            <w:tcW w:w="726" w:type="pct"/>
            <w:shd w:val="clear" w:color="auto" w:fill="D9D9D9" w:themeFill="background1" w:themeFillShade="D9"/>
          </w:tcPr>
          <w:p w:rsidR="003E732A" w:rsidRDefault="003E732A" w:rsidP="003E732A">
            <w:pPr>
              <w:pStyle w:val="TableBodyText"/>
              <w:ind w:right="28"/>
            </w:pPr>
            <w:r>
              <w:t>1.06</w:t>
            </w:r>
          </w:p>
        </w:tc>
      </w:tr>
      <w:tr w:rsidR="003E732A" w:rsidTr="000814A0">
        <w:tc>
          <w:tcPr>
            <w:tcW w:w="3468" w:type="pct"/>
            <w:shd w:val="clear" w:color="auto" w:fill="auto"/>
            <w:vAlign w:val="bottom"/>
          </w:tcPr>
          <w:p w:rsidR="003E732A" w:rsidRDefault="006C760B" w:rsidP="00195F10">
            <w:pPr>
              <w:pStyle w:val="TableBodyText"/>
              <w:ind w:right="0"/>
              <w:jc w:val="left"/>
            </w:pPr>
            <w:proofErr w:type="spellStart"/>
            <w:r>
              <w:t>ANZSIC93</w:t>
            </w:r>
            <w:proofErr w:type="spellEnd"/>
            <w:r>
              <w:t xml:space="preserve"> </w:t>
            </w:r>
            <w:r w:rsidR="00045243">
              <w:t xml:space="preserve">22 </w:t>
            </w:r>
            <w:r w:rsidR="00195F10">
              <w:t xml:space="preserve">Textiles, clothing, footwear &amp; leather </w:t>
            </w:r>
            <w:proofErr w:type="spellStart"/>
            <w:r w:rsidR="00195F10">
              <w:t>mfg</w:t>
            </w:r>
            <w:proofErr w:type="spellEnd"/>
            <w:r w:rsidR="00045243">
              <w:t xml:space="preserve"> to </w:t>
            </w:r>
            <w:proofErr w:type="spellStart"/>
            <w:r w:rsidR="00FC3F79">
              <w:t>ANZSIC06</w:t>
            </w:r>
            <w:proofErr w:type="spellEnd"/>
            <w:r w:rsidR="00FC3F79">
              <w:t xml:space="preserve"> </w:t>
            </w:r>
            <w:r w:rsidR="00195F10">
              <w:t xml:space="preserve">13 Textile, leather, clothing &amp; footwear </w:t>
            </w:r>
            <w:proofErr w:type="spellStart"/>
            <w:r w:rsidR="00195F10">
              <w:t>mfg</w:t>
            </w:r>
            <w:proofErr w:type="spellEnd"/>
          </w:p>
        </w:tc>
        <w:tc>
          <w:tcPr>
            <w:tcW w:w="806" w:type="pct"/>
            <w:shd w:val="clear" w:color="auto" w:fill="auto"/>
          </w:tcPr>
          <w:p w:rsidR="003E732A" w:rsidRDefault="003E732A" w:rsidP="003E732A">
            <w:pPr>
              <w:pStyle w:val="TableBodyText"/>
            </w:pPr>
            <w:r>
              <w:t>0.94</w:t>
            </w:r>
          </w:p>
        </w:tc>
        <w:tc>
          <w:tcPr>
            <w:tcW w:w="726" w:type="pct"/>
            <w:shd w:val="clear" w:color="auto" w:fill="auto"/>
          </w:tcPr>
          <w:p w:rsidR="003E732A" w:rsidRDefault="003E732A" w:rsidP="003E732A">
            <w:pPr>
              <w:pStyle w:val="TableBodyText"/>
              <w:ind w:right="28"/>
            </w:pPr>
            <w:r>
              <w:t>1.01</w:t>
            </w:r>
          </w:p>
        </w:tc>
      </w:tr>
      <w:tr w:rsidR="003E732A" w:rsidTr="006E3C66">
        <w:tc>
          <w:tcPr>
            <w:tcW w:w="3468" w:type="pct"/>
            <w:shd w:val="clear" w:color="auto" w:fill="D9D9D9" w:themeFill="background1" w:themeFillShade="D9"/>
            <w:vAlign w:val="bottom"/>
          </w:tcPr>
          <w:p w:rsidR="003E732A" w:rsidRDefault="006C760B" w:rsidP="004F2CEB">
            <w:pPr>
              <w:pStyle w:val="TableBodyText"/>
              <w:ind w:right="0"/>
              <w:jc w:val="left"/>
            </w:pPr>
            <w:proofErr w:type="spellStart"/>
            <w:r>
              <w:t>ANZSIC93</w:t>
            </w:r>
            <w:proofErr w:type="spellEnd"/>
            <w:r>
              <w:t xml:space="preserve"> </w:t>
            </w:r>
            <w:r w:rsidR="00045243">
              <w:t xml:space="preserve">23 </w:t>
            </w:r>
            <w:r w:rsidR="00195F10">
              <w:t xml:space="preserve">Wood &amp; paper product </w:t>
            </w:r>
            <w:proofErr w:type="spellStart"/>
            <w:r w:rsidR="00195F10">
              <w:t>mfg</w:t>
            </w:r>
            <w:proofErr w:type="spellEnd"/>
            <w:r w:rsidR="00195F10">
              <w:t xml:space="preserve"> </w:t>
            </w:r>
            <w:r w:rsidR="00045243">
              <w:t xml:space="preserve">to </w:t>
            </w:r>
            <w:r w:rsidR="00195F10">
              <w:br/>
            </w:r>
            <w:proofErr w:type="spellStart"/>
            <w:r w:rsidR="00FC3F79">
              <w:t>ANZSIC06</w:t>
            </w:r>
            <w:proofErr w:type="spellEnd"/>
            <w:r w:rsidR="00FC3F79">
              <w:t xml:space="preserve"> </w:t>
            </w:r>
            <w:r w:rsidR="00195F10">
              <w:t xml:space="preserve">14+15 </w:t>
            </w:r>
            <w:r w:rsidR="00045243">
              <w:t xml:space="preserve">Wood </w:t>
            </w:r>
            <w:r w:rsidR="00195F10">
              <w:t>prod</w:t>
            </w:r>
            <w:r w:rsidR="004F2CEB">
              <w:t>.</w:t>
            </w:r>
            <w:r w:rsidR="00195F10">
              <w:t xml:space="preserve"> </w:t>
            </w:r>
            <w:proofErr w:type="spellStart"/>
            <w:r w:rsidR="00195F10">
              <w:t>mfg</w:t>
            </w:r>
            <w:proofErr w:type="spellEnd"/>
            <w:r w:rsidR="00195F10">
              <w:t>; Pulp, paper &amp; conv</w:t>
            </w:r>
            <w:r w:rsidR="004F2CEB">
              <w:t>.</w:t>
            </w:r>
            <w:r w:rsidR="00195F10">
              <w:t xml:space="preserve"> paper </w:t>
            </w:r>
            <w:proofErr w:type="spellStart"/>
            <w:r w:rsidR="00195F10">
              <w:t>mfg</w:t>
            </w:r>
            <w:proofErr w:type="spellEnd"/>
          </w:p>
        </w:tc>
        <w:tc>
          <w:tcPr>
            <w:tcW w:w="806" w:type="pct"/>
            <w:shd w:val="clear" w:color="auto" w:fill="D9D9D9" w:themeFill="background1" w:themeFillShade="D9"/>
          </w:tcPr>
          <w:p w:rsidR="003E732A" w:rsidRDefault="003E732A" w:rsidP="003E732A">
            <w:pPr>
              <w:pStyle w:val="TableBodyText"/>
            </w:pPr>
            <w:r>
              <w:t>1.08</w:t>
            </w:r>
          </w:p>
        </w:tc>
        <w:tc>
          <w:tcPr>
            <w:tcW w:w="726" w:type="pct"/>
            <w:shd w:val="clear" w:color="auto" w:fill="D9D9D9" w:themeFill="background1" w:themeFillShade="D9"/>
          </w:tcPr>
          <w:p w:rsidR="003E732A" w:rsidRDefault="000436C5" w:rsidP="003E732A">
            <w:pPr>
              <w:pStyle w:val="TableBodyText"/>
              <w:ind w:right="28"/>
            </w:pPr>
            <w:r>
              <w:t>1.13</w:t>
            </w:r>
          </w:p>
        </w:tc>
      </w:tr>
      <w:tr w:rsidR="003E732A" w:rsidTr="000814A0">
        <w:tc>
          <w:tcPr>
            <w:tcW w:w="3468" w:type="pct"/>
            <w:shd w:val="clear" w:color="auto" w:fill="auto"/>
            <w:vAlign w:val="bottom"/>
          </w:tcPr>
          <w:p w:rsidR="003E732A" w:rsidRDefault="006C760B" w:rsidP="004F2CEB">
            <w:pPr>
              <w:pStyle w:val="TableBodyText"/>
              <w:jc w:val="left"/>
            </w:pPr>
            <w:proofErr w:type="spellStart"/>
            <w:r>
              <w:t>ANZSIC93</w:t>
            </w:r>
            <w:proofErr w:type="spellEnd"/>
            <w:r>
              <w:t xml:space="preserve"> </w:t>
            </w:r>
            <w:r w:rsidR="00045243">
              <w:t xml:space="preserve">24 </w:t>
            </w:r>
            <w:r w:rsidR="003E732A">
              <w:t>Printing</w:t>
            </w:r>
            <w:r w:rsidR="00045243">
              <w:t xml:space="preserve">, publishing &amp; recorded media to </w:t>
            </w:r>
            <w:r w:rsidR="001763C2">
              <w:br/>
            </w:r>
            <w:proofErr w:type="spellStart"/>
            <w:r w:rsidR="00FC3F79">
              <w:t>ANZSIC06</w:t>
            </w:r>
            <w:proofErr w:type="spellEnd"/>
            <w:r w:rsidR="00FC3F79">
              <w:t xml:space="preserve"> </w:t>
            </w:r>
            <w:r w:rsidR="00195F10">
              <w:t xml:space="preserve">16 </w:t>
            </w:r>
            <w:r w:rsidR="00045243">
              <w:t xml:space="preserve">Printing </w:t>
            </w:r>
            <w:r w:rsidR="00195F10">
              <w:t xml:space="preserve">(including </w:t>
            </w:r>
            <w:r w:rsidR="00045243">
              <w:t>recorded media</w:t>
            </w:r>
            <w:r w:rsidR="00195F10">
              <w:t>)</w:t>
            </w:r>
          </w:p>
        </w:tc>
        <w:tc>
          <w:tcPr>
            <w:tcW w:w="806" w:type="pct"/>
            <w:shd w:val="clear" w:color="auto" w:fill="auto"/>
          </w:tcPr>
          <w:p w:rsidR="003E732A" w:rsidRPr="004250E7" w:rsidRDefault="003E732A" w:rsidP="003E732A">
            <w:pPr>
              <w:pStyle w:val="TableBodyText"/>
              <w:rPr>
                <w:b/>
              </w:rPr>
            </w:pPr>
            <w:r w:rsidRPr="004250E7">
              <w:rPr>
                <w:b/>
              </w:rPr>
              <w:t>0.37</w:t>
            </w:r>
          </w:p>
        </w:tc>
        <w:tc>
          <w:tcPr>
            <w:tcW w:w="726" w:type="pct"/>
            <w:shd w:val="clear" w:color="auto" w:fill="auto"/>
          </w:tcPr>
          <w:p w:rsidR="003E732A" w:rsidRPr="004250E7" w:rsidRDefault="003E732A" w:rsidP="003E732A">
            <w:pPr>
              <w:pStyle w:val="TableBodyText"/>
              <w:ind w:right="28"/>
              <w:rPr>
                <w:b/>
              </w:rPr>
            </w:pPr>
            <w:r w:rsidRPr="004250E7">
              <w:rPr>
                <w:b/>
              </w:rPr>
              <w:t>0.44</w:t>
            </w:r>
          </w:p>
        </w:tc>
      </w:tr>
      <w:tr w:rsidR="003E732A" w:rsidTr="006E3C66">
        <w:tc>
          <w:tcPr>
            <w:tcW w:w="3468" w:type="pct"/>
            <w:shd w:val="clear" w:color="auto" w:fill="D9D9D9" w:themeFill="background1" w:themeFillShade="D9"/>
            <w:vAlign w:val="bottom"/>
          </w:tcPr>
          <w:p w:rsidR="003E732A" w:rsidRDefault="006C760B" w:rsidP="004F2CEB">
            <w:pPr>
              <w:pStyle w:val="TableBodyText"/>
              <w:ind w:right="0"/>
              <w:jc w:val="left"/>
            </w:pPr>
            <w:proofErr w:type="spellStart"/>
            <w:r>
              <w:t>ANZSIC93</w:t>
            </w:r>
            <w:proofErr w:type="spellEnd"/>
            <w:r>
              <w:t xml:space="preserve"> </w:t>
            </w:r>
            <w:r w:rsidR="00195F10">
              <w:t xml:space="preserve">25 Petroleum, coal, chemical &amp; </w:t>
            </w:r>
            <w:proofErr w:type="spellStart"/>
            <w:r w:rsidR="00195F10">
              <w:t>assoc’d</w:t>
            </w:r>
            <w:proofErr w:type="spellEnd"/>
            <w:r w:rsidR="00195F10">
              <w:t xml:space="preserve"> product </w:t>
            </w:r>
            <w:proofErr w:type="spellStart"/>
            <w:r w:rsidR="00195F10">
              <w:t>mfg</w:t>
            </w:r>
            <w:proofErr w:type="spellEnd"/>
            <w:r w:rsidR="00195F10">
              <w:t xml:space="preserve"> </w:t>
            </w:r>
            <w:r w:rsidR="00045243">
              <w:t xml:space="preserve">to </w:t>
            </w:r>
            <w:r w:rsidR="00A03937">
              <w:br/>
            </w:r>
            <w:proofErr w:type="spellStart"/>
            <w:r w:rsidR="00FC3F79">
              <w:t>ANZSIC06</w:t>
            </w:r>
            <w:proofErr w:type="spellEnd"/>
            <w:r w:rsidR="00FC3F79">
              <w:t xml:space="preserve"> </w:t>
            </w:r>
            <w:r w:rsidR="00195F10">
              <w:t>17+18+19 Petroleum &amp; coal prod</w:t>
            </w:r>
            <w:r w:rsidR="004F2CEB">
              <w:t>.</w:t>
            </w:r>
            <w:r w:rsidR="00195F10">
              <w:t xml:space="preserve"> </w:t>
            </w:r>
            <w:proofErr w:type="spellStart"/>
            <w:r w:rsidR="00195F10">
              <w:t>mfg</w:t>
            </w:r>
            <w:proofErr w:type="spellEnd"/>
            <w:r w:rsidR="00195F10">
              <w:t>; Basic chemical &amp; chemical prod</w:t>
            </w:r>
            <w:r w:rsidR="004F2CEB">
              <w:t>.</w:t>
            </w:r>
            <w:r w:rsidR="00195F10">
              <w:t xml:space="preserve"> </w:t>
            </w:r>
            <w:proofErr w:type="spellStart"/>
            <w:r w:rsidR="00195F10">
              <w:t>mfg</w:t>
            </w:r>
            <w:proofErr w:type="spellEnd"/>
            <w:r w:rsidR="00195F10">
              <w:t>; Polymer product &amp; rubber prod</w:t>
            </w:r>
            <w:r w:rsidR="004F2CEB">
              <w:t>.</w:t>
            </w:r>
            <w:r w:rsidR="00195F10">
              <w:t xml:space="preserve"> </w:t>
            </w:r>
            <w:proofErr w:type="spellStart"/>
            <w:r w:rsidR="00195F10">
              <w:t>mfg</w:t>
            </w:r>
            <w:proofErr w:type="spellEnd"/>
          </w:p>
        </w:tc>
        <w:tc>
          <w:tcPr>
            <w:tcW w:w="806" w:type="pct"/>
            <w:shd w:val="clear" w:color="auto" w:fill="D9D9D9" w:themeFill="background1" w:themeFillShade="D9"/>
          </w:tcPr>
          <w:p w:rsidR="003E732A" w:rsidRDefault="003E732A" w:rsidP="003E732A">
            <w:pPr>
              <w:pStyle w:val="TableBodyText"/>
            </w:pPr>
            <w:r>
              <w:t>0.98</w:t>
            </w:r>
          </w:p>
        </w:tc>
        <w:tc>
          <w:tcPr>
            <w:tcW w:w="726" w:type="pct"/>
            <w:shd w:val="clear" w:color="auto" w:fill="D9D9D9" w:themeFill="background1" w:themeFillShade="D9"/>
          </w:tcPr>
          <w:p w:rsidR="003E732A" w:rsidRDefault="003E732A" w:rsidP="003E732A">
            <w:pPr>
              <w:pStyle w:val="TableBodyText"/>
              <w:ind w:right="28"/>
            </w:pPr>
            <w:r>
              <w:t>1.01</w:t>
            </w:r>
          </w:p>
        </w:tc>
      </w:tr>
      <w:tr w:rsidR="003E732A" w:rsidTr="000814A0">
        <w:tc>
          <w:tcPr>
            <w:tcW w:w="3468" w:type="pct"/>
            <w:shd w:val="clear" w:color="auto" w:fill="auto"/>
            <w:vAlign w:val="bottom"/>
          </w:tcPr>
          <w:p w:rsidR="003E732A" w:rsidRDefault="006C760B" w:rsidP="00195F10">
            <w:pPr>
              <w:pStyle w:val="TableBodyText"/>
              <w:jc w:val="left"/>
            </w:pPr>
            <w:proofErr w:type="spellStart"/>
            <w:r>
              <w:t>ANZSIC93</w:t>
            </w:r>
            <w:proofErr w:type="spellEnd"/>
            <w:r>
              <w:t xml:space="preserve"> </w:t>
            </w:r>
            <w:r w:rsidR="00045243">
              <w:t xml:space="preserve">26 </w:t>
            </w:r>
            <w:r w:rsidR="00A03937">
              <w:t xml:space="preserve">Non-metallic mineral product </w:t>
            </w:r>
            <w:proofErr w:type="spellStart"/>
            <w:r w:rsidR="00A03937">
              <w:t>mfg</w:t>
            </w:r>
            <w:proofErr w:type="spellEnd"/>
            <w:r w:rsidR="00A03937">
              <w:t xml:space="preserve"> </w:t>
            </w:r>
            <w:r w:rsidR="00045243">
              <w:t xml:space="preserve">to </w:t>
            </w:r>
            <w:r w:rsidR="004F2CEB">
              <w:br/>
            </w:r>
            <w:proofErr w:type="spellStart"/>
            <w:r w:rsidR="00FC3F79">
              <w:t>ANZSIC06</w:t>
            </w:r>
            <w:proofErr w:type="spellEnd"/>
            <w:r w:rsidR="00FC3F79">
              <w:t xml:space="preserve"> </w:t>
            </w:r>
            <w:r w:rsidR="00195F10">
              <w:t xml:space="preserve">20 </w:t>
            </w:r>
            <w:r w:rsidR="00045243">
              <w:t>Non-metal</w:t>
            </w:r>
            <w:r w:rsidR="00195F10">
              <w:t xml:space="preserve">lic mineral product </w:t>
            </w:r>
            <w:proofErr w:type="spellStart"/>
            <w:r w:rsidR="00195F10">
              <w:t>mfg</w:t>
            </w:r>
            <w:proofErr w:type="spellEnd"/>
          </w:p>
        </w:tc>
        <w:tc>
          <w:tcPr>
            <w:tcW w:w="806" w:type="pct"/>
            <w:shd w:val="clear" w:color="auto" w:fill="auto"/>
          </w:tcPr>
          <w:p w:rsidR="003E732A" w:rsidRDefault="003E732A" w:rsidP="003E732A">
            <w:pPr>
              <w:pStyle w:val="TableBodyText"/>
            </w:pPr>
            <w:r>
              <w:t>0.92</w:t>
            </w:r>
          </w:p>
        </w:tc>
        <w:tc>
          <w:tcPr>
            <w:tcW w:w="726" w:type="pct"/>
            <w:shd w:val="clear" w:color="auto" w:fill="auto"/>
          </w:tcPr>
          <w:p w:rsidR="003E732A" w:rsidRDefault="003E732A" w:rsidP="003E732A">
            <w:pPr>
              <w:pStyle w:val="TableBodyText"/>
              <w:ind w:right="28"/>
            </w:pPr>
            <w:r>
              <w:t>0.97</w:t>
            </w:r>
          </w:p>
        </w:tc>
      </w:tr>
      <w:tr w:rsidR="003E732A" w:rsidTr="006E3C66">
        <w:tc>
          <w:tcPr>
            <w:tcW w:w="3468" w:type="pct"/>
            <w:shd w:val="clear" w:color="auto" w:fill="D9D9D9" w:themeFill="background1" w:themeFillShade="D9"/>
            <w:vAlign w:val="bottom"/>
          </w:tcPr>
          <w:p w:rsidR="003E732A" w:rsidRDefault="006C760B" w:rsidP="00F47A29">
            <w:pPr>
              <w:pStyle w:val="TableBodyText"/>
              <w:jc w:val="left"/>
            </w:pPr>
            <w:proofErr w:type="spellStart"/>
            <w:r>
              <w:t>ANZSIC93</w:t>
            </w:r>
            <w:proofErr w:type="spellEnd"/>
            <w:r>
              <w:t xml:space="preserve"> </w:t>
            </w:r>
            <w:r w:rsidR="00045243">
              <w:t xml:space="preserve">27 </w:t>
            </w:r>
            <w:r w:rsidR="00A03937">
              <w:t xml:space="preserve">Metal product </w:t>
            </w:r>
            <w:proofErr w:type="spellStart"/>
            <w:r w:rsidR="00A03937">
              <w:t>mfg</w:t>
            </w:r>
            <w:proofErr w:type="spellEnd"/>
            <w:r w:rsidR="00045243">
              <w:t xml:space="preserve"> to </w:t>
            </w:r>
            <w:r w:rsidR="00A03937">
              <w:br/>
            </w:r>
            <w:proofErr w:type="spellStart"/>
            <w:r w:rsidR="00FC3F79">
              <w:t>ANZSIC06</w:t>
            </w:r>
            <w:proofErr w:type="spellEnd"/>
            <w:r w:rsidR="00FC3F79">
              <w:t xml:space="preserve"> </w:t>
            </w:r>
            <w:r w:rsidR="00195F10">
              <w:t xml:space="preserve">21+22 Primary metal </w:t>
            </w:r>
            <w:r w:rsidR="00F47A29">
              <w:t>&amp;</w:t>
            </w:r>
            <w:r w:rsidR="00195F10">
              <w:t xml:space="preserve"> metal prod</w:t>
            </w:r>
            <w:r w:rsidR="00F47A29">
              <w:t>.</w:t>
            </w:r>
            <w:r w:rsidR="00195F10">
              <w:t xml:space="preserve"> </w:t>
            </w:r>
            <w:proofErr w:type="spellStart"/>
            <w:r w:rsidR="00195F10">
              <w:t>mfg</w:t>
            </w:r>
            <w:proofErr w:type="spellEnd"/>
            <w:r w:rsidR="00195F10">
              <w:t xml:space="preserve">; Fabricated metal product </w:t>
            </w:r>
            <w:proofErr w:type="spellStart"/>
            <w:r w:rsidR="00195F10">
              <w:t>mfg</w:t>
            </w:r>
            <w:proofErr w:type="spellEnd"/>
          </w:p>
        </w:tc>
        <w:tc>
          <w:tcPr>
            <w:tcW w:w="806" w:type="pct"/>
            <w:shd w:val="clear" w:color="auto" w:fill="D9D9D9" w:themeFill="background1" w:themeFillShade="D9"/>
          </w:tcPr>
          <w:p w:rsidR="003E732A" w:rsidRDefault="003E732A" w:rsidP="003E732A">
            <w:pPr>
              <w:pStyle w:val="TableBodyText"/>
            </w:pPr>
            <w:r>
              <w:t>1.00</w:t>
            </w:r>
          </w:p>
        </w:tc>
        <w:tc>
          <w:tcPr>
            <w:tcW w:w="726" w:type="pct"/>
            <w:shd w:val="clear" w:color="auto" w:fill="D9D9D9" w:themeFill="background1" w:themeFillShade="D9"/>
          </w:tcPr>
          <w:p w:rsidR="003E732A" w:rsidRDefault="003E732A" w:rsidP="003E732A">
            <w:pPr>
              <w:pStyle w:val="TableBodyText"/>
              <w:ind w:right="28"/>
            </w:pPr>
            <w:r>
              <w:t>0.97</w:t>
            </w:r>
          </w:p>
        </w:tc>
      </w:tr>
      <w:tr w:rsidR="003E732A" w:rsidTr="000814A0">
        <w:tc>
          <w:tcPr>
            <w:tcW w:w="3468" w:type="pct"/>
            <w:shd w:val="clear" w:color="auto" w:fill="auto"/>
            <w:vAlign w:val="bottom"/>
          </w:tcPr>
          <w:p w:rsidR="003E732A" w:rsidRDefault="006C760B" w:rsidP="004F2CEB">
            <w:pPr>
              <w:pStyle w:val="TableBodyText"/>
              <w:jc w:val="left"/>
            </w:pPr>
            <w:proofErr w:type="spellStart"/>
            <w:r>
              <w:t>ANZSIC93</w:t>
            </w:r>
            <w:proofErr w:type="spellEnd"/>
            <w:r>
              <w:t xml:space="preserve"> </w:t>
            </w:r>
            <w:r w:rsidR="00045243">
              <w:t xml:space="preserve">28 </w:t>
            </w:r>
            <w:r w:rsidR="00A03937">
              <w:t xml:space="preserve">Machinery &amp; equipment </w:t>
            </w:r>
            <w:proofErr w:type="spellStart"/>
            <w:r w:rsidR="00A03937">
              <w:t>mfg</w:t>
            </w:r>
            <w:proofErr w:type="spellEnd"/>
            <w:r w:rsidR="00A03937">
              <w:t xml:space="preserve"> </w:t>
            </w:r>
            <w:r w:rsidR="00045243">
              <w:t xml:space="preserve">to </w:t>
            </w:r>
            <w:r w:rsidR="001763C2">
              <w:br/>
            </w:r>
            <w:proofErr w:type="spellStart"/>
            <w:r w:rsidR="00FC3F79">
              <w:t>ANZSIC06</w:t>
            </w:r>
            <w:proofErr w:type="spellEnd"/>
            <w:r w:rsidR="00FC3F79">
              <w:t xml:space="preserve"> </w:t>
            </w:r>
            <w:r w:rsidR="00A03937">
              <w:t>23+24 Transport equip</w:t>
            </w:r>
            <w:r w:rsidR="004F2CEB">
              <w:t>.</w:t>
            </w:r>
            <w:r w:rsidR="00A03937">
              <w:t xml:space="preserve"> </w:t>
            </w:r>
            <w:proofErr w:type="spellStart"/>
            <w:r w:rsidR="00A03937">
              <w:t>mfg</w:t>
            </w:r>
            <w:proofErr w:type="spellEnd"/>
            <w:r w:rsidR="00A03937">
              <w:t>; Machinery &amp; equip</w:t>
            </w:r>
            <w:r w:rsidR="004F2CEB">
              <w:t>.</w:t>
            </w:r>
            <w:r w:rsidR="00A03937">
              <w:t xml:space="preserve"> </w:t>
            </w:r>
            <w:proofErr w:type="spellStart"/>
            <w:r w:rsidR="00A03937">
              <w:t>mfg</w:t>
            </w:r>
            <w:proofErr w:type="spellEnd"/>
          </w:p>
        </w:tc>
        <w:tc>
          <w:tcPr>
            <w:tcW w:w="806" w:type="pct"/>
            <w:shd w:val="clear" w:color="auto" w:fill="auto"/>
          </w:tcPr>
          <w:p w:rsidR="003E732A" w:rsidRDefault="00925C11" w:rsidP="003E732A">
            <w:pPr>
              <w:pStyle w:val="TableBodyText"/>
            </w:pPr>
            <w:r>
              <w:t>0.92</w:t>
            </w:r>
          </w:p>
        </w:tc>
        <w:tc>
          <w:tcPr>
            <w:tcW w:w="726" w:type="pct"/>
            <w:shd w:val="clear" w:color="auto" w:fill="auto"/>
          </w:tcPr>
          <w:p w:rsidR="003E732A" w:rsidRDefault="00925C11" w:rsidP="003E732A">
            <w:pPr>
              <w:pStyle w:val="TableBodyText"/>
              <w:ind w:right="28"/>
            </w:pPr>
            <w:r>
              <w:t>0.95</w:t>
            </w:r>
          </w:p>
        </w:tc>
      </w:tr>
      <w:tr w:rsidR="003E732A" w:rsidTr="006E3C66">
        <w:tc>
          <w:tcPr>
            <w:tcW w:w="3468" w:type="pct"/>
            <w:shd w:val="clear" w:color="auto" w:fill="D9D9D9" w:themeFill="background1" w:themeFillShade="D9"/>
            <w:vAlign w:val="bottom"/>
          </w:tcPr>
          <w:p w:rsidR="003E732A" w:rsidRDefault="006C760B" w:rsidP="006716CB">
            <w:pPr>
              <w:pStyle w:val="TableBodyText"/>
              <w:jc w:val="left"/>
            </w:pPr>
            <w:proofErr w:type="spellStart"/>
            <w:r>
              <w:t>ANZSIC93</w:t>
            </w:r>
            <w:proofErr w:type="spellEnd"/>
            <w:r>
              <w:t xml:space="preserve"> </w:t>
            </w:r>
            <w:r w:rsidR="00045243">
              <w:t xml:space="preserve">29 </w:t>
            </w:r>
            <w:r w:rsidR="003E732A">
              <w:t xml:space="preserve">Other </w:t>
            </w:r>
            <w:proofErr w:type="spellStart"/>
            <w:r w:rsidR="003E732A">
              <w:t>mfg</w:t>
            </w:r>
            <w:proofErr w:type="spellEnd"/>
            <w:r w:rsidR="00045243">
              <w:t xml:space="preserve"> to </w:t>
            </w:r>
            <w:proofErr w:type="spellStart"/>
            <w:r w:rsidR="00FC3F79">
              <w:t>ANZSIC06</w:t>
            </w:r>
            <w:proofErr w:type="spellEnd"/>
            <w:r w:rsidR="00FC3F79">
              <w:t xml:space="preserve"> </w:t>
            </w:r>
            <w:r w:rsidR="00A03937">
              <w:t>25 Furniture &amp; o</w:t>
            </w:r>
            <w:r w:rsidR="00045243">
              <w:t xml:space="preserve">ther </w:t>
            </w:r>
            <w:proofErr w:type="spellStart"/>
            <w:r w:rsidR="00045243">
              <w:t>mfg</w:t>
            </w:r>
            <w:proofErr w:type="spellEnd"/>
          </w:p>
        </w:tc>
        <w:tc>
          <w:tcPr>
            <w:tcW w:w="806" w:type="pct"/>
            <w:shd w:val="clear" w:color="auto" w:fill="D9D9D9" w:themeFill="background1" w:themeFillShade="D9"/>
          </w:tcPr>
          <w:p w:rsidR="003E732A" w:rsidRPr="004250E7" w:rsidRDefault="00925C11" w:rsidP="003E732A">
            <w:pPr>
              <w:pStyle w:val="TableBodyText"/>
              <w:rPr>
                <w:b/>
              </w:rPr>
            </w:pPr>
            <w:r w:rsidRPr="004250E7">
              <w:rPr>
                <w:b/>
              </w:rPr>
              <w:t>0.53</w:t>
            </w:r>
          </w:p>
        </w:tc>
        <w:tc>
          <w:tcPr>
            <w:tcW w:w="726" w:type="pct"/>
            <w:shd w:val="clear" w:color="auto" w:fill="D9D9D9" w:themeFill="background1" w:themeFillShade="D9"/>
          </w:tcPr>
          <w:p w:rsidR="003E732A" w:rsidRPr="004250E7" w:rsidRDefault="00925C11" w:rsidP="003E732A">
            <w:pPr>
              <w:pStyle w:val="TableBodyText"/>
              <w:ind w:right="28"/>
              <w:rPr>
                <w:b/>
              </w:rPr>
            </w:pPr>
            <w:r w:rsidRPr="004250E7">
              <w:rPr>
                <w:b/>
              </w:rPr>
              <w:t>0.60</w:t>
            </w:r>
          </w:p>
        </w:tc>
      </w:tr>
      <w:tr w:rsidR="003E732A" w:rsidTr="000814A0">
        <w:tc>
          <w:tcPr>
            <w:tcW w:w="3468" w:type="pct"/>
            <w:tcBorders>
              <w:bottom w:val="single" w:sz="4" w:space="0" w:color="auto"/>
            </w:tcBorders>
            <w:shd w:val="clear" w:color="auto" w:fill="auto"/>
            <w:vAlign w:val="bottom"/>
          </w:tcPr>
          <w:p w:rsidR="003E732A" w:rsidRDefault="00FC3F79" w:rsidP="003E732A">
            <w:pPr>
              <w:pStyle w:val="TableBodyText"/>
              <w:jc w:val="left"/>
            </w:pPr>
            <w:r>
              <w:t>Total Manufacturing</w:t>
            </w:r>
          </w:p>
        </w:tc>
        <w:tc>
          <w:tcPr>
            <w:tcW w:w="806" w:type="pct"/>
            <w:tcBorders>
              <w:bottom w:val="single" w:sz="4" w:space="0" w:color="auto"/>
            </w:tcBorders>
            <w:shd w:val="clear" w:color="auto" w:fill="auto"/>
          </w:tcPr>
          <w:p w:rsidR="003E732A" w:rsidRDefault="00925C11" w:rsidP="003E732A">
            <w:pPr>
              <w:pStyle w:val="TableBodyText"/>
            </w:pPr>
            <w:r>
              <w:t>0.90</w:t>
            </w:r>
          </w:p>
        </w:tc>
        <w:tc>
          <w:tcPr>
            <w:tcW w:w="726" w:type="pct"/>
            <w:tcBorders>
              <w:bottom w:val="single" w:sz="4" w:space="0" w:color="auto"/>
            </w:tcBorders>
            <w:shd w:val="clear" w:color="auto" w:fill="auto"/>
          </w:tcPr>
          <w:p w:rsidR="003E732A" w:rsidRDefault="00925C11" w:rsidP="003E732A">
            <w:pPr>
              <w:pStyle w:val="TableBodyText"/>
              <w:ind w:right="28"/>
            </w:pPr>
            <w:r>
              <w:t>0.93</w:t>
            </w:r>
          </w:p>
        </w:tc>
      </w:tr>
    </w:tbl>
    <w:p w:rsidR="003E732A" w:rsidRDefault="009539D8" w:rsidP="00BF1DD5">
      <w:pPr>
        <w:pStyle w:val="Note"/>
      </w:pPr>
      <w:r>
        <w:rPr>
          <w:rStyle w:val="NoteLabel"/>
        </w:rPr>
        <w:t>a</w:t>
      </w:r>
      <w:r>
        <w:t> </w:t>
      </w:r>
      <w:r w:rsidR="00FE6455">
        <w:t xml:space="preserve">Turnover used </w:t>
      </w:r>
      <w:r w:rsidR="00C83C86">
        <w:t>where</w:t>
      </w:r>
      <w:r w:rsidR="00FE6455">
        <w:t xml:space="preserve"> overlapping </w:t>
      </w:r>
      <w:r w:rsidR="008F4602">
        <w:t>value added</w:t>
      </w:r>
      <w:r w:rsidR="00FE6455">
        <w:t xml:space="preserve"> data not available</w:t>
      </w:r>
      <w:r w:rsidR="003E732A">
        <w:t>.</w:t>
      </w:r>
      <w:r>
        <w:t xml:space="preserve"> </w:t>
      </w:r>
      <w:r>
        <w:rPr>
          <w:rStyle w:val="NoteLabel"/>
        </w:rPr>
        <w:t>b</w:t>
      </w:r>
      <w:r>
        <w:t xml:space="preserve"> Some movements in classification </w:t>
      </w:r>
      <w:r w:rsidR="009C6702">
        <w:t>we</w:t>
      </w:r>
      <w:r>
        <w:t>re between T</w:t>
      </w:r>
      <w:r w:rsidR="00986FA1">
        <w:t>extiles, clothing and footwear</w:t>
      </w:r>
      <w:r>
        <w:t xml:space="preserve"> and Other manufacturing. </w:t>
      </w:r>
      <w:r w:rsidR="002F0361">
        <w:t>‘</w:t>
      </w:r>
      <w:r w:rsidR="00986FA1">
        <w:t>Textile, clothing</w:t>
      </w:r>
      <w:r>
        <w:t xml:space="preserve"> </w:t>
      </w:r>
      <w:r w:rsidR="002F0361">
        <w:t>and</w:t>
      </w:r>
      <w:r>
        <w:t xml:space="preserve"> other m</w:t>
      </w:r>
      <w:r w:rsidR="005630C8">
        <w:t>anufacturing</w:t>
      </w:r>
      <w:r w:rsidR="002F0361">
        <w:t>’</w:t>
      </w:r>
      <w:r>
        <w:t xml:space="preserve"> is a single subsector in </w:t>
      </w:r>
      <w:r w:rsidR="00986FA1">
        <w:t>this study</w:t>
      </w:r>
      <w:r>
        <w:t xml:space="preserve">, </w:t>
      </w:r>
      <w:r w:rsidR="009C6702">
        <w:t xml:space="preserve">so </w:t>
      </w:r>
      <w:r>
        <w:t xml:space="preserve">adjustment factors </w:t>
      </w:r>
      <w:r w:rsidR="00EE5FF2">
        <w:t>were</w:t>
      </w:r>
      <w:r>
        <w:t xml:space="preserve"> calculated for this aggregate — </w:t>
      </w:r>
      <w:proofErr w:type="spellStart"/>
      <w:r>
        <w:t>ASIC</w:t>
      </w:r>
      <w:proofErr w:type="spellEnd"/>
      <w:r>
        <w:t xml:space="preserve"> to </w:t>
      </w:r>
      <w:proofErr w:type="spellStart"/>
      <w:r>
        <w:t>ANZSIC93</w:t>
      </w:r>
      <w:proofErr w:type="spellEnd"/>
      <w:r>
        <w:t xml:space="preserve"> 0.89 turnover; 0.96 labour costs; </w:t>
      </w:r>
      <w:proofErr w:type="spellStart"/>
      <w:r>
        <w:t>ANZSIC93</w:t>
      </w:r>
      <w:proofErr w:type="spellEnd"/>
      <w:r>
        <w:t xml:space="preserve"> to </w:t>
      </w:r>
      <w:proofErr w:type="spellStart"/>
      <w:r>
        <w:t>ANZSIC06</w:t>
      </w:r>
      <w:proofErr w:type="spellEnd"/>
      <w:r>
        <w:t xml:space="preserve"> 0.70 </w:t>
      </w:r>
      <w:r w:rsidR="008F4602">
        <w:t>value added</w:t>
      </w:r>
      <w:r>
        <w:t>; 0.77 labour costs.</w:t>
      </w:r>
    </w:p>
    <w:p w:rsidR="003E732A" w:rsidRPr="008E77FE" w:rsidRDefault="003E732A" w:rsidP="00BF1DD5">
      <w:pPr>
        <w:pStyle w:val="Source"/>
        <w:spacing w:after="0"/>
      </w:pPr>
      <w:r>
        <w:rPr>
          <w:i/>
        </w:rPr>
        <w:t>Source</w:t>
      </w:r>
      <w:r w:rsidR="00F96295">
        <w:rPr>
          <w:i/>
        </w:rPr>
        <w:t>s</w:t>
      </w:r>
      <w:r>
        <w:t xml:space="preserve">: </w:t>
      </w:r>
      <w:r w:rsidR="00F96295">
        <w:t xml:space="preserve">Authors’ estimates based on </w:t>
      </w:r>
      <w:r w:rsidR="00064C93">
        <w:t>ABS (</w:t>
      </w:r>
      <w:r w:rsidR="00064C93" w:rsidRPr="00064C93">
        <w:rPr>
          <w:i/>
        </w:rPr>
        <w:t>Australian Industry</w:t>
      </w:r>
      <w:r w:rsidR="00064C93">
        <w:t xml:space="preserve">, </w:t>
      </w:r>
      <w:r w:rsidR="00F96295">
        <w:t xml:space="preserve">various issues, </w:t>
      </w:r>
      <w:r w:rsidR="00064C93">
        <w:t>Cat. no. 8155.0); ABS</w:t>
      </w:r>
      <w:r w:rsidR="00F96295">
        <w:t> </w:t>
      </w:r>
      <w:r w:rsidR="00064C93">
        <w:t>(</w:t>
      </w:r>
      <w:r w:rsidR="00064C93" w:rsidRPr="00064C93">
        <w:rPr>
          <w:i/>
        </w:rPr>
        <w:t>Manufacturing Industry Australia</w:t>
      </w:r>
      <w:r w:rsidR="00064C93">
        <w:t>,</w:t>
      </w:r>
      <w:r w:rsidR="00F96295">
        <w:t xml:space="preserve"> various issues,</w:t>
      </w:r>
      <w:r w:rsidR="00064C93">
        <w:t xml:space="preserve"> Cat. no. 8221.0); ABS (</w:t>
      </w:r>
      <w:r w:rsidR="00064C93" w:rsidRPr="00064C93">
        <w:rPr>
          <w:i/>
        </w:rPr>
        <w:t>Enterprise Statistics, Australia</w:t>
      </w:r>
      <w:r w:rsidR="00064C93">
        <w:t xml:space="preserve">, </w:t>
      </w:r>
      <w:r w:rsidR="00F96295">
        <w:t xml:space="preserve">various issues, </w:t>
      </w:r>
      <w:r w:rsidR="00064C93">
        <w:t>Cat. no. 8103.0).</w:t>
      </w:r>
    </w:p>
    <w:p w:rsidR="004C235B" w:rsidRDefault="00C7534E" w:rsidP="00C7534E">
      <w:pPr>
        <w:pStyle w:val="Heading4"/>
      </w:pPr>
      <w:r>
        <w:lastRenderedPageBreak/>
        <w:t>Change</w:t>
      </w:r>
      <w:r w:rsidR="00320CC2">
        <w:t>s</w:t>
      </w:r>
      <w:r>
        <w:t xml:space="preserve"> in survey</w:t>
      </w:r>
    </w:p>
    <w:p w:rsidR="00320CC2" w:rsidRPr="00320CC2" w:rsidRDefault="00320CC2" w:rsidP="00426419">
      <w:pPr>
        <w:pStyle w:val="Heading5"/>
        <w:spacing w:before="240"/>
      </w:pPr>
      <w:r>
        <w:t>Move from Cat. no. 8103.0 to 8221.0</w:t>
      </w:r>
      <w:r w:rsidR="00DA3625">
        <w:t xml:space="preserve"> and </w:t>
      </w:r>
      <w:r w:rsidR="00FE4777">
        <w:t xml:space="preserve">Cat. no. </w:t>
      </w:r>
      <w:r w:rsidR="00DA3625">
        <w:t>8</w:t>
      </w:r>
      <w:r w:rsidR="005366F0">
        <w:t>221</w:t>
      </w:r>
      <w:r w:rsidR="00DA3625">
        <w:t>.0 to 8</w:t>
      </w:r>
      <w:r w:rsidR="005366F0">
        <w:t>155</w:t>
      </w:r>
      <w:r w:rsidR="00DA3625">
        <w:t>.0</w:t>
      </w:r>
    </w:p>
    <w:p w:rsidR="00C7534E" w:rsidRDefault="00C7534E" w:rsidP="00EC7441">
      <w:pPr>
        <w:pStyle w:val="BodyText"/>
      </w:pPr>
      <w:r>
        <w:t xml:space="preserve">Data </w:t>
      </w:r>
      <w:r w:rsidR="00580D59">
        <w:t xml:space="preserve">were </w:t>
      </w:r>
      <w:r>
        <w:t>available from Cat. no. 8221.0 for most of the time series</w:t>
      </w:r>
      <w:r w:rsidR="00380DA0">
        <w:t xml:space="preserve">, but the ABS </w:t>
      </w:r>
      <w:r w:rsidR="005B27B3">
        <w:t xml:space="preserve">income shares </w:t>
      </w:r>
      <w:r w:rsidR="00D8251D">
        <w:t xml:space="preserve">for Manufacturing </w:t>
      </w:r>
      <w:r w:rsidR="005B27B3">
        <w:t xml:space="preserve">from Cat. no. 5260.0.55.002 </w:t>
      </w:r>
      <w:r w:rsidR="00380DA0">
        <w:t>appear</w:t>
      </w:r>
      <w:r w:rsidR="00580D59">
        <w:t>ed to be</w:t>
      </w:r>
      <w:r w:rsidR="00380DA0">
        <w:t xml:space="preserve"> more closely aligned to the </w:t>
      </w:r>
      <w:r w:rsidR="00FE4777">
        <w:t xml:space="preserve">Cat. no. </w:t>
      </w:r>
      <w:r w:rsidR="00380DA0">
        <w:t>8155.0 series</w:t>
      </w:r>
      <w:r>
        <w:t xml:space="preserve">. </w:t>
      </w:r>
      <w:r w:rsidR="00981A8A">
        <w:t>T</w:t>
      </w:r>
      <w:r>
        <w:t>he compiled data from Cat.</w:t>
      </w:r>
      <w:r w:rsidR="00C71E64">
        <w:t> </w:t>
      </w:r>
      <w:r>
        <w:t>no</w:t>
      </w:r>
      <w:r w:rsidR="00976981">
        <w:t>. </w:t>
      </w:r>
      <w:r>
        <w:t>8</w:t>
      </w:r>
      <w:r w:rsidR="00380DA0">
        <w:t>221</w:t>
      </w:r>
      <w:r>
        <w:t>.0 were scaled to match the coverage of Cat</w:t>
      </w:r>
      <w:r w:rsidR="00D70587">
        <w:t>.</w:t>
      </w:r>
      <w:r>
        <w:t xml:space="preserve"> no. 8</w:t>
      </w:r>
      <w:r w:rsidR="00380DA0">
        <w:t>155</w:t>
      </w:r>
      <w:r>
        <w:t>.0</w:t>
      </w:r>
      <w:r w:rsidR="00981A8A">
        <w:t xml:space="preserve"> using </w:t>
      </w:r>
      <w:r w:rsidR="000419D3">
        <w:t xml:space="preserve">a ratio calculated from </w:t>
      </w:r>
      <w:r w:rsidR="00981A8A">
        <w:t xml:space="preserve">data </w:t>
      </w:r>
      <w:r w:rsidR="000343C4">
        <w:t xml:space="preserve">from both surveys </w:t>
      </w:r>
      <w:r w:rsidR="000419D3">
        <w:t>for 2006</w:t>
      </w:r>
      <w:r w:rsidR="00FF62BB">
        <w:noBreakHyphen/>
      </w:r>
      <w:r w:rsidR="000419D3">
        <w:t>07</w:t>
      </w:r>
      <w:r w:rsidR="00DA3625">
        <w:t xml:space="preserve"> (table</w:t>
      </w:r>
      <w:r w:rsidR="00D70587">
        <w:t> </w:t>
      </w:r>
      <w:proofErr w:type="spellStart"/>
      <w:r w:rsidR="00D86322">
        <w:t>A.9</w:t>
      </w:r>
      <w:proofErr w:type="spellEnd"/>
      <w:r w:rsidR="00DA3625">
        <w:t>).</w:t>
      </w:r>
      <w:r w:rsidR="00EC7441">
        <w:t xml:space="preserve"> The </w:t>
      </w:r>
      <w:r w:rsidR="00D70587">
        <w:t>Cat.</w:t>
      </w:r>
      <w:r w:rsidR="00C71E64">
        <w:t> </w:t>
      </w:r>
      <w:r w:rsidR="00D70587">
        <w:t>no.</w:t>
      </w:r>
      <w:r w:rsidR="00C71E64">
        <w:t> </w:t>
      </w:r>
      <w:r w:rsidR="00EC7441">
        <w:t xml:space="preserve">8155.0 data used </w:t>
      </w:r>
      <w:r w:rsidR="00580D59">
        <w:t xml:space="preserve">were </w:t>
      </w:r>
      <w:r w:rsidR="00EC7441">
        <w:t>those reported in 2009</w:t>
      </w:r>
      <w:r w:rsidR="00FF62BB">
        <w:noBreakHyphen/>
      </w:r>
      <w:r w:rsidR="00EC7441">
        <w:t xml:space="preserve">10 issue, which </w:t>
      </w:r>
      <w:r w:rsidR="00580D59">
        <w:t xml:space="preserve">included </w:t>
      </w:r>
      <w:r w:rsidR="00EC7441">
        <w:t>revisions to data back to 2006</w:t>
      </w:r>
      <w:r w:rsidR="00FF62BB">
        <w:noBreakHyphen/>
      </w:r>
      <w:r w:rsidR="00EC7441">
        <w:t xml:space="preserve">07 (largely related to improvements in the sample design and other aspects of survey methodology). </w:t>
      </w:r>
    </w:p>
    <w:p w:rsidR="00DA3625" w:rsidRDefault="00DA3625">
      <w:pPr>
        <w:pStyle w:val="TableTitle"/>
      </w:pPr>
      <w:r>
        <w:rPr>
          <w:b w:val="0"/>
        </w:rPr>
        <w:t xml:space="preserve">Table </w:t>
      </w:r>
      <w:bookmarkStart w:id="27" w:name="OLE_LINK8"/>
      <w:proofErr w:type="spellStart"/>
      <w:r w:rsidR="006A4091">
        <w:rPr>
          <w:b w:val="0"/>
        </w:rPr>
        <w:t>A.</w:t>
      </w:r>
      <w:r w:rsidR="001459D9">
        <w:rPr>
          <w:b w:val="0"/>
          <w:noProof/>
        </w:rPr>
        <w:t>9</w:t>
      </w:r>
      <w:bookmarkEnd w:id="27"/>
      <w:proofErr w:type="spellEnd"/>
      <w:r>
        <w:tab/>
      </w:r>
      <w:r w:rsidR="00CD7CA5">
        <w:t>Conversion factors</w:t>
      </w:r>
      <w:r w:rsidR="004170AA">
        <w:t>:</w:t>
      </w:r>
      <w:r w:rsidR="00CD7CA5">
        <w:t xml:space="preserve"> </w:t>
      </w:r>
      <w:r w:rsidR="00D70587">
        <w:t xml:space="preserve">Cat. no. </w:t>
      </w:r>
      <w:r>
        <w:t>8</w:t>
      </w:r>
      <w:r w:rsidR="00380DA0">
        <w:t>221</w:t>
      </w:r>
      <w:r>
        <w:t xml:space="preserve">.0 to </w:t>
      </w:r>
      <w:r w:rsidR="004170AA">
        <w:t xml:space="preserve">Cat. no. </w:t>
      </w:r>
      <w:r>
        <w:t>8</w:t>
      </w:r>
      <w:r w:rsidR="00380DA0">
        <w:t>155</w:t>
      </w:r>
      <w:r w:rsidR="004170AA">
        <w:t>.0</w:t>
      </w:r>
    </w:p>
    <w:tbl>
      <w:tblPr>
        <w:tblW w:w="5000" w:type="pct"/>
        <w:tblCellMar>
          <w:left w:w="0" w:type="dxa"/>
          <w:right w:w="0" w:type="dxa"/>
        </w:tblCellMar>
        <w:tblLook w:val="0000" w:firstRow="0" w:lastRow="0" w:firstColumn="0" w:lastColumn="0" w:noHBand="0" w:noVBand="0"/>
      </w:tblPr>
      <w:tblGrid>
        <w:gridCol w:w="4281"/>
        <w:gridCol w:w="2254"/>
        <w:gridCol w:w="2254"/>
      </w:tblGrid>
      <w:tr w:rsidR="00DA3625" w:rsidTr="00D8251D">
        <w:tc>
          <w:tcPr>
            <w:tcW w:w="2435" w:type="pct"/>
            <w:tcBorders>
              <w:top w:val="single" w:sz="6" w:space="0" w:color="auto"/>
              <w:bottom w:val="single" w:sz="6" w:space="0" w:color="auto"/>
            </w:tcBorders>
            <w:shd w:val="clear" w:color="auto" w:fill="auto"/>
            <w:vAlign w:val="bottom"/>
          </w:tcPr>
          <w:p w:rsidR="00DA3625" w:rsidRDefault="00434837" w:rsidP="00D8251D">
            <w:pPr>
              <w:pStyle w:val="TableColumnHeading"/>
              <w:jc w:val="left"/>
            </w:pPr>
            <w:r>
              <w:t>Subsector</w:t>
            </w:r>
            <w:r w:rsidR="00D70587" w:rsidRPr="00D70587">
              <w:rPr>
                <w:rStyle w:val="NoteLabel"/>
                <w:i w:val="0"/>
              </w:rPr>
              <w:t>a</w:t>
            </w:r>
          </w:p>
        </w:tc>
        <w:tc>
          <w:tcPr>
            <w:tcW w:w="1282" w:type="pct"/>
            <w:tcBorders>
              <w:top w:val="single" w:sz="6" w:space="0" w:color="auto"/>
              <w:bottom w:val="single" w:sz="6" w:space="0" w:color="auto"/>
            </w:tcBorders>
            <w:shd w:val="clear" w:color="auto" w:fill="auto"/>
            <w:vAlign w:val="bottom"/>
          </w:tcPr>
          <w:p w:rsidR="00DA3625" w:rsidRDefault="00DA3625" w:rsidP="00D8251D">
            <w:pPr>
              <w:pStyle w:val="TableColumnHeading"/>
            </w:pPr>
            <w:r>
              <w:t>Value added</w:t>
            </w:r>
          </w:p>
        </w:tc>
        <w:tc>
          <w:tcPr>
            <w:tcW w:w="1282" w:type="pct"/>
            <w:tcBorders>
              <w:top w:val="single" w:sz="6" w:space="0" w:color="auto"/>
              <w:bottom w:val="single" w:sz="6" w:space="0" w:color="auto"/>
            </w:tcBorders>
            <w:shd w:val="clear" w:color="auto" w:fill="auto"/>
            <w:vAlign w:val="bottom"/>
          </w:tcPr>
          <w:p w:rsidR="00DA3625" w:rsidRDefault="00DA3625" w:rsidP="00D8251D">
            <w:pPr>
              <w:pStyle w:val="TableColumnHeading"/>
            </w:pPr>
            <w:r>
              <w:t>Labour costs</w:t>
            </w:r>
          </w:p>
        </w:tc>
      </w:tr>
      <w:tr w:rsidR="00B57F4B" w:rsidTr="00D8251D">
        <w:tc>
          <w:tcPr>
            <w:tcW w:w="2435" w:type="pct"/>
            <w:tcBorders>
              <w:top w:val="single" w:sz="6" w:space="0" w:color="auto"/>
            </w:tcBorders>
            <w:shd w:val="clear" w:color="auto" w:fill="D9D9D9" w:themeFill="background1" w:themeFillShade="D9"/>
            <w:vAlign w:val="bottom"/>
          </w:tcPr>
          <w:p w:rsidR="00B57F4B" w:rsidRDefault="00B57F4B" w:rsidP="00D8251D">
            <w:pPr>
              <w:pStyle w:val="TableBodyText"/>
              <w:jc w:val="left"/>
            </w:pPr>
            <w:r w:rsidRPr="00A97688">
              <w:t xml:space="preserve">Food, beverage </w:t>
            </w:r>
            <w:r>
              <w:t>&amp;</w:t>
            </w:r>
            <w:r w:rsidRPr="00A97688">
              <w:t xml:space="preserve"> tobacco products</w:t>
            </w:r>
          </w:p>
        </w:tc>
        <w:tc>
          <w:tcPr>
            <w:tcW w:w="1282" w:type="pct"/>
            <w:tcBorders>
              <w:top w:val="single" w:sz="6" w:space="0" w:color="auto"/>
            </w:tcBorders>
            <w:shd w:val="clear" w:color="auto" w:fill="D9D9D9" w:themeFill="background1" w:themeFillShade="D9"/>
            <w:vAlign w:val="bottom"/>
          </w:tcPr>
          <w:p w:rsidR="00B57F4B" w:rsidRDefault="00B57F4B" w:rsidP="00B57F4B">
            <w:pPr>
              <w:pStyle w:val="TableBodyText"/>
            </w:pPr>
            <w:r>
              <w:t>1.02</w:t>
            </w:r>
          </w:p>
        </w:tc>
        <w:tc>
          <w:tcPr>
            <w:tcW w:w="1282" w:type="pct"/>
            <w:tcBorders>
              <w:top w:val="single" w:sz="6" w:space="0" w:color="auto"/>
            </w:tcBorders>
            <w:shd w:val="clear" w:color="auto" w:fill="D9D9D9" w:themeFill="background1" w:themeFillShade="D9"/>
            <w:vAlign w:val="bottom"/>
          </w:tcPr>
          <w:p w:rsidR="00B57F4B" w:rsidRDefault="00B57F4B" w:rsidP="00B57F4B">
            <w:pPr>
              <w:pStyle w:val="TableBodyText"/>
            </w:pPr>
            <w:r>
              <w:t>1.00</w:t>
            </w:r>
          </w:p>
        </w:tc>
      </w:tr>
      <w:tr w:rsidR="00B57F4B" w:rsidTr="00D8251D">
        <w:tc>
          <w:tcPr>
            <w:tcW w:w="2435" w:type="pct"/>
            <w:vAlign w:val="bottom"/>
          </w:tcPr>
          <w:p w:rsidR="00B57F4B" w:rsidRPr="00F73010" w:rsidRDefault="00B57F4B" w:rsidP="00D8251D">
            <w:pPr>
              <w:pStyle w:val="TableBodyText"/>
              <w:jc w:val="left"/>
            </w:pPr>
            <w:r w:rsidRPr="00F73010">
              <w:t xml:space="preserve">Textile, clothing </w:t>
            </w:r>
            <w:r>
              <w:t>&amp;</w:t>
            </w:r>
            <w:r w:rsidRPr="00F73010">
              <w:t xml:space="preserve"> other manufacturing</w:t>
            </w:r>
          </w:p>
        </w:tc>
        <w:tc>
          <w:tcPr>
            <w:tcW w:w="1282" w:type="pct"/>
          </w:tcPr>
          <w:p w:rsidR="00B57F4B" w:rsidRDefault="00B57F4B" w:rsidP="00DA3625">
            <w:pPr>
              <w:pStyle w:val="TableBodyText"/>
            </w:pPr>
            <w:r>
              <w:t>1.04</w:t>
            </w:r>
          </w:p>
        </w:tc>
        <w:tc>
          <w:tcPr>
            <w:tcW w:w="1282" w:type="pct"/>
          </w:tcPr>
          <w:p w:rsidR="00B57F4B" w:rsidRDefault="00B57F4B" w:rsidP="00B57F4B">
            <w:pPr>
              <w:pStyle w:val="TableBodyText"/>
            </w:pPr>
            <w:r>
              <w:t>1.00</w:t>
            </w:r>
          </w:p>
        </w:tc>
      </w:tr>
      <w:tr w:rsidR="00B57F4B" w:rsidTr="00D8251D">
        <w:tc>
          <w:tcPr>
            <w:tcW w:w="2435" w:type="pct"/>
            <w:shd w:val="clear" w:color="auto" w:fill="D9D9D9" w:themeFill="background1" w:themeFillShade="D9"/>
            <w:vAlign w:val="bottom"/>
          </w:tcPr>
          <w:p w:rsidR="00B57F4B" w:rsidRPr="00F73010" w:rsidRDefault="00B57F4B" w:rsidP="00D8251D">
            <w:pPr>
              <w:pStyle w:val="TableBodyText"/>
              <w:jc w:val="left"/>
            </w:pPr>
            <w:r w:rsidRPr="00F73010">
              <w:t xml:space="preserve">Wood </w:t>
            </w:r>
            <w:r>
              <w:t>&amp;</w:t>
            </w:r>
            <w:r w:rsidRPr="00F73010">
              <w:t xml:space="preserve"> paper products</w:t>
            </w:r>
            <w:r>
              <w:t xml:space="preserve"> </w:t>
            </w:r>
          </w:p>
        </w:tc>
        <w:tc>
          <w:tcPr>
            <w:tcW w:w="1282" w:type="pct"/>
            <w:shd w:val="clear" w:color="auto" w:fill="D9D9D9" w:themeFill="background1" w:themeFillShade="D9"/>
          </w:tcPr>
          <w:p w:rsidR="00B57F4B" w:rsidRDefault="00B57F4B" w:rsidP="00485E54">
            <w:pPr>
              <w:pStyle w:val="TableBodyText"/>
            </w:pPr>
            <w:r>
              <w:t>1.02</w:t>
            </w:r>
          </w:p>
        </w:tc>
        <w:tc>
          <w:tcPr>
            <w:tcW w:w="1282" w:type="pct"/>
            <w:shd w:val="clear" w:color="auto" w:fill="D9D9D9" w:themeFill="background1" w:themeFillShade="D9"/>
          </w:tcPr>
          <w:p w:rsidR="00B57F4B" w:rsidRDefault="00B57F4B" w:rsidP="00B57F4B">
            <w:pPr>
              <w:pStyle w:val="TableBodyText"/>
            </w:pPr>
            <w:r>
              <w:t>0.99</w:t>
            </w:r>
          </w:p>
        </w:tc>
      </w:tr>
      <w:tr w:rsidR="00B57F4B" w:rsidTr="00D8251D">
        <w:tc>
          <w:tcPr>
            <w:tcW w:w="2435" w:type="pct"/>
            <w:shd w:val="clear" w:color="auto" w:fill="auto"/>
            <w:vAlign w:val="bottom"/>
          </w:tcPr>
          <w:p w:rsidR="00B57F4B" w:rsidRPr="00F73010" w:rsidRDefault="00B57F4B" w:rsidP="00D8251D">
            <w:pPr>
              <w:pStyle w:val="TableBodyText"/>
              <w:jc w:val="left"/>
            </w:pPr>
            <w:r w:rsidRPr="00F73010">
              <w:t xml:space="preserve">Printing </w:t>
            </w:r>
            <w:r>
              <w:t>&amp;</w:t>
            </w:r>
            <w:r w:rsidRPr="00F73010">
              <w:t xml:space="preserve"> recorded media</w:t>
            </w:r>
          </w:p>
        </w:tc>
        <w:tc>
          <w:tcPr>
            <w:tcW w:w="1282" w:type="pct"/>
            <w:shd w:val="clear" w:color="auto" w:fill="auto"/>
          </w:tcPr>
          <w:p w:rsidR="00B57F4B" w:rsidRDefault="00B57F4B" w:rsidP="00485E54">
            <w:pPr>
              <w:pStyle w:val="TableBodyText"/>
            </w:pPr>
            <w:r>
              <w:t>1.02</w:t>
            </w:r>
          </w:p>
        </w:tc>
        <w:tc>
          <w:tcPr>
            <w:tcW w:w="1282" w:type="pct"/>
            <w:shd w:val="clear" w:color="auto" w:fill="auto"/>
          </w:tcPr>
          <w:p w:rsidR="00B57F4B" w:rsidRDefault="00B57F4B" w:rsidP="00B57F4B">
            <w:pPr>
              <w:pStyle w:val="TableBodyText"/>
            </w:pPr>
            <w:r>
              <w:t>0.95</w:t>
            </w:r>
          </w:p>
        </w:tc>
      </w:tr>
      <w:tr w:rsidR="00B57F4B" w:rsidTr="00D8251D">
        <w:tc>
          <w:tcPr>
            <w:tcW w:w="2435" w:type="pct"/>
            <w:shd w:val="clear" w:color="auto" w:fill="D9D9D9" w:themeFill="background1" w:themeFillShade="D9"/>
            <w:vAlign w:val="bottom"/>
          </w:tcPr>
          <w:p w:rsidR="00B57F4B" w:rsidRPr="00F73010" w:rsidRDefault="00B57F4B" w:rsidP="00D8251D">
            <w:pPr>
              <w:pStyle w:val="TableBodyText"/>
              <w:jc w:val="left"/>
            </w:pPr>
            <w:r w:rsidRPr="00F73010">
              <w:t xml:space="preserve">Petroleum, coal, chemical </w:t>
            </w:r>
            <w:r>
              <w:t>&amp;</w:t>
            </w:r>
            <w:r w:rsidRPr="00F73010">
              <w:t xml:space="preserve"> rubber products</w:t>
            </w:r>
          </w:p>
        </w:tc>
        <w:tc>
          <w:tcPr>
            <w:tcW w:w="1282" w:type="pct"/>
            <w:shd w:val="clear" w:color="auto" w:fill="D9D9D9" w:themeFill="background1" w:themeFillShade="D9"/>
          </w:tcPr>
          <w:p w:rsidR="00B57F4B" w:rsidRDefault="00B57F4B" w:rsidP="00485E54">
            <w:pPr>
              <w:pStyle w:val="TableBodyText"/>
            </w:pPr>
            <w:r>
              <w:t>1.17</w:t>
            </w:r>
          </w:p>
        </w:tc>
        <w:tc>
          <w:tcPr>
            <w:tcW w:w="1282" w:type="pct"/>
            <w:shd w:val="clear" w:color="auto" w:fill="D9D9D9" w:themeFill="background1" w:themeFillShade="D9"/>
          </w:tcPr>
          <w:p w:rsidR="00B57F4B" w:rsidRDefault="00B57F4B" w:rsidP="00B57F4B">
            <w:pPr>
              <w:pStyle w:val="TableBodyText"/>
            </w:pPr>
            <w:r>
              <w:t>0.98</w:t>
            </w:r>
          </w:p>
        </w:tc>
      </w:tr>
      <w:tr w:rsidR="00B57F4B" w:rsidTr="00D8251D">
        <w:tc>
          <w:tcPr>
            <w:tcW w:w="2435" w:type="pct"/>
            <w:shd w:val="clear" w:color="auto" w:fill="auto"/>
            <w:vAlign w:val="bottom"/>
          </w:tcPr>
          <w:p w:rsidR="00B57F4B" w:rsidRPr="00F73010" w:rsidRDefault="00B57F4B" w:rsidP="00D8251D">
            <w:pPr>
              <w:pStyle w:val="TableBodyText"/>
              <w:jc w:val="left"/>
            </w:pPr>
            <w:r w:rsidRPr="00F73010">
              <w:t>Non-metallic mineral products</w:t>
            </w:r>
            <w:r>
              <w:t xml:space="preserve"> </w:t>
            </w:r>
          </w:p>
        </w:tc>
        <w:tc>
          <w:tcPr>
            <w:tcW w:w="1282" w:type="pct"/>
            <w:shd w:val="clear" w:color="auto" w:fill="auto"/>
          </w:tcPr>
          <w:p w:rsidR="00B57F4B" w:rsidRDefault="00B57F4B" w:rsidP="00485E54">
            <w:pPr>
              <w:pStyle w:val="TableBodyText"/>
            </w:pPr>
            <w:r>
              <w:t>1.03</w:t>
            </w:r>
          </w:p>
        </w:tc>
        <w:tc>
          <w:tcPr>
            <w:tcW w:w="1282" w:type="pct"/>
            <w:shd w:val="clear" w:color="auto" w:fill="auto"/>
          </w:tcPr>
          <w:p w:rsidR="00B57F4B" w:rsidRDefault="00B57F4B" w:rsidP="00B57F4B">
            <w:pPr>
              <w:pStyle w:val="TableBodyText"/>
            </w:pPr>
            <w:r>
              <w:t>1.00</w:t>
            </w:r>
          </w:p>
        </w:tc>
      </w:tr>
      <w:tr w:rsidR="00B57F4B" w:rsidTr="00D8251D">
        <w:tc>
          <w:tcPr>
            <w:tcW w:w="2435" w:type="pct"/>
            <w:shd w:val="clear" w:color="auto" w:fill="D9D9D9" w:themeFill="background1" w:themeFillShade="D9"/>
            <w:vAlign w:val="bottom"/>
          </w:tcPr>
          <w:p w:rsidR="00B57F4B" w:rsidRPr="00F73010" w:rsidRDefault="00B57F4B" w:rsidP="00D8251D">
            <w:pPr>
              <w:pStyle w:val="TableBodyText"/>
              <w:jc w:val="left"/>
            </w:pPr>
            <w:r w:rsidRPr="00F73010">
              <w:t>Metal products</w:t>
            </w:r>
            <w:r>
              <w:t xml:space="preserve"> </w:t>
            </w:r>
          </w:p>
        </w:tc>
        <w:tc>
          <w:tcPr>
            <w:tcW w:w="1282" w:type="pct"/>
            <w:shd w:val="clear" w:color="auto" w:fill="D9D9D9" w:themeFill="background1" w:themeFillShade="D9"/>
          </w:tcPr>
          <w:p w:rsidR="00B57F4B" w:rsidRDefault="00B57F4B" w:rsidP="00485E54">
            <w:pPr>
              <w:pStyle w:val="TableBodyText"/>
            </w:pPr>
            <w:r>
              <w:t>1.04</w:t>
            </w:r>
          </w:p>
        </w:tc>
        <w:tc>
          <w:tcPr>
            <w:tcW w:w="1282" w:type="pct"/>
            <w:shd w:val="clear" w:color="auto" w:fill="D9D9D9" w:themeFill="background1" w:themeFillShade="D9"/>
          </w:tcPr>
          <w:p w:rsidR="00B57F4B" w:rsidRDefault="00B57F4B" w:rsidP="00B57F4B">
            <w:pPr>
              <w:pStyle w:val="TableBodyText"/>
            </w:pPr>
            <w:r>
              <w:t>0.99</w:t>
            </w:r>
          </w:p>
        </w:tc>
      </w:tr>
      <w:tr w:rsidR="00B57F4B" w:rsidTr="00D8251D">
        <w:tc>
          <w:tcPr>
            <w:tcW w:w="2435" w:type="pct"/>
            <w:shd w:val="clear" w:color="auto" w:fill="auto"/>
            <w:vAlign w:val="bottom"/>
          </w:tcPr>
          <w:p w:rsidR="00B57F4B" w:rsidRDefault="00B57F4B" w:rsidP="00D8251D">
            <w:pPr>
              <w:pStyle w:val="TableBodyText"/>
              <w:jc w:val="left"/>
            </w:pPr>
            <w:r w:rsidRPr="00F73010">
              <w:t xml:space="preserve">Machinery </w:t>
            </w:r>
            <w:r>
              <w:t>&amp;</w:t>
            </w:r>
            <w:r w:rsidRPr="00F73010">
              <w:t xml:space="preserve"> equipment</w:t>
            </w:r>
            <w:r>
              <w:t xml:space="preserve"> manufacturing</w:t>
            </w:r>
          </w:p>
        </w:tc>
        <w:tc>
          <w:tcPr>
            <w:tcW w:w="1282" w:type="pct"/>
            <w:shd w:val="clear" w:color="auto" w:fill="auto"/>
          </w:tcPr>
          <w:p w:rsidR="00B57F4B" w:rsidRDefault="00B57F4B" w:rsidP="00485E54">
            <w:pPr>
              <w:pStyle w:val="TableBodyText"/>
            </w:pPr>
            <w:r>
              <w:t>1.02</w:t>
            </w:r>
          </w:p>
        </w:tc>
        <w:tc>
          <w:tcPr>
            <w:tcW w:w="1282" w:type="pct"/>
            <w:shd w:val="clear" w:color="auto" w:fill="auto"/>
          </w:tcPr>
          <w:p w:rsidR="00B57F4B" w:rsidRDefault="00B57F4B" w:rsidP="00B57F4B">
            <w:pPr>
              <w:pStyle w:val="TableBodyText"/>
            </w:pPr>
            <w:r>
              <w:t>1.00</w:t>
            </w:r>
          </w:p>
        </w:tc>
      </w:tr>
      <w:tr w:rsidR="00DA3625" w:rsidTr="00D8251D">
        <w:tc>
          <w:tcPr>
            <w:tcW w:w="2435" w:type="pct"/>
            <w:tcBorders>
              <w:bottom w:val="single" w:sz="6" w:space="0" w:color="auto"/>
            </w:tcBorders>
            <w:shd w:val="clear" w:color="auto" w:fill="D9D9D9" w:themeFill="background1" w:themeFillShade="D9"/>
            <w:vAlign w:val="bottom"/>
          </w:tcPr>
          <w:p w:rsidR="00DA3625" w:rsidRPr="00D8251D" w:rsidRDefault="00CE4490" w:rsidP="00D8251D">
            <w:pPr>
              <w:pStyle w:val="TableBodyText"/>
              <w:jc w:val="left"/>
              <w:rPr>
                <w:b/>
              </w:rPr>
            </w:pPr>
            <w:r w:rsidRPr="00D8251D">
              <w:rPr>
                <w:b/>
              </w:rPr>
              <w:t xml:space="preserve">Total </w:t>
            </w:r>
            <w:r w:rsidR="002E6911" w:rsidRPr="00D8251D">
              <w:rPr>
                <w:b/>
              </w:rPr>
              <w:t>Manufacturing</w:t>
            </w:r>
          </w:p>
        </w:tc>
        <w:tc>
          <w:tcPr>
            <w:tcW w:w="1282" w:type="pct"/>
            <w:tcBorders>
              <w:bottom w:val="single" w:sz="6" w:space="0" w:color="auto"/>
            </w:tcBorders>
            <w:shd w:val="clear" w:color="auto" w:fill="D9D9D9" w:themeFill="background1" w:themeFillShade="D9"/>
          </w:tcPr>
          <w:p w:rsidR="00DA3625" w:rsidRPr="00D8251D" w:rsidRDefault="00E36BAE" w:rsidP="00485E54">
            <w:pPr>
              <w:pStyle w:val="TableBodyText"/>
              <w:rPr>
                <w:b/>
              </w:rPr>
            </w:pPr>
            <w:r w:rsidRPr="00D8251D">
              <w:rPr>
                <w:b/>
              </w:rPr>
              <w:t>1.03</w:t>
            </w:r>
          </w:p>
        </w:tc>
        <w:tc>
          <w:tcPr>
            <w:tcW w:w="1282" w:type="pct"/>
            <w:tcBorders>
              <w:bottom w:val="single" w:sz="6" w:space="0" w:color="auto"/>
            </w:tcBorders>
            <w:shd w:val="clear" w:color="auto" w:fill="D9D9D9" w:themeFill="background1" w:themeFillShade="D9"/>
          </w:tcPr>
          <w:p w:rsidR="00DA3625" w:rsidRPr="00D8251D" w:rsidRDefault="00DA3625" w:rsidP="00B57F4B">
            <w:pPr>
              <w:pStyle w:val="TableBodyText"/>
              <w:rPr>
                <w:b/>
              </w:rPr>
            </w:pPr>
            <w:r w:rsidRPr="00D8251D">
              <w:rPr>
                <w:b/>
              </w:rPr>
              <w:t>1.00</w:t>
            </w:r>
          </w:p>
        </w:tc>
      </w:tr>
    </w:tbl>
    <w:p w:rsidR="00DA3625" w:rsidRDefault="004F6C5A" w:rsidP="00485E54">
      <w:pPr>
        <w:pStyle w:val="Note"/>
      </w:pPr>
      <w:r>
        <w:rPr>
          <w:rStyle w:val="NoteLabel"/>
        </w:rPr>
        <w:t>a</w:t>
      </w:r>
      <w:r w:rsidRPr="004F6C5A">
        <w:t xml:space="preserve"> </w:t>
      </w:r>
      <w:r w:rsidR="00D70587">
        <w:t xml:space="preserve">Aggregated to subsectors from </w:t>
      </w:r>
      <w:proofErr w:type="spellStart"/>
      <w:r w:rsidR="00D70587">
        <w:t>ANZSIC06</w:t>
      </w:r>
      <w:proofErr w:type="spellEnd"/>
      <w:r w:rsidR="00D70587">
        <w:t xml:space="preserve"> industry subdivisions</w:t>
      </w:r>
      <w:r w:rsidR="00DA3625">
        <w:t>.</w:t>
      </w:r>
    </w:p>
    <w:p w:rsidR="00DA3625" w:rsidRPr="008E77FE" w:rsidRDefault="00DA3625" w:rsidP="00485E54">
      <w:pPr>
        <w:pStyle w:val="Source"/>
      </w:pPr>
      <w:r>
        <w:rPr>
          <w:i/>
        </w:rPr>
        <w:t>Source</w:t>
      </w:r>
      <w:r w:rsidR="00F96295">
        <w:rPr>
          <w:i/>
        </w:rPr>
        <w:t>s</w:t>
      </w:r>
      <w:r>
        <w:t xml:space="preserve">: </w:t>
      </w:r>
      <w:r w:rsidR="00F96295">
        <w:t>Authors’ estimates b</w:t>
      </w:r>
      <w:r w:rsidR="00E735D9">
        <w:t>ased on ABS (</w:t>
      </w:r>
      <w:r w:rsidR="00E735D9">
        <w:rPr>
          <w:i/>
        </w:rPr>
        <w:t xml:space="preserve">Manufacturing Industry, Australia, </w:t>
      </w:r>
      <w:r w:rsidR="00E735D9" w:rsidRPr="00E735D9">
        <w:rPr>
          <w:i/>
        </w:rPr>
        <w:t>2006</w:t>
      </w:r>
      <w:r w:rsidR="00FF62BB">
        <w:rPr>
          <w:i/>
        </w:rPr>
        <w:noBreakHyphen/>
      </w:r>
      <w:r w:rsidR="00E735D9" w:rsidRPr="00E735D9">
        <w:rPr>
          <w:i/>
        </w:rPr>
        <w:t>07</w:t>
      </w:r>
      <w:r w:rsidR="00E735D9">
        <w:t>, Cat. no. 8221.0)</w:t>
      </w:r>
      <w:r w:rsidR="00F96295">
        <w:t>;</w:t>
      </w:r>
      <w:r w:rsidR="00E735D9">
        <w:t xml:space="preserve"> and ABS (</w:t>
      </w:r>
      <w:r w:rsidR="00E735D9">
        <w:rPr>
          <w:i/>
        </w:rPr>
        <w:t xml:space="preserve">Australian Industry, </w:t>
      </w:r>
      <w:r w:rsidR="00E735D9" w:rsidRPr="00E735D9">
        <w:rPr>
          <w:i/>
        </w:rPr>
        <w:t>2006</w:t>
      </w:r>
      <w:r w:rsidR="00FF62BB">
        <w:rPr>
          <w:i/>
        </w:rPr>
        <w:noBreakHyphen/>
      </w:r>
      <w:r w:rsidR="00E735D9" w:rsidRPr="00E735D9">
        <w:rPr>
          <w:i/>
        </w:rPr>
        <w:t>07</w:t>
      </w:r>
      <w:r w:rsidR="00E735D9">
        <w:t>, Cat. no. 8155.0).</w:t>
      </w:r>
    </w:p>
    <w:p w:rsidR="00981A8A" w:rsidRDefault="00981A8A" w:rsidP="006E249D">
      <w:pPr>
        <w:pStyle w:val="BodyText"/>
      </w:pPr>
      <w:r>
        <w:t>The 1989</w:t>
      </w:r>
      <w:r w:rsidR="00FF62BB">
        <w:noBreakHyphen/>
      </w:r>
      <w:r>
        <w:t>90 issue of Cat. no. 8221.0 refers to a change in the coverage compared with earlier surveys and provides a table of conversion factors (table</w:t>
      </w:r>
      <w:r w:rsidR="009421DB">
        <w:t xml:space="preserve"> </w:t>
      </w:r>
      <w:proofErr w:type="spellStart"/>
      <w:r w:rsidR="00D86322">
        <w:t>A.10</w:t>
      </w:r>
      <w:proofErr w:type="spellEnd"/>
      <w:r w:rsidR="00337D78">
        <w:t>)</w:t>
      </w:r>
      <w:r>
        <w:t>. It appears that these have already been applied to data from 1987</w:t>
      </w:r>
      <w:r w:rsidR="00FF62BB">
        <w:noBreakHyphen/>
      </w:r>
      <w:r>
        <w:t xml:space="preserve">88 published in later issues of </w:t>
      </w:r>
      <w:r w:rsidR="00D70587">
        <w:t xml:space="preserve">Cat. no. </w:t>
      </w:r>
      <w:r>
        <w:t xml:space="preserve">8221.0. Therefore the conversion factors </w:t>
      </w:r>
      <w:r w:rsidR="006E7FCF">
        <w:t>were</w:t>
      </w:r>
      <w:r>
        <w:t xml:space="preserve"> applied to 1986</w:t>
      </w:r>
      <w:r w:rsidR="00FF62BB">
        <w:noBreakHyphen/>
      </w:r>
      <w:r>
        <w:t>87 and 1984</w:t>
      </w:r>
      <w:r w:rsidR="00FF62BB">
        <w:noBreakHyphen/>
      </w:r>
      <w:r>
        <w:t>85 data.</w:t>
      </w:r>
      <w:r w:rsidR="00AD73F5">
        <w:t xml:space="preserve"> The </w:t>
      </w:r>
      <w:r w:rsidR="00D70587">
        <w:t xml:space="preserve">Cat. no. </w:t>
      </w:r>
      <w:r w:rsidR="00AD73F5">
        <w:t>8221.0 to 8155.0 factors were then applied to this</w:t>
      </w:r>
      <w:r w:rsidR="00A57A2F">
        <w:t xml:space="preserve"> converted data</w:t>
      </w:r>
      <w:r w:rsidR="00AD73F5">
        <w:t>.</w:t>
      </w:r>
    </w:p>
    <w:p w:rsidR="00981A8A" w:rsidRDefault="00981A8A">
      <w:pPr>
        <w:pStyle w:val="TableTitle"/>
      </w:pPr>
      <w:r>
        <w:rPr>
          <w:b w:val="0"/>
        </w:rPr>
        <w:lastRenderedPageBreak/>
        <w:t xml:space="preserve">Table </w:t>
      </w:r>
      <w:bookmarkStart w:id="28" w:name="OLE_LINK5"/>
      <w:proofErr w:type="spellStart"/>
      <w:r w:rsidR="006A4091">
        <w:rPr>
          <w:b w:val="0"/>
        </w:rPr>
        <w:t>A.</w:t>
      </w:r>
      <w:r w:rsidR="001459D9">
        <w:rPr>
          <w:b w:val="0"/>
          <w:noProof/>
        </w:rPr>
        <w:t>10</w:t>
      </w:r>
      <w:bookmarkEnd w:id="28"/>
      <w:proofErr w:type="spellEnd"/>
      <w:r>
        <w:tab/>
      </w:r>
      <w:r w:rsidR="00CD7CA5">
        <w:t>Conversion factors</w:t>
      </w:r>
      <w:r w:rsidR="004170AA">
        <w:t>:</w:t>
      </w:r>
      <w:r w:rsidR="00CD7CA5">
        <w:t xml:space="preserve"> </w:t>
      </w:r>
      <w:r w:rsidR="00D70587">
        <w:t xml:space="preserve">Cat. no. </w:t>
      </w:r>
      <w:r>
        <w:t xml:space="preserve">8103.0 to </w:t>
      </w:r>
      <w:r w:rsidR="004170AA">
        <w:t>Cat. no. 8221.0</w:t>
      </w:r>
    </w:p>
    <w:tbl>
      <w:tblPr>
        <w:tblW w:w="5000" w:type="pct"/>
        <w:tblCellMar>
          <w:left w:w="0" w:type="dxa"/>
          <w:right w:w="0" w:type="dxa"/>
        </w:tblCellMar>
        <w:tblLook w:val="0000" w:firstRow="0" w:lastRow="0" w:firstColumn="0" w:lastColumn="0" w:noHBand="0" w:noVBand="0"/>
      </w:tblPr>
      <w:tblGrid>
        <w:gridCol w:w="4678"/>
        <w:gridCol w:w="4111"/>
      </w:tblGrid>
      <w:tr w:rsidR="00151A8F" w:rsidTr="00A71738">
        <w:tc>
          <w:tcPr>
            <w:tcW w:w="2661" w:type="pct"/>
            <w:tcBorders>
              <w:top w:val="single" w:sz="6" w:space="0" w:color="auto"/>
              <w:bottom w:val="single" w:sz="6" w:space="0" w:color="auto"/>
            </w:tcBorders>
            <w:shd w:val="clear" w:color="auto" w:fill="auto"/>
            <w:vAlign w:val="bottom"/>
          </w:tcPr>
          <w:p w:rsidR="00151A8F" w:rsidRDefault="00434837" w:rsidP="00A71738">
            <w:pPr>
              <w:pStyle w:val="TableColumnHeading"/>
              <w:jc w:val="left"/>
            </w:pPr>
            <w:r>
              <w:t>Subsector</w:t>
            </w:r>
            <w:r w:rsidR="00151A8F" w:rsidRPr="00151A8F">
              <w:rPr>
                <w:rStyle w:val="NoteLabel"/>
                <w:i w:val="0"/>
              </w:rPr>
              <w:t>a</w:t>
            </w:r>
          </w:p>
        </w:tc>
        <w:tc>
          <w:tcPr>
            <w:tcW w:w="2339" w:type="pct"/>
            <w:tcBorders>
              <w:top w:val="single" w:sz="6" w:space="0" w:color="auto"/>
              <w:bottom w:val="single" w:sz="6" w:space="0" w:color="auto"/>
            </w:tcBorders>
            <w:shd w:val="clear" w:color="auto" w:fill="auto"/>
            <w:vAlign w:val="bottom"/>
          </w:tcPr>
          <w:p w:rsidR="00151A8F" w:rsidRDefault="009A0AF3" w:rsidP="00A71738">
            <w:pPr>
              <w:pStyle w:val="TableColumnHeading"/>
            </w:pPr>
            <w:r>
              <w:t>Conversion factor</w:t>
            </w:r>
          </w:p>
        </w:tc>
      </w:tr>
      <w:tr w:rsidR="00B57F4B" w:rsidRPr="006E3C66" w:rsidTr="00A71738">
        <w:tc>
          <w:tcPr>
            <w:tcW w:w="2661" w:type="pct"/>
            <w:tcBorders>
              <w:top w:val="single" w:sz="6" w:space="0" w:color="auto"/>
            </w:tcBorders>
            <w:shd w:val="clear" w:color="auto" w:fill="D9D9D9" w:themeFill="background1" w:themeFillShade="D9"/>
            <w:vAlign w:val="bottom"/>
          </w:tcPr>
          <w:p w:rsidR="00B57F4B" w:rsidRPr="006E3C66" w:rsidRDefault="00B57F4B" w:rsidP="00A71738">
            <w:pPr>
              <w:pStyle w:val="TableBodyText"/>
              <w:jc w:val="left"/>
            </w:pPr>
            <w:r w:rsidRPr="006E3C66">
              <w:t>Food, beverage &amp; tobacco products</w:t>
            </w:r>
          </w:p>
        </w:tc>
        <w:tc>
          <w:tcPr>
            <w:tcW w:w="2339" w:type="pct"/>
            <w:tcBorders>
              <w:top w:val="single" w:sz="6" w:space="0" w:color="auto"/>
            </w:tcBorders>
            <w:shd w:val="clear" w:color="auto" w:fill="D9D9D9" w:themeFill="background1" w:themeFillShade="D9"/>
            <w:vAlign w:val="bottom"/>
          </w:tcPr>
          <w:p w:rsidR="00B57F4B" w:rsidRPr="006E3C66" w:rsidRDefault="00B57F4B" w:rsidP="006E3C66">
            <w:pPr>
              <w:pStyle w:val="TableBodyText"/>
            </w:pPr>
            <w:r w:rsidRPr="006E3C66">
              <w:t>1.01</w:t>
            </w:r>
          </w:p>
        </w:tc>
      </w:tr>
      <w:tr w:rsidR="00B57F4B" w:rsidTr="00A71738">
        <w:tc>
          <w:tcPr>
            <w:tcW w:w="2661" w:type="pct"/>
            <w:vAlign w:val="bottom"/>
          </w:tcPr>
          <w:p w:rsidR="00B57F4B" w:rsidRPr="00F73010" w:rsidRDefault="00B57F4B" w:rsidP="00A71738">
            <w:pPr>
              <w:pStyle w:val="TableBodyText"/>
              <w:jc w:val="left"/>
            </w:pPr>
            <w:r w:rsidRPr="00F73010">
              <w:t xml:space="preserve">Textile, clothing </w:t>
            </w:r>
            <w:r>
              <w:t>&amp;</w:t>
            </w:r>
            <w:r w:rsidRPr="00F73010">
              <w:t xml:space="preserve"> other manufacturing</w:t>
            </w:r>
          </w:p>
        </w:tc>
        <w:tc>
          <w:tcPr>
            <w:tcW w:w="2339" w:type="pct"/>
            <w:vAlign w:val="bottom"/>
          </w:tcPr>
          <w:p w:rsidR="00B57F4B" w:rsidRDefault="00B57F4B" w:rsidP="00575629">
            <w:pPr>
              <w:pStyle w:val="TableBodyText"/>
            </w:pPr>
            <w:r>
              <w:t>1.03</w:t>
            </w:r>
          </w:p>
        </w:tc>
      </w:tr>
      <w:tr w:rsidR="00B57F4B" w:rsidTr="00A71738">
        <w:tc>
          <w:tcPr>
            <w:tcW w:w="2661" w:type="pct"/>
            <w:shd w:val="clear" w:color="auto" w:fill="D9D9D9" w:themeFill="background1" w:themeFillShade="D9"/>
            <w:vAlign w:val="bottom"/>
          </w:tcPr>
          <w:p w:rsidR="00B57F4B" w:rsidRPr="00F73010" w:rsidRDefault="00B57F4B" w:rsidP="00A71738">
            <w:pPr>
              <w:pStyle w:val="TableBodyText"/>
              <w:jc w:val="left"/>
            </w:pPr>
            <w:r w:rsidRPr="00F73010">
              <w:t xml:space="preserve">Wood </w:t>
            </w:r>
            <w:r>
              <w:t>&amp;</w:t>
            </w:r>
            <w:r w:rsidRPr="00F73010">
              <w:t xml:space="preserve"> paper products</w:t>
            </w:r>
            <w:r>
              <w:t xml:space="preserve"> </w:t>
            </w:r>
          </w:p>
        </w:tc>
        <w:tc>
          <w:tcPr>
            <w:tcW w:w="2339" w:type="pct"/>
            <w:shd w:val="clear" w:color="auto" w:fill="D9D9D9" w:themeFill="background1" w:themeFillShade="D9"/>
            <w:vAlign w:val="bottom"/>
          </w:tcPr>
          <w:p w:rsidR="00B57F4B" w:rsidRDefault="00B57F4B" w:rsidP="00575629">
            <w:pPr>
              <w:pStyle w:val="TableBodyText"/>
            </w:pPr>
            <w:r>
              <w:t>1.04</w:t>
            </w:r>
          </w:p>
        </w:tc>
      </w:tr>
      <w:tr w:rsidR="00B57F4B" w:rsidTr="00A71738">
        <w:tc>
          <w:tcPr>
            <w:tcW w:w="2661" w:type="pct"/>
            <w:shd w:val="clear" w:color="auto" w:fill="auto"/>
            <w:vAlign w:val="bottom"/>
          </w:tcPr>
          <w:p w:rsidR="00B57F4B" w:rsidRPr="00F73010" w:rsidRDefault="00B57F4B" w:rsidP="00A71738">
            <w:pPr>
              <w:pStyle w:val="TableBodyText"/>
              <w:jc w:val="left"/>
            </w:pPr>
            <w:r w:rsidRPr="00F73010">
              <w:t xml:space="preserve">Printing </w:t>
            </w:r>
            <w:r>
              <w:t>&amp;</w:t>
            </w:r>
            <w:r w:rsidRPr="00F73010">
              <w:t xml:space="preserve"> recorded media</w:t>
            </w:r>
          </w:p>
        </w:tc>
        <w:tc>
          <w:tcPr>
            <w:tcW w:w="2339" w:type="pct"/>
            <w:shd w:val="clear" w:color="auto" w:fill="auto"/>
            <w:vAlign w:val="bottom"/>
          </w:tcPr>
          <w:p w:rsidR="00B57F4B" w:rsidRDefault="00B57F4B" w:rsidP="00575629">
            <w:pPr>
              <w:pStyle w:val="TableBodyText"/>
            </w:pPr>
            <w:r>
              <w:t>1.03</w:t>
            </w:r>
          </w:p>
        </w:tc>
      </w:tr>
      <w:tr w:rsidR="00B57F4B" w:rsidTr="00A71738">
        <w:tc>
          <w:tcPr>
            <w:tcW w:w="2661" w:type="pct"/>
            <w:shd w:val="clear" w:color="auto" w:fill="D9D9D9" w:themeFill="background1" w:themeFillShade="D9"/>
            <w:vAlign w:val="bottom"/>
          </w:tcPr>
          <w:p w:rsidR="00B57F4B" w:rsidRPr="00F73010" w:rsidRDefault="00B57F4B" w:rsidP="00A71738">
            <w:pPr>
              <w:pStyle w:val="TableBodyText"/>
              <w:jc w:val="left"/>
            </w:pPr>
            <w:r w:rsidRPr="00F73010">
              <w:t xml:space="preserve">Petroleum, coal, chemical </w:t>
            </w:r>
            <w:r>
              <w:t>&amp;</w:t>
            </w:r>
            <w:r w:rsidRPr="00F73010">
              <w:t xml:space="preserve"> rubber products</w:t>
            </w:r>
          </w:p>
        </w:tc>
        <w:tc>
          <w:tcPr>
            <w:tcW w:w="2339" w:type="pct"/>
            <w:shd w:val="clear" w:color="auto" w:fill="D9D9D9" w:themeFill="background1" w:themeFillShade="D9"/>
            <w:vAlign w:val="bottom"/>
          </w:tcPr>
          <w:p w:rsidR="00B57F4B" w:rsidRDefault="00B57F4B" w:rsidP="00575629">
            <w:pPr>
              <w:pStyle w:val="TableBodyText"/>
            </w:pPr>
            <w:r>
              <w:t>1.02</w:t>
            </w:r>
          </w:p>
        </w:tc>
      </w:tr>
      <w:tr w:rsidR="00B57F4B" w:rsidTr="00A71738">
        <w:tc>
          <w:tcPr>
            <w:tcW w:w="2661" w:type="pct"/>
            <w:shd w:val="clear" w:color="auto" w:fill="auto"/>
            <w:vAlign w:val="bottom"/>
          </w:tcPr>
          <w:p w:rsidR="00B57F4B" w:rsidRPr="00F73010" w:rsidRDefault="00B57F4B" w:rsidP="00A71738">
            <w:pPr>
              <w:pStyle w:val="TableBodyText"/>
              <w:jc w:val="left"/>
            </w:pPr>
            <w:r w:rsidRPr="00F73010">
              <w:t>Non-metallic mineral products</w:t>
            </w:r>
            <w:r>
              <w:t xml:space="preserve"> </w:t>
            </w:r>
          </w:p>
        </w:tc>
        <w:tc>
          <w:tcPr>
            <w:tcW w:w="2339" w:type="pct"/>
            <w:shd w:val="clear" w:color="auto" w:fill="auto"/>
            <w:vAlign w:val="bottom"/>
          </w:tcPr>
          <w:p w:rsidR="00B57F4B" w:rsidRDefault="00B57F4B" w:rsidP="00575629">
            <w:pPr>
              <w:pStyle w:val="TableBodyText"/>
            </w:pPr>
            <w:r>
              <w:t>1.02</w:t>
            </w:r>
          </w:p>
        </w:tc>
      </w:tr>
      <w:tr w:rsidR="00B57F4B" w:rsidTr="00A71738">
        <w:tc>
          <w:tcPr>
            <w:tcW w:w="2661" w:type="pct"/>
            <w:shd w:val="clear" w:color="auto" w:fill="D9D9D9" w:themeFill="background1" w:themeFillShade="D9"/>
            <w:vAlign w:val="bottom"/>
          </w:tcPr>
          <w:p w:rsidR="00B57F4B" w:rsidRPr="00F73010" w:rsidRDefault="00B57F4B" w:rsidP="00A71738">
            <w:pPr>
              <w:pStyle w:val="TableBodyText"/>
              <w:jc w:val="left"/>
            </w:pPr>
            <w:r w:rsidRPr="00F73010">
              <w:t>Metal products</w:t>
            </w:r>
            <w:r>
              <w:t xml:space="preserve"> </w:t>
            </w:r>
          </w:p>
        </w:tc>
        <w:tc>
          <w:tcPr>
            <w:tcW w:w="2339" w:type="pct"/>
            <w:shd w:val="clear" w:color="auto" w:fill="D9D9D9" w:themeFill="background1" w:themeFillShade="D9"/>
            <w:vAlign w:val="bottom"/>
          </w:tcPr>
          <w:p w:rsidR="00B57F4B" w:rsidRDefault="00B57F4B" w:rsidP="00575629">
            <w:pPr>
              <w:pStyle w:val="TableBodyText"/>
            </w:pPr>
            <w:r>
              <w:t>1.02</w:t>
            </w:r>
          </w:p>
        </w:tc>
      </w:tr>
      <w:tr w:rsidR="00B57F4B" w:rsidTr="00A71738">
        <w:tc>
          <w:tcPr>
            <w:tcW w:w="2661" w:type="pct"/>
            <w:shd w:val="clear" w:color="auto" w:fill="auto"/>
            <w:vAlign w:val="bottom"/>
          </w:tcPr>
          <w:p w:rsidR="00B57F4B" w:rsidRDefault="00B57F4B" w:rsidP="00A71738">
            <w:pPr>
              <w:pStyle w:val="TableBodyText"/>
              <w:jc w:val="left"/>
            </w:pPr>
            <w:r w:rsidRPr="00F73010">
              <w:t xml:space="preserve">Machinery </w:t>
            </w:r>
            <w:r>
              <w:t>&amp;</w:t>
            </w:r>
            <w:r w:rsidRPr="00F73010">
              <w:t xml:space="preserve"> equipment</w:t>
            </w:r>
            <w:r>
              <w:t xml:space="preserve"> manufacturing</w:t>
            </w:r>
          </w:p>
        </w:tc>
        <w:tc>
          <w:tcPr>
            <w:tcW w:w="2339" w:type="pct"/>
            <w:shd w:val="clear" w:color="auto" w:fill="auto"/>
            <w:vAlign w:val="bottom"/>
          </w:tcPr>
          <w:p w:rsidR="00B57F4B" w:rsidRDefault="00B57F4B" w:rsidP="00575629">
            <w:pPr>
              <w:pStyle w:val="TableBodyText"/>
            </w:pPr>
            <w:r>
              <w:t>1.02</w:t>
            </w:r>
          </w:p>
        </w:tc>
      </w:tr>
      <w:tr w:rsidR="00D86322" w:rsidRPr="00A71738" w:rsidTr="00A71738">
        <w:tc>
          <w:tcPr>
            <w:tcW w:w="2661" w:type="pct"/>
            <w:tcBorders>
              <w:bottom w:val="single" w:sz="4" w:space="0" w:color="auto"/>
            </w:tcBorders>
            <w:shd w:val="clear" w:color="auto" w:fill="D9D9D9" w:themeFill="background1" w:themeFillShade="D9"/>
            <w:vAlign w:val="bottom"/>
          </w:tcPr>
          <w:p w:rsidR="00D86322" w:rsidRPr="00A71738" w:rsidRDefault="00D86322" w:rsidP="00A71738">
            <w:pPr>
              <w:pStyle w:val="TableBodyText"/>
              <w:jc w:val="left"/>
              <w:rPr>
                <w:b/>
              </w:rPr>
            </w:pPr>
            <w:r w:rsidRPr="00A71738">
              <w:rPr>
                <w:b/>
              </w:rPr>
              <w:t xml:space="preserve">Total </w:t>
            </w:r>
            <w:r w:rsidR="002E6911" w:rsidRPr="00A71738">
              <w:rPr>
                <w:b/>
              </w:rPr>
              <w:t>Manufacturing</w:t>
            </w:r>
          </w:p>
        </w:tc>
        <w:tc>
          <w:tcPr>
            <w:tcW w:w="2339" w:type="pct"/>
            <w:tcBorders>
              <w:bottom w:val="single" w:sz="4" w:space="0" w:color="auto"/>
            </w:tcBorders>
            <w:shd w:val="clear" w:color="auto" w:fill="D9D9D9" w:themeFill="background1" w:themeFillShade="D9"/>
            <w:vAlign w:val="bottom"/>
          </w:tcPr>
          <w:p w:rsidR="00D86322" w:rsidRPr="00A71738" w:rsidRDefault="00D86322" w:rsidP="00575629">
            <w:pPr>
              <w:pStyle w:val="TableBodyText"/>
              <w:rPr>
                <w:b/>
              </w:rPr>
            </w:pPr>
            <w:r w:rsidRPr="00A71738">
              <w:rPr>
                <w:b/>
              </w:rPr>
              <w:t>1.03</w:t>
            </w:r>
          </w:p>
        </w:tc>
      </w:tr>
    </w:tbl>
    <w:p w:rsidR="00981A8A" w:rsidRDefault="00D70587" w:rsidP="003E732A">
      <w:pPr>
        <w:pStyle w:val="Note"/>
      </w:pPr>
      <w:r>
        <w:rPr>
          <w:rStyle w:val="NoteLabel"/>
        </w:rPr>
        <w:t>a</w:t>
      </w:r>
      <w:r w:rsidR="00151A8F">
        <w:t xml:space="preserve"> Aggregated to subsectors from </w:t>
      </w:r>
      <w:proofErr w:type="spellStart"/>
      <w:r w:rsidR="00151A8F">
        <w:t>ANZSIC93</w:t>
      </w:r>
      <w:proofErr w:type="spellEnd"/>
      <w:r w:rsidR="00151A8F">
        <w:t xml:space="preserve"> industry </w:t>
      </w:r>
      <w:r>
        <w:t>sub</w:t>
      </w:r>
      <w:r w:rsidR="00151A8F">
        <w:t>divisions based on value added shares for 1986</w:t>
      </w:r>
      <w:r w:rsidR="00FF62BB">
        <w:noBreakHyphen/>
      </w:r>
      <w:r w:rsidR="00151A8F">
        <w:t xml:space="preserve">87. </w:t>
      </w:r>
    </w:p>
    <w:p w:rsidR="00E735D9" w:rsidRPr="008E77FE" w:rsidRDefault="00981A8A" w:rsidP="00E735D9">
      <w:pPr>
        <w:pStyle w:val="Source"/>
      </w:pPr>
      <w:r>
        <w:rPr>
          <w:i/>
        </w:rPr>
        <w:t>Source</w:t>
      </w:r>
      <w:r>
        <w:t xml:space="preserve">: </w:t>
      </w:r>
      <w:r w:rsidR="00F96295">
        <w:t>Authors’ estimates b</w:t>
      </w:r>
      <w:r w:rsidR="00E735D9">
        <w:t>ased on ABS (</w:t>
      </w:r>
      <w:r w:rsidR="00E735D9">
        <w:rPr>
          <w:i/>
        </w:rPr>
        <w:t>Manufacturing Industry, Australia, 1989</w:t>
      </w:r>
      <w:r w:rsidR="00FF62BB">
        <w:rPr>
          <w:i/>
        </w:rPr>
        <w:noBreakHyphen/>
      </w:r>
      <w:r w:rsidR="00E735D9">
        <w:rPr>
          <w:i/>
        </w:rPr>
        <w:t>90</w:t>
      </w:r>
      <w:r w:rsidR="00E735D9">
        <w:t>, Cat. no. 8221.0, table</w:t>
      </w:r>
      <w:r w:rsidR="00F96295">
        <w:t> </w:t>
      </w:r>
      <w:r w:rsidR="00E735D9">
        <w:t>12).</w:t>
      </w:r>
    </w:p>
    <w:p w:rsidR="00BE00D9" w:rsidRDefault="00320CC2" w:rsidP="00BE00D9">
      <w:pPr>
        <w:pStyle w:val="Heading5"/>
      </w:pPr>
      <w:r>
        <w:t xml:space="preserve">Change in establishment size </w:t>
      </w:r>
    </w:p>
    <w:p w:rsidR="005568F7" w:rsidRDefault="00320CC2" w:rsidP="00320CC2">
      <w:pPr>
        <w:pStyle w:val="BodyText"/>
      </w:pPr>
      <w:r>
        <w:t>Prior to 1987</w:t>
      </w:r>
      <w:r w:rsidR="00FF62BB">
        <w:noBreakHyphen/>
      </w:r>
      <w:r>
        <w:t xml:space="preserve">88, </w:t>
      </w:r>
      <w:r w:rsidR="00DF4826">
        <w:t xml:space="preserve">single </w:t>
      </w:r>
      <w:r>
        <w:t>establishment</w:t>
      </w:r>
      <w:r w:rsidR="00DF4826">
        <w:t xml:space="preserve"> </w:t>
      </w:r>
      <w:r w:rsidR="002E6911">
        <w:t>Manufacturing</w:t>
      </w:r>
      <w:r w:rsidR="00DF4826">
        <w:t xml:space="preserve"> enterprise</w:t>
      </w:r>
      <w:r>
        <w:t xml:space="preserve">s with less than </w:t>
      </w:r>
      <w:r w:rsidR="008E54BA">
        <w:t>four</w:t>
      </w:r>
      <w:r>
        <w:t xml:space="preserve"> employed were excluded from the survey. Insufficient data </w:t>
      </w:r>
      <w:r w:rsidR="006E7FCF">
        <w:t xml:space="preserve">were </w:t>
      </w:r>
      <w:r>
        <w:t xml:space="preserve">available to adjust </w:t>
      </w:r>
      <w:r w:rsidR="00310D2F">
        <w:t xml:space="preserve">the series </w:t>
      </w:r>
      <w:r>
        <w:t xml:space="preserve">for this change. </w:t>
      </w:r>
    </w:p>
    <w:p w:rsidR="00310D2F" w:rsidRDefault="00BE00D9" w:rsidP="00BE00D9">
      <w:pPr>
        <w:pStyle w:val="Heading5"/>
      </w:pPr>
      <w:r>
        <w:t>Change from establishments to management units</w:t>
      </w:r>
    </w:p>
    <w:p w:rsidR="00BE00D9" w:rsidRDefault="002F5B96" w:rsidP="00BE00D9">
      <w:pPr>
        <w:pStyle w:val="BodyText"/>
      </w:pPr>
      <w:r>
        <w:t>The 2000</w:t>
      </w:r>
      <w:r w:rsidR="00FF62BB">
        <w:noBreakHyphen/>
      </w:r>
      <w:r>
        <w:t xml:space="preserve">01 issue of </w:t>
      </w:r>
      <w:r w:rsidR="00BE00D9">
        <w:t xml:space="preserve">Cat. no. 8221.0 notes the change from measuring establishments to measuring management units. </w:t>
      </w:r>
      <w:r w:rsidR="00E735D9">
        <w:t>The two concepts are defined as follows.</w:t>
      </w:r>
    </w:p>
    <w:p w:rsidR="00E735D9" w:rsidRDefault="00E735D9" w:rsidP="00E735D9">
      <w:pPr>
        <w:pStyle w:val="Quote"/>
      </w:pPr>
      <w:r>
        <w:t xml:space="preserve">The establishment is the smallest accounting unit of a business, within a state or territory, controlling its productive activities and maintaining a specified range of detailed data </w:t>
      </w:r>
      <w:r w:rsidR="007F1923">
        <w:t xml:space="preserve">… </w:t>
      </w:r>
      <w:r>
        <w:t xml:space="preserve"> In general, an establishment covers all operations at a physical location, but may consist of groups of locations provided they are within the same state or territory. The majority of establishments operate at one location only.</w:t>
      </w:r>
    </w:p>
    <w:p w:rsidR="00E735D9" w:rsidRDefault="00E735D9" w:rsidP="00E735D9">
      <w:pPr>
        <w:pStyle w:val="Quote"/>
      </w:pPr>
      <w:r>
        <w:t xml:space="preserve">The management unit is the highest-level accounting unit within a business, having regard to industry homogeneity, for which accounts are maintained. In nearly all cases, it coincides with the legal entity owning the business </w:t>
      </w:r>
      <w:r w:rsidR="007F1923">
        <w:t>…</w:t>
      </w:r>
      <w:r>
        <w:t xml:space="preserve"> In the case of large diversified businesses, however, there may be more than one management unit, each coinciding with a 'division' or 'line of business'. A division or line of business is recognised where separate and comprehensive accounts are compiled for it. A management unit consists of one or more establishments.</w:t>
      </w:r>
    </w:p>
    <w:p w:rsidR="00971236" w:rsidRDefault="009D2F9F" w:rsidP="007F1923">
      <w:pPr>
        <w:pStyle w:val="BodyText"/>
      </w:pPr>
      <w:r>
        <w:t xml:space="preserve">A management unit can therefore be a more aggregated unit — it may include more than one establishment. </w:t>
      </w:r>
    </w:p>
    <w:p w:rsidR="007F1923" w:rsidRDefault="00971236" w:rsidP="007F1923">
      <w:pPr>
        <w:pStyle w:val="BodyText"/>
      </w:pPr>
      <w:r>
        <w:lastRenderedPageBreak/>
        <w:t xml:space="preserve">The main implication of this </w:t>
      </w:r>
      <w:r w:rsidR="00D8210B">
        <w:t xml:space="preserve">change </w:t>
      </w:r>
      <w:r>
        <w:t xml:space="preserve">is that some activities will be allocated to a different industry classification on the basis of management units than on the basis of establishments. </w:t>
      </w:r>
      <w:r w:rsidR="009D2F9F">
        <w:t xml:space="preserve">A management unit </w:t>
      </w:r>
      <w:r>
        <w:t>is</w:t>
      </w:r>
      <w:r w:rsidR="009D2F9F">
        <w:t xml:space="preserve"> allocated to an industry classification based on its predominate activity, but the data collected for it will cover all its activities. </w:t>
      </w:r>
      <w:r>
        <w:t xml:space="preserve">Where a management unit includes activities that are, for example, in different subdivisions of </w:t>
      </w:r>
      <w:r w:rsidR="002E6911">
        <w:t>Manufacturing</w:t>
      </w:r>
      <w:r>
        <w:t xml:space="preserve">, all activities will be allocated to the subdivision of the predominant activity. </w:t>
      </w:r>
    </w:p>
    <w:p w:rsidR="00BE00D9" w:rsidRDefault="00971236" w:rsidP="007F1923">
      <w:pPr>
        <w:pStyle w:val="BodyText"/>
      </w:pPr>
      <w:r>
        <w:t xml:space="preserve">Prior to this change to management units, data had been collected for some years for both establishments and management units. Using this data the ABS </w:t>
      </w:r>
      <w:r w:rsidR="00F618D1">
        <w:t>provided</w:t>
      </w:r>
      <w:r>
        <w:t xml:space="preserve"> bridging factors </w:t>
      </w:r>
      <w:r w:rsidR="003E6C52">
        <w:t xml:space="preserve">for conversion of data on an establishment basis to a management units basis </w:t>
      </w:r>
      <w:r w:rsidR="00BE00D9">
        <w:t>(table</w:t>
      </w:r>
      <w:r w:rsidR="009421DB">
        <w:t xml:space="preserve"> </w:t>
      </w:r>
      <w:proofErr w:type="spellStart"/>
      <w:r w:rsidR="00D86322">
        <w:t>A.11</w:t>
      </w:r>
      <w:proofErr w:type="spellEnd"/>
      <w:r w:rsidR="00BE00D9">
        <w:t>). The ABS appears to have already applied the</w:t>
      </w:r>
      <w:r w:rsidR="00263A16">
        <w:t>se</w:t>
      </w:r>
      <w:r w:rsidR="00BE00D9">
        <w:t xml:space="preserve"> factors back as far as 1995</w:t>
      </w:r>
      <w:r w:rsidR="00FF62BB">
        <w:noBreakHyphen/>
      </w:r>
      <w:r w:rsidR="00BE00D9">
        <w:t>96 and included these revised years of data in the 2000</w:t>
      </w:r>
      <w:r w:rsidR="00FF62BB">
        <w:noBreakHyphen/>
      </w:r>
      <w:r w:rsidR="00BE00D9">
        <w:t>01 is</w:t>
      </w:r>
      <w:r w:rsidR="00320E24">
        <w:t>sue</w:t>
      </w:r>
      <w:r w:rsidR="00BE00D9">
        <w:t>.</w:t>
      </w:r>
      <w:r w:rsidR="00320E24">
        <w:t xml:space="preserve"> </w:t>
      </w:r>
      <w:r w:rsidR="00263A16">
        <w:t xml:space="preserve">These factors </w:t>
      </w:r>
      <w:r w:rsidR="006E7FCF">
        <w:t xml:space="preserve">were </w:t>
      </w:r>
      <w:r w:rsidR="00263A16">
        <w:t>therefore applied to the compiled data from 1994</w:t>
      </w:r>
      <w:r w:rsidR="00FF62BB">
        <w:noBreakHyphen/>
      </w:r>
      <w:r w:rsidR="00263A16">
        <w:t>95 to 1988-</w:t>
      </w:r>
      <w:r w:rsidR="00B118BE">
        <w:t>8</w:t>
      </w:r>
      <w:r w:rsidR="00263A16">
        <w:t xml:space="preserve">9. </w:t>
      </w:r>
      <w:r w:rsidR="00320E24">
        <w:t>Prior to 1988</w:t>
      </w:r>
      <w:r w:rsidR="00FF62BB">
        <w:noBreakHyphen/>
      </w:r>
      <w:r w:rsidR="00320E24">
        <w:t xml:space="preserve">89 the definition of the unit measured appears more similar to the management unit definition so the bridging factors </w:t>
      </w:r>
      <w:r w:rsidR="006E7FCF">
        <w:t>were not</w:t>
      </w:r>
      <w:r w:rsidR="00720AC0">
        <w:t xml:space="preserve"> applied</w:t>
      </w:r>
      <w:r w:rsidR="00320E24">
        <w:t xml:space="preserve">. </w:t>
      </w:r>
    </w:p>
    <w:p w:rsidR="00BE00D9" w:rsidRDefault="00BE00D9">
      <w:pPr>
        <w:pStyle w:val="TableTitle"/>
      </w:pPr>
      <w:r>
        <w:rPr>
          <w:b w:val="0"/>
        </w:rPr>
        <w:t xml:space="preserve">Table </w:t>
      </w:r>
      <w:bookmarkStart w:id="29" w:name="OLE_LINK6"/>
      <w:proofErr w:type="spellStart"/>
      <w:r w:rsidR="006A4091">
        <w:rPr>
          <w:b w:val="0"/>
        </w:rPr>
        <w:t>A.</w:t>
      </w:r>
      <w:r w:rsidR="001459D9">
        <w:rPr>
          <w:b w:val="0"/>
          <w:noProof/>
        </w:rPr>
        <w:t>11</w:t>
      </w:r>
      <w:bookmarkEnd w:id="29"/>
      <w:proofErr w:type="spellEnd"/>
      <w:r>
        <w:tab/>
      </w:r>
      <w:r w:rsidR="00D7384A">
        <w:t>Bridging factors</w:t>
      </w:r>
      <w:r w:rsidR="004170AA">
        <w:t xml:space="preserve">: </w:t>
      </w:r>
      <w:r w:rsidR="007C38F2">
        <w:t>establishments to management units</w:t>
      </w:r>
    </w:p>
    <w:tbl>
      <w:tblPr>
        <w:tblW w:w="5000" w:type="pct"/>
        <w:tblCellMar>
          <w:left w:w="0" w:type="dxa"/>
          <w:right w:w="0" w:type="dxa"/>
        </w:tblCellMar>
        <w:tblLook w:val="0000" w:firstRow="0" w:lastRow="0" w:firstColumn="0" w:lastColumn="0" w:noHBand="0" w:noVBand="0"/>
      </w:tblPr>
      <w:tblGrid>
        <w:gridCol w:w="4849"/>
        <w:gridCol w:w="1970"/>
        <w:gridCol w:w="1970"/>
      </w:tblGrid>
      <w:tr w:rsidR="00BE00D9" w:rsidTr="00A71738">
        <w:tc>
          <w:tcPr>
            <w:tcW w:w="2758" w:type="pct"/>
            <w:tcBorders>
              <w:top w:val="single" w:sz="6" w:space="0" w:color="auto"/>
              <w:bottom w:val="single" w:sz="6" w:space="0" w:color="auto"/>
            </w:tcBorders>
            <w:shd w:val="clear" w:color="auto" w:fill="auto"/>
            <w:vAlign w:val="bottom"/>
          </w:tcPr>
          <w:p w:rsidR="00BE00D9" w:rsidRDefault="00434837" w:rsidP="00A71738">
            <w:pPr>
              <w:pStyle w:val="TableColumnHeading"/>
              <w:jc w:val="left"/>
            </w:pPr>
            <w:proofErr w:type="spellStart"/>
            <w:r>
              <w:t>ANZSIC93</w:t>
            </w:r>
            <w:proofErr w:type="spellEnd"/>
            <w:r>
              <w:t xml:space="preserve"> subdivisions</w:t>
            </w:r>
          </w:p>
        </w:tc>
        <w:tc>
          <w:tcPr>
            <w:tcW w:w="1121" w:type="pct"/>
            <w:tcBorders>
              <w:top w:val="single" w:sz="6" w:space="0" w:color="auto"/>
              <w:bottom w:val="single" w:sz="6" w:space="0" w:color="auto"/>
            </w:tcBorders>
            <w:shd w:val="clear" w:color="auto" w:fill="auto"/>
            <w:vAlign w:val="bottom"/>
          </w:tcPr>
          <w:p w:rsidR="00BE00D9" w:rsidRDefault="00D7384A" w:rsidP="00A71738">
            <w:pPr>
              <w:pStyle w:val="TableColumnHeading"/>
            </w:pPr>
            <w:r>
              <w:t>Value added</w:t>
            </w:r>
          </w:p>
        </w:tc>
        <w:tc>
          <w:tcPr>
            <w:tcW w:w="1121" w:type="pct"/>
            <w:tcBorders>
              <w:top w:val="single" w:sz="6" w:space="0" w:color="auto"/>
              <w:bottom w:val="single" w:sz="6" w:space="0" w:color="auto"/>
            </w:tcBorders>
            <w:shd w:val="clear" w:color="auto" w:fill="auto"/>
            <w:vAlign w:val="bottom"/>
          </w:tcPr>
          <w:p w:rsidR="00BE00D9" w:rsidRDefault="00D7384A" w:rsidP="00A71738">
            <w:pPr>
              <w:pStyle w:val="TableColumnHeading"/>
              <w:ind w:right="28"/>
            </w:pPr>
            <w:r>
              <w:t>Wages and salaries</w:t>
            </w:r>
          </w:p>
        </w:tc>
      </w:tr>
      <w:tr w:rsidR="00D7384A" w:rsidTr="00A71738">
        <w:tc>
          <w:tcPr>
            <w:tcW w:w="2758" w:type="pct"/>
            <w:tcBorders>
              <w:top w:val="single" w:sz="6" w:space="0" w:color="auto"/>
            </w:tcBorders>
            <w:shd w:val="clear" w:color="auto" w:fill="D9D9D9" w:themeFill="background1" w:themeFillShade="D9"/>
            <w:vAlign w:val="bottom"/>
          </w:tcPr>
          <w:p w:rsidR="00D7384A" w:rsidRDefault="003453BF" w:rsidP="00A71738">
            <w:pPr>
              <w:pStyle w:val="TableBodyText"/>
              <w:jc w:val="left"/>
            </w:pPr>
            <w:r>
              <w:t xml:space="preserve">Food, beverage &amp; tobacco </w:t>
            </w:r>
            <w:proofErr w:type="spellStart"/>
            <w:r>
              <w:t>mfg</w:t>
            </w:r>
            <w:proofErr w:type="spellEnd"/>
          </w:p>
        </w:tc>
        <w:tc>
          <w:tcPr>
            <w:tcW w:w="1121" w:type="pct"/>
            <w:tcBorders>
              <w:top w:val="single" w:sz="6" w:space="0" w:color="auto"/>
            </w:tcBorders>
            <w:shd w:val="clear" w:color="auto" w:fill="D9D9D9" w:themeFill="background1" w:themeFillShade="D9"/>
            <w:vAlign w:val="bottom"/>
          </w:tcPr>
          <w:p w:rsidR="00D7384A" w:rsidRDefault="00A14E19" w:rsidP="00A71738">
            <w:pPr>
              <w:pStyle w:val="TableBodyText"/>
            </w:pPr>
            <w:r>
              <w:t>1.010</w:t>
            </w:r>
          </w:p>
        </w:tc>
        <w:tc>
          <w:tcPr>
            <w:tcW w:w="1121" w:type="pct"/>
            <w:tcBorders>
              <w:top w:val="single" w:sz="6" w:space="0" w:color="auto"/>
            </w:tcBorders>
            <w:shd w:val="clear" w:color="auto" w:fill="D9D9D9" w:themeFill="background1" w:themeFillShade="D9"/>
            <w:vAlign w:val="bottom"/>
          </w:tcPr>
          <w:p w:rsidR="00D7384A" w:rsidRDefault="00A14E19" w:rsidP="00A71738">
            <w:pPr>
              <w:pStyle w:val="TableBodyText"/>
              <w:ind w:right="28"/>
            </w:pPr>
            <w:r>
              <w:t>1.213</w:t>
            </w:r>
          </w:p>
        </w:tc>
      </w:tr>
      <w:tr w:rsidR="00D7384A" w:rsidTr="00A71738">
        <w:tc>
          <w:tcPr>
            <w:tcW w:w="2758" w:type="pct"/>
            <w:vAlign w:val="bottom"/>
          </w:tcPr>
          <w:p w:rsidR="00D7384A" w:rsidRDefault="003453BF" w:rsidP="00A71738">
            <w:pPr>
              <w:pStyle w:val="TableBodyText"/>
              <w:jc w:val="left"/>
            </w:pPr>
            <w:r>
              <w:t xml:space="preserve">Textiles, clothing, footwear &amp; leather </w:t>
            </w:r>
            <w:proofErr w:type="spellStart"/>
            <w:r>
              <w:t>mfg</w:t>
            </w:r>
            <w:proofErr w:type="spellEnd"/>
          </w:p>
        </w:tc>
        <w:tc>
          <w:tcPr>
            <w:tcW w:w="1121" w:type="pct"/>
            <w:vAlign w:val="bottom"/>
          </w:tcPr>
          <w:p w:rsidR="00D7384A" w:rsidRDefault="00A14E19" w:rsidP="00A71738">
            <w:pPr>
              <w:pStyle w:val="TableBodyText"/>
            </w:pPr>
            <w:r>
              <w:t>0.920</w:t>
            </w:r>
          </w:p>
        </w:tc>
        <w:tc>
          <w:tcPr>
            <w:tcW w:w="1121" w:type="pct"/>
            <w:vAlign w:val="bottom"/>
          </w:tcPr>
          <w:p w:rsidR="00A14E19" w:rsidRDefault="00A14E19" w:rsidP="00A71738">
            <w:pPr>
              <w:pStyle w:val="TableBodyText"/>
              <w:ind w:right="28"/>
            </w:pPr>
            <w:r>
              <w:t>0.989</w:t>
            </w:r>
          </w:p>
        </w:tc>
      </w:tr>
      <w:tr w:rsidR="00D7384A" w:rsidTr="00A71738">
        <w:tc>
          <w:tcPr>
            <w:tcW w:w="2758" w:type="pct"/>
            <w:shd w:val="clear" w:color="auto" w:fill="D9D9D9" w:themeFill="background1" w:themeFillShade="D9"/>
            <w:vAlign w:val="bottom"/>
          </w:tcPr>
          <w:p w:rsidR="00D7384A" w:rsidRDefault="003453BF" w:rsidP="00A71738">
            <w:pPr>
              <w:pStyle w:val="TableBodyText"/>
              <w:jc w:val="left"/>
            </w:pPr>
            <w:r>
              <w:t xml:space="preserve">Wood &amp; paper product </w:t>
            </w:r>
            <w:proofErr w:type="spellStart"/>
            <w:r>
              <w:t>mfg</w:t>
            </w:r>
            <w:proofErr w:type="spellEnd"/>
          </w:p>
        </w:tc>
        <w:tc>
          <w:tcPr>
            <w:tcW w:w="1121" w:type="pct"/>
            <w:shd w:val="clear" w:color="auto" w:fill="D9D9D9" w:themeFill="background1" w:themeFillShade="D9"/>
            <w:vAlign w:val="bottom"/>
          </w:tcPr>
          <w:p w:rsidR="00D7384A" w:rsidRDefault="00A14E19" w:rsidP="00A71738">
            <w:pPr>
              <w:pStyle w:val="TableBodyText"/>
            </w:pPr>
            <w:r>
              <w:t>1.126</w:t>
            </w:r>
          </w:p>
        </w:tc>
        <w:tc>
          <w:tcPr>
            <w:tcW w:w="1121" w:type="pct"/>
            <w:shd w:val="clear" w:color="auto" w:fill="D9D9D9" w:themeFill="background1" w:themeFillShade="D9"/>
            <w:vAlign w:val="bottom"/>
          </w:tcPr>
          <w:p w:rsidR="00D7384A" w:rsidRDefault="00A14E19" w:rsidP="00A71738">
            <w:pPr>
              <w:pStyle w:val="TableBodyText"/>
              <w:ind w:right="28"/>
            </w:pPr>
            <w:r>
              <w:t>1.091</w:t>
            </w:r>
          </w:p>
        </w:tc>
      </w:tr>
      <w:tr w:rsidR="00D7384A" w:rsidTr="00A71738">
        <w:tc>
          <w:tcPr>
            <w:tcW w:w="2758" w:type="pct"/>
            <w:shd w:val="clear" w:color="auto" w:fill="auto"/>
            <w:vAlign w:val="bottom"/>
          </w:tcPr>
          <w:p w:rsidR="00D7384A" w:rsidRDefault="003453BF" w:rsidP="00A71738">
            <w:pPr>
              <w:pStyle w:val="TableBodyText"/>
              <w:jc w:val="left"/>
            </w:pPr>
            <w:r>
              <w:t>Printing, publishing &amp; recorded media</w:t>
            </w:r>
          </w:p>
        </w:tc>
        <w:tc>
          <w:tcPr>
            <w:tcW w:w="1121" w:type="pct"/>
            <w:shd w:val="clear" w:color="auto" w:fill="auto"/>
            <w:vAlign w:val="bottom"/>
          </w:tcPr>
          <w:p w:rsidR="00D7384A" w:rsidRDefault="00A14E19" w:rsidP="00A71738">
            <w:pPr>
              <w:pStyle w:val="TableBodyText"/>
            </w:pPr>
            <w:r>
              <w:t>1.048</w:t>
            </w:r>
          </w:p>
        </w:tc>
        <w:tc>
          <w:tcPr>
            <w:tcW w:w="1121" w:type="pct"/>
            <w:shd w:val="clear" w:color="auto" w:fill="auto"/>
            <w:vAlign w:val="bottom"/>
          </w:tcPr>
          <w:p w:rsidR="00D7384A" w:rsidRDefault="00A14E19" w:rsidP="00A71738">
            <w:pPr>
              <w:pStyle w:val="TableBodyText"/>
              <w:ind w:right="28"/>
            </w:pPr>
            <w:r>
              <w:t>1.011</w:t>
            </w:r>
          </w:p>
        </w:tc>
      </w:tr>
      <w:tr w:rsidR="00D7384A" w:rsidTr="00A71738">
        <w:tc>
          <w:tcPr>
            <w:tcW w:w="2758" w:type="pct"/>
            <w:shd w:val="clear" w:color="auto" w:fill="D9D9D9" w:themeFill="background1" w:themeFillShade="D9"/>
            <w:vAlign w:val="bottom"/>
          </w:tcPr>
          <w:p w:rsidR="00D7384A" w:rsidRDefault="003453BF" w:rsidP="00A71738">
            <w:pPr>
              <w:pStyle w:val="TableBodyText"/>
              <w:jc w:val="left"/>
            </w:pPr>
            <w:r>
              <w:t xml:space="preserve">Petroleum, coal, chemical &amp; </w:t>
            </w:r>
            <w:proofErr w:type="spellStart"/>
            <w:r>
              <w:t>assoc’d</w:t>
            </w:r>
            <w:proofErr w:type="spellEnd"/>
            <w:r>
              <w:t xml:space="preserve"> product </w:t>
            </w:r>
            <w:proofErr w:type="spellStart"/>
            <w:r>
              <w:t>mfg</w:t>
            </w:r>
            <w:proofErr w:type="spellEnd"/>
          </w:p>
        </w:tc>
        <w:tc>
          <w:tcPr>
            <w:tcW w:w="1121" w:type="pct"/>
            <w:shd w:val="clear" w:color="auto" w:fill="D9D9D9" w:themeFill="background1" w:themeFillShade="D9"/>
            <w:vAlign w:val="bottom"/>
          </w:tcPr>
          <w:p w:rsidR="00D7384A" w:rsidRDefault="00A14E19" w:rsidP="00A71738">
            <w:pPr>
              <w:pStyle w:val="TableBodyText"/>
            </w:pPr>
            <w:r>
              <w:t>1.007</w:t>
            </w:r>
          </w:p>
        </w:tc>
        <w:tc>
          <w:tcPr>
            <w:tcW w:w="1121" w:type="pct"/>
            <w:shd w:val="clear" w:color="auto" w:fill="D9D9D9" w:themeFill="background1" w:themeFillShade="D9"/>
            <w:vAlign w:val="bottom"/>
          </w:tcPr>
          <w:p w:rsidR="00D7384A" w:rsidRDefault="00A14E19" w:rsidP="00A71738">
            <w:pPr>
              <w:pStyle w:val="TableBodyText"/>
              <w:ind w:right="28"/>
            </w:pPr>
            <w:r>
              <w:t>1.107</w:t>
            </w:r>
          </w:p>
        </w:tc>
      </w:tr>
      <w:tr w:rsidR="00D7384A" w:rsidTr="00A71738">
        <w:tc>
          <w:tcPr>
            <w:tcW w:w="2758" w:type="pct"/>
            <w:shd w:val="clear" w:color="auto" w:fill="auto"/>
            <w:vAlign w:val="bottom"/>
          </w:tcPr>
          <w:p w:rsidR="00D7384A" w:rsidRDefault="003453BF" w:rsidP="00A71738">
            <w:pPr>
              <w:pStyle w:val="TableBodyText"/>
              <w:jc w:val="left"/>
            </w:pPr>
            <w:r>
              <w:t xml:space="preserve">Non-metallic mineral product </w:t>
            </w:r>
            <w:proofErr w:type="spellStart"/>
            <w:r>
              <w:t>mfg</w:t>
            </w:r>
            <w:proofErr w:type="spellEnd"/>
          </w:p>
        </w:tc>
        <w:tc>
          <w:tcPr>
            <w:tcW w:w="1121" w:type="pct"/>
            <w:shd w:val="clear" w:color="auto" w:fill="auto"/>
            <w:vAlign w:val="bottom"/>
          </w:tcPr>
          <w:p w:rsidR="00D7384A" w:rsidRDefault="00A14E19" w:rsidP="00A71738">
            <w:pPr>
              <w:pStyle w:val="TableBodyText"/>
            </w:pPr>
            <w:r>
              <w:t>1.084</w:t>
            </w:r>
          </w:p>
        </w:tc>
        <w:tc>
          <w:tcPr>
            <w:tcW w:w="1121" w:type="pct"/>
            <w:shd w:val="clear" w:color="auto" w:fill="auto"/>
            <w:vAlign w:val="bottom"/>
          </w:tcPr>
          <w:p w:rsidR="00D7384A" w:rsidRDefault="00A14E19" w:rsidP="00A71738">
            <w:pPr>
              <w:pStyle w:val="TableBodyText"/>
              <w:ind w:right="28"/>
            </w:pPr>
            <w:r>
              <w:t>1.186</w:t>
            </w:r>
          </w:p>
        </w:tc>
      </w:tr>
      <w:tr w:rsidR="00D7384A" w:rsidTr="00A71738">
        <w:tc>
          <w:tcPr>
            <w:tcW w:w="2758" w:type="pct"/>
            <w:shd w:val="clear" w:color="auto" w:fill="D9D9D9" w:themeFill="background1" w:themeFillShade="D9"/>
            <w:vAlign w:val="bottom"/>
          </w:tcPr>
          <w:p w:rsidR="00D7384A" w:rsidRDefault="003453BF" w:rsidP="00A71738">
            <w:pPr>
              <w:pStyle w:val="TableBodyText"/>
              <w:jc w:val="left"/>
            </w:pPr>
            <w:r>
              <w:t xml:space="preserve">Metal product </w:t>
            </w:r>
            <w:proofErr w:type="spellStart"/>
            <w:r>
              <w:t>mfg</w:t>
            </w:r>
            <w:proofErr w:type="spellEnd"/>
          </w:p>
        </w:tc>
        <w:tc>
          <w:tcPr>
            <w:tcW w:w="1121" w:type="pct"/>
            <w:shd w:val="clear" w:color="auto" w:fill="D9D9D9" w:themeFill="background1" w:themeFillShade="D9"/>
            <w:vAlign w:val="bottom"/>
          </w:tcPr>
          <w:p w:rsidR="00D7384A" w:rsidRDefault="00A14E19" w:rsidP="00A71738">
            <w:pPr>
              <w:pStyle w:val="TableBodyText"/>
            </w:pPr>
            <w:r>
              <w:t>1.105</w:t>
            </w:r>
          </w:p>
        </w:tc>
        <w:tc>
          <w:tcPr>
            <w:tcW w:w="1121" w:type="pct"/>
            <w:shd w:val="clear" w:color="auto" w:fill="D9D9D9" w:themeFill="background1" w:themeFillShade="D9"/>
            <w:vAlign w:val="bottom"/>
          </w:tcPr>
          <w:p w:rsidR="00D7384A" w:rsidRDefault="00A14E19" w:rsidP="00A71738">
            <w:pPr>
              <w:pStyle w:val="TableBodyText"/>
              <w:ind w:right="28"/>
            </w:pPr>
            <w:r>
              <w:t>1.040</w:t>
            </w:r>
          </w:p>
        </w:tc>
      </w:tr>
      <w:tr w:rsidR="00D7384A" w:rsidTr="00A71738">
        <w:tc>
          <w:tcPr>
            <w:tcW w:w="2758" w:type="pct"/>
            <w:shd w:val="clear" w:color="auto" w:fill="auto"/>
            <w:vAlign w:val="bottom"/>
          </w:tcPr>
          <w:p w:rsidR="00D7384A" w:rsidRDefault="003453BF" w:rsidP="00A71738">
            <w:pPr>
              <w:pStyle w:val="TableBodyText"/>
              <w:jc w:val="left"/>
            </w:pPr>
            <w:r>
              <w:t xml:space="preserve">Machinery &amp; equipment </w:t>
            </w:r>
            <w:proofErr w:type="spellStart"/>
            <w:r>
              <w:t>mfg</w:t>
            </w:r>
            <w:proofErr w:type="spellEnd"/>
          </w:p>
        </w:tc>
        <w:tc>
          <w:tcPr>
            <w:tcW w:w="1121" w:type="pct"/>
            <w:shd w:val="clear" w:color="auto" w:fill="auto"/>
            <w:vAlign w:val="bottom"/>
          </w:tcPr>
          <w:p w:rsidR="00D7384A" w:rsidRDefault="00A14E19" w:rsidP="00A71738">
            <w:pPr>
              <w:pStyle w:val="TableBodyText"/>
            </w:pPr>
            <w:r>
              <w:t>1.006</w:t>
            </w:r>
          </w:p>
        </w:tc>
        <w:tc>
          <w:tcPr>
            <w:tcW w:w="1121" w:type="pct"/>
            <w:shd w:val="clear" w:color="auto" w:fill="auto"/>
            <w:vAlign w:val="bottom"/>
          </w:tcPr>
          <w:p w:rsidR="00D7384A" w:rsidRDefault="00A14E19" w:rsidP="00A71738">
            <w:pPr>
              <w:pStyle w:val="TableBodyText"/>
              <w:ind w:right="28"/>
            </w:pPr>
            <w:r>
              <w:t>1.054</w:t>
            </w:r>
          </w:p>
        </w:tc>
      </w:tr>
      <w:tr w:rsidR="00D7384A" w:rsidTr="00A71738">
        <w:tc>
          <w:tcPr>
            <w:tcW w:w="2758" w:type="pct"/>
            <w:shd w:val="clear" w:color="auto" w:fill="D9D9D9" w:themeFill="background1" w:themeFillShade="D9"/>
            <w:vAlign w:val="bottom"/>
          </w:tcPr>
          <w:p w:rsidR="00D7384A" w:rsidRDefault="00064C93" w:rsidP="00A71738">
            <w:pPr>
              <w:pStyle w:val="TableBodyText"/>
              <w:jc w:val="left"/>
            </w:pPr>
            <w:r>
              <w:t>Other manufacturing</w:t>
            </w:r>
          </w:p>
        </w:tc>
        <w:tc>
          <w:tcPr>
            <w:tcW w:w="1121" w:type="pct"/>
            <w:shd w:val="clear" w:color="auto" w:fill="D9D9D9" w:themeFill="background1" w:themeFillShade="D9"/>
            <w:vAlign w:val="bottom"/>
          </w:tcPr>
          <w:p w:rsidR="00D7384A" w:rsidRDefault="00A14E19" w:rsidP="00A71738">
            <w:pPr>
              <w:pStyle w:val="TableBodyText"/>
            </w:pPr>
            <w:r>
              <w:t>1.007</w:t>
            </w:r>
          </w:p>
        </w:tc>
        <w:tc>
          <w:tcPr>
            <w:tcW w:w="1121" w:type="pct"/>
            <w:shd w:val="clear" w:color="auto" w:fill="D9D9D9" w:themeFill="background1" w:themeFillShade="D9"/>
            <w:vAlign w:val="bottom"/>
          </w:tcPr>
          <w:p w:rsidR="00D7384A" w:rsidRDefault="00A14E19" w:rsidP="00A71738">
            <w:pPr>
              <w:pStyle w:val="TableBodyText"/>
              <w:ind w:right="28"/>
            </w:pPr>
            <w:r>
              <w:t>1.003</w:t>
            </w:r>
          </w:p>
        </w:tc>
      </w:tr>
      <w:tr w:rsidR="00D7384A" w:rsidRPr="00C54859" w:rsidTr="00A71738">
        <w:tc>
          <w:tcPr>
            <w:tcW w:w="2758" w:type="pct"/>
            <w:tcBorders>
              <w:bottom w:val="single" w:sz="6" w:space="0" w:color="auto"/>
            </w:tcBorders>
            <w:shd w:val="clear" w:color="auto" w:fill="auto"/>
            <w:vAlign w:val="bottom"/>
          </w:tcPr>
          <w:p w:rsidR="00D7384A" w:rsidRPr="00C54859" w:rsidRDefault="00064C93" w:rsidP="00A71738">
            <w:pPr>
              <w:pStyle w:val="TableBodyText"/>
              <w:jc w:val="left"/>
              <w:rPr>
                <w:b/>
              </w:rPr>
            </w:pPr>
            <w:r w:rsidRPr="00C54859">
              <w:rPr>
                <w:b/>
              </w:rPr>
              <w:t xml:space="preserve">Total </w:t>
            </w:r>
            <w:r w:rsidR="002E6911" w:rsidRPr="00C54859">
              <w:rPr>
                <w:b/>
              </w:rPr>
              <w:t>Manufacturing</w:t>
            </w:r>
          </w:p>
        </w:tc>
        <w:tc>
          <w:tcPr>
            <w:tcW w:w="1121" w:type="pct"/>
            <w:tcBorders>
              <w:bottom w:val="single" w:sz="6" w:space="0" w:color="auto"/>
            </w:tcBorders>
            <w:shd w:val="clear" w:color="auto" w:fill="auto"/>
            <w:vAlign w:val="bottom"/>
          </w:tcPr>
          <w:p w:rsidR="00D7384A" w:rsidRPr="00C54859" w:rsidRDefault="00A14E19" w:rsidP="00A71738">
            <w:pPr>
              <w:pStyle w:val="TableBodyText"/>
              <w:rPr>
                <w:b/>
              </w:rPr>
            </w:pPr>
            <w:r w:rsidRPr="00C54859">
              <w:rPr>
                <w:b/>
              </w:rPr>
              <w:t>1.035</w:t>
            </w:r>
          </w:p>
        </w:tc>
        <w:tc>
          <w:tcPr>
            <w:tcW w:w="1121" w:type="pct"/>
            <w:tcBorders>
              <w:bottom w:val="single" w:sz="6" w:space="0" w:color="auto"/>
            </w:tcBorders>
            <w:shd w:val="clear" w:color="auto" w:fill="auto"/>
            <w:vAlign w:val="bottom"/>
          </w:tcPr>
          <w:p w:rsidR="00D7384A" w:rsidRPr="00C54859" w:rsidRDefault="00A14E19" w:rsidP="00A71738">
            <w:pPr>
              <w:pStyle w:val="TableBodyText"/>
              <w:ind w:right="28"/>
              <w:rPr>
                <w:b/>
              </w:rPr>
            </w:pPr>
            <w:r w:rsidRPr="00C54859">
              <w:rPr>
                <w:b/>
              </w:rPr>
              <w:t>1.084</w:t>
            </w:r>
          </w:p>
        </w:tc>
      </w:tr>
    </w:tbl>
    <w:p w:rsidR="00D86BB4" w:rsidRPr="00D86BB4" w:rsidRDefault="00BE00D9" w:rsidP="00DC318E">
      <w:pPr>
        <w:pStyle w:val="Source"/>
      </w:pPr>
      <w:r>
        <w:rPr>
          <w:i/>
        </w:rPr>
        <w:t>Source</w:t>
      </w:r>
      <w:r>
        <w:t xml:space="preserve">: </w:t>
      </w:r>
      <w:r w:rsidR="00F96295">
        <w:t xml:space="preserve">Authors’ estimates based on </w:t>
      </w:r>
      <w:r w:rsidR="002315A3">
        <w:t>ABS (</w:t>
      </w:r>
      <w:r w:rsidR="002315A3">
        <w:rPr>
          <w:i/>
        </w:rPr>
        <w:t>Manufacturing Industry, 2000</w:t>
      </w:r>
      <w:r w:rsidR="00FF62BB">
        <w:rPr>
          <w:i/>
        </w:rPr>
        <w:noBreakHyphen/>
      </w:r>
      <w:r w:rsidR="002315A3">
        <w:rPr>
          <w:i/>
        </w:rPr>
        <w:t xml:space="preserve">01, </w:t>
      </w:r>
      <w:r w:rsidR="007C38F2">
        <w:t>Cat. no. 8221.0</w:t>
      </w:r>
      <w:r w:rsidR="002315A3">
        <w:t>, appendix 3)</w:t>
      </w:r>
      <w:r w:rsidR="007C38F2">
        <w:t>.</w:t>
      </w:r>
    </w:p>
    <w:p w:rsidR="005F5007" w:rsidRDefault="005F5007">
      <w:pPr>
        <w:overflowPunct/>
        <w:autoSpaceDE/>
        <w:autoSpaceDN/>
        <w:adjustRightInd/>
        <w:rPr>
          <w:rFonts w:ascii="Arial" w:hAnsi="Arial"/>
          <w:i/>
          <w:sz w:val="24"/>
        </w:rPr>
      </w:pPr>
      <w:r>
        <w:br w:type="page"/>
      </w:r>
    </w:p>
    <w:p w:rsidR="00995950" w:rsidRDefault="00995950" w:rsidP="00995950">
      <w:pPr>
        <w:pStyle w:val="Heading4"/>
      </w:pPr>
      <w:r>
        <w:lastRenderedPageBreak/>
        <w:t>Benchmarking of level estimates</w:t>
      </w:r>
    </w:p>
    <w:p w:rsidR="00995950" w:rsidRDefault="00DF27B7" w:rsidP="00995950">
      <w:pPr>
        <w:pStyle w:val="BodyText"/>
      </w:pPr>
      <w:r>
        <w:t>Finally, t</w:t>
      </w:r>
      <w:r w:rsidR="00995950" w:rsidRPr="00DF27B7">
        <w:t xml:space="preserve">he series for </w:t>
      </w:r>
      <w:r w:rsidR="008F4602">
        <w:t>value added</w:t>
      </w:r>
      <w:r w:rsidR="00995950" w:rsidRPr="00DF27B7">
        <w:t xml:space="preserve"> levels for each subsector produced using the above method were benchmarked to the </w:t>
      </w:r>
      <w:r w:rsidR="002E6911">
        <w:t>N</w:t>
      </w:r>
      <w:r w:rsidR="00995950" w:rsidRPr="00DF27B7">
        <w:t xml:space="preserve">ational </w:t>
      </w:r>
      <w:r w:rsidR="002E6911">
        <w:t>A</w:t>
      </w:r>
      <w:r w:rsidR="00995950" w:rsidRPr="00DF27B7">
        <w:t xml:space="preserve">ccounts estimates of subsector </w:t>
      </w:r>
      <w:proofErr w:type="spellStart"/>
      <w:r w:rsidR="00995950" w:rsidRPr="00DF27B7">
        <w:t>GVA</w:t>
      </w:r>
      <w:proofErr w:type="spellEnd"/>
      <w:r w:rsidR="00995950" w:rsidRPr="00DF27B7">
        <w:t xml:space="preserve"> </w:t>
      </w:r>
      <w:proofErr w:type="spellStart"/>
      <w:r w:rsidR="00995950" w:rsidRPr="00DF27B7">
        <w:t>CVM</w:t>
      </w:r>
      <w:proofErr w:type="spellEnd"/>
      <w:r w:rsidR="00995950" w:rsidRPr="00DF27B7">
        <w:t xml:space="preserve"> for the base year (2009</w:t>
      </w:r>
      <w:r w:rsidR="00FF62BB">
        <w:noBreakHyphen/>
      </w:r>
      <w:r w:rsidR="00995950" w:rsidRPr="00DF27B7">
        <w:t>10) — the base year effectively being a current price estimate.</w:t>
      </w:r>
      <w:r w:rsidR="002E16B2">
        <w:rPr>
          <w:rStyle w:val="FootnoteReference"/>
        </w:rPr>
        <w:footnoteReference w:id="17"/>
      </w:r>
      <w:r w:rsidR="00B14C7A">
        <w:t xml:space="preserve"> </w:t>
      </w:r>
      <w:r w:rsidR="00995950" w:rsidRPr="00DF27B7">
        <w:t xml:space="preserve">The earlier year estimates were derived using the growth rate in unadjusted series. The proportion of </w:t>
      </w:r>
      <w:r w:rsidR="008F4602">
        <w:t>value added</w:t>
      </w:r>
      <w:r w:rsidR="00995950" w:rsidRPr="00DF27B7">
        <w:t xml:space="preserve"> that were capital income and labour income were preserved, with new </w:t>
      </w:r>
      <w:r>
        <w:t xml:space="preserve">factor income </w:t>
      </w:r>
      <w:r w:rsidR="00995950" w:rsidRPr="00DF27B7">
        <w:t>levels being derived. The income shares were therefore unchanged.</w:t>
      </w:r>
    </w:p>
    <w:p w:rsidR="00ED20E1" w:rsidRDefault="00ED20E1" w:rsidP="00995950">
      <w:pPr>
        <w:pStyle w:val="BodyText"/>
      </w:pPr>
      <w:r>
        <w:t xml:space="preserve">As a result of data limitations, there is a discrepancy between the aggregate of the subsector factor income shares and the </w:t>
      </w:r>
      <w:r w:rsidR="002E6911">
        <w:t xml:space="preserve">ABS income shares for </w:t>
      </w:r>
      <w:r>
        <w:t xml:space="preserve">ABS </w:t>
      </w:r>
      <w:r w:rsidR="002E6911">
        <w:t>M</w:t>
      </w:r>
      <w:r>
        <w:t xml:space="preserve">anufacturing </w:t>
      </w:r>
      <w:r w:rsidR="002E6911">
        <w:t>as a whole</w:t>
      </w:r>
      <w:r>
        <w:t xml:space="preserve">. Figure </w:t>
      </w:r>
      <w:proofErr w:type="spellStart"/>
      <w:r w:rsidR="0032524B">
        <w:t>A.4</w:t>
      </w:r>
      <w:proofErr w:type="spellEnd"/>
      <w:r>
        <w:t xml:space="preserve"> compares the two different series of capital income shares. </w:t>
      </w:r>
      <w:r w:rsidR="008A1B92">
        <w:t>It is the average cycle shares that are used in the MFP estimates, and the discrepancy between the two series is relatively small. The MFP growth estimates are not significantly affected by this difference</w:t>
      </w:r>
      <w:r w:rsidR="0001169B">
        <w:t>.</w:t>
      </w:r>
    </w:p>
    <w:p w:rsidR="00ED20E1" w:rsidRDefault="00ED20E1">
      <w:pPr>
        <w:pStyle w:val="FigureTitle"/>
      </w:pPr>
      <w:r>
        <w:rPr>
          <w:b w:val="0"/>
        </w:rPr>
        <w:t xml:space="preserve">Figure </w:t>
      </w:r>
      <w:bookmarkStart w:id="30" w:name="OLE_LINK23"/>
      <w:proofErr w:type="spellStart"/>
      <w:r w:rsidR="00C91D11">
        <w:rPr>
          <w:b w:val="0"/>
        </w:rPr>
        <w:t>A.</w:t>
      </w:r>
      <w:r w:rsidR="001459D9">
        <w:rPr>
          <w:b w:val="0"/>
          <w:noProof/>
        </w:rPr>
        <w:t>4</w:t>
      </w:r>
      <w:bookmarkEnd w:id="30"/>
      <w:proofErr w:type="spellEnd"/>
      <w:r>
        <w:tab/>
        <w:t>Capital income shares</w:t>
      </w:r>
      <w:r w:rsidR="00A13D5E" w:rsidRPr="00A13D5E">
        <w:rPr>
          <w:rStyle w:val="NoteLabel"/>
          <w:b/>
        </w:rPr>
        <w:t>a</w:t>
      </w:r>
    </w:p>
    <w:p w:rsidR="00ED20E1" w:rsidRDefault="00ED20E1">
      <w:pPr>
        <w:pStyle w:val="Subtitle"/>
      </w:pPr>
      <w:r>
        <w:t>Share of value added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D20E1">
        <w:tc>
          <w:tcPr>
            <w:tcW w:w="8777" w:type="dxa"/>
          </w:tcPr>
          <w:p w:rsidR="00ED20E1" w:rsidRDefault="00CF42E7" w:rsidP="005423DE">
            <w:pPr>
              <w:pStyle w:val="Figure"/>
              <w:spacing w:before="0" w:after="0"/>
            </w:pPr>
            <w:r>
              <w:pict>
                <v:shape id="_x0000_i1028" type="#_x0000_t75" alt="This figure shows capital income shares in manufacturing as measured by the aggregate of subsectors and the ABS measure for Manufacturing as a whole. The figure shows that the discrepancy in average cycle shares between the two series is relatively small. For example the average capital income shares are identical in cycle 1, 0.4. The average capital income share is most different in cycle 3 where it is 0.39 for the aggregate of subsectors series and 0.42 for the ABS total manufacturing series. " style="width:424.45pt;height:198.4pt">
                  <v:imagedata r:id="rId12" o:title=""/>
                </v:shape>
              </w:pict>
            </w:r>
          </w:p>
        </w:tc>
      </w:tr>
    </w:tbl>
    <w:p w:rsidR="00ED20E1" w:rsidRDefault="00ED20E1">
      <w:pPr>
        <w:pStyle w:val="Note"/>
      </w:pPr>
      <w:r>
        <w:rPr>
          <w:rStyle w:val="NoteLabel"/>
        </w:rPr>
        <w:t>a</w:t>
      </w:r>
      <w:r>
        <w:t xml:space="preserve"> </w:t>
      </w:r>
      <w:r w:rsidR="005423DE">
        <w:t xml:space="preserve">Capital income share plus labour income share add to one. </w:t>
      </w:r>
    </w:p>
    <w:p w:rsidR="00ED20E1" w:rsidRPr="00ED20E1" w:rsidRDefault="00ED20E1">
      <w:pPr>
        <w:pStyle w:val="Source"/>
        <w:rPr>
          <w:i/>
        </w:rPr>
      </w:pPr>
      <w:r>
        <w:rPr>
          <w:i/>
        </w:rPr>
        <w:t>Data source</w:t>
      </w:r>
      <w:r w:rsidR="00F96295">
        <w:rPr>
          <w:i/>
        </w:rPr>
        <w:t>s</w:t>
      </w:r>
      <w:r w:rsidRPr="00167F06">
        <w:t xml:space="preserve">: </w:t>
      </w:r>
      <w:r w:rsidR="00F96295">
        <w:t>Authors’ estimates b</w:t>
      </w:r>
      <w:r>
        <w:t>ased on ABS (</w:t>
      </w:r>
      <w:r w:rsidRPr="0050427A">
        <w:rPr>
          <w:i/>
        </w:rPr>
        <w:t>Experimental Estimates of Industry Mu</w:t>
      </w:r>
      <w:r>
        <w:rPr>
          <w:i/>
        </w:rPr>
        <w:t xml:space="preserve">ltifactor </w:t>
      </w:r>
      <w:r w:rsidR="005569A9">
        <w:rPr>
          <w:i/>
        </w:rPr>
        <w:t>P</w:t>
      </w:r>
      <w:r w:rsidR="00D54932">
        <w:rPr>
          <w:i/>
        </w:rPr>
        <w:t>roduct</w:t>
      </w:r>
      <w:r>
        <w:rPr>
          <w:i/>
        </w:rPr>
        <w:t>ivity, 2010</w:t>
      </w:r>
      <w:r w:rsidR="00FF62BB">
        <w:rPr>
          <w:i/>
        </w:rPr>
        <w:noBreakHyphen/>
      </w:r>
      <w:r>
        <w:rPr>
          <w:i/>
        </w:rPr>
        <w:t xml:space="preserve">11, </w:t>
      </w:r>
      <w:r>
        <w:t>Cat. no. 5260.0.55.002</w:t>
      </w:r>
      <w:r w:rsidR="007C11D1">
        <w:t>); ABS</w:t>
      </w:r>
      <w:r w:rsidR="008337C3">
        <w:t xml:space="preserve"> </w:t>
      </w:r>
      <w:r w:rsidR="007C11D1">
        <w:t>(</w:t>
      </w:r>
      <w:r>
        <w:rPr>
          <w:i/>
        </w:rPr>
        <w:t xml:space="preserve">Australian Industry, </w:t>
      </w:r>
      <w:r w:rsidR="00F96295" w:rsidRPr="00F96295">
        <w:t>various issues,</w:t>
      </w:r>
      <w:r w:rsidR="00F96295">
        <w:rPr>
          <w:i/>
        </w:rPr>
        <w:t xml:space="preserve"> </w:t>
      </w:r>
      <w:r>
        <w:t>Cat. no.</w:t>
      </w:r>
      <w:r w:rsidRPr="00167F06">
        <w:t xml:space="preserve"> </w:t>
      </w:r>
      <w:r>
        <w:t>8155.0</w:t>
      </w:r>
      <w:r w:rsidR="007C11D1">
        <w:t xml:space="preserve">); </w:t>
      </w:r>
      <w:r w:rsidR="008337C3">
        <w:t>ABS </w:t>
      </w:r>
      <w:r w:rsidR="007C11D1">
        <w:t>(</w:t>
      </w:r>
      <w:r>
        <w:rPr>
          <w:i/>
        </w:rPr>
        <w:t>Manufacturing Industry, Australia,</w:t>
      </w:r>
      <w:r>
        <w:t xml:space="preserve"> </w:t>
      </w:r>
      <w:r w:rsidR="00F96295" w:rsidRPr="00F96295">
        <w:t>various issues,</w:t>
      </w:r>
      <w:r w:rsidR="00F96295">
        <w:rPr>
          <w:i/>
        </w:rPr>
        <w:t xml:space="preserve"> </w:t>
      </w:r>
      <w:r>
        <w:t>Cat. no. 8221.0</w:t>
      </w:r>
      <w:r w:rsidR="007C11D1">
        <w:t>); ABS (</w:t>
      </w:r>
      <w:r w:rsidRPr="00DC318E">
        <w:rPr>
          <w:i/>
        </w:rPr>
        <w:t>Enterprise Statistics, Australia</w:t>
      </w:r>
      <w:r>
        <w:rPr>
          <w:i/>
        </w:rPr>
        <w:t xml:space="preserve">, </w:t>
      </w:r>
      <w:r w:rsidR="00F96295" w:rsidRPr="00F96295">
        <w:t>various issues,</w:t>
      </w:r>
      <w:r w:rsidR="00F96295">
        <w:rPr>
          <w:i/>
        </w:rPr>
        <w:t xml:space="preserve"> </w:t>
      </w:r>
      <w:r>
        <w:t>Cat. no. 8103.0</w:t>
      </w:r>
      <w:r w:rsidR="007C11D1">
        <w:t xml:space="preserve">); </w:t>
      </w:r>
      <w:r w:rsidR="00863EE6">
        <w:t xml:space="preserve">and </w:t>
      </w:r>
      <w:r w:rsidR="007C11D1">
        <w:t>ABS (</w:t>
      </w:r>
      <w:r>
        <w:rPr>
          <w:i/>
        </w:rPr>
        <w:t xml:space="preserve">Australian System of National </w:t>
      </w:r>
      <w:r w:rsidRPr="000E390E">
        <w:rPr>
          <w:i/>
        </w:rPr>
        <w:t>Accounts</w:t>
      </w:r>
      <w:r w:rsidRPr="00F96295">
        <w:rPr>
          <w:i/>
        </w:rPr>
        <w:t xml:space="preserve">, </w:t>
      </w:r>
      <w:r w:rsidR="00F96295" w:rsidRPr="00F96295">
        <w:rPr>
          <w:i/>
        </w:rPr>
        <w:t>2010</w:t>
      </w:r>
      <w:r w:rsidR="00FF62BB">
        <w:rPr>
          <w:i/>
        </w:rPr>
        <w:noBreakHyphen/>
      </w:r>
      <w:r w:rsidR="00F96295" w:rsidRPr="00F96295">
        <w:rPr>
          <w:i/>
        </w:rPr>
        <w:t>11</w:t>
      </w:r>
      <w:r w:rsidR="00F96295">
        <w:t xml:space="preserve">, </w:t>
      </w:r>
      <w:r w:rsidR="00863EE6">
        <w:t>Cat.</w:t>
      </w:r>
      <w:r w:rsidR="00FB0295">
        <w:t> </w:t>
      </w:r>
      <w:r w:rsidR="00863EE6">
        <w:t>no. </w:t>
      </w:r>
      <w:r w:rsidRPr="000E390E">
        <w:t>5204</w:t>
      </w:r>
      <w:r>
        <w:t>.0).</w:t>
      </w:r>
    </w:p>
    <w:p w:rsidR="006C15CA" w:rsidRDefault="006C15CA">
      <w:pPr>
        <w:overflowPunct/>
        <w:autoSpaceDE/>
        <w:autoSpaceDN/>
        <w:adjustRightInd/>
        <w:rPr>
          <w:rFonts w:ascii="Arial" w:hAnsi="Arial"/>
          <w:b/>
          <w:sz w:val="32"/>
        </w:rPr>
      </w:pPr>
      <w:r>
        <w:br w:type="page"/>
      </w:r>
    </w:p>
    <w:p w:rsidR="00580C15" w:rsidRDefault="006A4091" w:rsidP="00580C15">
      <w:pPr>
        <w:pStyle w:val="Heading2"/>
      </w:pPr>
      <w:proofErr w:type="spellStart"/>
      <w:r>
        <w:lastRenderedPageBreak/>
        <w:t>A.</w:t>
      </w:r>
      <w:r w:rsidR="001459D9">
        <w:rPr>
          <w:noProof/>
        </w:rPr>
        <w:t>7</w:t>
      </w:r>
      <w:proofErr w:type="spellEnd"/>
      <w:r w:rsidR="00580C15" w:rsidRPr="00580C15">
        <w:tab/>
      </w:r>
      <w:r w:rsidR="00CD7CA5">
        <w:t>Multifactor productivity</w:t>
      </w:r>
    </w:p>
    <w:p w:rsidR="00580C15" w:rsidRDefault="00256EAF" w:rsidP="00995950">
      <w:pPr>
        <w:pStyle w:val="BodyText"/>
      </w:pPr>
      <w:r>
        <w:t xml:space="preserve">MFP growth is calculated as the difference in the rate of output growth less the rate of input growth. Output </w:t>
      </w:r>
      <w:r w:rsidR="001F6D4C">
        <w:t>is</w:t>
      </w:r>
      <w:r>
        <w:t xml:space="preserve"> measured by growth in gross value added</w:t>
      </w:r>
      <w:r w:rsidR="00FE1820">
        <w:t xml:space="preserve"> in this paper</w:t>
      </w:r>
      <w:r>
        <w:t xml:space="preserve">. Inputs are measured </w:t>
      </w:r>
      <w:r w:rsidR="00935F2C">
        <w:t xml:space="preserve">as a </w:t>
      </w:r>
      <w:proofErr w:type="spellStart"/>
      <w:r w:rsidR="00935F2C">
        <w:t>Tornqvist</w:t>
      </w:r>
      <w:proofErr w:type="spellEnd"/>
      <w:r w:rsidR="00935F2C">
        <w:t xml:space="preserve"> index calculated using the average relative </w:t>
      </w:r>
      <w:r w:rsidR="00D363BE">
        <w:t xml:space="preserve">factor </w:t>
      </w:r>
      <w:r w:rsidR="00935F2C">
        <w:t>income shares to weight gro</w:t>
      </w:r>
      <w:r w:rsidR="00E16997">
        <w:t>wth</w:t>
      </w:r>
      <w:r w:rsidR="00935F2C">
        <w:t xml:space="preserve"> in hours worked and capital services.</w:t>
      </w:r>
    </w:p>
    <w:p w:rsidR="009C7777" w:rsidRPr="009C7777" w:rsidRDefault="00FE7C90" w:rsidP="00995950">
      <w:pPr>
        <w:pStyle w:val="BodyText"/>
      </w:pPr>
      <m:oMathPara>
        <m:oMath>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t</m:t>
                  </m:r>
                </m:sub>
              </m:sSub>
            </m:num>
            <m:den>
              <m:sSub>
                <m:sSubPr>
                  <m:ctrlPr>
                    <w:rPr>
                      <w:rFonts w:ascii="Cambria Math" w:hAnsi="Cambria Math"/>
                      <w:i/>
                    </w:rPr>
                  </m:ctrlPr>
                </m:sSubPr>
                <m:e>
                  <m:r>
                    <w:rPr>
                      <w:rFonts w:ascii="Cambria Math" w:hAnsi="Cambria Math"/>
                    </w:rPr>
                    <m:t>I</m:t>
                  </m:r>
                </m:e>
                <m:sub>
                  <m:r>
                    <w:rPr>
                      <w:rFonts w:ascii="Cambria Math" w:hAnsi="Cambria Math"/>
                    </w:rPr>
                    <m:t>t</m:t>
                  </m:r>
                </m:sub>
              </m:sSub>
            </m:den>
          </m:f>
        </m:oMath>
      </m:oMathPara>
    </w:p>
    <w:p w:rsidR="009C7777" w:rsidRDefault="00160E58" w:rsidP="009C7777">
      <w:pPr>
        <w:pStyle w:val="BodyText"/>
      </w:pPr>
      <w:r>
        <w:t xml:space="preserve">where </w:t>
      </w:r>
      <w:r w:rsidR="009C7777" w:rsidRPr="001F627E">
        <w:rPr>
          <w:i/>
        </w:rPr>
        <w:t>A</w:t>
      </w:r>
      <w:r w:rsidR="009C7777" w:rsidRPr="001F627E">
        <w:rPr>
          <w:i/>
          <w:vertAlign w:val="subscript"/>
        </w:rPr>
        <w:t>t</w:t>
      </w:r>
      <w:r w:rsidR="009C7777">
        <w:rPr>
          <w:vertAlign w:val="subscript"/>
        </w:rPr>
        <w:t xml:space="preserve"> </w:t>
      </w:r>
      <w:r w:rsidR="009C7777">
        <w:t xml:space="preserve">represents MFP, </w:t>
      </w:r>
      <w:proofErr w:type="spellStart"/>
      <w:r w:rsidR="009C7777">
        <w:rPr>
          <w:i/>
        </w:rPr>
        <w:t>V</w:t>
      </w:r>
      <w:r w:rsidR="009C7777">
        <w:rPr>
          <w:i/>
          <w:vertAlign w:val="subscript"/>
        </w:rPr>
        <w:t>t</w:t>
      </w:r>
      <w:proofErr w:type="spellEnd"/>
      <w:r w:rsidR="009C7777">
        <w:rPr>
          <w:i/>
        </w:rPr>
        <w:t xml:space="preserve"> </w:t>
      </w:r>
      <w:r w:rsidR="009C7777">
        <w:t xml:space="preserve">represents real output and </w:t>
      </w:r>
      <w:r w:rsidR="009C7777">
        <w:rPr>
          <w:i/>
        </w:rPr>
        <w:t>I</w:t>
      </w:r>
      <w:r w:rsidR="009C7777">
        <w:rPr>
          <w:i/>
          <w:vertAlign w:val="subscript"/>
        </w:rPr>
        <w:t>t</w:t>
      </w:r>
      <w:r w:rsidR="009C7777">
        <w:rPr>
          <w:vertAlign w:val="subscript"/>
        </w:rPr>
        <w:t xml:space="preserve"> </w:t>
      </w:r>
      <w:r w:rsidR="009C7777">
        <w:t xml:space="preserve">the </w:t>
      </w:r>
      <w:proofErr w:type="spellStart"/>
      <w:r w:rsidR="009C7777">
        <w:t>Tornqvist</w:t>
      </w:r>
      <w:proofErr w:type="spellEnd"/>
      <w:r w:rsidR="009C7777">
        <w:t xml:space="preserve"> index of factor inputs:</w:t>
      </w:r>
    </w:p>
    <w:p w:rsidR="009C7777" w:rsidRPr="006A7753" w:rsidRDefault="00FE7C90" w:rsidP="009C7777">
      <w:pPr>
        <w:pStyle w:val="BodyText"/>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t</m:t>
                  </m:r>
                </m:sub>
              </m:sSub>
            </m:num>
            <m:den>
              <m:sSub>
                <m:sSubPr>
                  <m:ctrlPr>
                    <w:rPr>
                      <w:rFonts w:ascii="Cambria Math" w:hAnsi="Cambria Math"/>
                      <w:i/>
                    </w:rPr>
                  </m:ctrlPr>
                </m:sSubPr>
                <m:e>
                  <m:r>
                    <w:rPr>
                      <w:rFonts w:ascii="Cambria Math" w:hAnsi="Cambria Math"/>
                    </w:rPr>
                    <m:t>I</m:t>
                  </m:r>
                </m:e>
                <m:sub>
                  <m:r>
                    <w:rPr>
                      <w:rFonts w:ascii="Cambria Math" w:hAnsi="Cambria Math"/>
                    </w:rPr>
                    <m:t>t-1</m:t>
                  </m:r>
                </m:sub>
              </m:sSub>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t</m:t>
                          </m:r>
                        </m:sub>
                      </m:sSub>
                    </m:num>
                    <m:den>
                      <m:sSub>
                        <m:sSubPr>
                          <m:ctrlPr>
                            <w:rPr>
                              <w:rFonts w:ascii="Cambria Math" w:hAnsi="Cambria Math"/>
                              <w:i/>
                            </w:rPr>
                          </m:ctrlPr>
                        </m:sSubPr>
                        <m:e>
                          <m:r>
                            <w:rPr>
                              <w:rFonts w:ascii="Cambria Math" w:hAnsi="Cambria Math"/>
                            </w:rPr>
                            <m:t>K</m:t>
                          </m:r>
                        </m:e>
                        <m:sub>
                          <m:r>
                            <w:rPr>
                              <w:rFonts w:ascii="Cambria Math" w:hAnsi="Cambria Math"/>
                            </w:rPr>
                            <m:t>t-1</m:t>
                          </m:r>
                        </m:sub>
                      </m:sSub>
                    </m:den>
                  </m:f>
                </m:e>
              </m:d>
            </m:e>
            <m:sup>
              <m:sSub>
                <m:sSubPr>
                  <m:ctrlPr>
                    <w:rPr>
                      <w:rFonts w:ascii="Cambria Math" w:hAnsi="Cambria Math"/>
                      <w:i/>
                    </w:rPr>
                  </m:ctrlPr>
                </m:sSubPr>
                <m:e>
                  <m:r>
                    <w:rPr>
                      <w:rFonts w:ascii="Cambria Math" w:hAnsi="Cambria Math"/>
                    </w:rPr>
                    <m:t>W</m:t>
                  </m:r>
                </m:e>
                <m:sub>
                  <m:r>
                    <w:rPr>
                      <w:rFonts w:ascii="Cambria Math" w:hAnsi="Cambria Math"/>
                    </w:rPr>
                    <m:t>kt</m:t>
                  </m:r>
                </m:sub>
              </m:sSub>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t</m:t>
                          </m:r>
                        </m:sub>
                      </m:sSub>
                    </m:num>
                    <m:den>
                      <m:sSub>
                        <m:sSubPr>
                          <m:ctrlPr>
                            <w:rPr>
                              <w:rFonts w:ascii="Cambria Math" w:hAnsi="Cambria Math"/>
                              <w:i/>
                            </w:rPr>
                          </m:ctrlPr>
                        </m:sSubPr>
                        <m:e>
                          <m:r>
                            <w:rPr>
                              <w:rFonts w:ascii="Cambria Math" w:hAnsi="Cambria Math"/>
                            </w:rPr>
                            <m:t>L</m:t>
                          </m:r>
                        </m:e>
                        <m:sub>
                          <m:r>
                            <w:rPr>
                              <w:rFonts w:ascii="Cambria Math" w:hAnsi="Cambria Math"/>
                            </w:rPr>
                            <m:t>t-1</m:t>
                          </m:r>
                        </m:sub>
                      </m:sSub>
                    </m:den>
                  </m:f>
                </m:e>
              </m:d>
            </m:e>
            <m:sup>
              <m:sSub>
                <m:sSubPr>
                  <m:ctrlPr>
                    <w:rPr>
                      <w:rFonts w:ascii="Cambria Math" w:hAnsi="Cambria Math"/>
                      <w:i/>
                    </w:rPr>
                  </m:ctrlPr>
                </m:sSubPr>
                <m:e>
                  <m:r>
                    <w:rPr>
                      <w:rFonts w:ascii="Cambria Math" w:hAnsi="Cambria Math"/>
                    </w:rPr>
                    <m:t>W</m:t>
                  </m:r>
                </m:e>
                <m:sub>
                  <m:r>
                    <w:rPr>
                      <w:rFonts w:ascii="Cambria Math" w:hAnsi="Cambria Math"/>
                    </w:rPr>
                    <m:t>lt</m:t>
                  </m:r>
                </m:sub>
              </m:sSub>
            </m:sup>
          </m:sSup>
        </m:oMath>
      </m:oMathPara>
    </w:p>
    <w:p w:rsidR="006A7753" w:rsidRDefault="001F627E" w:rsidP="009C7777">
      <w:pPr>
        <w:pStyle w:val="BodyText"/>
      </w:pPr>
      <w:r>
        <w:t>w</w:t>
      </w:r>
      <w:r w:rsidR="006A7753">
        <w:t xml:space="preserve">here </w:t>
      </w:r>
      <w:proofErr w:type="spellStart"/>
      <w:r w:rsidR="00E75FE0">
        <w:rPr>
          <w:i/>
        </w:rPr>
        <w:t>K</w:t>
      </w:r>
      <w:r w:rsidR="006A7753" w:rsidRPr="00BE1D86">
        <w:rPr>
          <w:i/>
          <w:vertAlign w:val="subscript"/>
        </w:rPr>
        <w:t>t</w:t>
      </w:r>
      <w:proofErr w:type="spellEnd"/>
      <w:r w:rsidR="006A7753">
        <w:rPr>
          <w:vertAlign w:val="subscript"/>
        </w:rPr>
        <w:t xml:space="preserve"> </w:t>
      </w:r>
      <w:r w:rsidR="00E75FE0">
        <w:t xml:space="preserve">represents capital services, </w:t>
      </w:r>
      <w:r w:rsidR="00E75FE0">
        <w:rPr>
          <w:i/>
        </w:rPr>
        <w:t>L</w:t>
      </w:r>
      <w:r w:rsidR="00E75FE0" w:rsidRPr="00BE1D86">
        <w:rPr>
          <w:i/>
          <w:vertAlign w:val="subscript"/>
        </w:rPr>
        <w:t>t</w:t>
      </w:r>
      <w:r w:rsidR="00E75FE0">
        <w:rPr>
          <w:vertAlign w:val="subscript"/>
        </w:rPr>
        <w:t xml:space="preserve"> </w:t>
      </w:r>
      <w:r w:rsidR="00E75FE0">
        <w:t xml:space="preserve">represents hours worked, and the </w:t>
      </w:r>
      <w:proofErr w:type="spellStart"/>
      <w:r w:rsidR="00E75FE0" w:rsidRPr="001F627E">
        <w:rPr>
          <w:i/>
        </w:rPr>
        <w:t>W</w:t>
      </w:r>
      <w:r w:rsidR="00E75FE0">
        <w:rPr>
          <w:i/>
          <w:vertAlign w:val="subscript"/>
        </w:rPr>
        <w:t>kt</w:t>
      </w:r>
      <w:proofErr w:type="spellEnd"/>
      <w:r w:rsidR="00E75FE0">
        <w:rPr>
          <w:i/>
        </w:rPr>
        <w:t xml:space="preserve"> </w:t>
      </w:r>
      <w:r w:rsidR="00E75FE0">
        <w:t xml:space="preserve">and </w:t>
      </w:r>
      <w:proofErr w:type="spellStart"/>
      <w:r w:rsidR="00E75FE0" w:rsidRPr="00BE1D86">
        <w:rPr>
          <w:i/>
        </w:rPr>
        <w:t>W</w:t>
      </w:r>
      <w:r w:rsidR="00E75FE0">
        <w:rPr>
          <w:i/>
          <w:vertAlign w:val="subscript"/>
        </w:rPr>
        <w:t>lt</w:t>
      </w:r>
      <w:proofErr w:type="spellEnd"/>
      <w:r w:rsidR="00E75FE0">
        <w:rPr>
          <w:vertAlign w:val="subscript"/>
        </w:rPr>
        <w:t xml:space="preserve"> </w:t>
      </w:r>
      <w:r w:rsidR="00E75FE0">
        <w:t xml:space="preserve">represent the average relative </w:t>
      </w:r>
      <w:r w:rsidR="00487BE0">
        <w:t xml:space="preserve">income </w:t>
      </w:r>
      <w:r w:rsidR="00E75FE0">
        <w:t>shares of capital and labour over the two periods, respectively:</w:t>
      </w:r>
    </w:p>
    <w:p w:rsidR="00E75FE0" w:rsidRPr="00060616" w:rsidRDefault="00FE7C90" w:rsidP="009C7777">
      <w:pPr>
        <w:pStyle w:val="BodyText"/>
      </w:pPr>
      <m:oMathPara>
        <m:oMath>
          <m:sSub>
            <m:sSubPr>
              <m:ctrlPr>
                <w:rPr>
                  <w:rFonts w:ascii="Cambria Math" w:hAnsi="Cambria Math"/>
                  <w:i/>
                </w:rPr>
              </m:ctrlPr>
            </m:sSubPr>
            <m:e>
              <m:r>
                <w:rPr>
                  <w:rFonts w:ascii="Cambria Math" w:hAnsi="Cambria Math"/>
                </w:rPr>
                <m:t>W</m:t>
              </m:r>
            </m:e>
            <m:sub>
              <m:r>
                <w:rPr>
                  <w:rFonts w:ascii="Cambria Math" w:hAnsi="Cambria Math"/>
                </w:rPr>
                <m:t>kt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kt</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k(t-1)</m:t>
                  </m:r>
                </m:sub>
              </m:sSub>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lt</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l(t-1)</m:t>
                  </m:r>
                </m:sub>
              </m:sSub>
            </m:num>
            <m:den>
              <m:r>
                <w:rPr>
                  <w:rFonts w:ascii="Cambria Math" w:hAnsi="Cambria Math"/>
                </w:rPr>
                <m:t>2</m:t>
              </m:r>
            </m:den>
          </m:f>
        </m:oMath>
      </m:oMathPara>
    </w:p>
    <w:p w:rsidR="00060616" w:rsidRDefault="00060616" w:rsidP="009C7777">
      <w:pPr>
        <w:pStyle w:val="BodyText"/>
      </w:pPr>
      <w:r>
        <w:t xml:space="preserve">This then implies that growth in MFP is equal to growth in outputs less the </w:t>
      </w:r>
      <w:r w:rsidR="00487BE0">
        <w:t>income</w:t>
      </w:r>
      <w:r>
        <w:t>-weighted shares of capital and labour inputs:</w:t>
      </w:r>
    </w:p>
    <w:p w:rsidR="00060616" w:rsidRPr="009C7777" w:rsidRDefault="00AA6D5E" w:rsidP="00060616">
      <w:pPr>
        <w:pStyle w:val="BodyText"/>
      </w:pPr>
      <m:oMathPara>
        <m:oMath>
          <m:r>
            <w:rPr>
              <w:rFonts w:ascii="Cambria Math" w:hAnsi="Cambria Math"/>
            </w:rPr>
            <m:t xml:space="preserve">ln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t</m:t>
                  </m:r>
                </m:sub>
              </m:sSub>
            </m:num>
            <m:den>
              <m:sSub>
                <m:sSubPr>
                  <m:ctrlPr>
                    <w:rPr>
                      <w:rFonts w:ascii="Cambria Math" w:hAnsi="Cambria Math"/>
                      <w:i/>
                    </w:rPr>
                  </m:ctrlPr>
                </m:sSubPr>
                <m:e>
                  <m:r>
                    <w:rPr>
                      <w:rFonts w:ascii="Cambria Math" w:hAnsi="Cambria Math"/>
                    </w:rPr>
                    <m:t>A</m:t>
                  </m:r>
                </m:e>
                <m:sub>
                  <m:r>
                    <w:rPr>
                      <w:rFonts w:ascii="Cambria Math" w:hAnsi="Cambria Math"/>
                    </w:rPr>
                    <m:t>t-1</m:t>
                  </m:r>
                </m:sub>
              </m:sSub>
            </m:den>
          </m:f>
          <m:r>
            <w:rPr>
              <w:rFonts w:ascii="Cambria Math" w:hAnsi="Cambria Math"/>
            </w:rPr>
            <m:t xml:space="preserve">=ln </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t</m:t>
                  </m:r>
                </m:sub>
              </m:sSub>
            </m:num>
            <m:den>
              <m:sSub>
                <m:sSubPr>
                  <m:ctrlPr>
                    <w:rPr>
                      <w:rFonts w:ascii="Cambria Math" w:hAnsi="Cambria Math"/>
                      <w:i/>
                    </w:rPr>
                  </m:ctrlPr>
                </m:sSubPr>
                <m:e>
                  <m:r>
                    <w:rPr>
                      <w:rFonts w:ascii="Cambria Math" w:hAnsi="Cambria Math"/>
                    </w:rPr>
                    <m:t>V</m:t>
                  </m:r>
                </m:e>
                <m:sub>
                  <m:r>
                    <w:rPr>
                      <w:rFonts w:ascii="Cambria Math" w:hAnsi="Cambria Math"/>
                    </w:rPr>
                    <m:t>t-1</m:t>
                  </m:r>
                </m:sub>
              </m:sSub>
            </m:den>
          </m:f>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kt</m:t>
              </m:r>
            </m:sub>
          </m:sSub>
          <m:d>
            <m:dPr>
              <m:ctrlPr>
                <w:rPr>
                  <w:rFonts w:ascii="Cambria Math" w:hAnsi="Cambria Math"/>
                  <w:i/>
                </w:rPr>
              </m:ctrlPr>
            </m:dPr>
            <m:e>
              <m:r>
                <w:rPr>
                  <w:rFonts w:ascii="Cambria Math" w:hAnsi="Cambria Math"/>
                </w:rPr>
                <m:t xml:space="preserve">ln </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t</m:t>
                      </m:r>
                    </m:sub>
                  </m:sSub>
                </m:num>
                <m:den>
                  <m:sSub>
                    <m:sSubPr>
                      <m:ctrlPr>
                        <w:rPr>
                          <w:rFonts w:ascii="Cambria Math" w:hAnsi="Cambria Math"/>
                          <w:i/>
                        </w:rPr>
                      </m:ctrlPr>
                    </m:sSubPr>
                    <m:e>
                      <m:r>
                        <w:rPr>
                          <w:rFonts w:ascii="Cambria Math" w:hAnsi="Cambria Math"/>
                        </w:rPr>
                        <m:t>K</m:t>
                      </m:r>
                    </m:e>
                    <m:sub>
                      <m:r>
                        <w:rPr>
                          <w:rFonts w:ascii="Cambria Math" w:hAnsi="Cambria Math"/>
                        </w:rPr>
                        <m:t>t-1</m:t>
                      </m:r>
                    </m:sub>
                  </m:sSub>
                </m:den>
              </m:f>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lt</m:t>
              </m:r>
            </m:sub>
          </m:sSub>
          <m:d>
            <m:dPr>
              <m:ctrlPr>
                <w:rPr>
                  <w:rFonts w:ascii="Cambria Math" w:hAnsi="Cambria Math"/>
                  <w:i/>
                </w:rPr>
              </m:ctrlPr>
            </m:dPr>
            <m:e>
              <m:r>
                <w:rPr>
                  <w:rFonts w:ascii="Cambria Math" w:hAnsi="Cambria Math"/>
                </w:rPr>
                <m:t xml:space="preserve">ln </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t</m:t>
                      </m:r>
                    </m:sub>
                  </m:sSub>
                </m:num>
                <m:den>
                  <m:sSub>
                    <m:sSubPr>
                      <m:ctrlPr>
                        <w:rPr>
                          <w:rFonts w:ascii="Cambria Math" w:hAnsi="Cambria Math"/>
                          <w:i/>
                        </w:rPr>
                      </m:ctrlPr>
                    </m:sSubPr>
                    <m:e>
                      <m:r>
                        <w:rPr>
                          <w:rFonts w:ascii="Cambria Math" w:hAnsi="Cambria Math"/>
                        </w:rPr>
                        <m:t>L</m:t>
                      </m:r>
                    </m:e>
                    <m:sub>
                      <m:r>
                        <w:rPr>
                          <w:rFonts w:ascii="Cambria Math" w:hAnsi="Cambria Math"/>
                        </w:rPr>
                        <m:t>t-1</m:t>
                      </m:r>
                    </m:sub>
                  </m:sSub>
                </m:den>
              </m:f>
            </m:e>
          </m:d>
        </m:oMath>
      </m:oMathPara>
    </w:p>
    <w:p w:rsidR="00D363BE" w:rsidRDefault="00D363BE" w:rsidP="009C7777">
      <w:pPr>
        <w:pStyle w:val="BodyText"/>
      </w:pPr>
      <w:r>
        <w:t xml:space="preserve">As noted in sections </w:t>
      </w:r>
      <w:proofErr w:type="spellStart"/>
      <w:r>
        <w:t>A.5</w:t>
      </w:r>
      <w:proofErr w:type="spellEnd"/>
      <w:r>
        <w:t xml:space="preserve"> and </w:t>
      </w:r>
      <w:proofErr w:type="spellStart"/>
      <w:r>
        <w:t>A.6</w:t>
      </w:r>
      <w:proofErr w:type="spellEnd"/>
      <w:r>
        <w:t>, data limitations have resulted in some discrepancies between the aggregate of the subsector estimates and the ABS estimates for capital services and factor income shares</w:t>
      </w:r>
      <w:r w:rsidR="002E6911">
        <w:t xml:space="preserve"> for Manufacturing as a whole</w:t>
      </w:r>
      <w:r>
        <w:t xml:space="preserve">. The </w:t>
      </w:r>
      <w:r w:rsidR="00B8031D">
        <w:t xml:space="preserve">resulting difference in the </w:t>
      </w:r>
      <w:r>
        <w:t>MFP index</w:t>
      </w:r>
      <w:r w:rsidR="00B8031D">
        <w:t>es</w:t>
      </w:r>
      <w:r>
        <w:t xml:space="preserve"> is shown in figure </w:t>
      </w:r>
      <w:proofErr w:type="spellStart"/>
      <w:r w:rsidR="0032524B">
        <w:t>A.5</w:t>
      </w:r>
      <w:proofErr w:type="spellEnd"/>
      <w:r>
        <w:t xml:space="preserve">. </w:t>
      </w:r>
    </w:p>
    <w:p w:rsidR="00D363BE" w:rsidRDefault="00D363BE" w:rsidP="00D363BE">
      <w:pPr>
        <w:pStyle w:val="FigureTitle"/>
      </w:pPr>
      <w:r>
        <w:rPr>
          <w:b w:val="0"/>
        </w:rPr>
        <w:lastRenderedPageBreak/>
        <w:t xml:space="preserve">Figure </w:t>
      </w:r>
      <w:bookmarkStart w:id="31" w:name="OLE_LINK12"/>
      <w:proofErr w:type="spellStart"/>
      <w:r w:rsidR="0032524B">
        <w:rPr>
          <w:b w:val="0"/>
        </w:rPr>
        <w:t>A.</w:t>
      </w:r>
      <w:r w:rsidR="001459D9">
        <w:rPr>
          <w:b w:val="0"/>
          <w:noProof/>
        </w:rPr>
        <w:t>5</w:t>
      </w:r>
      <w:bookmarkEnd w:id="31"/>
      <w:proofErr w:type="spellEnd"/>
      <w:r>
        <w:tab/>
        <w:t>MFP discrepancy</w:t>
      </w:r>
    </w:p>
    <w:p w:rsidR="00D363BE" w:rsidRDefault="00D363BE" w:rsidP="00D363BE">
      <w:pPr>
        <w:pStyle w:val="Subtitle"/>
      </w:pPr>
      <w:r>
        <w:t>Index 2009</w:t>
      </w:r>
      <w:r w:rsidR="00FF62BB">
        <w:noBreakHyphen/>
      </w:r>
      <w:r>
        <w:t>10 = 100</w:t>
      </w:r>
      <w:r w:rsidR="0025662D">
        <w:t xml:space="preserve"> and 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4"/>
        <w:gridCol w:w="1098"/>
        <w:gridCol w:w="1028"/>
        <w:gridCol w:w="1276"/>
        <w:gridCol w:w="991"/>
      </w:tblGrid>
      <w:tr w:rsidR="009F0D2A" w:rsidTr="00C71E64">
        <w:tc>
          <w:tcPr>
            <w:tcW w:w="4384" w:type="dxa"/>
            <w:vMerge w:val="restart"/>
            <w:tcBorders>
              <w:top w:val="single" w:sz="4" w:space="0" w:color="auto"/>
              <w:bottom w:val="nil"/>
            </w:tcBorders>
            <w:vAlign w:val="center"/>
          </w:tcPr>
          <w:p w:rsidR="009F0D2A" w:rsidRDefault="00CF42E7" w:rsidP="00E83C0E">
            <w:pPr>
              <w:pStyle w:val="Figure"/>
            </w:pPr>
            <w:r>
              <w:pict>
                <v:shape id="_x0000_i1029" type="#_x0000_t75" alt="This figure contains a chart and corresponding table. The chart shows that the aggregate of subsector MFP index does not exactly match that published by the ABS for Manufacturing in total. The table details the average annual growth rates by cycle of these indexes, in addition to an index of the ABS total for Manufacturing excluding those assets that are not included in the subsector estimates of capital services (and therefore MFP). Growth in this MFP series is, generally speaking, more consistent with the aggregate of the subsector MFP estimates in this paper. " style="width:205.95pt;height:205.95pt">
                  <v:imagedata r:id="rId13" o:title=""/>
                </v:shape>
              </w:pict>
            </w:r>
          </w:p>
        </w:tc>
        <w:tc>
          <w:tcPr>
            <w:tcW w:w="1098" w:type="dxa"/>
            <w:tcBorders>
              <w:top w:val="single" w:sz="4" w:space="0" w:color="auto"/>
              <w:bottom w:val="single" w:sz="4" w:space="0" w:color="auto"/>
            </w:tcBorders>
            <w:vAlign w:val="bottom"/>
          </w:tcPr>
          <w:p w:rsidR="009F0D2A" w:rsidRPr="004D715E" w:rsidRDefault="009F0D2A" w:rsidP="00D52E18">
            <w:pPr>
              <w:pStyle w:val="TableBodyText"/>
              <w:jc w:val="left"/>
              <w:rPr>
                <w:i/>
              </w:rPr>
            </w:pPr>
            <w:r w:rsidRPr="004D715E">
              <w:rPr>
                <w:i/>
              </w:rPr>
              <w:t>Cycle</w:t>
            </w:r>
          </w:p>
        </w:tc>
        <w:tc>
          <w:tcPr>
            <w:tcW w:w="1028" w:type="dxa"/>
            <w:tcBorders>
              <w:top w:val="single" w:sz="4" w:space="0" w:color="auto"/>
              <w:bottom w:val="single" w:sz="4" w:space="0" w:color="auto"/>
            </w:tcBorders>
            <w:vAlign w:val="bottom"/>
          </w:tcPr>
          <w:p w:rsidR="009F0D2A" w:rsidRPr="003452BB" w:rsidRDefault="009F0D2A" w:rsidP="00D52E18">
            <w:pPr>
              <w:pStyle w:val="TableUnitsRow"/>
              <w:rPr>
                <w:i/>
              </w:rPr>
            </w:pPr>
            <w:r w:rsidRPr="00C334CC">
              <w:rPr>
                <w:i/>
              </w:rPr>
              <w:t>ABS</w:t>
            </w:r>
            <w:r>
              <w:rPr>
                <w:i/>
              </w:rPr>
              <w:t xml:space="preserve"> </w:t>
            </w:r>
            <w:r>
              <w:rPr>
                <w:i/>
              </w:rPr>
              <w:br/>
              <w:t xml:space="preserve">total </w:t>
            </w:r>
            <w:proofErr w:type="spellStart"/>
            <w:r>
              <w:rPr>
                <w:i/>
              </w:rPr>
              <w:t>mfg</w:t>
            </w:r>
            <w:proofErr w:type="spellEnd"/>
          </w:p>
        </w:tc>
        <w:tc>
          <w:tcPr>
            <w:tcW w:w="1276" w:type="dxa"/>
            <w:tcBorders>
              <w:top w:val="single" w:sz="4" w:space="0" w:color="auto"/>
              <w:bottom w:val="single" w:sz="4" w:space="0" w:color="auto"/>
            </w:tcBorders>
            <w:vAlign w:val="bottom"/>
          </w:tcPr>
          <w:p w:rsidR="009F0D2A" w:rsidRPr="003452BB" w:rsidRDefault="009F0D2A" w:rsidP="00D52E18">
            <w:pPr>
              <w:pStyle w:val="TableUnitsRow"/>
              <w:ind w:left="-212" w:right="0"/>
              <w:rPr>
                <w:i/>
              </w:rPr>
            </w:pPr>
            <w:r>
              <w:rPr>
                <w:i/>
              </w:rPr>
              <w:t xml:space="preserve">Aggregate </w:t>
            </w:r>
            <w:r>
              <w:rPr>
                <w:i/>
              </w:rPr>
              <w:br/>
              <w:t>of subsectors</w:t>
            </w:r>
          </w:p>
        </w:tc>
        <w:tc>
          <w:tcPr>
            <w:tcW w:w="991" w:type="dxa"/>
            <w:tcBorders>
              <w:top w:val="single" w:sz="4" w:space="0" w:color="auto"/>
              <w:bottom w:val="single" w:sz="4" w:space="0" w:color="auto"/>
            </w:tcBorders>
            <w:vAlign w:val="bottom"/>
          </w:tcPr>
          <w:p w:rsidR="009F0D2A" w:rsidRPr="00C334CC" w:rsidRDefault="009F0D2A" w:rsidP="00D52E18">
            <w:pPr>
              <w:pStyle w:val="TableUnitsRow"/>
              <w:ind w:right="-1"/>
              <w:rPr>
                <w:i/>
              </w:rPr>
            </w:pPr>
            <w:r w:rsidRPr="00C334CC">
              <w:rPr>
                <w:i/>
              </w:rPr>
              <w:t xml:space="preserve">ABS with </w:t>
            </w:r>
            <w:r>
              <w:rPr>
                <w:i/>
              </w:rPr>
              <w:t>assets</w:t>
            </w:r>
            <w:r w:rsidRPr="00C334CC">
              <w:rPr>
                <w:i/>
              </w:rPr>
              <w:t xml:space="preserve"> </w:t>
            </w:r>
            <w:r>
              <w:rPr>
                <w:i/>
              </w:rPr>
              <w:t>removed</w:t>
            </w:r>
            <w:r>
              <w:rPr>
                <w:rStyle w:val="NoteLabel"/>
              </w:rPr>
              <w:t>b</w:t>
            </w:r>
          </w:p>
        </w:tc>
      </w:tr>
      <w:tr w:rsidR="009F0D2A" w:rsidTr="00C71E64">
        <w:trPr>
          <w:trHeight w:val="272"/>
        </w:trPr>
        <w:tc>
          <w:tcPr>
            <w:tcW w:w="4384" w:type="dxa"/>
            <w:vMerge/>
            <w:tcBorders>
              <w:top w:val="nil"/>
            </w:tcBorders>
          </w:tcPr>
          <w:p w:rsidR="009F0D2A" w:rsidRDefault="009F0D2A" w:rsidP="00D52E18">
            <w:pPr>
              <w:pStyle w:val="Figure"/>
              <w:jc w:val="left"/>
            </w:pPr>
          </w:p>
        </w:tc>
        <w:tc>
          <w:tcPr>
            <w:tcW w:w="1098" w:type="dxa"/>
            <w:tcBorders>
              <w:top w:val="single" w:sz="4" w:space="0" w:color="auto"/>
              <w:bottom w:val="nil"/>
            </w:tcBorders>
            <w:shd w:val="clear" w:color="auto" w:fill="auto"/>
          </w:tcPr>
          <w:p w:rsidR="009F0D2A" w:rsidRDefault="009F0D2A" w:rsidP="00D52E18">
            <w:pPr>
              <w:pStyle w:val="TableUnitsRow"/>
            </w:pPr>
          </w:p>
        </w:tc>
        <w:tc>
          <w:tcPr>
            <w:tcW w:w="1028" w:type="dxa"/>
            <w:tcBorders>
              <w:top w:val="single" w:sz="4" w:space="0" w:color="auto"/>
            </w:tcBorders>
            <w:shd w:val="clear" w:color="auto" w:fill="auto"/>
            <w:vAlign w:val="bottom"/>
          </w:tcPr>
          <w:p w:rsidR="009F0D2A" w:rsidRDefault="009F0D2A" w:rsidP="00D52E18">
            <w:pPr>
              <w:pStyle w:val="TableUnitsRow"/>
            </w:pPr>
            <w:r>
              <w:t xml:space="preserve">% </w:t>
            </w:r>
            <w:proofErr w:type="spellStart"/>
            <w:r>
              <w:t>py</w:t>
            </w:r>
            <w:proofErr w:type="spellEnd"/>
          </w:p>
        </w:tc>
        <w:tc>
          <w:tcPr>
            <w:tcW w:w="1276" w:type="dxa"/>
            <w:tcBorders>
              <w:top w:val="single" w:sz="4" w:space="0" w:color="auto"/>
            </w:tcBorders>
            <w:shd w:val="clear" w:color="auto" w:fill="auto"/>
            <w:vAlign w:val="bottom"/>
          </w:tcPr>
          <w:p w:rsidR="009F0D2A" w:rsidRDefault="009F0D2A" w:rsidP="00D52E18">
            <w:pPr>
              <w:pStyle w:val="TableUnitsRow"/>
            </w:pPr>
            <w:r>
              <w:t xml:space="preserve">% </w:t>
            </w:r>
            <w:proofErr w:type="spellStart"/>
            <w:r>
              <w:t>py</w:t>
            </w:r>
            <w:proofErr w:type="spellEnd"/>
          </w:p>
        </w:tc>
        <w:tc>
          <w:tcPr>
            <w:tcW w:w="991" w:type="dxa"/>
            <w:tcBorders>
              <w:top w:val="single" w:sz="4" w:space="0" w:color="auto"/>
            </w:tcBorders>
            <w:shd w:val="clear" w:color="auto" w:fill="auto"/>
            <w:vAlign w:val="bottom"/>
          </w:tcPr>
          <w:p w:rsidR="009F0D2A" w:rsidRDefault="009F0D2A" w:rsidP="00D52E18">
            <w:pPr>
              <w:pStyle w:val="TableUnitsRow"/>
            </w:pPr>
            <w:r>
              <w:t xml:space="preserve">% </w:t>
            </w:r>
            <w:proofErr w:type="spellStart"/>
            <w:r>
              <w:t>py</w:t>
            </w:r>
            <w:proofErr w:type="spellEnd"/>
          </w:p>
        </w:tc>
      </w:tr>
      <w:tr w:rsidR="009F0D2A" w:rsidTr="00D52E18">
        <w:trPr>
          <w:trHeight w:val="272"/>
        </w:trPr>
        <w:tc>
          <w:tcPr>
            <w:tcW w:w="4384" w:type="dxa"/>
            <w:vMerge/>
          </w:tcPr>
          <w:p w:rsidR="009F0D2A" w:rsidRDefault="009F0D2A" w:rsidP="00D52E18">
            <w:pPr>
              <w:pStyle w:val="Figure"/>
              <w:jc w:val="left"/>
            </w:pPr>
          </w:p>
        </w:tc>
        <w:tc>
          <w:tcPr>
            <w:tcW w:w="1098" w:type="dxa"/>
            <w:tcBorders>
              <w:top w:val="nil"/>
            </w:tcBorders>
            <w:shd w:val="clear" w:color="auto" w:fill="D9D9D9" w:themeFill="background1" w:themeFillShade="D9"/>
            <w:vAlign w:val="center"/>
          </w:tcPr>
          <w:p w:rsidR="009F0D2A" w:rsidRPr="007E1466" w:rsidRDefault="009F0D2A" w:rsidP="00D52E18">
            <w:pPr>
              <w:pStyle w:val="TableBodyText"/>
              <w:jc w:val="left"/>
            </w:pPr>
            <w:r w:rsidRPr="007E1466">
              <w:t>1988</w:t>
            </w:r>
            <w:r w:rsidR="00FF62BB">
              <w:noBreakHyphen/>
            </w:r>
            <w:r w:rsidRPr="007E1466">
              <w:t>89</w:t>
            </w:r>
            <w:r w:rsidRPr="007E1466">
              <w:br/>
              <w:t>to 1993-94</w:t>
            </w:r>
          </w:p>
        </w:tc>
        <w:tc>
          <w:tcPr>
            <w:tcW w:w="1028" w:type="dxa"/>
            <w:shd w:val="clear" w:color="auto" w:fill="D9D9D9" w:themeFill="background1" w:themeFillShade="D9"/>
            <w:vAlign w:val="bottom"/>
          </w:tcPr>
          <w:p w:rsidR="009F0D2A" w:rsidRPr="003452BB" w:rsidRDefault="009F0D2A" w:rsidP="00D52E18">
            <w:pPr>
              <w:pStyle w:val="TableBodyText"/>
              <w:rPr>
                <w:i/>
              </w:rPr>
            </w:pPr>
            <w:r>
              <w:t>0.0</w:t>
            </w:r>
          </w:p>
        </w:tc>
        <w:tc>
          <w:tcPr>
            <w:tcW w:w="1276" w:type="dxa"/>
            <w:shd w:val="clear" w:color="auto" w:fill="D9D9D9" w:themeFill="background1" w:themeFillShade="D9"/>
            <w:vAlign w:val="bottom"/>
          </w:tcPr>
          <w:p w:rsidR="009F0D2A" w:rsidRPr="003452BB" w:rsidRDefault="009F0D2A" w:rsidP="00D52E18">
            <w:pPr>
              <w:pStyle w:val="TableBodyText"/>
              <w:ind w:right="0"/>
              <w:rPr>
                <w:i/>
              </w:rPr>
            </w:pPr>
            <w:r>
              <w:rPr>
                <w:rFonts w:cs="Arial"/>
                <w:color w:val="000000"/>
              </w:rPr>
              <w:t>-0.4</w:t>
            </w:r>
          </w:p>
        </w:tc>
        <w:tc>
          <w:tcPr>
            <w:tcW w:w="991" w:type="dxa"/>
            <w:shd w:val="clear" w:color="auto" w:fill="D9D9D9" w:themeFill="background1" w:themeFillShade="D9"/>
            <w:vAlign w:val="bottom"/>
          </w:tcPr>
          <w:p w:rsidR="009F0D2A" w:rsidRPr="005630C8" w:rsidRDefault="009F0D2A" w:rsidP="00D52E18">
            <w:pPr>
              <w:pStyle w:val="TableBodyText"/>
            </w:pPr>
            <w:r w:rsidRPr="005630C8">
              <w:t>-0.3</w:t>
            </w:r>
          </w:p>
        </w:tc>
      </w:tr>
      <w:tr w:rsidR="009F0D2A" w:rsidTr="00D52E18">
        <w:trPr>
          <w:trHeight w:val="272"/>
        </w:trPr>
        <w:tc>
          <w:tcPr>
            <w:tcW w:w="4384" w:type="dxa"/>
            <w:vMerge/>
          </w:tcPr>
          <w:p w:rsidR="009F0D2A" w:rsidRDefault="009F0D2A" w:rsidP="00D52E18">
            <w:pPr>
              <w:pStyle w:val="Figure"/>
              <w:jc w:val="left"/>
            </w:pPr>
          </w:p>
        </w:tc>
        <w:tc>
          <w:tcPr>
            <w:tcW w:w="1098" w:type="dxa"/>
            <w:shd w:val="clear" w:color="auto" w:fill="auto"/>
            <w:vAlign w:val="center"/>
          </w:tcPr>
          <w:p w:rsidR="009F0D2A" w:rsidRPr="003452BB" w:rsidRDefault="009F0D2A" w:rsidP="00D52E18">
            <w:pPr>
              <w:pStyle w:val="TableBodyText"/>
              <w:jc w:val="left"/>
              <w:rPr>
                <w:i/>
              </w:rPr>
            </w:pPr>
            <w:r>
              <w:t>1993</w:t>
            </w:r>
            <w:r w:rsidR="00FF62BB">
              <w:noBreakHyphen/>
            </w:r>
            <w:r>
              <w:t xml:space="preserve">94 </w:t>
            </w:r>
            <w:r>
              <w:br/>
              <w:t>to 1998-99</w:t>
            </w:r>
          </w:p>
        </w:tc>
        <w:tc>
          <w:tcPr>
            <w:tcW w:w="1028" w:type="dxa"/>
            <w:shd w:val="clear" w:color="auto" w:fill="auto"/>
            <w:vAlign w:val="bottom"/>
          </w:tcPr>
          <w:p w:rsidR="009F0D2A" w:rsidRPr="003452BB" w:rsidRDefault="009F0D2A" w:rsidP="00D52E18">
            <w:pPr>
              <w:pStyle w:val="TableBodyText"/>
              <w:rPr>
                <w:i/>
              </w:rPr>
            </w:pPr>
            <w:r>
              <w:t>0.6</w:t>
            </w:r>
          </w:p>
        </w:tc>
        <w:tc>
          <w:tcPr>
            <w:tcW w:w="1276" w:type="dxa"/>
            <w:shd w:val="clear" w:color="auto" w:fill="auto"/>
            <w:vAlign w:val="bottom"/>
          </w:tcPr>
          <w:p w:rsidR="009F0D2A" w:rsidRPr="003452BB" w:rsidRDefault="009F0D2A" w:rsidP="00D52E18">
            <w:pPr>
              <w:pStyle w:val="TableBodyText"/>
              <w:ind w:right="0"/>
              <w:rPr>
                <w:i/>
              </w:rPr>
            </w:pPr>
            <w:r>
              <w:rPr>
                <w:rFonts w:cs="Arial"/>
                <w:color w:val="000000"/>
              </w:rPr>
              <w:t>0.9</w:t>
            </w:r>
          </w:p>
        </w:tc>
        <w:tc>
          <w:tcPr>
            <w:tcW w:w="991" w:type="dxa"/>
            <w:shd w:val="clear" w:color="auto" w:fill="auto"/>
            <w:vAlign w:val="bottom"/>
          </w:tcPr>
          <w:p w:rsidR="009F0D2A" w:rsidRPr="005630C8" w:rsidRDefault="009F0D2A" w:rsidP="00D52E18">
            <w:pPr>
              <w:pStyle w:val="TableBodyText"/>
            </w:pPr>
            <w:r>
              <w:t>0.6</w:t>
            </w:r>
          </w:p>
        </w:tc>
      </w:tr>
      <w:tr w:rsidR="009F0D2A" w:rsidTr="00D52E18">
        <w:trPr>
          <w:trHeight w:val="272"/>
        </w:trPr>
        <w:tc>
          <w:tcPr>
            <w:tcW w:w="4384" w:type="dxa"/>
            <w:vMerge/>
          </w:tcPr>
          <w:p w:rsidR="009F0D2A" w:rsidRDefault="009F0D2A" w:rsidP="00D52E18">
            <w:pPr>
              <w:pStyle w:val="Figure"/>
              <w:jc w:val="left"/>
            </w:pPr>
          </w:p>
        </w:tc>
        <w:tc>
          <w:tcPr>
            <w:tcW w:w="1098" w:type="dxa"/>
            <w:shd w:val="clear" w:color="auto" w:fill="D9D9D9" w:themeFill="background1" w:themeFillShade="D9"/>
            <w:vAlign w:val="center"/>
          </w:tcPr>
          <w:p w:rsidR="009F0D2A" w:rsidRPr="003452BB" w:rsidRDefault="009F0D2A" w:rsidP="00D52E18">
            <w:pPr>
              <w:pStyle w:val="TableBodyText"/>
              <w:jc w:val="left"/>
              <w:rPr>
                <w:i/>
              </w:rPr>
            </w:pPr>
            <w:r>
              <w:t>1998</w:t>
            </w:r>
            <w:r w:rsidR="00FF62BB">
              <w:noBreakHyphen/>
            </w:r>
            <w:r>
              <w:t xml:space="preserve">99 </w:t>
            </w:r>
            <w:r>
              <w:br/>
              <w:t>to 2003-04</w:t>
            </w:r>
          </w:p>
        </w:tc>
        <w:tc>
          <w:tcPr>
            <w:tcW w:w="1028" w:type="dxa"/>
            <w:shd w:val="clear" w:color="auto" w:fill="D9D9D9" w:themeFill="background1" w:themeFillShade="D9"/>
            <w:vAlign w:val="bottom"/>
          </w:tcPr>
          <w:p w:rsidR="009F0D2A" w:rsidRPr="003452BB" w:rsidRDefault="009F0D2A" w:rsidP="00D52E18">
            <w:pPr>
              <w:pStyle w:val="TableBodyText"/>
              <w:rPr>
                <w:i/>
              </w:rPr>
            </w:pPr>
            <w:r>
              <w:t>1.3</w:t>
            </w:r>
          </w:p>
        </w:tc>
        <w:tc>
          <w:tcPr>
            <w:tcW w:w="1276" w:type="dxa"/>
            <w:shd w:val="clear" w:color="auto" w:fill="D9D9D9" w:themeFill="background1" w:themeFillShade="D9"/>
            <w:vAlign w:val="bottom"/>
          </w:tcPr>
          <w:p w:rsidR="009F0D2A" w:rsidRPr="003452BB" w:rsidRDefault="009F0D2A" w:rsidP="00D52E18">
            <w:pPr>
              <w:pStyle w:val="TableBodyText"/>
              <w:ind w:right="0"/>
              <w:rPr>
                <w:i/>
              </w:rPr>
            </w:pPr>
            <w:r>
              <w:rPr>
                <w:rFonts w:cs="Arial"/>
                <w:color w:val="000000"/>
              </w:rPr>
              <w:t>1.4</w:t>
            </w:r>
          </w:p>
        </w:tc>
        <w:tc>
          <w:tcPr>
            <w:tcW w:w="991" w:type="dxa"/>
            <w:shd w:val="clear" w:color="auto" w:fill="D9D9D9" w:themeFill="background1" w:themeFillShade="D9"/>
            <w:vAlign w:val="bottom"/>
          </w:tcPr>
          <w:p w:rsidR="009F0D2A" w:rsidRPr="005630C8" w:rsidRDefault="009F0D2A" w:rsidP="00D52E18">
            <w:pPr>
              <w:pStyle w:val="TableBodyText"/>
            </w:pPr>
            <w:r>
              <w:t>1.2</w:t>
            </w:r>
          </w:p>
        </w:tc>
      </w:tr>
      <w:tr w:rsidR="009F0D2A" w:rsidTr="00D52E18">
        <w:trPr>
          <w:trHeight w:val="272"/>
        </w:trPr>
        <w:tc>
          <w:tcPr>
            <w:tcW w:w="4384" w:type="dxa"/>
            <w:vMerge/>
          </w:tcPr>
          <w:p w:rsidR="009F0D2A" w:rsidRDefault="009F0D2A" w:rsidP="00D52E18">
            <w:pPr>
              <w:pStyle w:val="Figure"/>
              <w:jc w:val="left"/>
            </w:pPr>
          </w:p>
        </w:tc>
        <w:tc>
          <w:tcPr>
            <w:tcW w:w="1098" w:type="dxa"/>
            <w:shd w:val="clear" w:color="auto" w:fill="auto"/>
            <w:vAlign w:val="center"/>
          </w:tcPr>
          <w:p w:rsidR="009F0D2A" w:rsidRPr="003452BB" w:rsidRDefault="009F0D2A" w:rsidP="00D52E18">
            <w:pPr>
              <w:pStyle w:val="TableBodyText"/>
              <w:jc w:val="left"/>
              <w:rPr>
                <w:i/>
              </w:rPr>
            </w:pPr>
            <w:r>
              <w:t>2003</w:t>
            </w:r>
            <w:r w:rsidR="00FF62BB">
              <w:noBreakHyphen/>
            </w:r>
            <w:r>
              <w:t xml:space="preserve">04 </w:t>
            </w:r>
            <w:r>
              <w:br/>
              <w:t>to 2007-08</w:t>
            </w:r>
          </w:p>
        </w:tc>
        <w:tc>
          <w:tcPr>
            <w:tcW w:w="1028" w:type="dxa"/>
            <w:shd w:val="clear" w:color="auto" w:fill="auto"/>
            <w:vAlign w:val="bottom"/>
          </w:tcPr>
          <w:p w:rsidR="009F0D2A" w:rsidRPr="003452BB" w:rsidRDefault="009F0D2A" w:rsidP="00D52E18">
            <w:pPr>
              <w:pStyle w:val="TableBodyText"/>
              <w:rPr>
                <w:i/>
              </w:rPr>
            </w:pPr>
            <w:r>
              <w:t>-1.4</w:t>
            </w:r>
          </w:p>
        </w:tc>
        <w:tc>
          <w:tcPr>
            <w:tcW w:w="1276" w:type="dxa"/>
            <w:shd w:val="clear" w:color="auto" w:fill="auto"/>
            <w:vAlign w:val="bottom"/>
          </w:tcPr>
          <w:p w:rsidR="009F0D2A" w:rsidRPr="003452BB" w:rsidRDefault="009F0D2A" w:rsidP="00D52E18">
            <w:pPr>
              <w:pStyle w:val="TableBodyText"/>
              <w:ind w:right="0"/>
              <w:rPr>
                <w:i/>
              </w:rPr>
            </w:pPr>
            <w:r>
              <w:rPr>
                <w:rFonts w:cs="Arial"/>
                <w:color w:val="000000"/>
              </w:rPr>
              <w:t>-1.5</w:t>
            </w:r>
          </w:p>
        </w:tc>
        <w:tc>
          <w:tcPr>
            <w:tcW w:w="991" w:type="dxa"/>
            <w:shd w:val="clear" w:color="auto" w:fill="auto"/>
            <w:vAlign w:val="bottom"/>
          </w:tcPr>
          <w:p w:rsidR="009F0D2A" w:rsidRPr="005630C8" w:rsidRDefault="009F0D2A" w:rsidP="00D52E18">
            <w:pPr>
              <w:pStyle w:val="TableBodyText"/>
            </w:pPr>
            <w:r>
              <w:t>-1.7</w:t>
            </w:r>
          </w:p>
        </w:tc>
      </w:tr>
      <w:tr w:rsidR="009F0D2A" w:rsidTr="00D52E18">
        <w:trPr>
          <w:trHeight w:val="113"/>
        </w:trPr>
        <w:tc>
          <w:tcPr>
            <w:tcW w:w="4384" w:type="dxa"/>
            <w:vMerge/>
          </w:tcPr>
          <w:p w:rsidR="009F0D2A" w:rsidRDefault="009F0D2A" w:rsidP="00D52E18">
            <w:pPr>
              <w:pStyle w:val="Figure"/>
              <w:jc w:val="left"/>
            </w:pPr>
          </w:p>
        </w:tc>
        <w:tc>
          <w:tcPr>
            <w:tcW w:w="1098" w:type="dxa"/>
            <w:shd w:val="clear" w:color="auto" w:fill="D9D9D9" w:themeFill="background1" w:themeFillShade="D9"/>
            <w:vAlign w:val="center"/>
          </w:tcPr>
          <w:p w:rsidR="009F0D2A" w:rsidRPr="003452BB" w:rsidRDefault="009F0D2A" w:rsidP="00D52E18">
            <w:pPr>
              <w:pStyle w:val="TableBodyText"/>
              <w:ind w:right="0"/>
              <w:jc w:val="left"/>
              <w:rPr>
                <w:i/>
              </w:rPr>
            </w:pPr>
            <w:r>
              <w:t>2007</w:t>
            </w:r>
            <w:r w:rsidR="00FF62BB">
              <w:noBreakHyphen/>
            </w:r>
            <w:r>
              <w:t xml:space="preserve">08 </w:t>
            </w:r>
            <w:r>
              <w:br/>
              <w:t>to 2010</w:t>
            </w:r>
            <w:r w:rsidR="00FF62BB">
              <w:noBreakHyphen/>
            </w:r>
            <w:r>
              <w:t>11</w:t>
            </w:r>
            <w:r>
              <w:rPr>
                <w:rStyle w:val="NoteLabel"/>
              </w:rPr>
              <w:t>a</w:t>
            </w:r>
          </w:p>
        </w:tc>
        <w:tc>
          <w:tcPr>
            <w:tcW w:w="1028" w:type="dxa"/>
            <w:shd w:val="clear" w:color="auto" w:fill="D9D9D9" w:themeFill="background1" w:themeFillShade="D9"/>
            <w:vAlign w:val="bottom"/>
          </w:tcPr>
          <w:p w:rsidR="009F0D2A" w:rsidRPr="003452BB" w:rsidRDefault="009F0D2A" w:rsidP="00D52E18">
            <w:pPr>
              <w:pStyle w:val="TableBodyText"/>
              <w:rPr>
                <w:i/>
              </w:rPr>
            </w:pPr>
            <w:r>
              <w:t>-0.8</w:t>
            </w:r>
          </w:p>
        </w:tc>
        <w:tc>
          <w:tcPr>
            <w:tcW w:w="1276" w:type="dxa"/>
            <w:shd w:val="clear" w:color="auto" w:fill="D9D9D9" w:themeFill="background1" w:themeFillShade="D9"/>
            <w:vAlign w:val="bottom"/>
          </w:tcPr>
          <w:p w:rsidR="009F0D2A" w:rsidRPr="003452BB" w:rsidRDefault="009F0D2A" w:rsidP="00D52E18">
            <w:pPr>
              <w:pStyle w:val="TableBodyText"/>
              <w:ind w:right="0"/>
              <w:rPr>
                <w:i/>
              </w:rPr>
            </w:pPr>
            <w:r>
              <w:rPr>
                <w:rFonts w:cs="Arial"/>
                <w:color w:val="000000"/>
              </w:rPr>
              <w:t>-1.3</w:t>
            </w:r>
          </w:p>
        </w:tc>
        <w:tc>
          <w:tcPr>
            <w:tcW w:w="991" w:type="dxa"/>
            <w:shd w:val="clear" w:color="auto" w:fill="D9D9D9" w:themeFill="background1" w:themeFillShade="D9"/>
            <w:vAlign w:val="bottom"/>
          </w:tcPr>
          <w:p w:rsidR="009F0D2A" w:rsidRPr="005630C8" w:rsidRDefault="009F0D2A" w:rsidP="00D52E18">
            <w:pPr>
              <w:pStyle w:val="TableBodyText"/>
            </w:pPr>
            <w:r>
              <w:t>-0.9</w:t>
            </w:r>
          </w:p>
        </w:tc>
      </w:tr>
      <w:tr w:rsidR="009F0D2A" w:rsidTr="00D52E18">
        <w:trPr>
          <w:trHeight w:val="517"/>
        </w:trPr>
        <w:tc>
          <w:tcPr>
            <w:tcW w:w="4384" w:type="dxa"/>
            <w:vMerge/>
          </w:tcPr>
          <w:p w:rsidR="009F0D2A" w:rsidRDefault="009F0D2A" w:rsidP="00D52E18">
            <w:pPr>
              <w:pStyle w:val="Figure"/>
              <w:jc w:val="left"/>
            </w:pPr>
          </w:p>
        </w:tc>
        <w:tc>
          <w:tcPr>
            <w:tcW w:w="1098" w:type="dxa"/>
            <w:shd w:val="clear" w:color="auto" w:fill="auto"/>
            <w:vAlign w:val="bottom"/>
          </w:tcPr>
          <w:p w:rsidR="009F0D2A" w:rsidRPr="003452BB" w:rsidRDefault="009F0D2A" w:rsidP="00D52E18">
            <w:pPr>
              <w:pStyle w:val="TableBodyText"/>
              <w:jc w:val="left"/>
            </w:pPr>
            <w:r w:rsidRPr="004D715E">
              <w:rPr>
                <w:i/>
              </w:rPr>
              <w:t>Full period</w:t>
            </w:r>
          </w:p>
        </w:tc>
        <w:tc>
          <w:tcPr>
            <w:tcW w:w="1028" w:type="dxa"/>
            <w:shd w:val="clear" w:color="auto" w:fill="auto"/>
            <w:vAlign w:val="bottom"/>
          </w:tcPr>
          <w:p w:rsidR="009F0D2A" w:rsidRPr="003452BB" w:rsidRDefault="009F0D2A" w:rsidP="00D52E18">
            <w:pPr>
              <w:pStyle w:val="TableBodyText"/>
            </w:pPr>
          </w:p>
        </w:tc>
        <w:tc>
          <w:tcPr>
            <w:tcW w:w="1276" w:type="dxa"/>
            <w:shd w:val="clear" w:color="auto" w:fill="auto"/>
            <w:vAlign w:val="bottom"/>
          </w:tcPr>
          <w:p w:rsidR="009F0D2A" w:rsidRPr="003452BB" w:rsidRDefault="009F0D2A" w:rsidP="00D52E18">
            <w:pPr>
              <w:pStyle w:val="TableBodyText"/>
            </w:pPr>
          </w:p>
        </w:tc>
        <w:tc>
          <w:tcPr>
            <w:tcW w:w="991" w:type="dxa"/>
            <w:shd w:val="clear" w:color="auto" w:fill="auto"/>
            <w:vAlign w:val="bottom"/>
          </w:tcPr>
          <w:p w:rsidR="009F0D2A" w:rsidRPr="003452BB" w:rsidRDefault="009F0D2A" w:rsidP="00D52E18">
            <w:pPr>
              <w:pStyle w:val="TableBodyText"/>
            </w:pPr>
          </w:p>
        </w:tc>
      </w:tr>
      <w:tr w:rsidR="009F0D2A" w:rsidTr="00D52E18">
        <w:trPr>
          <w:trHeight w:val="80"/>
        </w:trPr>
        <w:tc>
          <w:tcPr>
            <w:tcW w:w="4384" w:type="dxa"/>
            <w:vMerge/>
          </w:tcPr>
          <w:p w:rsidR="009F0D2A" w:rsidRDefault="009F0D2A" w:rsidP="00D52E18">
            <w:pPr>
              <w:pStyle w:val="Figure"/>
              <w:jc w:val="left"/>
            </w:pPr>
          </w:p>
        </w:tc>
        <w:tc>
          <w:tcPr>
            <w:tcW w:w="1098" w:type="dxa"/>
            <w:shd w:val="clear" w:color="auto" w:fill="D9D9D9" w:themeFill="background1" w:themeFillShade="D9"/>
            <w:vAlign w:val="bottom"/>
          </w:tcPr>
          <w:p w:rsidR="009F0D2A" w:rsidRPr="009751F6" w:rsidRDefault="009F0D2A" w:rsidP="00D52E18">
            <w:pPr>
              <w:pStyle w:val="TableBodyText"/>
              <w:framePr w:w="2155" w:hSpace="227" w:vSpace="181" w:wrap="around" w:vAnchor="text" w:hAnchor="page" w:xAlign="outside" w:y="1"/>
              <w:jc w:val="left"/>
              <w:rPr>
                <w:i/>
              </w:rPr>
            </w:pPr>
            <w:r>
              <w:t>1985</w:t>
            </w:r>
            <w:r w:rsidR="00FF62BB">
              <w:noBreakHyphen/>
            </w:r>
            <w:r>
              <w:t xml:space="preserve">86 </w:t>
            </w:r>
            <w:r>
              <w:br/>
              <w:t>to 2010-11</w:t>
            </w:r>
          </w:p>
        </w:tc>
        <w:tc>
          <w:tcPr>
            <w:tcW w:w="1028" w:type="dxa"/>
            <w:shd w:val="clear" w:color="auto" w:fill="D9D9D9" w:themeFill="background1" w:themeFillShade="D9"/>
            <w:vAlign w:val="bottom"/>
          </w:tcPr>
          <w:p w:rsidR="009F0D2A" w:rsidRDefault="009F0D2A" w:rsidP="00D52E18">
            <w:pPr>
              <w:pStyle w:val="TableBodyText"/>
            </w:pPr>
            <w:r>
              <w:t>0.3</w:t>
            </w:r>
          </w:p>
        </w:tc>
        <w:tc>
          <w:tcPr>
            <w:tcW w:w="1276" w:type="dxa"/>
            <w:shd w:val="clear" w:color="auto" w:fill="D9D9D9" w:themeFill="background1" w:themeFillShade="D9"/>
            <w:vAlign w:val="bottom"/>
          </w:tcPr>
          <w:p w:rsidR="009F0D2A" w:rsidRDefault="009F0D2A" w:rsidP="00D52E18">
            <w:pPr>
              <w:pStyle w:val="TableBodyText"/>
            </w:pPr>
            <w:r>
              <w:t>0.1</w:t>
            </w:r>
          </w:p>
        </w:tc>
        <w:tc>
          <w:tcPr>
            <w:tcW w:w="991" w:type="dxa"/>
            <w:shd w:val="clear" w:color="auto" w:fill="D9D9D9" w:themeFill="background1" w:themeFillShade="D9"/>
            <w:vAlign w:val="bottom"/>
          </w:tcPr>
          <w:p w:rsidR="009F0D2A" w:rsidRDefault="009F0D2A" w:rsidP="00D52E18">
            <w:pPr>
              <w:pStyle w:val="TableBodyText"/>
            </w:pPr>
            <w:r>
              <w:t>0.1</w:t>
            </w:r>
          </w:p>
        </w:tc>
      </w:tr>
    </w:tbl>
    <w:p w:rsidR="009F0D2A" w:rsidRDefault="009F0D2A" w:rsidP="009F0D2A">
      <w:pPr>
        <w:pStyle w:val="Note"/>
      </w:pPr>
      <w:r>
        <w:rPr>
          <w:rStyle w:val="NoteLabel"/>
        </w:rPr>
        <w:t>a</w:t>
      </w:r>
      <w:r>
        <w:t xml:space="preserve"> Incomplete productivity cycle. </w:t>
      </w:r>
      <w:r>
        <w:rPr>
          <w:rStyle w:val="NoteLabel"/>
        </w:rPr>
        <w:t>b</w:t>
      </w:r>
      <w:r>
        <w:t xml:space="preserve"> Refers to ABS series without those assets for which data are unavailable at the subsector level.</w:t>
      </w:r>
    </w:p>
    <w:p w:rsidR="009F0D2A" w:rsidRDefault="009F0D2A" w:rsidP="009F0D2A">
      <w:pPr>
        <w:pStyle w:val="Source"/>
      </w:pPr>
      <w:r>
        <w:rPr>
          <w:i/>
        </w:rPr>
        <w:t>Data sources</w:t>
      </w:r>
      <w:r w:rsidRPr="00167F06">
        <w:t xml:space="preserve">: </w:t>
      </w:r>
      <w:r>
        <w:t>Authors’ estimates; ABS (</w:t>
      </w:r>
      <w:r w:rsidRPr="0050427A">
        <w:rPr>
          <w:i/>
        </w:rPr>
        <w:t>Experimental Estimates of Industry Mu</w:t>
      </w:r>
      <w:r>
        <w:rPr>
          <w:i/>
        </w:rPr>
        <w:t xml:space="preserve">ltifactor </w:t>
      </w:r>
      <w:r w:rsidR="005569A9">
        <w:rPr>
          <w:i/>
        </w:rPr>
        <w:t>P</w:t>
      </w:r>
      <w:r>
        <w:rPr>
          <w:i/>
        </w:rPr>
        <w:t>roductivity, 2010</w:t>
      </w:r>
      <w:r w:rsidR="00FF62BB">
        <w:rPr>
          <w:i/>
        </w:rPr>
        <w:noBreakHyphen/>
      </w:r>
      <w:r>
        <w:rPr>
          <w:i/>
        </w:rPr>
        <w:t xml:space="preserve">11, </w:t>
      </w:r>
      <w:r>
        <w:t>Cat. no. 5260.0.55.002).</w:t>
      </w:r>
    </w:p>
    <w:p w:rsidR="00E35EAA" w:rsidRPr="00A12447" w:rsidRDefault="00E35EAA" w:rsidP="00E35EAA">
      <w:pPr>
        <w:pStyle w:val="BodyText"/>
      </w:pPr>
      <w:r>
        <w:t xml:space="preserve">As discussed in section </w:t>
      </w:r>
      <w:proofErr w:type="spellStart"/>
      <w:r>
        <w:t>A.5</w:t>
      </w:r>
      <w:proofErr w:type="spellEnd"/>
      <w:r>
        <w:t>, w</w:t>
      </w:r>
      <w:r w:rsidRPr="00A12447">
        <w:t xml:space="preserve">hile the additional asset types used by the ABS cannot be included in the </w:t>
      </w:r>
      <w:r>
        <w:t>subsector</w:t>
      </w:r>
      <w:r w:rsidRPr="00A12447">
        <w:t xml:space="preserve"> </w:t>
      </w:r>
      <w:r>
        <w:t>estimates of</w:t>
      </w:r>
      <w:r w:rsidRPr="00A12447">
        <w:t xml:space="preserve"> capital services</w:t>
      </w:r>
      <w:r>
        <w:t xml:space="preserve"> (and </w:t>
      </w:r>
      <w:r w:rsidR="006961E3">
        <w:t xml:space="preserve">therefore </w:t>
      </w:r>
      <w:r>
        <w:t>MFP)</w:t>
      </w:r>
      <w:r w:rsidRPr="00A12447">
        <w:t xml:space="preserve">, </w:t>
      </w:r>
      <w:r>
        <w:t xml:space="preserve">it is possible to remove those assets from the </w:t>
      </w:r>
      <w:r w:rsidRPr="00A12447">
        <w:t xml:space="preserve">ABS </w:t>
      </w:r>
      <w:r>
        <w:t xml:space="preserve">series for </w:t>
      </w:r>
      <w:r w:rsidR="002E6911">
        <w:t>M</w:t>
      </w:r>
      <w:r>
        <w:t>anufacturing</w:t>
      </w:r>
      <w:r w:rsidR="002E6911">
        <w:t xml:space="preserve"> as a whole</w:t>
      </w:r>
      <w:r>
        <w:t xml:space="preserve"> </w:t>
      </w:r>
      <w:r w:rsidRPr="00A12447">
        <w:t xml:space="preserve">to derive another </w:t>
      </w:r>
      <w:r>
        <w:t xml:space="preserve">MFP </w:t>
      </w:r>
      <w:r w:rsidRPr="00A12447">
        <w:t xml:space="preserve">series that is more comparable. </w:t>
      </w:r>
      <w:r>
        <w:t>Growth in t</w:t>
      </w:r>
      <w:r w:rsidRPr="00A12447">
        <w:t xml:space="preserve">his </w:t>
      </w:r>
      <w:r>
        <w:t xml:space="preserve">MFP </w:t>
      </w:r>
      <w:r w:rsidRPr="00A12447">
        <w:t xml:space="preserve">series is shown in the last column of figure </w:t>
      </w:r>
      <w:proofErr w:type="spellStart"/>
      <w:r w:rsidR="0032524B">
        <w:t>A.5</w:t>
      </w:r>
      <w:proofErr w:type="spellEnd"/>
      <w:r>
        <w:t xml:space="preserve"> </w:t>
      </w:r>
      <w:r w:rsidRPr="00A12447">
        <w:t xml:space="preserve">and is, generally speaking, more consistent with </w:t>
      </w:r>
      <w:r>
        <w:t xml:space="preserve">the aggregate of the subsector </w:t>
      </w:r>
      <w:r w:rsidR="00D852AD">
        <w:t xml:space="preserve">MFP </w:t>
      </w:r>
      <w:r>
        <w:t xml:space="preserve">estimates </w:t>
      </w:r>
      <w:r w:rsidRPr="00A12447">
        <w:t xml:space="preserve">in this paper. There </w:t>
      </w:r>
      <w:r w:rsidR="00D852AD">
        <w:t>is</w:t>
      </w:r>
      <w:r w:rsidRPr="00A12447">
        <w:t xml:space="preserve"> still </w:t>
      </w:r>
      <w:r w:rsidR="00D852AD">
        <w:t xml:space="preserve">a </w:t>
      </w:r>
      <w:r w:rsidRPr="00A12447">
        <w:t xml:space="preserve">large difference over the incomplete cycle. </w:t>
      </w:r>
    </w:p>
    <w:p w:rsidR="00E35EAA" w:rsidRDefault="00E35EAA" w:rsidP="00E35EAA">
      <w:pPr>
        <w:pStyle w:val="BodyText"/>
      </w:pPr>
      <w:r w:rsidRPr="00A12447">
        <w:t xml:space="preserve">In short, much of the discrepancy between the published ABS </w:t>
      </w:r>
      <w:r w:rsidR="00D852AD">
        <w:t xml:space="preserve">MFP </w:t>
      </w:r>
      <w:r w:rsidRPr="00A12447">
        <w:t xml:space="preserve">series and that derived in this paper can be attributed to the different asset coverage. </w:t>
      </w:r>
      <w:r w:rsidR="00D852AD">
        <w:t xml:space="preserve">Further testing of the </w:t>
      </w:r>
      <w:r w:rsidR="00A77829">
        <w:t xml:space="preserve">sensitivity of the subsector </w:t>
      </w:r>
      <w:r w:rsidR="00D852AD">
        <w:t xml:space="preserve">MFP estimates </w:t>
      </w:r>
      <w:r w:rsidR="00A77829">
        <w:t xml:space="preserve">is included in appendix </w:t>
      </w:r>
      <w:r w:rsidR="009804BE">
        <w:t>E</w:t>
      </w:r>
      <w:r w:rsidR="00D852AD">
        <w:t xml:space="preserve">. </w:t>
      </w:r>
    </w:p>
    <w:sectPr w:rsidR="00E35EAA" w:rsidSect="006D3F0E">
      <w:headerReference w:type="even" r:id="rId14"/>
      <w:headerReference w:type="default" r:id="rId15"/>
      <w:footerReference w:type="even" r:id="rId16"/>
      <w:footerReference w:type="default" r:id="rId17"/>
      <w:pgSz w:w="11907" w:h="16840" w:code="9"/>
      <w:pgMar w:top="1985" w:right="1304" w:bottom="1418" w:left="1814" w:header="1701" w:footer="567" w:gutter="0"/>
      <w:pgNumType w:start="18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3A6" w:rsidRDefault="005D63A6">
      <w:r>
        <w:separator/>
      </w:r>
    </w:p>
  </w:endnote>
  <w:endnote w:type="continuationSeparator" w:id="0">
    <w:p w:rsidR="005D63A6" w:rsidRDefault="005D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D63A6">
      <w:trPr>
        <w:trHeight w:hRule="exact" w:val="740"/>
      </w:trPr>
      <w:tc>
        <w:tcPr>
          <w:tcW w:w="510" w:type="dxa"/>
          <w:tcBorders>
            <w:top w:val="single" w:sz="6" w:space="0" w:color="auto"/>
          </w:tcBorders>
        </w:tcPr>
        <w:p w:rsidR="005D63A6" w:rsidRDefault="005D63A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E7C90">
            <w:rPr>
              <w:rStyle w:val="PageNumber"/>
              <w:noProof/>
            </w:rPr>
            <w:t>212</w:t>
          </w:r>
          <w:r>
            <w:rPr>
              <w:rStyle w:val="PageNumber"/>
            </w:rPr>
            <w:fldChar w:fldCharType="end"/>
          </w:r>
        </w:p>
      </w:tc>
      <w:tc>
        <w:tcPr>
          <w:tcW w:w="1644" w:type="dxa"/>
          <w:tcBorders>
            <w:top w:val="single" w:sz="6" w:space="0" w:color="auto"/>
          </w:tcBorders>
        </w:tcPr>
        <w:p w:rsidR="005D63A6" w:rsidRDefault="00947098" w:rsidP="0019293B">
          <w:pPr>
            <w:pStyle w:val="Footer"/>
          </w:pPr>
          <w:fldSimple w:instr=" SUBJECT  \* MERGEFORMAT ">
            <w:r w:rsidR="005D63A6">
              <w:t>Productivity in Manufacturing</w:t>
            </w:r>
          </w:fldSimple>
        </w:p>
      </w:tc>
      <w:tc>
        <w:tcPr>
          <w:tcW w:w="6634" w:type="dxa"/>
        </w:tcPr>
        <w:p w:rsidR="005D63A6" w:rsidRDefault="005D63A6" w:rsidP="0019293B">
          <w:pPr>
            <w:pStyle w:val="Footer"/>
          </w:pPr>
        </w:p>
      </w:tc>
    </w:tr>
  </w:tbl>
  <w:p w:rsidR="005D63A6" w:rsidRDefault="005D63A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D63A6">
      <w:trPr>
        <w:trHeight w:hRule="exact" w:val="740"/>
      </w:trPr>
      <w:tc>
        <w:tcPr>
          <w:tcW w:w="6634" w:type="dxa"/>
        </w:tcPr>
        <w:p w:rsidR="005D63A6" w:rsidRDefault="005D63A6" w:rsidP="006D03CD">
          <w:pPr>
            <w:pStyle w:val="Footer"/>
            <w:ind w:right="357"/>
          </w:pPr>
        </w:p>
      </w:tc>
      <w:tc>
        <w:tcPr>
          <w:tcW w:w="1644" w:type="dxa"/>
          <w:tcBorders>
            <w:top w:val="single" w:sz="6" w:space="0" w:color="auto"/>
          </w:tcBorders>
        </w:tcPr>
        <w:p w:rsidR="005D63A6" w:rsidRDefault="00947098">
          <w:pPr>
            <w:pStyle w:val="Footer"/>
          </w:pPr>
          <w:fldSimple w:instr=" TITLE  \* MERGEFORMAT ">
            <w:r w:rsidR="005D63A6">
              <w:t>Framework and data sources</w:t>
            </w:r>
          </w:fldSimple>
        </w:p>
      </w:tc>
      <w:tc>
        <w:tcPr>
          <w:tcW w:w="510" w:type="dxa"/>
          <w:tcBorders>
            <w:top w:val="single" w:sz="6" w:space="0" w:color="auto"/>
          </w:tcBorders>
        </w:tcPr>
        <w:p w:rsidR="005D63A6" w:rsidRDefault="005D63A6">
          <w:pPr>
            <w:pStyle w:val="Footer"/>
            <w:jc w:val="right"/>
          </w:pPr>
          <w:r>
            <w:rPr>
              <w:rStyle w:val="PageNumber"/>
            </w:rPr>
            <w:fldChar w:fldCharType="begin"/>
          </w:r>
          <w:r>
            <w:rPr>
              <w:rStyle w:val="PageNumber"/>
            </w:rPr>
            <w:instrText xml:space="preserve">PAGE  </w:instrText>
          </w:r>
          <w:r>
            <w:rPr>
              <w:rStyle w:val="PageNumber"/>
            </w:rPr>
            <w:fldChar w:fldCharType="separate"/>
          </w:r>
          <w:r w:rsidR="00FE7C90">
            <w:rPr>
              <w:rStyle w:val="PageNumber"/>
              <w:noProof/>
            </w:rPr>
            <w:t>183</w:t>
          </w:r>
          <w:r>
            <w:rPr>
              <w:rStyle w:val="PageNumber"/>
            </w:rPr>
            <w:fldChar w:fldCharType="end"/>
          </w:r>
        </w:p>
      </w:tc>
    </w:tr>
  </w:tbl>
  <w:p w:rsidR="005D63A6" w:rsidRDefault="005D63A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3A6" w:rsidRDefault="005D63A6">
      <w:r>
        <w:separator/>
      </w:r>
    </w:p>
  </w:footnote>
  <w:footnote w:type="continuationSeparator" w:id="0">
    <w:p w:rsidR="005D63A6" w:rsidRDefault="005D63A6">
      <w:r>
        <w:continuationSeparator/>
      </w:r>
    </w:p>
  </w:footnote>
  <w:footnote w:id="1">
    <w:p w:rsidR="005D63A6" w:rsidRDefault="005D63A6" w:rsidP="00C35E91">
      <w:pPr>
        <w:pStyle w:val="FootnoteText"/>
      </w:pPr>
      <w:r>
        <w:rPr>
          <w:rStyle w:val="FootnoteReference"/>
        </w:rPr>
        <w:footnoteRef/>
      </w:r>
      <w:r>
        <w:t xml:space="preserve"> </w:t>
      </w:r>
      <w:r>
        <w:tab/>
      </w:r>
      <w:r w:rsidRPr="00FB628F">
        <w:t xml:space="preserve">Growth accounting can also be done in terms of labour productivity growth (growth in output per hour worked) rather than output growth, in which case labour productivity growth is equal to </w:t>
      </w:r>
      <w:r>
        <w:t xml:space="preserve">capital </w:t>
      </w:r>
      <w:r w:rsidRPr="00FB628F">
        <w:t>income share weighted growth in the capital</w:t>
      </w:r>
      <w:r>
        <w:t>-</w:t>
      </w:r>
      <w:r w:rsidRPr="00FB628F">
        <w:t>labour ratio (capital deepening) plus MFP growth.</w:t>
      </w:r>
    </w:p>
  </w:footnote>
  <w:footnote w:id="2">
    <w:p w:rsidR="005D63A6" w:rsidRDefault="005D63A6">
      <w:pPr>
        <w:pStyle w:val="FootnoteText"/>
      </w:pPr>
      <w:r>
        <w:rPr>
          <w:rStyle w:val="FootnoteReference"/>
        </w:rPr>
        <w:footnoteRef/>
      </w:r>
      <w:r>
        <w:t xml:space="preserve"> </w:t>
      </w:r>
      <w:r>
        <w:tab/>
        <w:t>The ABS deflates output for petroleum production using a combination of price deflators and additional data regarding physical volumes of production. Quality adjustments are made to the deflator, which reflect certain characteristics of fuel (such as the volume of ethanol), but does not reflect any changes in environmental standards.</w:t>
      </w:r>
    </w:p>
  </w:footnote>
  <w:footnote w:id="3">
    <w:p w:rsidR="005D63A6" w:rsidRPr="006D2001" w:rsidRDefault="005D63A6">
      <w:pPr>
        <w:pStyle w:val="FootnoteText"/>
      </w:pPr>
      <w:r>
        <w:rPr>
          <w:rStyle w:val="FootnoteReference"/>
        </w:rPr>
        <w:footnoteRef/>
      </w:r>
      <w:r>
        <w:t xml:space="preserve"> </w:t>
      </w:r>
      <w:r>
        <w:tab/>
        <w:t xml:space="preserve">Comparability of employment data from the ABS </w:t>
      </w:r>
      <w:r>
        <w:rPr>
          <w:i/>
        </w:rPr>
        <w:t xml:space="preserve">Labour Force Survey </w:t>
      </w:r>
      <w:r>
        <w:t xml:space="preserve">and the ABS </w:t>
      </w:r>
      <w:r>
        <w:rPr>
          <w:i/>
        </w:rPr>
        <w:t xml:space="preserve">Economic Activity </w:t>
      </w:r>
      <w:r w:rsidRPr="00585679">
        <w:rPr>
          <w:i/>
        </w:rPr>
        <w:t>Survey</w:t>
      </w:r>
      <w:r>
        <w:t xml:space="preserve"> is discussed for </w:t>
      </w:r>
      <w:proofErr w:type="spellStart"/>
      <w:r>
        <w:t>FBT</w:t>
      </w:r>
      <w:proofErr w:type="spellEnd"/>
      <w:r>
        <w:t xml:space="preserve"> in appendix G and for MP in appendix H. Connolly et al. (2013) found that the difference between employment numbers in the </w:t>
      </w:r>
      <w:r>
        <w:rPr>
          <w:i/>
        </w:rPr>
        <w:t xml:space="preserve">Labour Force Survey </w:t>
      </w:r>
      <w:r w:rsidRPr="00B82395">
        <w:t>and</w:t>
      </w:r>
      <w:r>
        <w:rPr>
          <w:i/>
        </w:rPr>
        <w:t xml:space="preserve"> Economic Activity Survey </w:t>
      </w:r>
      <w:r>
        <w:t xml:space="preserve">for Manufacturing as a whole were relatively small compared with most </w:t>
      </w:r>
      <w:proofErr w:type="spellStart"/>
      <w:r>
        <w:t>ANZSIC</w:t>
      </w:r>
      <w:proofErr w:type="spellEnd"/>
      <w:r>
        <w:t xml:space="preserve"> industry divisions (on average between 2007-08 to 2011</w:t>
      </w:r>
      <w:r>
        <w:noBreakHyphen/>
        <w:t>12).</w:t>
      </w:r>
    </w:p>
  </w:footnote>
  <w:footnote w:id="4">
    <w:p w:rsidR="005D63A6" w:rsidRDefault="005D63A6">
      <w:pPr>
        <w:pStyle w:val="FootnoteText"/>
      </w:pPr>
      <w:r>
        <w:rPr>
          <w:rStyle w:val="FootnoteReference"/>
        </w:rPr>
        <w:footnoteRef/>
      </w:r>
      <w:r>
        <w:t xml:space="preserve"> </w:t>
      </w:r>
      <w:r>
        <w:tab/>
        <w:t xml:space="preserve">Estimates of hours worked for selected </w:t>
      </w:r>
      <w:proofErr w:type="spellStart"/>
      <w:r>
        <w:t>ANZSIC</w:t>
      </w:r>
      <w:proofErr w:type="spellEnd"/>
      <w:r>
        <w:t xml:space="preserve"> subdivisions and groups are also presented in this paper. These estimates were derived using the same method. </w:t>
      </w:r>
    </w:p>
  </w:footnote>
  <w:footnote w:id="5">
    <w:p w:rsidR="005D63A6" w:rsidRDefault="005D63A6">
      <w:pPr>
        <w:pStyle w:val="FootnoteText"/>
      </w:pPr>
      <w:r>
        <w:rPr>
          <w:rStyle w:val="FootnoteReference"/>
        </w:rPr>
        <w:footnoteRef/>
      </w:r>
      <w:r>
        <w:t xml:space="preserve"> </w:t>
      </w:r>
      <w:r>
        <w:tab/>
        <w:t xml:space="preserve">In the </w:t>
      </w:r>
      <w:r>
        <w:rPr>
          <w:i/>
        </w:rPr>
        <w:t>Labour Force Survey</w:t>
      </w:r>
      <w:r>
        <w:t>, w</w:t>
      </w:r>
      <w:r w:rsidRPr="00EF2DAE">
        <w:t>here there is insufficient detail collected from the survey respondent to allocate</w:t>
      </w:r>
      <w:r>
        <w:t xml:space="preserve"> to</w:t>
      </w:r>
      <w:r w:rsidRPr="00EF2DAE">
        <w:t xml:space="preserve"> </w:t>
      </w:r>
      <w:r>
        <w:t xml:space="preserve">an </w:t>
      </w:r>
      <w:proofErr w:type="spellStart"/>
      <w:r>
        <w:t>ANZSIC</w:t>
      </w:r>
      <w:proofErr w:type="spellEnd"/>
      <w:r>
        <w:t xml:space="preserve"> subdivision within Manufacturing</w:t>
      </w:r>
      <w:r w:rsidRPr="00EF2DAE">
        <w:t xml:space="preserve">, </w:t>
      </w:r>
      <w:r>
        <w:t xml:space="preserve">a Manufacturing </w:t>
      </w:r>
      <w:r w:rsidRPr="00EF2DAE">
        <w:t xml:space="preserve">'not further defined' </w:t>
      </w:r>
      <w:r>
        <w:t>(</w:t>
      </w:r>
      <w:proofErr w:type="spellStart"/>
      <w:r>
        <w:t>nfd</w:t>
      </w:r>
      <w:proofErr w:type="spellEnd"/>
      <w:r>
        <w:t xml:space="preserve">) </w:t>
      </w:r>
      <w:r w:rsidRPr="00EF2DAE">
        <w:t xml:space="preserve">code </w:t>
      </w:r>
      <w:r>
        <w:t>is</w:t>
      </w:r>
      <w:r w:rsidRPr="00EF2DAE">
        <w:t xml:space="preserve"> used.</w:t>
      </w:r>
      <w:r>
        <w:t xml:space="preserve"> Since 2000, there has been some growth in allocations to this </w:t>
      </w:r>
      <w:proofErr w:type="spellStart"/>
      <w:r>
        <w:t>nfd</w:t>
      </w:r>
      <w:proofErr w:type="spellEnd"/>
      <w:r>
        <w:t xml:space="preserve"> category as a result of changes to coding practices (</w:t>
      </w:r>
      <w:r w:rsidRPr="001C18E6">
        <w:t xml:space="preserve">ABS </w:t>
      </w:r>
      <w:r>
        <w:t xml:space="preserve">1999, 2003, 2005). The subsector estimates in this paper assume that this Manufacturing </w:t>
      </w:r>
      <w:proofErr w:type="spellStart"/>
      <w:r>
        <w:t>nfd</w:t>
      </w:r>
      <w:proofErr w:type="spellEnd"/>
      <w:r>
        <w:t xml:space="preserve"> is distributed across subsectors in proportion to </w:t>
      </w:r>
      <w:r w:rsidRPr="003D3E9F">
        <w:rPr>
          <w:i/>
        </w:rPr>
        <w:t>Labour Force Survey</w:t>
      </w:r>
      <w:r>
        <w:t xml:space="preserve"> responses that were able to be allocated to specific subdivisions. </w:t>
      </w:r>
    </w:p>
  </w:footnote>
  <w:footnote w:id="6">
    <w:p w:rsidR="005D63A6" w:rsidRPr="00447EE6" w:rsidRDefault="005D63A6">
      <w:pPr>
        <w:pStyle w:val="FootnoteText"/>
        <w:rPr>
          <w:i/>
        </w:rPr>
      </w:pPr>
      <w:r>
        <w:rPr>
          <w:rStyle w:val="FootnoteReference"/>
        </w:rPr>
        <w:footnoteRef/>
      </w:r>
      <w:r>
        <w:t xml:space="preserve"> </w:t>
      </w:r>
      <w:r>
        <w:tab/>
        <w:t xml:space="preserve">This is the last issue released prior to the construction of the ABS Manufacturing hours worked index used underlying the MFP estimates in the 2010-11 issue of ABS </w:t>
      </w:r>
      <w:r>
        <w:rPr>
          <w:i/>
        </w:rPr>
        <w:t xml:space="preserve">Experimental Estimates of Industry Multifactor Productivity, </w:t>
      </w:r>
      <w:r w:rsidRPr="00627480">
        <w:rPr>
          <w:i/>
        </w:rPr>
        <w:t>201</w:t>
      </w:r>
      <w:r>
        <w:rPr>
          <w:i/>
        </w:rPr>
        <w:t>0-1</w:t>
      </w:r>
      <w:r w:rsidRPr="00627480">
        <w:rPr>
          <w:i/>
        </w:rPr>
        <w:t>1</w:t>
      </w:r>
      <w:r>
        <w:t xml:space="preserve">, Cat. no. 5260.0.55.002. </w:t>
      </w:r>
    </w:p>
  </w:footnote>
  <w:footnote w:id="7">
    <w:p w:rsidR="005D63A6" w:rsidRDefault="005D63A6">
      <w:pPr>
        <w:pStyle w:val="FootnoteText"/>
      </w:pPr>
      <w:r>
        <w:rPr>
          <w:rStyle w:val="FootnoteReference"/>
        </w:rPr>
        <w:footnoteRef/>
      </w:r>
      <w:r>
        <w:t xml:space="preserve"> </w:t>
      </w:r>
      <w:r>
        <w:tab/>
        <w:t xml:space="preserve">While the ABS include a retirement function in its calculation of productive capital stocks, this paper does not use such a function. This is discussed in greater detail following table </w:t>
      </w:r>
      <w:r>
        <w:fldChar w:fldCharType="begin"/>
      </w:r>
      <w:r>
        <w:instrText xml:space="preserve"> LINK Word.Document.12 "\\\\Nch1\\data\\groups\\GRB\\Projects and papers\\Current\\Manufacturing\\Drafts\\App A Data sources.docx" "OLE_LINK21" \a \t </w:instrText>
      </w:r>
      <w:r>
        <w:fldChar w:fldCharType="separate"/>
      </w:r>
      <w:proofErr w:type="spellStart"/>
      <w:r>
        <w:t>A.6</w:t>
      </w:r>
      <w:proofErr w:type="spellEnd"/>
      <w:r>
        <w:fldChar w:fldCharType="end"/>
      </w:r>
      <w:r>
        <w:t>.</w:t>
      </w:r>
    </w:p>
  </w:footnote>
  <w:footnote w:id="8">
    <w:p w:rsidR="005D63A6" w:rsidRPr="0089440F" w:rsidRDefault="005D63A6" w:rsidP="000E70B3">
      <w:pPr>
        <w:pStyle w:val="FootnoteText"/>
      </w:pPr>
      <w:r>
        <w:rPr>
          <w:rStyle w:val="FootnoteReference"/>
        </w:rPr>
        <w:footnoteRef/>
      </w:r>
      <w:r>
        <w:t xml:space="preserve"> </w:t>
      </w:r>
      <w:r>
        <w:tab/>
        <w:t xml:space="preserve">A measure of gross fixed capital formation is published in </w:t>
      </w:r>
      <w:r>
        <w:rPr>
          <w:i/>
        </w:rPr>
        <w:t>Australian Industry</w:t>
      </w:r>
      <w:r>
        <w:t xml:space="preserve"> (ABS Cat. no. 8155.0), but this is not consistent with the National Accounts measure that is used by the ABS for productivity estimates, nor is it separated by asset type.</w:t>
      </w:r>
    </w:p>
  </w:footnote>
  <w:footnote w:id="9">
    <w:p w:rsidR="005D63A6" w:rsidRDefault="005D63A6" w:rsidP="00E02A9A">
      <w:pPr>
        <w:pStyle w:val="FootnoteText"/>
      </w:pPr>
      <w:r>
        <w:rPr>
          <w:rStyle w:val="FootnoteReference"/>
        </w:rPr>
        <w:footnoteRef/>
      </w:r>
      <w:r>
        <w:t xml:space="preserve"> </w:t>
      </w:r>
      <w:r>
        <w:tab/>
        <w:t>Consistent in that the same investment series are used, but not the case that all the same assets are available. Specifically, the estimates here are based on a single measure of investment for machinery and equipment, where the ABS disaggregates machinery and equipment into six different types. The data to do such a split at the subsector level were unavailable.</w:t>
      </w:r>
    </w:p>
  </w:footnote>
  <w:footnote w:id="10">
    <w:p w:rsidR="005D63A6" w:rsidRPr="001640E5" w:rsidRDefault="005D63A6" w:rsidP="00E02A9A">
      <w:pPr>
        <w:pStyle w:val="FootnoteText"/>
      </w:pPr>
      <w:r>
        <w:rPr>
          <w:rStyle w:val="FootnoteReference"/>
        </w:rPr>
        <w:footnoteRef/>
      </w:r>
      <w:r>
        <w:t xml:space="preserve"> </w:t>
      </w:r>
      <w:r>
        <w:tab/>
        <w:t xml:space="preserve">‘Current’ in this context does not refer to current price expenditure, but rather expenditure on R&amp;D that is </w:t>
      </w:r>
      <w:r>
        <w:rPr>
          <w:i/>
        </w:rPr>
        <w:t>not</w:t>
      </w:r>
      <w:r>
        <w:t xml:space="preserve"> capitalised. Capitalised </w:t>
      </w:r>
      <w:proofErr w:type="spellStart"/>
      <w:r>
        <w:t>BERD</w:t>
      </w:r>
      <w:proofErr w:type="spellEnd"/>
      <w:r>
        <w:t xml:space="preserve"> is already accounted for in </w:t>
      </w:r>
      <w:proofErr w:type="spellStart"/>
      <w:r>
        <w:t>GFCF</w:t>
      </w:r>
      <w:proofErr w:type="spellEnd"/>
      <w:r>
        <w:t xml:space="preserve"> in the relevant, tangible asset type.</w:t>
      </w:r>
    </w:p>
  </w:footnote>
  <w:footnote w:id="11">
    <w:p w:rsidR="005D63A6" w:rsidRDefault="005D63A6" w:rsidP="0068711F">
      <w:pPr>
        <w:pStyle w:val="FootnoteText"/>
      </w:pPr>
      <w:r>
        <w:rPr>
          <w:rStyle w:val="FootnoteReference"/>
        </w:rPr>
        <w:footnoteRef/>
      </w:r>
      <w:r>
        <w:t xml:space="preserve"> </w:t>
      </w:r>
      <w:r>
        <w:tab/>
        <w:t>This is a very rough imputation. However, computer software, relative to the other categories of investment is very small, comprising at most 2 per cent of total manufacturing investment.</w:t>
      </w:r>
    </w:p>
  </w:footnote>
  <w:footnote w:id="12">
    <w:p w:rsidR="005D63A6" w:rsidRDefault="005D63A6" w:rsidP="00E02A9A">
      <w:pPr>
        <w:pStyle w:val="FootnoteText"/>
      </w:pPr>
      <w:r>
        <w:rPr>
          <w:rStyle w:val="FootnoteReference"/>
        </w:rPr>
        <w:footnoteRef/>
      </w:r>
      <w:r>
        <w:t xml:space="preserve"> </w:t>
      </w:r>
      <w:r>
        <w:tab/>
        <w:t xml:space="preserve">In practice, these deflators are the same as the ones implied by comparing current price </w:t>
      </w:r>
      <w:proofErr w:type="spellStart"/>
      <w:r>
        <w:t>GFCF</w:t>
      </w:r>
      <w:proofErr w:type="spellEnd"/>
      <w:r>
        <w:t xml:space="preserve"> and </w:t>
      </w:r>
      <w:proofErr w:type="spellStart"/>
      <w:r>
        <w:t>CVM</w:t>
      </w:r>
      <w:proofErr w:type="spellEnd"/>
      <w:r>
        <w:t xml:space="preserve"> </w:t>
      </w:r>
      <w:proofErr w:type="spellStart"/>
      <w:r>
        <w:t>GFCF</w:t>
      </w:r>
      <w:proofErr w:type="spellEnd"/>
      <w:r>
        <w:t xml:space="preserve"> from the National Accounts.</w:t>
      </w:r>
    </w:p>
  </w:footnote>
  <w:footnote w:id="13">
    <w:p w:rsidR="005D63A6" w:rsidRDefault="005D63A6">
      <w:pPr>
        <w:pStyle w:val="FootnoteText"/>
      </w:pPr>
      <w:r>
        <w:rPr>
          <w:rStyle w:val="FootnoteReference"/>
        </w:rPr>
        <w:footnoteRef/>
      </w:r>
      <w:r>
        <w:t xml:space="preserve"> </w:t>
      </w:r>
      <w:r>
        <w:tab/>
        <w:t xml:space="preserve">In this paper, these are collectively referred to as the ABS </w:t>
      </w:r>
      <w:r w:rsidRPr="006F0FE7">
        <w:rPr>
          <w:i/>
        </w:rPr>
        <w:t>Economic Activity Survey</w:t>
      </w:r>
      <w:r>
        <w:rPr>
          <w:i/>
        </w:rPr>
        <w:t xml:space="preserve"> </w:t>
      </w:r>
      <w:r w:rsidRPr="006F0FE7">
        <w:t xml:space="preserve">(which is the name of the current </w:t>
      </w:r>
      <w:r>
        <w:t xml:space="preserve">ABS </w:t>
      </w:r>
      <w:r w:rsidRPr="006F0FE7">
        <w:t>survey which underlies the data in Cat. no. 8155.0).</w:t>
      </w:r>
    </w:p>
  </w:footnote>
  <w:footnote w:id="14">
    <w:p w:rsidR="005D63A6" w:rsidRDefault="005D63A6">
      <w:pPr>
        <w:pStyle w:val="FootnoteText"/>
      </w:pPr>
      <w:r>
        <w:rPr>
          <w:rStyle w:val="FootnoteReference"/>
        </w:rPr>
        <w:footnoteRef/>
      </w:r>
      <w:r>
        <w:t xml:space="preserve"> </w:t>
      </w:r>
      <w:r>
        <w:tab/>
        <w:t xml:space="preserve">For 1985-86 labour and capital income levels were assumed to be the average of 1984-85 and 1986-87 levels. </w:t>
      </w:r>
    </w:p>
  </w:footnote>
  <w:footnote w:id="15">
    <w:p w:rsidR="005D63A6" w:rsidRDefault="005D63A6" w:rsidP="00CE4490">
      <w:pPr>
        <w:pStyle w:val="FootnoteText"/>
      </w:pPr>
      <w:r>
        <w:rPr>
          <w:rStyle w:val="FootnoteReference"/>
        </w:rPr>
        <w:footnoteRef/>
      </w:r>
      <w:r>
        <w:t xml:space="preserve"> </w:t>
      </w:r>
      <w:r>
        <w:tab/>
        <w:t>ABS (Cat. no. 8221.0, 1997-98 issue) notes a change in definition of turnover to include intellectual property royalties from then on. However, the increase due to this change in definition was listed as 0 per cent for most subsectors and a maximum of 0.3 per cent for one subsector. This effect was considered too small to make the complexities of further adjustment worthwhile.</w:t>
      </w:r>
    </w:p>
  </w:footnote>
  <w:footnote w:id="16">
    <w:p w:rsidR="005D63A6" w:rsidRDefault="005D63A6">
      <w:pPr>
        <w:pStyle w:val="FootnoteText"/>
      </w:pPr>
      <w:r>
        <w:rPr>
          <w:rStyle w:val="FootnoteReference"/>
        </w:rPr>
        <w:footnoteRef/>
      </w:r>
      <w:r>
        <w:t xml:space="preserve"> Estimates for 2004-05 and 2005-06 were converted from </w:t>
      </w:r>
      <w:proofErr w:type="spellStart"/>
      <w:r>
        <w:t>ANZSIC93</w:t>
      </w:r>
      <w:proofErr w:type="spellEnd"/>
      <w:r>
        <w:t xml:space="preserve"> to </w:t>
      </w:r>
      <w:proofErr w:type="spellStart"/>
      <w:r>
        <w:t>ANZSIC06</w:t>
      </w:r>
      <w:proofErr w:type="spellEnd"/>
      <w:r>
        <w:t xml:space="preserve"> by the ABS. </w:t>
      </w:r>
    </w:p>
  </w:footnote>
  <w:footnote w:id="17">
    <w:p w:rsidR="005D63A6" w:rsidRDefault="005D63A6">
      <w:pPr>
        <w:pStyle w:val="FootnoteText"/>
      </w:pPr>
      <w:r>
        <w:rPr>
          <w:rStyle w:val="FootnoteReference"/>
        </w:rPr>
        <w:footnoteRef/>
      </w:r>
      <w:r>
        <w:t xml:space="preserve"> </w:t>
      </w:r>
      <w:r>
        <w:tab/>
        <w:t>Time series of current price value added by subsector are not available from the National Accounts.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63A6">
      <w:tc>
        <w:tcPr>
          <w:tcW w:w="2155" w:type="dxa"/>
          <w:tcBorders>
            <w:top w:val="single" w:sz="24" w:space="0" w:color="auto"/>
          </w:tcBorders>
        </w:tcPr>
        <w:p w:rsidR="005D63A6" w:rsidRDefault="005D63A6" w:rsidP="0019293B">
          <w:pPr>
            <w:pStyle w:val="HeaderEven"/>
          </w:pPr>
        </w:p>
      </w:tc>
      <w:tc>
        <w:tcPr>
          <w:tcW w:w="6634" w:type="dxa"/>
          <w:tcBorders>
            <w:top w:val="single" w:sz="6" w:space="0" w:color="auto"/>
          </w:tcBorders>
        </w:tcPr>
        <w:p w:rsidR="005D63A6" w:rsidRDefault="005D63A6" w:rsidP="0019293B">
          <w:pPr>
            <w:pStyle w:val="HeaderEven"/>
          </w:pPr>
        </w:p>
      </w:tc>
    </w:tr>
  </w:tbl>
  <w:p w:rsidR="005D63A6" w:rsidRDefault="005D63A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63A6">
      <w:tc>
        <w:tcPr>
          <w:tcW w:w="6634" w:type="dxa"/>
          <w:tcBorders>
            <w:top w:val="single" w:sz="6" w:space="0" w:color="auto"/>
          </w:tcBorders>
        </w:tcPr>
        <w:p w:rsidR="005D63A6" w:rsidRDefault="005D63A6" w:rsidP="00E669E2">
          <w:pPr>
            <w:pStyle w:val="HeaderOdd"/>
          </w:pPr>
        </w:p>
      </w:tc>
      <w:tc>
        <w:tcPr>
          <w:tcW w:w="2155" w:type="dxa"/>
          <w:tcBorders>
            <w:top w:val="single" w:sz="24" w:space="0" w:color="auto"/>
          </w:tcBorders>
        </w:tcPr>
        <w:p w:rsidR="005D63A6" w:rsidRDefault="005D63A6" w:rsidP="00E669E2">
          <w:pPr>
            <w:pStyle w:val="HeaderOdd"/>
          </w:pPr>
        </w:p>
      </w:tc>
    </w:tr>
  </w:tbl>
  <w:p w:rsidR="005D63A6" w:rsidRDefault="005D63A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92C2D74"/>
    <w:lvl w:ilvl="0">
      <w:start w:val="1"/>
      <w:numFmt w:val="decimal"/>
      <w:lvlText w:val="%1."/>
      <w:lvlJc w:val="left"/>
      <w:pPr>
        <w:tabs>
          <w:tab w:val="num" w:pos="1492"/>
        </w:tabs>
        <w:ind w:left="1492" w:hanging="360"/>
      </w:pPr>
    </w:lvl>
  </w:abstractNum>
  <w:abstractNum w:abstractNumId="1">
    <w:nsid w:val="FFFFFF7D"/>
    <w:multiLevelType w:val="singleLevel"/>
    <w:tmpl w:val="7BE8FCC6"/>
    <w:lvl w:ilvl="0">
      <w:start w:val="1"/>
      <w:numFmt w:val="decimal"/>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CA1E8C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CDE5B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3730924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5">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07057F34"/>
    <w:multiLevelType w:val="singleLevel"/>
    <w:tmpl w:val="ED98921A"/>
    <w:lvl w:ilvl="0">
      <w:start w:val="1"/>
      <w:numFmt w:val="decimal"/>
      <w:lvlText w:val="%1."/>
      <w:legacy w:legacy="1" w:legacySpace="0" w:legacyIndent="340"/>
      <w:lvlJc w:val="left"/>
      <w:pPr>
        <w:ind w:left="340" w:hanging="340"/>
      </w:pPr>
    </w:lvl>
  </w:abstractNum>
  <w:abstractNum w:abstractNumId="17">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1">
    <w:nsid w:val="1506489E"/>
    <w:multiLevelType w:val="hybridMultilevel"/>
    <w:tmpl w:val="588C814A"/>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5">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6">
    <w:nsid w:val="421C7F1C"/>
    <w:multiLevelType w:val="hybridMultilevel"/>
    <w:tmpl w:val="702CD9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27">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8">
    <w:nsid w:val="51F74561"/>
    <w:multiLevelType w:val="singleLevel"/>
    <w:tmpl w:val="ED98921A"/>
    <w:lvl w:ilvl="0">
      <w:start w:val="1"/>
      <w:numFmt w:val="decimal"/>
      <w:lvlText w:val="%1."/>
      <w:legacy w:legacy="1" w:legacySpace="0" w:legacyIndent="340"/>
      <w:lvlJc w:val="left"/>
      <w:pPr>
        <w:ind w:left="340" w:hanging="340"/>
      </w:pPr>
    </w:lvl>
  </w:abstractNum>
  <w:abstractNum w:abstractNumId="2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1">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3">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4"/>
  </w:num>
  <w:num w:numId="2">
    <w:abstractNumId w:val="14"/>
  </w:num>
  <w:num w:numId="3">
    <w:abstractNumId w:val="45"/>
  </w:num>
  <w:num w:numId="4">
    <w:abstractNumId w:val="11"/>
  </w:num>
  <w:num w:numId="5">
    <w:abstractNumId w:val="9"/>
  </w:num>
  <w:num w:numId="6">
    <w:abstractNumId w:val="29"/>
  </w:num>
  <w:num w:numId="7">
    <w:abstractNumId w:val="7"/>
  </w:num>
  <w:num w:numId="8">
    <w:abstractNumId w:val="13"/>
  </w:num>
  <w:num w:numId="9">
    <w:abstractNumId w:val="6"/>
  </w:num>
  <w:num w:numId="10">
    <w:abstractNumId w:val="40"/>
  </w:num>
  <w:num w:numId="11">
    <w:abstractNumId w:val="8"/>
  </w:num>
  <w:num w:numId="12">
    <w:abstractNumId w:val="3"/>
  </w:num>
  <w:num w:numId="13">
    <w:abstractNumId w:val="2"/>
  </w:num>
  <w:num w:numId="14">
    <w:abstractNumId w:val="32"/>
  </w:num>
  <w:num w:numId="15">
    <w:abstractNumId w:val="46"/>
  </w:num>
  <w:num w:numId="16">
    <w:abstractNumId w:val="22"/>
  </w:num>
  <w:num w:numId="17">
    <w:abstractNumId w:val="20"/>
  </w:num>
  <w:num w:numId="18">
    <w:abstractNumId w:val="30"/>
  </w:num>
  <w:num w:numId="19">
    <w:abstractNumId w:val="16"/>
  </w:num>
  <w:num w:numId="20">
    <w:abstractNumId w:val="37"/>
  </w:num>
  <w:num w:numId="21">
    <w:abstractNumId w:val="39"/>
  </w:num>
  <w:num w:numId="22">
    <w:abstractNumId w:val="28"/>
  </w:num>
  <w:num w:numId="23">
    <w:abstractNumId w:val="31"/>
  </w:num>
  <w:num w:numId="24">
    <w:abstractNumId w:val="33"/>
  </w:num>
  <w:num w:numId="25">
    <w:abstractNumId w:val="44"/>
  </w:num>
  <w:num w:numId="26">
    <w:abstractNumId w:val="36"/>
  </w:num>
  <w:num w:numId="27">
    <w:abstractNumId w:val="41"/>
  </w:num>
  <w:num w:numId="28">
    <w:abstractNumId w:val="42"/>
  </w:num>
  <w:num w:numId="29">
    <w:abstractNumId w:val="34"/>
  </w:num>
  <w:num w:numId="30">
    <w:abstractNumId w:val="25"/>
  </w:num>
  <w:num w:numId="31">
    <w:abstractNumId w:val="47"/>
  </w:num>
  <w:num w:numId="32">
    <w:abstractNumId w:val="19"/>
  </w:num>
  <w:num w:numId="33">
    <w:abstractNumId w:val="12"/>
  </w:num>
  <w:num w:numId="34">
    <w:abstractNumId w:val="23"/>
  </w:num>
  <w:num w:numId="35">
    <w:abstractNumId w:val="43"/>
  </w:num>
  <w:num w:numId="36">
    <w:abstractNumId w:val="35"/>
  </w:num>
  <w:num w:numId="37">
    <w:abstractNumId w:val="17"/>
  </w:num>
  <w:num w:numId="38">
    <w:abstractNumId w:val="38"/>
  </w:num>
  <w:num w:numId="39">
    <w:abstractNumId w:val="18"/>
  </w:num>
  <w:num w:numId="40">
    <w:abstractNumId w:val="22"/>
  </w:num>
  <w:num w:numId="41">
    <w:abstractNumId w:val="13"/>
  </w:num>
  <w:num w:numId="42">
    <w:abstractNumId w:val="27"/>
  </w:num>
  <w:num w:numId="43">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5"/>
  </w:num>
  <w:num w:numId="45">
    <w:abstractNumId w:val="26"/>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4"/>
  </w:num>
  <w:num w:numId="49">
    <w:abstractNumId w:val="1"/>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13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Framework and data sources"/>
    <w:docVar w:name="ShortReportTitle" w:val="Productivity in Manufacturing"/>
  </w:docVars>
  <w:rsids>
    <w:rsidRoot w:val="00AE3217"/>
    <w:rsid w:val="000009C4"/>
    <w:rsid w:val="00000CB0"/>
    <w:rsid w:val="000029EF"/>
    <w:rsid w:val="00005457"/>
    <w:rsid w:val="0001169B"/>
    <w:rsid w:val="00020817"/>
    <w:rsid w:val="00021D0C"/>
    <w:rsid w:val="00023E85"/>
    <w:rsid w:val="000245AA"/>
    <w:rsid w:val="000259B1"/>
    <w:rsid w:val="000262BE"/>
    <w:rsid w:val="00027988"/>
    <w:rsid w:val="00030484"/>
    <w:rsid w:val="000319EC"/>
    <w:rsid w:val="00034045"/>
    <w:rsid w:val="000343C4"/>
    <w:rsid w:val="0003664B"/>
    <w:rsid w:val="00036DBF"/>
    <w:rsid w:val="0004111F"/>
    <w:rsid w:val="000419D3"/>
    <w:rsid w:val="00042CD0"/>
    <w:rsid w:val="0004349D"/>
    <w:rsid w:val="000436C5"/>
    <w:rsid w:val="00043E9F"/>
    <w:rsid w:val="000451B4"/>
    <w:rsid w:val="00045243"/>
    <w:rsid w:val="0004766E"/>
    <w:rsid w:val="00047983"/>
    <w:rsid w:val="000479A5"/>
    <w:rsid w:val="000502D9"/>
    <w:rsid w:val="00051515"/>
    <w:rsid w:val="0005236F"/>
    <w:rsid w:val="000529B6"/>
    <w:rsid w:val="0005372F"/>
    <w:rsid w:val="000565B3"/>
    <w:rsid w:val="00056DEB"/>
    <w:rsid w:val="00060616"/>
    <w:rsid w:val="00061597"/>
    <w:rsid w:val="00063A9A"/>
    <w:rsid w:val="0006406C"/>
    <w:rsid w:val="00064C93"/>
    <w:rsid w:val="00066BF6"/>
    <w:rsid w:val="0007150B"/>
    <w:rsid w:val="0007215A"/>
    <w:rsid w:val="0007454F"/>
    <w:rsid w:val="000757A8"/>
    <w:rsid w:val="00075A78"/>
    <w:rsid w:val="000769E8"/>
    <w:rsid w:val="00077B8C"/>
    <w:rsid w:val="0008033A"/>
    <w:rsid w:val="00080A7D"/>
    <w:rsid w:val="000814A0"/>
    <w:rsid w:val="000824BB"/>
    <w:rsid w:val="000837D6"/>
    <w:rsid w:val="000871B2"/>
    <w:rsid w:val="000901D6"/>
    <w:rsid w:val="0009044F"/>
    <w:rsid w:val="000938F5"/>
    <w:rsid w:val="000961AD"/>
    <w:rsid w:val="000A18A2"/>
    <w:rsid w:val="000A1C2D"/>
    <w:rsid w:val="000A20B8"/>
    <w:rsid w:val="000A5527"/>
    <w:rsid w:val="000A77E4"/>
    <w:rsid w:val="000A7EF1"/>
    <w:rsid w:val="000B14EE"/>
    <w:rsid w:val="000B34D6"/>
    <w:rsid w:val="000B381B"/>
    <w:rsid w:val="000B58DA"/>
    <w:rsid w:val="000B5AFD"/>
    <w:rsid w:val="000B601B"/>
    <w:rsid w:val="000C02FE"/>
    <w:rsid w:val="000C0788"/>
    <w:rsid w:val="000C207E"/>
    <w:rsid w:val="000C221E"/>
    <w:rsid w:val="000C391F"/>
    <w:rsid w:val="000C40F1"/>
    <w:rsid w:val="000C6C17"/>
    <w:rsid w:val="000D1874"/>
    <w:rsid w:val="000D1AA2"/>
    <w:rsid w:val="000D1FDD"/>
    <w:rsid w:val="000D255F"/>
    <w:rsid w:val="000D3198"/>
    <w:rsid w:val="000D6DC1"/>
    <w:rsid w:val="000D7277"/>
    <w:rsid w:val="000E0970"/>
    <w:rsid w:val="000E0EF8"/>
    <w:rsid w:val="000E1BC9"/>
    <w:rsid w:val="000E23CD"/>
    <w:rsid w:val="000E35F4"/>
    <w:rsid w:val="000E4351"/>
    <w:rsid w:val="000E6D1F"/>
    <w:rsid w:val="000E70B3"/>
    <w:rsid w:val="000E73B1"/>
    <w:rsid w:val="000F02DD"/>
    <w:rsid w:val="000F2B26"/>
    <w:rsid w:val="000F2E37"/>
    <w:rsid w:val="000F35C3"/>
    <w:rsid w:val="000F3FC2"/>
    <w:rsid w:val="000F5095"/>
    <w:rsid w:val="00100246"/>
    <w:rsid w:val="00100889"/>
    <w:rsid w:val="00104AE1"/>
    <w:rsid w:val="00105B6A"/>
    <w:rsid w:val="00110116"/>
    <w:rsid w:val="00110C84"/>
    <w:rsid w:val="00111AE9"/>
    <w:rsid w:val="00116C22"/>
    <w:rsid w:val="00116F90"/>
    <w:rsid w:val="001179CB"/>
    <w:rsid w:val="001201AD"/>
    <w:rsid w:val="001209F0"/>
    <w:rsid w:val="00122855"/>
    <w:rsid w:val="00122BBF"/>
    <w:rsid w:val="0012315A"/>
    <w:rsid w:val="001266B1"/>
    <w:rsid w:val="00126EB8"/>
    <w:rsid w:val="00127D03"/>
    <w:rsid w:val="0013475E"/>
    <w:rsid w:val="00135285"/>
    <w:rsid w:val="001363AA"/>
    <w:rsid w:val="001377DF"/>
    <w:rsid w:val="00140007"/>
    <w:rsid w:val="00140BDC"/>
    <w:rsid w:val="0014155F"/>
    <w:rsid w:val="001417AC"/>
    <w:rsid w:val="001425D4"/>
    <w:rsid w:val="001431B9"/>
    <w:rsid w:val="00143CCA"/>
    <w:rsid w:val="001443FD"/>
    <w:rsid w:val="001459D9"/>
    <w:rsid w:val="0014621C"/>
    <w:rsid w:val="001504CB"/>
    <w:rsid w:val="00151A8F"/>
    <w:rsid w:val="0015384D"/>
    <w:rsid w:val="00154F15"/>
    <w:rsid w:val="0015506E"/>
    <w:rsid w:val="00156AA6"/>
    <w:rsid w:val="00156FDC"/>
    <w:rsid w:val="00160E58"/>
    <w:rsid w:val="00163D28"/>
    <w:rsid w:val="001640E5"/>
    <w:rsid w:val="00172E51"/>
    <w:rsid w:val="00173983"/>
    <w:rsid w:val="00173BBC"/>
    <w:rsid w:val="00173E6A"/>
    <w:rsid w:val="00174F91"/>
    <w:rsid w:val="00176183"/>
    <w:rsid w:val="001763C2"/>
    <w:rsid w:val="00181C4E"/>
    <w:rsid w:val="001823B3"/>
    <w:rsid w:val="001838A5"/>
    <w:rsid w:val="00183E82"/>
    <w:rsid w:val="00185150"/>
    <w:rsid w:val="001866D7"/>
    <w:rsid w:val="00186DDF"/>
    <w:rsid w:val="001909A9"/>
    <w:rsid w:val="00191346"/>
    <w:rsid w:val="0019135D"/>
    <w:rsid w:val="0019293B"/>
    <w:rsid w:val="0019353D"/>
    <w:rsid w:val="00193C3E"/>
    <w:rsid w:val="00194DE6"/>
    <w:rsid w:val="00195F10"/>
    <w:rsid w:val="001A1C67"/>
    <w:rsid w:val="001A48EE"/>
    <w:rsid w:val="001A502B"/>
    <w:rsid w:val="001A5FF3"/>
    <w:rsid w:val="001A6DE7"/>
    <w:rsid w:val="001B0499"/>
    <w:rsid w:val="001B04B6"/>
    <w:rsid w:val="001B0DAF"/>
    <w:rsid w:val="001B16BE"/>
    <w:rsid w:val="001B4B99"/>
    <w:rsid w:val="001B5C93"/>
    <w:rsid w:val="001B5D4F"/>
    <w:rsid w:val="001B5F4D"/>
    <w:rsid w:val="001C0865"/>
    <w:rsid w:val="001C3ABA"/>
    <w:rsid w:val="001C48B0"/>
    <w:rsid w:val="001D3FB8"/>
    <w:rsid w:val="001D54DD"/>
    <w:rsid w:val="001D66E2"/>
    <w:rsid w:val="001E2D4A"/>
    <w:rsid w:val="001E3324"/>
    <w:rsid w:val="001E3A63"/>
    <w:rsid w:val="001E3C01"/>
    <w:rsid w:val="001E57DD"/>
    <w:rsid w:val="001E61A1"/>
    <w:rsid w:val="001E704D"/>
    <w:rsid w:val="001E704F"/>
    <w:rsid w:val="001E7BE8"/>
    <w:rsid w:val="001F0248"/>
    <w:rsid w:val="001F0386"/>
    <w:rsid w:val="001F24F2"/>
    <w:rsid w:val="001F2F53"/>
    <w:rsid w:val="001F3EB3"/>
    <w:rsid w:val="001F627E"/>
    <w:rsid w:val="001F66F2"/>
    <w:rsid w:val="001F6D4C"/>
    <w:rsid w:val="001F6DFC"/>
    <w:rsid w:val="0020032C"/>
    <w:rsid w:val="00201A41"/>
    <w:rsid w:val="00202C2C"/>
    <w:rsid w:val="00206521"/>
    <w:rsid w:val="002070DD"/>
    <w:rsid w:val="00212DC3"/>
    <w:rsid w:val="00214E90"/>
    <w:rsid w:val="002164C0"/>
    <w:rsid w:val="00220257"/>
    <w:rsid w:val="002210D4"/>
    <w:rsid w:val="00221404"/>
    <w:rsid w:val="00225AC6"/>
    <w:rsid w:val="00227B6A"/>
    <w:rsid w:val="00227EC7"/>
    <w:rsid w:val="00230CE9"/>
    <w:rsid w:val="002315A3"/>
    <w:rsid w:val="00231D9A"/>
    <w:rsid w:val="002345FE"/>
    <w:rsid w:val="002358DC"/>
    <w:rsid w:val="002408CF"/>
    <w:rsid w:val="00241397"/>
    <w:rsid w:val="00242242"/>
    <w:rsid w:val="00242279"/>
    <w:rsid w:val="0024234B"/>
    <w:rsid w:val="00243F83"/>
    <w:rsid w:val="00245C82"/>
    <w:rsid w:val="00246512"/>
    <w:rsid w:val="002537AA"/>
    <w:rsid w:val="0025662D"/>
    <w:rsid w:val="00256E66"/>
    <w:rsid w:val="00256EAF"/>
    <w:rsid w:val="00257DBB"/>
    <w:rsid w:val="00260A95"/>
    <w:rsid w:val="00261100"/>
    <w:rsid w:val="00263A16"/>
    <w:rsid w:val="00263B8C"/>
    <w:rsid w:val="00266870"/>
    <w:rsid w:val="002668DE"/>
    <w:rsid w:val="00267DEF"/>
    <w:rsid w:val="002706AC"/>
    <w:rsid w:val="00272810"/>
    <w:rsid w:val="00273869"/>
    <w:rsid w:val="002815E5"/>
    <w:rsid w:val="00282436"/>
    <w:rsid w:val="00283E1C"/>
    <w:rsid w:val="002848A3"/>
    <w:rsid w:val="002913DF"/>
    <w:rsid w:val="00291B40"/>
    <w:rsid w:val="00294B4B"/>
    <w:rsid w:val="00295203"/>
    <w:rsid w:val="00296AC9"/>
    <w:rsid w:val="002A0607"/>
    <w:rsid w:val="002A07D6"/>
    <w:rsid w:val="002A668F"/>
    <w:rsid w:val="002A6F1E"/>
    <w:rsid w:val="002B09E8"/>
    <w:rsid w:val="002B1161"/>
    <w:rsid w:val="002B2899"/>
    <w:rsid w:val="002B2AF6"/>
    <w:rsid w:val="002B4008"/>
    <w:rsid w:val="002B5D1C"/>
    <w:rsid w:val="002B6079"/>
    <w:rsid w:val="002C01F8"/>
    <w:rsid w:val="002C04B6"/>
    <w:rsid w:val="002C5D03"/>
    <w:rsid w:val="002C6610"/>
    <w:rsid w:val="002C695F"/>
    <w:rsid w:val="002D0557"/>
    <w:rsid w:val="002D0E8E"/>
    <w:rsid w:val="002D31F7"/>
    <w:rsid w:val="002D37FE"/>
    <w:rsid w:val="002D485A"/>
    <w:rsid w:val="002D5634"/>
    <w:rsid w:val="002D6CE9"/>
    <w:rsid w:val="002D7FC6"/>
    <w:rsid w:val="002E16B2"/>
    <w:rsid w:val="002E4D64"/>
    <w:rsid w:val="002E4F40"/>
    <w:rsid w:val="002E5136"/>
    <w:rsid w:val="002E6015"/>
    <w:rsid w:val="002E65DC"/>
    <w:rsid w:val="002E6911"/>
    <w:rsid w:val="002F0361"/>
    <w:rsid w:val="002F0C2B"/>
    <w:rsid w:val="002F0F55"/>
    <w:rsid w:val="002F134F"/>
    <w:rsid w:val="002F1B8A"/>
    <w:rsid w:val="002F5B96"/>
    <w:rsid w:val="002F6715"/>
    <w:rsid w:val="00301189"/>
    <w:rsid w:val="003043D8"/>
    <w:rsid w:val="00305CE9"/>
    <w:rsid w:val="00305DF8"/>
    <w:rsid w:val="0030701B"/>
    <w:rsid w:val="003072C7"/>
    <w:rsid w:val="003105F4"/>
    <w:rsid w:val="00310D2F"/>
    <w:rsid w:val="00313CC1"/>
    <w:rsid w:val="003145D1"/>
    <w:rsid w:val="003152C4"/>
    <w:rsid w:val="0031598E"/>
    <w:rsid w:val="0032085C"/>
    <w:rsid w:val="00320CC2"/>
    <w:rsid w:val="00320E24"/>
    <w:rsid w:val="0032157D"/>
    <w:rsid w:val="00323E09"/>
    <w:rsid w:val="0032524B"/>
    <w:rsid w:val="00326CA9"/>
    <w:rsid w:val="0032739E"/>
    <w:rsid w:val="00327A0F"/>
    <w:rsid w:val="00331C7D"/>
    <w:rsid w:val="00333932"/>
    <w:rsid w:val="00334BA7"/>
    <w:rsid w:val="003370BB"/>
    <w:rsid w:val="003376E7"/>
    <w:rsid w:val="00337D78"/>
    <w:rsid w:val="0034010F"/>
    <w:rsid w:val="00343169"/>
    <w:rsid w:val="003438A9"/>
    <w:rsid w:val="00344F8C"/>
    <w:rsid w:val="0034528E"/>
    <w:rsid w:val="003452BB"/>
    <w:rsid w:val="003453BF"/>
    <w:rsid w:val="00346041"/>
    <w:rsid w:val="00347DA1"/>
    <w:rsid w:val="0035132E"/>
    <w:rsid w:val="003518AA"/>
    <w:rsid w:val="00352165"/>
    <w:rsid w:val="00353182"/>
    <w:rsid w:val="0035461C"/>
    <w:rsid w:val="003565D9"/>
    <w:rsid w:val="003602E1"/>
    <w:rsid w:val="003606FE"/>
    <w:rsid w:val="003616BB"/>
    <w:rsid w:val="003627E7"/>
    <w:rsid w:val="00363A7D"/>
    <w:rsid w:val="003649B9"/>
    <w:rsid w:val="00364A6F"/>
    <w:rsid w:val="00366330"/>
    <w:rsid w:val="003674E6"/>
    <w:rsid w:val="0037026F"/>
    <w:rsid w:val="0037076B"/>
    <w:rsid w:val="00371240"/>
    <w:rsid w:val="003739A5"/>
    <w:rsid w:val="00374731"/>
    <w:rsid w:val="00377546"/>
    <w:rsid w:val="00380DA0"/>
    <w:rsid w:val="00380DAA"/>
    <w:rsid w:val="00381697"/>
    <w:rsid w:val="00383042"/>
    <w:rsid w:val="00383BE7"/>
    <w:rsid w:val="003855FA"/>
    <w:rsid w:val="00390789"/>
    <w:rsid w:val="00391721"/>
    <w:rsid w:val="003919F9"/>
    <w:rsid w:val="00393524"/>
    <w:rsid w:val="00395E97"/>
    <w:rsid w:val="0039623C"/>
    <w:rsid w:val="003964F0"/>
    <w:rsid w:val="003965B1"/>
    <w:rsid w:val="0039730A"/>
    <w:rsid w:val="003A1481"/>
    <w:rsid w:val="003A178E"/>
    <w:rsid w:val="003A243B"/>
    <w:rsid w:val="003A3009"/>
    <w:rsid w:val="003A3767"/>
    <w:rsid w:val="003A5641"/>
    <w:rsid w:val="003A70C1"/>
    <w:rsid w:val="003A735F"/>
    <w:rsid w:val="003B52AE"/>
    <w:rsid w:val="003B5E6A"/>
    <w:rsid w:val="003B778F"/>
    <w:rsid w:val="003C0479"/>
    <w:rsid w:val="003C2071"/>
    <w:rsid w:val="003C38B5"/>
    <w:rsid w:val="003C59ED"/>
    <w:rsid w:val="003C5A8D"/>
    <w:rsid w:val="003C5D99"/>
    <w:rsid w:val="003C5FB6"/>
    <w:rsid w:val="003C79A7"/>
    <w:rsid w:val="003C7ED0"/>
    <w:rsid w:val="003D0F7F"/>
    <w:rsid w:val="003D1318"/>
    <w:rsid w:val="003D1693"/>
    <w:rsid w:val="003D3150"/>
    <w:rsid w:val="003D3E9F"/>
    <w:rsid w:val="003D3F09"/>
    <w:rsid w:val="003D51F0"/>
    <w:rsid w:val="003D5F45"/>
    <w:rsid w:val="003D670C"/>
    <w:rsid w:val="003E0138"/>
    <w:rsid w:val="003E2AFF"/>
    <w:rsid w:val="003E3EEB"/>
    <w:rsid w:val="003E41FC"/>
    <w:rsid w:val="003E5B1E"/>
    <w:rsid w:val="003E5CF5"/>
    <w:rsid w:val="003E6C52"/>
    <w:rsid w:val="003E732A"/>
    <w:rsid w:val="003E7730"/>
    <w:rsid w:val="003F0789"/>
    <w:rsid w:val="003F1C5D"/>
    <w:rsid w:val="003F215F"/>
    <w:rsid w:val="003F4551"/>
    <w:rsid w:val="003F535F"/>
    <w:rsid w:val="0040170D"/>
    <w:rsid w:val="00401882"/>
    <w:rsid w:val="004023A7"/>
    <w:rsid w:val="00402A9E"/>
    <w:rsid w:val="00404BA4"/>
    <w:rsid w:val="00404C94"/>
    <w:rsid w:val="00404CE1"/>
    <w:rsid w:val="0040743B"/>
    <w:rsid w:val="00407865"/>
    <w:rsid w:val="004100C8"/>
    <w:rsid w:val="00410514"/>
    <w:rsid w:val="00412ACE"/>
    <w:rsid w:val="00412D57"/>
    <w:rsid w:val="00412F74"/>
    <w:rsid w:val="004170AA"/>
    <w:rsid w:val="004225F9"/>
    <w:rsid w:val="00422D46"/>
    <w:rsid w:val="0042489B"/>
    <w:rsid w:val="004250E7"/>
    <w:rsid w:val="0042510D"/>
    <w:rsid w:val="00426419"/>
    <w:rsid w:val="00426F7B"/>
    <w:rsid w:val="00431249"/>
    <w:rsid w:val="00434837"/>
    <w:rsid w:val="00434C19"/>
    <w:rsid w:val="00434CC3"/>
    <w:rsid w:val="0043568D"/>
    <w:rsid w:val="004364F0"/>
    <w:rsid w:val="00441D94"/>
    <w:rsid w:val="00442565"/>
    <w:rsid w:val="0044275D"/>
    <w:rsid w:val="00443F9D"/>
    <w:rsid w:val="004449BC"/>
    <w:rsid w:val="0044567F"/>
    <w:rsid w:val="004458B2"/>
    <w:rsid w:val="0044705C"/>
    <w:rsid w:val="00447098"/>
    <w:rsid w:val="00447D99"/>
    <w:rsid w:val="00447EE6"/>
    <w:rsid w:val="0045053D"/>
    <w:rsid w:val="00450810"/>
    <w:rsid w:val="004518DA"/>
    <w:rsid w:val="00451935"/>
    <w:rsid w:val="004527E9"/>
    <w:rsid w:val="00453B0F"/>
    <w:rsid w:val="00454003"/>
    <w:rsid w:val="00456C1D"/>
    <w:rsid w:val="00457A3B"/>
    <w:rsid w:val="00463327"/>
    <w:rsid w:val="004634C8"/>
    <w:rsid w:val="00465F16"/>
    <w:rsid w:val="00466270"/>
    <w:rsid w:val="00467688"/>
    <w:rsid w:val="00470C11"/>
    <w:rsid w:val="0047223E"/>
    <w:rsid w:val="0047240B"/>
    <w:rsid w:val="0047473E"/>
    <w:rsid w:val="00477144"/>
    <w:rsid w:val="00477EEF"/>
    <w:rsid w:val="00480FE5"/>
    <w:rsid w:val="0048137F"/>
    <w:rsid w:val="00485E54"/>
    <w:rsid w:val="00487585"/>
    <w:rsid w:val="00487BE0"/>
    <w:rsid w:val="00491D5F"/>
    <w:rsid w:val="004920DF"/>
    <w:rsid w:val="0049241B"/>
    <w:rsid w:val="0049459F"/>
    <w:rsid w:val="00497735"/>
    <w:rsid w:val="004A2CFF"/>
    <w:rsid w:val="004A34E9"/>
    <w:rsid w:val="004A38DD"/>
    <w:rsid w:val="004A4B8F"/>
    <w:rsid w:val="004A790D"/>
    <w:rsid w:val="004B3DC1"/>
    <w:rsid w:val="004B43AE"/>
    <w:rsid w:val="004B45EA"/>
    <w:rsid w:val="004C2108"/>
    <w:rsid w:val="004C235B"/>
    <w:rsid w:val="004C2D86"/>
    <w:rsid w:val="004C30ED"/>
    <w:rsid w:val="004C5570"/>
    <w:rsid w:val="004D037C"/>
    <w:rsid w:val="004D08EF"/>
    <w:rsid w:val="004D15EB"/>
    <w:rsid w:val="004D4737"/>
    <w:rsid w:val="004D4B8A"/>
    <w:rsid w:val="004D5675"/>
    <w:rsid w:val="004D715E"/>
    <w:rsid w:val="004D77DF"/>
    <w:rsid w:val="004D78FD"/>
    <w:rsid w:val="004E2C89"/>
    <w:rsid w:val="004E3159"/>
    <w:rsid w:val="004E478A"/>
    <w:rsid w:val="004E4B86"/>
    <w:rsid w:val="004E6299"/>
    <w:rsid w:val="004E62B4"/>
    <w:rsid w:val="004E630F"/>
    <w:rsid w:val="004E6F66"/>
    <w:rsid w:val="004E780D"/>
    <w:rsid w:val="004F0033"/>
    <w:rsid w:val="004F2CEB"/>
    <w:rsid w:val="004F4A89"/>
    <w:rsid w:val="004F5F44"/>
    <w:rsid w:val="004F6C5A"/>
    <w:rsid w:val="00500AC2"/>
    <w:rsid w:val="00503395"/>
    <w:rsid w:val="005052C9"/>
    <w:rsid w:val="005067F5"/>
    <w:rsid w:val="00512336"/>
    <w:rsid w:val="0051307D"/>
    <w:rsid w:val="00515087"/>
    <w:rsid w:val="00515DAC"/>
    <w:rsid w:val="00523639"/>
    <w:rsid w:val="00523785"/>
    <w:rsid w:val="00524DAE"/>
    <w:rsid w:val="005268BA"/>
    <w:rsid w:val="005305CA"/>
    <w:rsid w:val="00530958"/>
    <w:rsid w:val="005314E3"/>
    <w:rsid w:val="0053329A"/>
    <w:rsid w:val="00533319"/>
    <w:rsid w:val="00533C9B"/>
    <w:rsid w:val="0053511A"/>
    <w:rsid w:val="00535267"/>
    <w:rsid w:val="005366F0"/>
    <w:rsid w:val="0053707B"/>
    <w:rsid w:val="00541690"/>
    <w:rsid w:val="00541D4F"/>
    <w:rsid w:val="005423DE"/>
    <w:rsid w:val="00543DA1"/>
    <w:rsid w:val="00544BFD"/>
    <w:rsid w:val="00544EB0"/>
    <w:rsid w:val="00546003"/>
    <w:rsid w:val="005467DA"/>
    <w:rsid w:val="00546A9A"/>
    <w:rsid w:val="005473C8"/>
    <w:rsid w:val="005562DA"/>
    <w:rsid w:val="005568F7"/>
    <w:rsid w:val="005569A9"/>
    <w:rsid w:val="00560C97"/>
    <w:rsid w:val="00561114"/>
    <w:rsid w:val="005614A5"/>
    <w:rsid w:val="005630C8"/>
    <w:rsid w:val="005631AD"/>
    <w:rsid w:val="00564BDC"/>
    <w:rsid w:val="00566B9E"/>
    <w:rsid w:val="00566FB4"/>
    <w:rsid w:val="0056765A"/>
    <w:rsid w:val="00570095"/>
    <w:rsid w:val="005718E1"/>
    <w:rsid w:val="00572564"/>
    <w:rsid w:val="005733DF"/>
    <w:rsid w:val="00575482"/>
    <w:rsid w:val="00575629"/>
    <w:rsid w:val="005757E9"/>
    <w:rsid w:val="0057775A"/>
    <w:rsid w:val="00580C15"/>
    <w:rsid w:val="00580D59"/>
    <w:rsid w:val="0058148E"/>
    <w:rsid w:val="00582391"/>
    <w:rsid w:val="00583409"/>
    <w:rsid w:val="00583C39"/>
    <w:rsid w:val="00584FD8"/>
    <w:rsid w:val="00585679"/>
    <w:rsid w:val="00585856"/>
    <w:rsid w:val="00585894"/>
    <w:rsid w:val="00585A5C"/>
    <w:rsid w:val="005864BE"/>
    <w:rsid w:val="005909CF"/>
    <w:rsid w:val="00591E71"/>
    <w:rsid w:val="00593AE2"/>
    <w:rsid w:val="00594120"/>
    <w:rsid w:val="00597BD2"/>
    <w:rsid w:val="005A0D41"/>
    <w:rsid w:val="005A1157"/>
    <w:rsid w:val="005A2ED7"/>
    <w:rsid w:val="005A436F"/>
    <w:rsid w:val="005A6616"/>
    <w:rsid w:val="005B003A"/>
    <w:rsid w:val="005B005E"/>
    <w:rsid w:val="005B27B3"/>
    <w:rsid w:val="005B3842"/>
    <w:rsid w:val="005B4F07"/>
    <w:rsid w:val="005B56F8"/>
    <w:rsid w:val="005B655D"/>
    <w:rsid w:val="005C0302"/>
    <w:rsid w:val="005C07B8"/>
    <w:rsid w:val="005C1837"/>
    <w:rsid w:val="005C3DEF"/>
    <w:rsid w:val="005C4E5A"/>
    <w:rsid w:val="005C4F9E"/>
    <w:rsid w:val="005C5A83"/>
    <w:rsid w:val="005C5AAA"/>
    <w:rsid w:val="005C7D32"/>
    <w:rsid w:val="005D3557"/>
    <w:rsid w:val="005D3B5E"/>
    <w:rsid w:val="005D4144"/>
    <w:rsid w:val="005D5793"/>
    <w:rsid w:val="005D5809"/>
    <w:rsid w:val="005D63A6"/>
    <w:rsid w:val="005D6610"/>
    <w:rsid w:val="005D6B3C"/>
    <w:rsid w:val="005D7320"/>
    <w:rsid w:val="005D7AD4"/>
    <w:rsid w:val="005F059C"/>
    <w:rsid w:val="005F2293"/>
    <w:rsid w:val="005F3DEC"/>
    <w:rsid w:val="005F4365"/>
    <w:rsid w:val="005F5007"/>
    <w:rsid w:val="005F5F53"/>
    <w:rsid w:val="005F6906"/>
    <w:rsid w:val="0060134A"/>
    <w:rsid w:val="006031C7"/>
    <w:rsid w:val="006052E5"/>
    <w:rsid w:val="0060689B"/>
    <w:rsid w:val="00607BF1"/>
    <w:rsid w:val="006102A8"/>
    <w:rsid w:val="00611DD9"/>
    <w:rsid w:val="00613570"/>
    <w:rsid w:val="00614D6F"/>
    <w:rsid w:val="00617026"/>
    <w:rsid w:val="00620243"/>
    <w:rsid w:val="006243DC"/>
    <w:rsid w:val="006249D2"/>
    <w:rsid w:val="0062595A"/>
    <w:rsid w:val="00627480"/>
    <w:rsid w:val="00630D4D"/>
    <w:rsid w:val="006318FA"/>
    <w:rsid w:val="0063214F"/>
    <w:rsid w:val="00632A74"/>
    <w:rsid w:val="00634B8A"/>
    <w:rsid w:val="00635F11"/>
    <w:rsid w:val="00636170"/>
    <w:rsid w:val="0064052D"/>
    <w:rsid w:val="00642402"/>
    <w:rsid w:val="00643D89"/>
    <w:rsid w:val="006466F4"/>
    <w:rsid w:val="006547CD"/>
    <w:rsid w:val="00654AD8"/>
    <w:rsid w:val="006550AF"/>
    <w:rsid w:val="00655241"/>
    <w:rsid w:val="006564ED"/>
    <w:rsid w:val="006570B7"/>
    <w:rsid w:val="0065729C"/>
    <w:rsid w:val="00657860"/>
    <w:rsid w:val="00660389"/>
    <w:rsid w:val="00661710"/>
    <w:rsid w:val="00662517"/>
    <w:rsid w:val="0066348C"/>
    <w:rsid w:val="00663B5A"/>
    <w:rsid w:val="0066468D"/>
    <w:rsid w:val="00665B45"/>
    <w:rsid w:val="00666595"/>
    <w:rsid w:val="00670294"/>
    <w:rsid w:val="006716CB"/>
    <w:rsid w:val="00675A2F"/>
    <w:rsid w:val="006762F4"/>
    <w:rsid w:val="00676489"/>
    <w:rsid w:val="00680BDB"/>
    <w:rsid w:val="00684598"/>
    <w:rsid w:val="0068711F"/>
    <w:rsid w:val="00691FA4"/>
    <w:rsid w:val="006961E3"/>
    <w:rsid w:val="006965B2"/>
    <w:rsid w:val="006A01FE"/>
    <w:rsid w:val="006A17DF"/>
    <w:rsid w:val="006A4091"/>
    <w:rsid w:val="006A40ED"/>
    <w:rsid w:val="006A4655"/>
    <w:rsid w:val="006A4DCF"/>
    <w:rsid w:val="006A5046"/>
    <w:rsid w:val="006A5604"/>
    <w:rsid w:val="006A5D01"/>
    <w:rsid w:val="006A6A14"/>
    <w:rsid w:val="006A6DFA"/>
    <w:rsid w:val="006A7726"/>
    <w:rsid w:val="006A7753"/>
    <w:rsid w:val="006B1891"/>
    <w:rsid w:val="006B189A"/>
    <w:rsid w:val="006B261E"/>
    <w:rsid w:val="006B2B3C"/>
    <w:rsid w:val="006B4698"/>
    <w:rsid w:val="006B6E85"/>
    <w:rsid w:val="006C12AC"/>
    <w:rsid w:val="006C12D9"/>
    <w:rsid w:val="006C153A"/>
    <w:rsid w:val="006C15CA"/>
    <w:rsid w:val="006C4830"/>
    <w:rsid w:val="006C4C5B"/>
    <w:rsid w:val="006C51ED"/>
    <w:rsid w:val="006C6046"/>
    <w:rsid w:val="006C64F4"/>
    <w:rsid w:val="006C7038"/>
    <w:rsid w:val="006C760B"/>
    <w:rsid w:val="006D03CD"/>
    <w:rsid w:val="006D2001"/>
    <w:rsid w:val="006D2B45"/>
    <w:rsid w:val="006D3615"/>
    <w:rsid w:val="006D3B98"/>
    <w:rsid w:val="006D3F0E"/>
    <w:rsid w:val="006D417A"/>
    <w:rsid w:val="006D4B56"/>
    <w:rsid w:val="006D6D17"/>
    <w:rsid w:val="006E249D"/>
    <w:rsid w:val="006E3C66"/>
    <w:rsid w:val="006E3F9A"/>
    <w:rsid w:val="006E51CB"/>
    <w:rsid w:val="006E560F"/>
    <w:rsid w:val="006E585F"/>
    <w:rsid w:val="006E6366"/>
    <w:rsid w:val="006E73EF"/>
    <w:rsid w:val="006E764A"/>
    <w:rsid w:val="006E78C0"/>
    <w:rsid w:val="006E7FCF"/>
    <w:rsid w:val="006F0FE7"/>
    <w:rsid w:val="006F2C61"/>
    <w:rsid w:val="006F4C34"/>
    <w:rsid w:val="006F4EB7"/>
    <w:rsid w:val="006F60BC"/>
    <w:rsid w:val="006F79DB"/>
    <w:rsid w:val="00700AD9"/>
    <w:rsid w:val="00700B80"/>
    <w:rsid w:val="007023FD"/>
    <w:rsid w:val="0070610D"/>
    <w:rsid w:val="00714D4D"/>
    <w:rsid w:val="007178CC"/>
    <w:rsid w:val="00720AC0"/>
    <w:rsid w:val="00720F29"/>
    <w:rsid w:val="00721124"/>
    <w:rsid w:val="00721E2D"/>
    <w:rsid w:val="00724EC8"/>
    <w:rsid w:val="00725AA3"/>
    <w:rsid w:val="007272A8"/>
    <w:rsid w:val="00732285"/>
    <w:rsid w:val="00732933"/>
    <w:rsid w:val="0073399C"/>
    <w:rsid w:val="007350CA"/>
    <w:rsid w:val="0073539E"/>
    <w:rsid w:val="00735D67"/>
    <w:rsid w:val="00736D22"/>
    <w:rsid w:val="00737046"/>
    <w:rsid w:val="00741C8A"/>
    <w:rsid w:val="00744FC6"/>
    <w:rsid w:val="007470A5"/>
    <w:rsid w:val="00750091"/>
    <w:rsid w:val="00750A71"/>
    <w:rsid w:val="00750F3B"/>
    <w:rsid w:val="0075336E"/>
    <w:rsid w:val="00753D0B"/>
    <w:rsid w:val="00756BBB"/>
    <w:rsid w:val="00757FDB"/>
    <w:rsid w:val="007604BB"/>
    <w:rsid w:val="0076106A"/>
    <w:rsid w:val="00761F70"/>
    <w:rsid w:val="00762A58"/>
    <w:rsid w:val="00765648"/>
    <w:rsid w:val="00765B50"/>
    <w:rsid w:val="00766953"/>
    <w:rsid w:val="00770204"/>
    <w:rsid w:val="00771A4D"/>
    <w:rsid w:val="00771DD7"/>
    <w:rsid w:val="007728E0"/>
    <w:rsid w:val="00772912"/>
    <w:rsid w:val="00772F7B"/>
    <w:rsid w:val="007742B4"/>
    <w:rsid w:val="00774F74"/>
    <w:rsid w:val="00775E05"/>
    <w:rsid w:val="00776C73"/>
    <w:rsid w:val="007801CF"/>
    <w:rsid w:val="00784542"/>
    <w:rsid w:val="00784763"/>
    <w:rsid w:val="00785232"/>
    <w:rsid w:val="00786AD5"/>
    <w:rsid w:val="00786DBA"/>
    <w:rsid w:val="00790327"/>
    <w:rsid w:val="007938C9"/>
    <w:rsid w:val="00795038"/>
    <w:rsid w:val="007958CA"/>
    <w:rsid w:val="00797A14"/>
    <w:rsid w:val="00797ECC"/>
    <w:rsid w:val="007A21EB"/>
    <w:rsid w:val="007A31C6"/>
    <w:rsid w:val="007A5E8B"/>
    <w:rsid w:val="007A73E1"/>
    <w:rsid w:val="007B1AF6"/>
    <w:rsid w:val="007B26F4"/>
    <w:rsid w:val="007B53A3"/>
    <w:rsid w:val="007C0A58"/>
    <w:rsid w:val="007C11D1"/>
    <w:rsid w:val="007C33FD"/>
    <w:rsid w:val="007C36C9"/>
    <w:rsid w:val="007C38F2"/>
    <w:rsid w:val="007C3AFD"/>
    <w:rsid w:val="007C4264"/>
    <w:rsid w:val="007C438F"/>
    <w:rsid w:val="007C54F7"/>
    <w:rsid w:val="007D0491"/>
    <w:rsid w:val="007D093C"/>
    <w:rsid w:val="007D179C"/>
    <w:rsid w:val="007D1B9F"/>
    <w:rsid w:val="007D1F0A"/>
    <w:rsid w:val="007D31AD"/>
    <w:rsid w:val="007D3374"/>
    <w:rsid w:val="007D35A8"/>
    <w:rsid w:val="007D3B21"/>
    <w:rsid w:val="007D4537"/>
    <w:rsid w:val="007D5A46"/>
    <w:rsid w:val="007D5DC5"/>
    <w:rsid w:val="007D7F07"/>
    <w:rsid w:val="007E01E4"/>
    <w:rsid w:val="007E1466"/>
    <w:rsid w:val="007E3461"/>
    <w:rsid w:val="007E3A75"/>
    <w:rsid w:val="007E52F9"/>
    <w:rsid w:val="007E57BF"/>
    <w:rsid w:val="007E6A61"/>
    <w:rsid w:val="007F0598"/>
    <w:rsid w:val="007F1923"/>
    <w:rsid w:val="007F1E81"/>
    <w:rsid w:val="007F25B0"/>
    <w:rsid w:val="007F4294"/>
    <w:rsid w:val="007F7107"/>
    <w:rsid w:val="007F7FC8"/>
    <w:rsid w:val="0080161F"/>
    <w:rsid w:val="00803BC2"/>
    <w:rsid w:val="00804279"/>
    <w:rsid w:val="00805770"/>
    <w:rsid w:val="00805EC1"/>
    <w:rsid w:val="008060A3"/>
    <w:rsid w:val="00807085"/>
    <w:rsid w:val="0080777C"/>
    <w:rsid w:val="0081030F"/>
    <w:rsid w:val="008105F8"/>
    <w:rsid w:val="00813901"/>
    <w:rsid w:val="00815B71"/>
    <w:rsid w:val="008162BD"/>
    <w:rsid w:val="008167F5"/>
    <w:rsid w:val="008170B1"/>
    <w:rsid w:val="0082087D"/>
    <w:rsid w:val="00822CE6"/>
    <w:rsid w:val="008237D9"/>
    <w:rsid w:val="00826243"/>
    <w:rsid w:val="0082749D"/>
    <w:rsid w:val="008337C3"/>
    <w:rsid w:val="00833FBC"/>
    <w:rsid w:val="0083475B"/>
    <w:rsid w:val="00842933"/>
    <w:rsid w:val="008507A1"/>
    <w:rsid w:val="00850CC5"/>
    <w:rsid w:val="008556CA"/>
    <w:rsid w:val="00856815"/>
    <w:rsid w:val="00856CFC"/>
    <w:rsid w:val="00856E5F"/>
    <w:rsid w:val="0086082C"/>
    <w:rsid w:val="00863EE6"/>
    <w:rsid w:val="00864ADC"/>
    <w:rsid w:val="008710F9"/>
    <w:rsid w:val="008728FA"/>
    <w:rsid w:val="00880153"/>
    <w:rsid w:val="00880F97"/>
    <w:rsid w:val="0088133A"/>
    <w:rsid w:val="008822F6"/>
    <w:rsid w:val="00882C0C"/>
    <w:rsid w:val="00884385"/>
    <w:rsid w:val="00884CE4"/>
    <w:rsid w:val="008857F5"/>
    <w:rsid w:val="0088709A"/>
    <w:rsid w:val="0089285E"/>
    <w:rsid w:val="00892AA1"/>
    <w:rsid w:val="0089436C"/>
    <w:rsid w:val="0089440F"/>
    <w:rsid w:val="00895104"/>
    <w:rsid w:val="00896445"/>
    <w:rsid w:val="00896AED"/>
    <w:rsid w:val="00897719"/>
    <w:rsid w:val="008A026E"/>
    <w:rsid w:val="008A033E"/>
    <w:rsid w:val="008A075F"/>
    <w:rsid w:val="008A1B92"/>
    <w:rsid w:val="008B2AEA"/>
    <w:rsid w:val="008B2C7E"/>
    <w:rsid w:val="008B2EF4"/>
    <w:rsid w:val="008B32A2"/>
    <w:rsid w:val="008B37D5"/>
    <w:rsid w:val="008B49D8"/>
    <w:rsid w:val="008B534C"/>
    <w:rsid w:val="008B6741"/>
    <w:rsid w:val="008B7712"/>
    <w:rsid w:val="008C1E37"/>
    <w:rsid w:val="008C610C"/>
    <w:rsid w:val="008C7AB6"/>
    <w:rsid w:val="008D0FE6"/>
    <w:rsid w:val="008D28B4"/>
    <w:rsid w:val="008D35DB"/>
    <w:rsid w:val="008D365C"/>
    <w:rsid w:val="008D5DA0"/>
    <w:rsid w:val="008D605E"/>
    <w:rsid w:val="008D6E51"/>
    <w:rsid w:val="008E462C"/>
    <w:rsid w:val="008E54BA"/>
    <w:rsid w:val="008E5FB1"/>
    <w:rsid w:val="008E6CFA"/>
    <w:rsid w:val="008F4602"/>
    <w:rsid w:val="008F5604"/>
    <w:rsid w:val="008F5B5A"/>
    <w:rsid w:val="008F6389"/>
    <w:rsid w:val="009008CA"/>
    <w:rsid w:val="00901B38"/>
    <w:rsid w:val="00902AF4"/>
    <w:rsid w:val="009030BF"/>
    <w:rsid w:val="009031BB"/>
    <w:rsid w:val="00912727"/>
    <w:rsid w:val="009133D5"/>
    <w:rsid w:val="00914368"/>
    <w:rsid w:val="00915C70"/>
    <w:rsid w:val="00920103"/>
    <w:rsid w:val="009208F7"/>
    <w:rsid w:val="00920E97"/>
    <w:rsid w:val="00921551"/>
    <w:rsid w:val="00922685"/>
    <w:rsid w:val="0092599E"/>
    <w:rsid w:val="00925BF0"/>
    <w:rsid w:val="00925C11"/>
    <w:rsid w:val="00927F75"/>
    <w:rsid w:val="00931076"/>
    <w:rsid w:val="00932064"/>
    <w:rsid w:val="00932DCE"/>
    <w:rsid w:val="00933A63"/>
    <w:rsid w:val="009345D9"/>
    <w:rsid w:val="00934B15"/>
    <w:rsid w:val="00935F2C"/>
    <w:rsid w:val="0094011E"/>
    <w:rsid w:val="009405C4"/>
    <w:rsid w:val="00941276"/>
    <w:rsid w:val="009421DB"/>
    <w:rsid w:val="00942B62"/>
    <w:rsid w:val="00944C5A"/>
    <w:rsid w:val="00947098"/>
    <w:rsid w:val="00947CD9"/>
    <w:rsid w:val="00953589"/>
    <w:rsid w:val="00953712"/>
    <w:rsid w:val="00953920"/>
    <w:rsid w:val="009539D8"/>
    <w:rsid w:val="0095579E"/>
    <w:rsid w:val="00956A0C"/>
    <w:rsid w:val="00956BD9"/>
    <w:rsid w:val="009605DD"/>
    <w:rsid w:val="00960771"/>
    <w:rsid w:val="00962489"/>
    <w:rsid w:val="00962FA4"/>
    <w:rsid w:val="00967558"/>
    <w:rsid w:val="009702F6"/>
    <w:rsid w:val="00971236"/>
    <w:rsid w:val="009726B1"/>
    <w:rsid w:val="00973B52"/>
    <w:rsid w:val="009751F6"/>
    <w:rsid w:val="0097604F"/>
    <w:rsid w:val="00976981"/>
    <w:rsid w:val="00977863"/>
    <w:rsid w:val="009804BE"/>
    <w:rsid w:val="00981A8A"/>
    <w:rsid w:val="00984A98"/>
    <w:rsid w:val="00984DF4"/>
    <w:rsid w:val="00985129"/>
    <w:rsid w:val="00986FA1"/>
    <w:rsid w:val="0098790C"/>
    <w:rsid w:val="00990C2C"/>
    <w:rsid w:val="00995950"/>
    <w:rsid w:val="00997A5C"/>
    <w:rsid w:val="009A0AF3"/>
    <w:rsid w:val="009A26DB"/>
    <w:rsid w:val="009A723E"/>
    <w:rsid w:val="009B252D"/>
    <w:rsid w:val="009B4D40"/>
    <w:rsid w:val="009C01AB"/>
    <w:rsid w:val="009C1E94"/>
    <w:rsid w:val="009C26EE"/>
    <w:rsid w:val="009C3232"/>
    <w:rsid w:val="009C61B3"/>
    <w:rsid w:val="009C6702"/>
    <w:rsid w:val="009C7777"/>
    <w:rsid w:val="009C77F6"/>
    <w:rsid w:val="009C7AE7"/>
    <w:rsid w:val="009D04A8"/>
    <w:rsid w:val="009D0D4C"/>
    <w:rsid w:val="009D160E"/>
    <w:rsid w:val="009D2F9F"/>
    <w:rsid w:val="009D3AE9"/>
    <w:rsid w:val="009D6C4A"/>
    <w:rsid w:val="009E630A"/>
    <w:rsid w:val="009F0D2A"/>
    <w:rsid w:val="009F1FB6"/>
    <w:rsid w:val="009F3AA0"/>
    <w:rsid w:val="009F58F3"/>
    <w:rsid w:val="009F696D"/>
    <w:rsid w:val="009F6BC6"/>
    <w:rsid w:val="00A010D7"/>
    <w:rsid w:val="00A03937"/>
    <w:rsid w:val="00A05BCE"/>
    <w:rsid w:val="00A06EBB"/>
    <w:rsid w:val="00A11035"/>
    <w:rsid w:val="00A111EB"/>
    <w:rsid w:val="00A1182D"/>
    <w:rsid w:val="00A11E20"/>
    <w:rsid w:val="00A12447"/>
    <w:rsid w:val="00A12B7F"/>
    <w:rsid w:val="00A134D7"/>
    <w:rsid w:val="00A13D5E"/>
    <w:rsid w:val="00A14E19"/>
    <w:rsid w:val="00A171D5"/>
    <w:rsid w:val="00A17328"/>
    <w:rsid w:val="00A200E8"/>
    <w:rsid w:val="00A20F56"/>
    <w:rsid w:val="00A23A20"/>
    <w:rsid w:val="00A268B9"/>
    <w:rsid w:val="00A2703A"/>
    <w:rsid w:val="00A311CF"/>
    <w:rsid w:val="00A31466"/>
    <w:rsid w:val="00A32DFE"/>
    <w:rsid w:val="00A33DFF"/>
    <w:rsid w:val="00A35115"/>
    <w:rsid w:val="00A368EF"/>
    <w:rsid w:val="00A36ABF"/>
    <w:rsid w:val="00A40C10"/>
    <w:rsid w:val="00A41D4A"/>
    <w:rsid w:val="00A423DF"/>
    <w:rsid w:val="00A46AA0"/>
    <w:rsid w:val="00A46E41"/>
    <w:rsid w:val="00A5027B"/>
    <w:rsid w:val="00A52E3E"/>
    <w:rsid w:val="00A534AE"/>
    <w:rsid w:val="00A55092"/>
    <w:rsid w:val="00A550FB"/>
    <w:rsid w:val="00A554AB"/>
    <w:rsid w:val="00A57A2F"/>
    <w:rsid w:val="00A61622"/>
    <w:rsid w:val="00A66B70"/>
    <w:rsid w:val="00A67B18"/>
    <w:rsid w:val="00A70487"/>
    <w:rsid w:val="00A71738"/>
    <w:rsid w:val="00A71FD3"/>
    <w:rsid w:val="00A72BED"/>
    <w:rsid w:val="00A72D1E"/>
    <w:rsid w:val="00A74074"/>
    <w:rsid w:val="00A74C88"/>
    <w:rsid w:val="00A754CF"/>
    <w:rsid w:val="00A76D40"/>
    <w:rsid w:val="00A77829"/>
    <w:rsid w:val="00A8269E"/>
    <w:rsid w:val="00A84C9A"/>
    <w:rsid w:val="00A84F88"/>
    <w:rsid w:val="00A85677"/>
    <w:rsid w:val="00A86DAA"/>
    <w:rsid w:val="00A87D4F"/>
    <w:rsid w:val="00A92B53"/>
    <w:rsid w:val="00A93BA4"/>
    <w:rsid w:val="00A948FA"/>
    <w:rsid w:val="00A94FA6"/>
    <w:rsid w:val="00A96117"/>
    <w:rsid w:val="00A9724A"/>
    <w:rsid w:val="00A97CD8"/>
    <w:rsid w:val="00AA144F"/>
    <w:rsid w:val="00AA1A4A"/>
    <w:rsid w:val="00AA2632"/>
    <w:rsid w:val="00AA26AD"/>
    <w:rsid w:val="00AA49A0"/>
    <w:rsid w:val="00AA4D98"/>
    <w:rsid w:val="00AA5A7D"/>
    <w:rsid w:val="00AA5F89"/>
    <w:rsid w:val="00AA6710"/>
    <w:rsid w:val="00AA6D5E"/>
    <w:rsid w:val="00AA7978"/>
    <w:rsid w:val="00AB0681"/>
    <w:rsid w:val="00AB3A9C"/>
    <w:rsid w:val="00AB3FB4"/>
    <w:rsid w:val="00AB4325"/>
    <w:rsid w:val="00AB4FCF"/>
    <w:rsid w:val="00AC06C7"/>
    <w:rsid w:val="00AC1F13"/>
    <w:rsid w:val="00AC2331"/>
    <w:rsid w:val="00AD0642"/>
    <w:rsid w:val="00AD213A"/>
    <w:rsid w:val="00AD4E7F"/>
    <w:rsid w:val="00AD53BA"/>
    <w:rsid w:val="00AD5BC3"/>
    <w:rsid w:val="00AD6D53"/>
    <w:rsid w:val="00AD7362"/>
    <w:rsid w:val="00AD73F5"/>
    <w:rsid w:val="00AD7E08"/>
    <w:rsid w:val="00AE0A8E"/>
    <w:rsid w:val="00AE0D51"/>
    <w:rsid w:val="00AE1B29"/>
    <w:rsid w:val="00AE3217"/>
    <w:rsid w:val="00AE3F7D"/>
    <w:rsid w:val="00AE4DD8"/>
    <w:rsid w:val="00AE6B55"/>
    <w:rsid w:val="00AE7DC0"/>
    <w:rsid w:val="00AE7F1B"/>
    <w:rsid w:val="00AF0699"/>
    <w:rsid w:val="00AF7121"/>
    <w:rsid w:val="00AF76EB"/>
    <w:rsid w:val="00B00C97"/>
    <w:rsid w:val="00B016CA"/>
    <w:rsid w:val="00B02039"/>
    <w:rsid w:val="00B032AF"/>
    <w:rsid w:val="00B0515A"/>
    <w:rsid w:val="00B058E3"/>
    <w:rsid w:val="00B06F9C"/>
    <w:rsid w:val="00B10497"/>
    <w:rsid w:val="00B1098B"/>
    <w:rsid w:val="00B11637"/>
    <w:rsid w:val="00B118BE"/>
    <w:rsid w:val="00B11DA2"/>
    <w:rsid w:val="00B14C7A"/>
    <w:rsid w:val="00B20418"/>
    <w:rsid w:val="00B205F3"/>
    <w:rsid w:val="00B245E0"/>
    <w:rsid w:val="00B24A09"/>
    <w:rsid w:val="00B24A56"/>
    <w:rsid w:val="00B26079"/>
    <w:rsid w:val="00B26386"/>
    <w:rsid w:val="00B26C5E"/>
    <w:rsid w:val="00B270CB"/>
    <w:rsid w:val="00B27C58"/>
    <w:rsid w:val="00B3095D"/>
    <w:rsid w:val="00B32FDD"/>
    <w:rsid w:val="00B33E1E"/>
    <w:rsid w:val="00B354C7"/>
    <w:rsid w:val="00B364FB"/>
    <w:rsid w:val="00B3672C"/>
    <w:rsid w:val="00B40D44"/>
    <w:rsid w:val="00B40D61"/>
    <w:rsid w:val="00B41F18"/>
    <w:rsid w:val="00B43934"/>
    <w:rsid w:val="00B43BE3"/>
    <w:rsid w:val="00B440AD"/>
    <w:rsid w:val="00B44BCD"/>
    <w:rsid w:val="00B44D30"/>
    <w:rsid w:val="00B53E7E"/>
    <w:rsid w:val="00B545EF"/>
    <w:rsid w:val="00B55C44"/>
    <w:rsid w:val="00B55FA5"/>
    <w:rsid w:val="00B57F4B"/>
    <w:rsid w:val="00B6108D"/>
    <w:rsid w:val="00B6342E"/>
    <w:rsid w:val="00B63E6A"/>
    <w:rsid w:val="00B650C5"/>
    <w:rsid w:val="00B656FB"/>
    <w:rsid w:val="00B65E5F"/>
    <w:rsid w:val="00B70A6F"/>
    <w:rsid w:val="00B7113F"/>
    <w:rsid w:val="00B71748"/>
    <w:rsid w:val="00B721FE"/>
    <w:rsid w:val="00B7254E"/>
    <w:rsid w:val="00B727A2"/>
    <w:rsid w:val="00B72D0B"/>
    <w:rsid w:val="00B737B9"/>
    <w:rsid w:val="00B74AE9"/>
    <w:rsid w:val="00B768C6"/>
    <w:rsid w:val="00B771D1"/>
    <w:rsid w:val="00B77922"/>
    <w:rsid w:val="00B8031D"/>
    <w:rsid w:val="00B8087B"/>
    <w:rsid w:val="00B81DA7"/>
    <w:rsid w:val="00B82352"/>
    <w:rsid w:val="00B82395"/>
    <w:rsid w:val="00B83C4A"/>
    <w:rsid w:val="00B8554C"/>
    <w:rsid w:val="00B92F43"/>
    <w:rsid w:val="00B932C0"/>
    <w:rsid w:val="00B968C6"/>
    <w:rsid w:val="00B96FD7"/>
    <w:rsid w:val="00BA26A9"/>
    <w:rsid w:val="00BA417E"/>
    <w:rsid w:val="00BA5377"/>
    <w:rsid w:val="00BA53B7"/>
    <w:rsid w:val="00BA73B6"/>
    <w:rsid w:val="00BB0499"/>
    <w:rsid w:val="00BB08B4"/>
    <w:rsid w:val="00BB2F49"/>
    <w:rsid w:val="00BB31C4"/>
    <w:rsid w:val="00BB42F5"/>
    <w:rsid w:val="00BB4FCD"/>
    <w:rsid w:val="00BC06EF"/>
    <w:rsid w:val="00BC188E"/>
    <w:rsid w:val="00BC3098"/>
    <w:rsid w:val="00BC56B9"/>
    <w:rsid w:val="00BC6C31"/>
    <w:rsid w:val="00BD00B7"/>
    <w:rsid w:val="00BD1002"/>
    <w:rsid w:val="00BD13EA"/>
    <w:rsid w:val="00BD16DC"/>
    <w:rsid w:val="00BD23C5"/>
    <w:rsid w:val="00BD2F71"/>
    <w:rsid w:val="00BD4325"/>
    <w:rsid w:val="00BD54DE"/>
    <w:rsid w:val="00BD73CE"/>
    <w:rsid w:val="00BE00D9"/>
    <w:rsid w:val="00BE17DA"/>
    <w:rsid w:val="00BE1D16"/>
    <w:rsid w:val="00BE29F9"/>
    <w:rsid w:val="00BE3808"/>
    <w:rsid w:val="00BE53C9"/>
    <w:rsid w:val="00BE603D"/>
    <w:rsid w:val="00BE7D12"/>
    <w:rsid w:val="00BF1DD5"/>
    <w:rsid w:val="00BF6DCF"/>
    <w:rsid w:val="00C0039C"/>
    <w:rsid w:val="00C019BA"/>
    <w:rsid w:val="00C02397"/>
    <w:rsid w:val="00C03082"/>
    <w:rsid w:val="00C062E9"/>
    <w:rsid w:val="00C06387"/>
    <w:rsid w:val="00C074A7"/>
    <w:rsid w:val="00C074C4"/>
    <w:rsid w:val="00C07B64"/>
    <w:rsid w:val="00C10B0F"/>
    <w:rsid w:val="00C1363B"/>
    <w:rsid w:val="00C13678"/>
    <w:rsid w:val="00C13721"/>
    <w:rsid w:val="00C13E0F"/>
    <w:rsid w:val="00C147B8"/>
    <w:rsid w:val="00C165D6"/>
    <w:rsid w:val="00C16F73"/>
    <w:rsid w:val="00C20C64"/>
    <w:rsid w:val="00C20DFC"/>
    <w:rsid w:val="00C21031"/>
    <w:rsid w:val="00C229D3"/>
    <w:rsid w:val="00C245C9"/>
    <w:rsid w:val="00C26325"/>
    <w:rsid w:val="00C305CA"/>
    <w:rsid w:val="00C3066D"/>
    <w:rsid w:val="00C334CC"/>
    <w:rsid w:val="00C3411B"/>
    <w:rsid w:val="00C35E91"/>
    <w:rsid w:val="00C36687"/>
    <w:rsid w:val="00C36763"/>
    <w:rsid w:val="00C425A5"/>
    <w:rsid w:val="00C42A54"/>
    <w:rsid w:val="00C43095"/>
    <w:rsid w:val="00C45762"/>
    <w:rsid w:val="00C46734"/>
    <w:rsid w:val="00C470FD"/>
    <w:rsid w:val="00C500A0"/>
    <w:rsid w:val="00C5094D"/>
    <w:rsid w:val="00C50FA4"/>
    <w:rsid w:val="00C543F4"/>
    <w:rsid w:val="00C54859"/>
    <w:rsid w:val="00C54F8E"/>
    <w:rsid w:val="00C6291C"/>
    <w:rsid w:val="00C63362"/>
    <w:rsid w:val="00C633CB"/>
    <w:rsid w:val="00C6391B"/>
    <w:rsid w:val="00C63E37"/>
    <w:rsid w:val="00C64844"/>
    <w:rsid w:val="00C67A75"/>
    <w:rsid w:val="00C71362"/>
    <w:rsid w:val="00C71788"/>
    <w:rsid w:val="00C71E64"/>
    <w:rsid w:val="00C72949"/>
    <w:rsid w:val="00C74289"/>
    <w:rsid w:val="00C75144"/>
    <w:rsid w:val="00C7534E"/>
    <w:rsid w:val="00C80F55"/>
    <w:rsid w:val="00C83C86"/>
    <w:rsid w:val="00C85C51"/>
    <w:rsid w:val="00C8762C"/>
    <w:rsid w:val="00C87BBF"/>
    <w:rsid w:val="00C91D11"/>
    <w:rsid w:val="00C92832"/>
    <w:rsid w:val="00C92F16"/>
    <w:rsid w:val="00C95229"/>
    <w:rsid w:val="00C96371"/>
    <w:rsid w:val="00C96D49"/>
    <w:rsid w:val="00C96E64"/>
    <w:rsid w:val="00CA00F9"/>
    <w:rsid w:val="00CA0D31"/>
    <w:rsid w:val="00CA12B4"/>
    <w:rsid w:val="00CA1998"/>
    <w:rsid w:val="00CA2961"/>
    <w:rsid w:val="00CA37A9"/>
    <w:rsid w:val="00CA4ACB"/>
    <w:rsid w:val="00CA4AF4"/>
    <w:rsid w:val="00CA6BDF"/>
    <w:rsid w:val="00CB4B9A"/>
    <w:rsid w:val="00CB50D7"/>
    <w:rsid w:val="00CB6E88"/>
    <w:rsid w:val="00CB7177"/>
    <w:rsid w:val="00CB768E"/>
    <w:rsid w:val="00CC074D"/>
    <w:rsid w:val="00CC1400"/>
    <w:rsid w:val="00CC1998"/>
    <w:rsid w:val="00CC19CA"/>
    <w:rsid w:val="00CC2A36"/>
    <w:rsid w:val="00CC4256"/>
    <w:rsid w:val="00CC47D7"/>
    <w:rsid w:val="00CC4946"/>
    <w:rsid w:val="00CD034B"/>
    <w:rsid w:val="00CD1379"/>
    <w:rsid w:val="00CD1A75"/>
    <w:rsid w:val="00CD2FB8"/>
    <w:rsid w:val="00CD7CA5"/>
    <w:rsid w:val="00CE2DFF"/>
    <w:rsid w:val="00CE4490"/>
    <w:rsid w:val="00CE59EB"/>
    <w:rsid w:val="00CE5AF7"/>
    <w:rsid w:val="00CE7AED"/>
    <w:rsid w:val="00CE7D9A"/>
    <w:rsid w:val="00CF0FBF"/>
    <w:rsid w:val="00CF1147"/>
    <w:rsid w:val="00CF42E7"/>
    <w:rsid w:val="00CF6BB7"/>
    <w:rsid w:val="00D05124"/>
    <w:rsid w:val="00D06E72"/>
    <w:rsid w:val="00D1070C"/>
    <w:rsid w:val="00D12BA8"/>
    <w:rsid w:val="00D15819"/>
    <w:rsid w:val="00D15AE1"/>
    <w:rsid w:val="00D20FD2"/>
    <w:rsid w:val="00D220F3"/>
    <w:rsid w:val="00D237AF"/>
    <w:rsid w:val="00D24066"/>
    <w:rsid w:val="00D268D6"/>
    <w:rsid w:val="00D270A4"/>
    <w:rsid w:val="00D30297"/>
    <w:rsid w:val="00D3397A"/>
    <w:rsid w:val="00D34E1B"/>
    <w:rsid w:val="00D35651"/>
    <w:rsid w:val="00D35A85"/>
    <w:rsid w:val="00D363BE"/>
    <w:rsid w:val="00D376BA"/>
    <w:rsid w:val="00D378BC"/>
    <w:rsid w:val="00D424DF"/>
    <w:rsid w:val="00D42FCA"/>
    <w:rsid w:val="00D436E4"/>
    <w:rsid w:val="00D43B9E"/>
    <w:rsid w:val="00D4493F"/>
    <w:rsid w:val="00D45F95"/>
    <w:rsid w:val="00D50A0A"/>
    <w:rsid w:val="00D51ED8"/>
    <w:rsid w:val="00D52E18"/>
    <w:rsid w:val="00D535D4"/>
    <w:rsid w:val="00D54932"/>
    <w:rsid w:val="00D5568A"/>
    <w:rsid w:val="00D606D4"/>
    <w:rsid w:val="00D6116E"/>
    <w:rsid w:val="00D62A34"/>
    <w:rsid w:val="00D630B5"/>
    <w:rsid w:val="00D63D73"/>
    <w:rsid w:val="00D63F45"/>
    <w:rsid w:val="00D661EF"/>
    <w:rsid w:val="00D666A9"/>
    <w:rsid w:val="00D66E1E"/>
    <w:rsid w:val="00D70236"/>
    <w:rsid w:val="00D70587"/>
    <w:rsid w:val="00D70FBE"/>
    <w:rsid w:val="00D71745"/>
    <w:rsid w:val="00D7384A"/>
    <w:rsid w:val="00D73B1E"/>
    <w:rsid w:val="00D75722"/>
    <w:rsid w:val="00D80A63"/>
    <w:rsid w:val="00D811A8"/>
    <w:rsid w:val="00D8210B"/>
    <w:rsid w:val="00D8251D"/>
    <w:rsid w:val="00D83217"/>
    <w:rsid w:val="00D85009"/>
    <w:rsid w:val="00D852AD"/>
    <w:rsid w:val="00D853C4"/>
    <w:rsid w:val="00D857FF"/>
    <w:rsid w:val="00D85EBC"/>
    <w:rsid w:val="00D85ECD"/>
    <w:rsid w:val="00D86322"/>
    <w:rsid w:val="00D866C0"/>
    <w:rsid w:val="00D86BB4"/>
    <w:rsid w:val="00D87B94"/>
    <w:rsid w:val="00D91D94"/>
    <w:rsid w:val="00D932C1"/>
    <w:rsid w:val="00D93853"/>
    <w:rsid w:val="00D94B66"/>
    <w:rsid w:val="00D9733D"/>
    <w:rsid w:val="00DA28F8"/>
    <w:rsid w:val="00DA312E"/>
    <w:rsid w:val="00DA3625"/>
    <w:rsid w:val="00DA3B35"/>
    <w:rsid w:val="00DA46DD"/>
    <w:rsid w:val="00DA56DE"/>
    <w:rsid w:val="00DA5BBA"/>
    <w:rsid w:val="00DB1D9D"/>
    <w:rsid w:val="00DB24F0"/>
    <w:rsid w:val="00DB2AEE"/>
    <w:rsid w:val="00DB67C9"/>
    <w:rsid w:val="00DB7605"/>
    <w:rsid w:val="00DB7AA8"/>
    <w:rsid w:val="00DB7CBF"/>
    <w:rsid w:val="00DC0C95"/>
    <w:rsid w:val="00DC2AD0"/>
    <w:rsid w:val="00DC318E"/>
    <w:rsid w:val="00DD1362"/>
    <w:rsid w:val="00DD3335"/>
    <w:rsid w:val="00DD5CF4"/>
    <w:rsid w:val="00DD6580"/>
    <w:rsid w:val="00DD73A4"/>
    <w:rsid w:val="00DE03F3"/>
    <w:rsid w:val="00DE255C"/>
    <w:rsid w:val="00DE3967"/>
    <w:rsid w:val="00DE4BC1"/>
    <w:rsid w:val="00DE50AD"/>
    <w:rsid w:val="00DE5E92"/>
    <w:rsid w:val="00DE62DA"/>
    <w:rsid w:val="00DF1BC6"/>
    <w:rsid w:val="00DF27B7"/>
    <w:rsid w:val="00DF4826"/>
    <w:rsid w:val="00DF5C72"/>
    <w:rsid w:val="00DF6A49"/>
    <w:rsid w:val="00DF7E8C"/>
    <w:rsid w:val="00E00ACC"/>
    <w:rsid w:val="00E02A9A"/>
    <w:rsid w:val="00E02AF5"/>
    <w:rsid w:val="00E03076"/>
    <w:rsid w:val="00E03DB5"/>
    <w:rsid w:val="00E070FB"/>
    <w:rsid w:val="00E105CD"/>
    <w:rsid w:val="00E112CC"/>
    <w:rsid w:val="00E13ACC"/>
    <w:rsid w:val="00E140B8"/>
    <w:rsid w:val="00E15D4E"/>
    <w:rsid w:val="00E1675D"/>
    <w:rsid w:val="00E16997"/>
    <w:rsid w:val="00E17C72"/>
    <w:rsid w:val="00E21FC6"/>
    <w:rsid w:val="00E278EF"/>
    <w:rsid w:val="00E30E92"/>
    <w:rsid w:val="00E31E8C"/>
    <w:rsid w:val="00E32ABF"/>
    <w:rsid w:val="00E32F2F"/>
    <w:rsid w:val="00E33738"/>
    <w:rsid w:val="00E33F3D"/>
    <w:rsid w:val="00E33FFD"/>
    <w:rsid w:val="00E35EAA"/>
    <w:rsid w:val="00E35FDB"/>
    <w:rsid w:val="00E36BAE"/>
    <w:rsid w:val="00E36C7B"/>
    <w:rsid w:val="00E37016"/>
    <w:rsid w:val="00E37F1B"/>
    <w:rsid w:val="00E40176"/>
    <w:rsid w:val="00E41CE3"/>
    <w:rsid w:val="00E42D17"/>
    <w:rsid w:val="00E44384"/>
    <w:rsid w:val="00E45584"/>
    <w:rsid w:val="00E45E0B"/>
    <w:rsid w:val="00E47A37"/>
    <w:rsid w:val="00E50265"/>
    <w:rsid w:val="00E556A4"/>
    <w:rsid w:val="00E55D3A"/>
    <w:rsid w:val="00E6094B"/>
    <w:rsid w:val="00E62C8B"/>
    <w:rsid w:val="00E634B4"/>
    <w:rsid w:val="00E65A00"/>
    <w:rsid w:val="00E65FF3"/>
    <w:rsid w:val="00E669E2"/>
    <w:rsid w:val="00E67B99"/>
    <w:rsid w:val="00E70194"/>
    <w:rsid w:val="00E70A76"/>
    <w:rsid w:val="00E72049"/>
    <w:rsid w:val="00E73115"/>
    <w:rsid w:val="00E735D9"/>
    <w:rsid w:val="00E73663"/>
    <w:rsid w:val="00E739D3"/>
    <w:rsid w:val="00E740C5"/>
    <w:rsid w:val="00E75FE0"/>
    <w:rsid w:val="00E76135"/>
    <w:rsid w:val="00E76D34"/>
    <w:rsid w:val="00E770F2"/>
    <w:rsid w:val="00E804ED"/>
    <w:rsid w:val="00E8141F"/>
    <w:rsid w:val="00E830DE"/>
    <w:rsid w:val="00E83C0E"/>
    <w:rsid w:val="00E84962"/>
    <w:rsid w:val="00E84E33"/>
    <w:rsid w:val="00E85617"/>
    <w:rsid w:val="00E868FE"/>
    <w:rsid w:val="00E9009E"/>
    <w:rsid w:val="00E94B0C"/>
    <w:rsid w:val="00E95979"/>
    <w:rsid w:val="00E97457"/>
    <w:rsid w:val="00E97FA7"/>
    <w:rsid w:val="00EA0AC2"/>
    <w:rsid w:val="00EA0B0C"/>
    <w:rsid w:val="00EA19CD"/>
    <w:rsid w:val="00EA1DF5"/>
    <w:rsid w:val="00EA3C70"/>
    <w:rsid w:val="00EB5421"/>
    <w:rsid w:val="00EB6AD8"/>
    <w:rsid w:val="00EC1029"/>
    <w:rsid w:val="00EC10D4"/>
    <w:rsid w:val="00EC1F6C"/>
    <w:rsid w:val="00EC20BD"/>
    <w:rsid w:val="00EC2844"/>
    <w:rsid w:val="00EC3BC2"/>
    <w:rsid w:val="00EC49D9"/>
    <w:rsid w:val="00EC7441"/>
    <w:rsid w:val="00ED20E1"/>
    <w:rsid w:val="00ED74DD"/>
    <w:rsid w:val="00EE142A"/>
    <w:rsid w:val="00EE40A6"/>
    <w:rsid w:val="00EE5896"/>
    <w:rsid w:val="00EE58B2"/>
    <w:rsid w:val="00EE5D46"/>
    <w:rsid w:val="00EE5FF2"/>
    <w:rsid w:val="00EF24DA"/>
    <w:rsid w:val="00EF6C6C"/>
    <w:rsid w:val="00EF79E0"/>
    <w:rsid w:val="00F0075A"/>
    <w:rsid w:val="00F03C63"/>
    <w:rsid w:val="00F056FC"/>
    <w:rsid w:val="00F078A7"/>
    <w:rsid w:val="00F10476"/>
    <w:rsid w:val="00F135D8"/>
    <w:rsid w:val="00F144CC"/>
    <w:rsid w:val="00F1564A"/>
    <w:rsid w:val="00F15EAC"/>
    <w:rsid w:val="00F16866"/>
    <w:rsid w:val="00F175D3"/>
    <w:rsid w:val="00F27921"/>
    <w:rsid w:val="00F31299"/>
    <w:rsid w:val="00F31D28"/>
    <w:rsid w:val="00F338AC"/>
    <w:rsid w:val="00F34CDF"/>
    <w:rsid w:val="00F3534A"/>
    <w:rsid w:val="00F36305"/>
    <w:rsid w:val="00F364CA"/>
    <w:rsid w:val="00F36ACF"/>
    <w:rsid w:val="00F377DC"/>
    <w:rsid w:val="00F419A8"/>
    <w:rsid w:val="00F41F3A"/>
    <w:rsid w:val="00F42610"/>
    <w:rsid w:val="00F43EED"/>
    <w:rsid w:val="00F467CC"/>
    <w:rsid w:val="00F47A29"/>
    <w:rsid w:val="00F532F1"/>
    <w:rsid w:val="00F534A8"/>
    <w:rsid w:val="00F534DF"/>
    <w:rsid w:val="00F57F5B"/>
    <w:rsid w:val="00F618D1"/>
    <w:rsid w:val="00F61E9D"/>
    <w:rsid w:val="00F62020"/>
    <w:rsid w:val="00F62C6F"/>
    <w:rsid w:val="00F642BD"/>
    <w:rsid w:val="00F649D8"/>
    <w:rsid w:val="00F65CD3"/>
    <w:rsid w:val="00F669D0"/>
    <w:rsid w:val="00F67C70"/>
    <w:rsid w:val="00F70196"/>
    <w:rsid w:val="00F70612"/>
    <w:rsid w:val="00F7092B"/>
    <w:rsid w:val="00F73010"/>
    <w:rsid w:val="00F763FC"/>
    <w:rsid w:val="00F80A54"/>
    <w:rsid w:val="00F82A17"/>
    <w:rsid w:val="00F82E14"/>
    <w:rsid w:val="00F85325"/>
    <w:rsid w:val="00F85CB5"/>
    <w:rsid w:val="00F93B38"/>
    <w:rsid w:val="00F96295"/>
    <w:rsid w:val="00F96B0E"/>
    <w:rsid w:val="00FA02AC"/>
    <w:rsid w:val="00FA195D"/>
    <w:rsid w:val="00FA1E8B"/>
    <w:rsid w:val="00FA2ACC"/>
    <w:rsid w:val="00FA30BE"/>
    <w:rsid w:val="00FA51CD"/>
    <w:rsid w:val="00FB0295"/>
    <w:rsid w:val="00FB0E4A"/>
    <w:rsid w:val="00FB2A9E"/>
    <w:rsid w:val="00FB5869"/>
    <w:rsid w:val="00FB5B79"/>
    <w:rsid w:val="00FB61A8"/>
    <w:rsid w:val="00FB72B3"/>
    <w:rsid w:val="00FC2EF1"/>
    <w:rsid w:val="00FC3F79"/>
    <w:rsid w:val="00FC4F9F"/>
    <w:rsid w:val="00FC52FD"/>
    <w:rsid w:val="00FC64D3"/>
    <w:rsid w:val="00FC78FC"/>
    <w:rsid w:val="00FD0BC7"/>
    <w:rsid w:val="00FD22B1"/>
    <w:rsid w:val="00FE06ED"/>
    <w:rsid w:val="00FE0AF0"/>
    <w:rsid w:val="00FE1820"/>
    <w:rsid w:val="00FE214B"/>
    <w:rsid w:val="00FE2805"/>
    <w:rsid w:val="00FE4777"/>
    <w:rsid w:val="00FE61FD"/>
    <w:rsid w:val="00FE6455"/>
    <w:rsid w:val="00FE7C90"/>
    <w:rsid w:val="00FF047B"/>
    <w:rsid w:val="00FF177D"/>
    <w:rsid w:val="00FF2C5C"/>
    <w:rsid w:val="00FF62BB"/>
    <w:rsid w:val="00FF761F"/>
    <w:rsid w:val="00FF7C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reference" w:uiPriority="99"/>
    <w:lsdException w:name="Body Text" w:qFormat="1"/>
    <w:lsdException w:name="Subtitle" w:qFormat="1"/>
    <w:lsdException w:name="Hyperlink" w:uiPriority="99"/>
    <w:lsdException w:name="Normal (Web)"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F177D"/>
    <w:pPr>
      <w:overflowPunct w:val="0"/>
      <w:autoSpaceDE w:val="0"/>
      <w:autoSpaceDN w:val="0"/>
      <w:adjustRightInd w:val="0"/>
    </w:pPr>
    <w:rPr>
      <w:sz w:val="26"/>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table" w:styleId="TableGrid">
    <w:name w:val="Table Grid"/>
    <w:basedOn w:val="TableNormal"/>
    <w:uiPriority w:val="59"/>
    <w:rsid w:val="00F730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1BC6"/>
    <w:pPr>
      <w:overflowPunct/>
      <w:autoSpaceDE/>
      <w:autoSpaceDN/>
      <w:adjustRightInd/>
      <w:ind w:left="720"/>
    </w:pPr>
    <w:rPr>
      <w:rFonts w:ascii="Calibri" w:hAnsi="Calibri"/>
      <w:sz w:val="22"/>
      <w:szCs w:val="22"/>
      <w:lang w:eastAsia="en-US"/>
    </w:rPr>
  </w:style>
  <w:style w:type="character" w:styleId="PlaceholderText">
    <w:name w:val="Placeholder Text"/>
    <w:basedOn w:val="DefaultParagraphFont"/>
    <w:uiPriority w:val="99"/>
    <w:semiHidden/>
    <w:rsid w:val="000871B2"/>
    <w:rPr>
      <w:color w:val="808080"/>
    </w:rPr>
  </w:style>
  <w:style w:type="paragraph" w:styleId="CommentSubject">
    <w:name w:val="annotation subject"/>
    <w:basedOn w:val="CommentText"/>
    <w:next w:val="CommentText"/>
    <w:link w:val="CommentSubjectChar"/>
    <w:rsid w:val="00995950"/>
    <w:pPr>
      <w:spacing w:before="0" w:line="240" w:lineRule="auto"/>
      <w:ind w:left="0" w:firstLine="0"/>
    </w:pPr>
    <w:rPr>
      <w:b/>
      <w:bCs/>
    </w:rPr>
  </w:style>
  <w:style w:type="character" w:customStyle="1" w:styleId="CommentTextChar">
    <w:name w:val="Comment Text Char"/>
    <w:basedOn w:val="DefaultParagraphFont"/>
    <w:link w:val="CommentText"/>
    <w:semiHidden/>
    <w:rsid w:val="00995950"/>
  </w:style>
  <w:style w:type="character" w:customStyle="1" w:styleId="CommentSubjectChar">
    <w:name w:val="Comment Subject Char"/>
    <w:basedOn w:val="CommentTextChar"/>
    <w:link w:val="CommentSubject"/>
    <w:rsid w:val="00995950"/>
    <w:rPr>
      <w:b/>
      <w:bCs/>
    </w:rPr>
  </w:style>
  <w:style w:type="character" w:styleId="Hyperlink">
    <w:name w:val="Hyperlink"/>
    <w:basedOn w:val="DefaultParagraphFont"/>
    <w:uiPriority w:val="99"/>
    <w:unhideWhenUsed/>
    <w:rsid w:val="007E3A75"/>
    <w:rPr>
      <w:color w:val="0000FF"/>
      <w:u w:val="single"/>
    </w:rPr>
  </w:style>
  <w:style w:type="paragraph" w:styleId="NormalWeb">
    <w:name w:val="Normal (Web)"/>
    <w:basedOn w:val="Normal"/>
    <w:uiPriority w:val="99"/>
    <w:unhideWhenUsed/>
    <w:rsid w:val="007E3A75"/>
    <w:pPr>
      <w:overflowPunct/>
      <w:autoSpaceDE/>
      <w:autoSpaceDN/>
      <w:adjustRightInd/>
      <w:spacing w:before="100" w:beforeAutospacing="1" w:after="100" w:afterAutospacing="1"/>
    </w:pPr>
    <w:rPr>
      <w:rFonts w:eastAsiaTheme="minorHAnsi"/>
      <w:sz w:val="24"/>
      <w:szCs w:val="24"/>
    </w:rPr>
  </w:style>
  <w:style w:type="character" w:customStyle="1" w:styleId="BoxChar">
    <w:name w:val="Box Char"/>
    <w:link w:val="Box"/>
    <w:locked/>
    <w:rsid w:val="00642402"/>
    <w:rPr>
      <w:rFonts w:ascii="Arial" w:hAnsi="Arial"/>
      <w:sz w:val="22"/>
    </w:rPr>
  </w:style>
  <w:style w:type="character" w:customStyle="1" w:styleId="ReferenceChar">
    <w:name w:val="Reference Char"/>
    <w:link w:val="Reference"/>
    <w:rsid w:val="00020817"/>
    <w:rPr>
      <w:sz w:val="26"/>
    </w:rPr>
  </w:style>
  <w:style w:type="paragraph" w:customStyle="1" w:styleId="BoxSpaceAbove">
    <w:name w:val="Box Space Above"/>
    <w:basedOn w:val="BodyText"/>
    <w:rsid w:val="002A6F1E"/>
    <w:pPr>
      <w:keepNext/>
      <w:spacing w:before="360" w:line="80" w:lineRule="exact"/>
      <w:jc w:val="left"/>
    </w:pPr>
  </w:style>
  <w:style w:type="paragraph" w:customStyle="1" w:styleId="BoxSpaceBelow">
    <w:name w:val="Box Space Below"/>
    <w:basedOn w:val="Box"/>
    <w:rsid w:val="002A6F1E"/>
    <w:pPr>
      <w:keepNext w:val="0"/>
      <w:spacing w:before="60" w:after="60" w:line="80" w:lineRule="exact"/>
    </w:pPr>
    <w:rPr>
      <w:sz w:val="14"/>
    </w:rPr>
  </w:style>
  <w:style w:type="paragraph" w:styleId="Revision">
    <w:name w:val="Revision"/>
    <w:hidden/>
    <w:uiPriority w:val="99"/>
    <w:semiHidden/>
    <w:rsid w:val="00E73115"/>
    <w:rPr>
      <w:sz w:val="26"/>
    </w:rPr>
  </w:style>
  <w:style w:type="character" w:styleId="FollowedHyperlink">
    <w:name w:val="FollowedHyperlink"/>
    <w:basedOn w:val="DefaultParagraphFont"/>
    <w:rsid w:val="007E3461"/>
    <w:rPr>
      <w:color w:val="800080" w:themeColor="followedHyperlink"/>
      <w:u w:val="single"/>
    </w:rPr>
  </w:style>
  <w:style w:type="paragraph" w:customStyle="1" w:styleId="Footnotere">
    <w:name w:val="Footnote re"/>
    <w:basedOn w:val="BodyText"/>
    <w:rsid w:val="00A12447"/>
  </w:style>
  <w:style w:type="character" w:customStyle="1" w:styleId="BodyTextChar">
    <w:name w:val="Body Text Char"/>
    <w:basedOn w:val="DefaultParagraphFont"/>
    <w:link w:val="BodyText"/>
    <w:rsid w:val="00A12447"/>
    <w:rPr>
      <w:sz w:val="26"/>
    </w:rPr>
  </w:style>
  <w:style w:type="character" w:customStyle="1" w:styleId="CommentTextChar1">
    <w:name w:val="Comment Text Char1"/>
    <w:basedOn w:val="DefaultParagraphFont"/>
    <w:semiHidden/>
    <w:rsid w:val="00D363BE"/>
    <w:rPr>
      <w:szCs w:val="24"/>
    </w:rPr>
  </w:style>
  <w:style w:type="character" w:customStyle="1" w:styleId="FooterChar">
    <w:name w:val="Footer Char"/>
    <w:basedOn w:val="DefaultParagraphFont"/>
    <w:link w:val="Footer"/>
    <w:rsid w:val="008507A1"/>
    <w:rPr>
      <w:caps/>
      <w:spacing w:val="-4"/>
      <w:sz w:val="16"/>
    </w:rPr>
  </w:style>
  <w:style w:type="character" w:customStyle="1" w:styleId="FootnoteTextChar">
    <w:name w:val="Footnote Text Char"/>
    <w:basedOn w:val="BodyTextChar"/>
    <w:link w:val="FootnoteText"/>
    <w:rsid w:val="00FB5869"/>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reference" w:uiPriority="99"/>
    <w:lsdException w:name="Body Text" w:qFormat="1"/>
    <w:lsdException w:name="Subtitle" w:qFormat="1"/>
    <w:lsdException w:name="Hyperlink" w:uiPriority="99"/>
    <w:lsdException w:name="Normal (Web)"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F177D"/>
    <w:pPr>
      <w:overflowPunct w:val="0"/>
      <w:autoSpaceDE w:val="0"/>
      <w:autoSpaceDN w:val="0"/>
      <w:adjustRightInd w:val="0"/>
    </w:pPr>
    <w:rPr>
      <w:sz w:val="26"/>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table" w:styleId="TableGrid">
    <w:name w:val="Table Grid"/>
    <w:basedOn w:val="TableNormal"/>
    <w:uiPriority w:val="59"/>
    <w:rsid w:val="00F730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1BC6"/>
    <w:pPr>
      <w:overflowPunct/>
      <w:autoSpaceDE/>
      <w:autoSpaceDN/>
      <w:adjustRightInd/>
      <w:ind w:left="720"/>
    </w:pPr>
    <w:rPr>
      <w:rFonts w:ascii="Calibri" w:hAnsi="Calibri"/>
      <w:sz w:val="22"/>
      <w:szCs w:val="22"/>
      <w:lang w:eastAsia="en-US"/>
    </w:rPr>
  </w:style>
  <w:style w:type="character" w:styleId="PlaceholderText">
    <w:name w:val="Placeholder Text"/>
    <w:basedOn w:val="DefaultParagraphFont"/>
    <w:uiPriority w:val="99"/>
    <w:semiHidden/>
    <w:rsid w:val="000871B2"/>
    <w:rPr>
      <w:color w:val="808080"/>
    </w:rPr>
  </w:style>
  <w:style w:type="paragraph" w:styleId="CommentSubject">
    <w:name w:val="annotation subject"/>
    <w:basedOn w:val="CommentText"/>
    <w:next w:val="CommentText"/>
    <w:link w:val="CommentSubjectChar"/>
    <w:rsid w:val="00995950"/>
    <w:pPr>
      <w:spacing w:before="0" w:line="240" w:lineRule="auto"/>
      <w:ind w:left="0" w:firstLine="0"/>
    </w:pPr>
    <w:rPr>
      <w:b/>
      <w:bCs/>
    </w:rPr>
  </w:style>
  <w:style w:type="character" w:customStyle="1" w:styleId="CommentTextChar">
    <w:name w:val="Comment Text Char"/>
    <w:basedOn w:val="DefaultParagraphFont"/>
    <w:link w:val="CommentText"/>
    <w:semiHidden/>
    <w:rsid w:val="00995950"/>
  </w:style>
  <w:style w:type="character" w:customStyle="1" w:styleId="CommentSubjectChar">
    <w:name w:val="Comment Subject Char"/>
    <w:basedOn w:val="CommentTextChar"/>
    <w:link w:val="CommentSubject"/>
    <w:rsid w:val="00995950"/>
    <w:rPr>
      <w:b/>
      <w:bCs/>
    </w:rPr>
  </w:style>
  <w:style w:type="character" w:styleId="Hyperlink">
    <w:name w:val="Hyperlink"/>
    <w:basedOn w:val="DefaultParagraphFont"/>
    <w:uiPriority w:val="99"/>
    <w:unhideWhenUsed/>
    <w:rsid w:val="007E3A75"/>
    <w:rPr>
      <w:color w:val="0000FF"/>
      <w:u w:val="single"/>
    </w:rPr>
  </w:style>
  <w:style w:type="paragraph" w:styleId="NormalWeb">
    <w:name w:val="Normal (Web)"/>
    <w:basedOn w:val="Normal"/>
    <w:uiPriority w:val="99"/>
    <w:unhideWhenUsed/>
    <w:rsid w:val="007E3A75"/>
    <w:pPr>
      <w:overflowPunct/>
      <w:autoSpaceDE/>
      <w:autoSpaceDN/>
      <w:adjustRightInd/>
      <w:spacing w:before="100" w:beforeAutospacing="1" w:after="100" w:afterAutospacing="1"/>
    </w:pPr>
    <w:rPr>
      <w:rFonts w:eastAsiaTheme="minorHAnsi"/>
      <w:sz w:val="24"/>
      <w:szCs w:val="24"/>
    </w:rPr>
  </w:style>
  <w:style w:type="character" w:customStyle="1" w:styleId="BoxChar">
    <w:name w:val="Box Char"/>
    <w:link w:val="Box"/>
    <w:locked/>
    <w:rsid w:val="00642402"/>
    <w:rPr>
      <w:rFonts w:ascii="Arial" w:hAnsi="Arial"/>
      <w:sz w:val="22"/>
    </w:rPr>
  </w:style>
  <w:style w:type="character" w:customStyle="1" w:styleId="ReferenceChar">
    <w:name w:val="Reference Char"/>
    <w:link w:val="Reference"/>
    <w:rsid w:val="00020817"/>
    <w:rPr>
      <w:sz w:val="26"/>
    </w:rPr>
  </w:style>
  <w:style w:type="paragraph" w:customStyle="1" w:styleId="BoxSpaceAbove">
    <w:name w:val="Box Space Above"/>
    <w:basedOn w:val="BodyText"/>
    <w:rsid w:val="002A6F1E"/>
    <w:pPr>
      <w:keepNext/>
      <w:spacing w:before="360" w:line="80" w:lineRule="exact"/>
      <w:jc w:val="left"/>
    </w:pPr>
  </w:style>
  <w:style w:type="paragraph" w:customStyle="1" w:styleId="BoxSpaceBelow">
    <w:name w:val="Box Space Below"/>
    <w:basedOn w:val="Box"/>
    <w:rsid w:val="002A6F1E"/>
    <w:pPr>
      <w:keepNext w:val="0"/>
      <w:spacing w:before="60" w:after="60" w:line="80" w:lineRule="exact"/>
    </w:pPr>
    <w:rPr>
      <w:sz w:val="14"/>
    </w:rPr>
  </w:style>
  <w:style w:type="paragraph" w:styleId="Revision">
    <w:name w:val="Revision"/>
    <w:hidden/>
    <w:uiPriority w:val="99"/>
    <w:semiHidden/>
    <w:rsid w:val="00E73115"/>
    <w:rPr>
      <w:sz w:val="26"/>
    </w:rPr>
  </w:style>
  <w:style w:type="character" w:styleId="FollowedHyperlink">
    <w:name w:val="FollowedHyperlink"/>
    <w:basedOn w:val="DefaultParagraphFont"/>
    <w:rsid w:val="007E3461"/>
    <w:rPr>
      <w:color w:val="800080" w:themeColor="followedHyperlink"/>
      <w:u w:val="single"/>
    </w:rPr>
  </w:style>
  <w:style w:type="paragraph" w:customStyle="1" w:styleId="Footnotere">
    <w:name w:val="Footnote re"/>
    <w:basedOn w:val="BodyText"/>
    <w:rsid w:val="00A12447"/>
  </w:style>
  <w:style w:type="character" w:customStyle="1" w:styleId="BodyTextChar">
    <w:name w:val="Body Text Char"/>
    <w:basedOn w:val="DefaultParagraphFont"/>
    <w:link w:val="BodyText"/>
    <w:rsid w:val="00A12447"/>
    <w:rPr>
      <w:sz w:val="26"/>
    </w:rPr>
  </w:style>
  <w:style w:type="character" w:customStyle="1" w:styleId="CommentTextChar1">
    <w:name w:val="Comment Text Char1"/>
    <w:basedOn w:val="DefaultParagraphFont"/>
    <w:semiHidden/>
    <w:rsid w:val="00D363BE"/>
    <w:rPr>
      <w:szCs w:val="24"/>
    </w:rPr>
  </w:style>
  <w:style w:type="character" w:customStyle="1" w:styleId="FooterChar">
    <w:name w:val="Footer Char"/>
    <w:basedOn w:val="DefaultParagraphFont"/>
    <w:link w:val="Footer"/>
    <w:rsid w:val="008507A1"/>
    <w:rPr>
      <w:caps/>
      <w:spacing w:val="-4"/>
      <w:sz w:val="16"/>
    </w:rPr>
  </w:style>
  <w:style w:type="character" w:customStyle="1" w:styleId="FootnoteTextChar">
    <w:name w:val="Footnote Text Char"/>
    <w:basedOn w:val="BodyTextChar"/>
    <w:link w:val="FootnoteText"/>
    <w:rsid w:val="00FB586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9984">
      <w:bodyDiv w:val="1"/>
      <w:marLeft w:val="0"/>
      <w:marRight w:val="0"/>
      <w:marTop w:val="0"/>
      <w:marBottom w:val="0"/>
      <w:divBdr>
        <w:top w:val="none" w:sz="0" w:space="0" w:color="auto"/>
        <w:left w:val="none" w:sz="0" w:space="0" w:color="auto"/>
        <w:bottom w:val="none" w:sz="0" w:space="0" w:color="auto"/>
        <w:right w:val="none" w:sz="0" w:space="0" w:color="auto"/>
      </w:divBdr>
    </w:div>
    <w:div w:id="390467207">
      <w:bodyDiv w:val="1"/>
      <w:marLeft w:val="0"/>
      <w:marRight w:val="0"/>
      <w:marTop w:val="0"/>
      <w:marBottom w:val="0"/>
      <w:divBdr>
        <w:top w:val="none" w:sz="0" w:space="0" w:color="auto"/>
        <w:left w:val="none" w:sz="0" w:space="0" w:color="auto"/>
        <w:bottom w:val="none" w:sz="0" w:space="0" w:color="auto"/>
        <w:right w:val="none" w:sz="0" w:space="0" w:color="auto"/>
      </w:divBdr>
    </w:div>
    <w:div w:id="429084144">
      <w:bodyDiv w:val="1"/>
      <w:marLeft w:val="0"/>
      <w:marRight w:val="0"/>
      <w:marTop w:val="0"/>
      <w:marBottom w:val="0"/>
      <w:divBdr>
        <w:top w:val="none" w:sz="0" w:space="0" w:color="auto"/>
        <w:left w:val="none" w:sz="0" w:space="0" w:color="auto"/>
        <w:bottom w:val="none" w:sz="0" w:space="0" w:color="auto"/>
        <w:right w:val="none" w:sz="0" w:space="0" w:color="auto"/>
      </w:divBdr>
    </w:div>
    <w:div w:id="438794890">
      <w:bodyDiv w:val="1"/>
      <w:marLeft w:val="0"/>
      <w:marRight w:val="0"/>
      <w:marTop w:val="0"/>
      <w:marBottom w:val="0"/>
      <w:divBdr>
        <w:top w:val="none" w:sz="0" w:space="0" w:color="auto"/>
        <w:left w:val="none" w:sz="0" w:space="0" w:color="auto"/>
        <w:bottom w:val="none" w:sz="0" w:space="0" w:color="auto"/>
        <w:right w:val="none" w:sz="0" w:space="0" w:color="auto"/>
      </w:divBdr>
    </w:div>
    <w:div w:id="564874629">
      <w:bodyDiv w:val="1"/>
      <w:marLeft w:val="0"/>
      <w:marRight w:val="0"/>
      <w:marTop w:val="0"/>
      <w:marBottom w:val="0"/>
      <w:divBdr>
        <w:top w:val="none" w:sz="0" w:space="0" w:color="auto"/>
        <w:left w:val="none" w:sz="0" w:space="0" w:color="auto"/>
        <w:bottom w:val="none" w:sz="0" w:space="0" w:color="auto"/>
        <w:right w:val="none" w:sz="0" w:space="0" w:color="auto"/>
      </w:divBdr>
    </w:div>
    <w:div w:id="729692533">
      <w:bodyDiv w:val="1"/>
      <w:marLeft w:val="0"/>
      <w:marRight w:val="0"/>
      <w:marTop w:val="0"/>
      <w:marBottom w:val="0"/>
      <w:divBdr>
        <w:top w:val="none" w:sz="0" w:space="0" w:color="auto"/>
        <w:left w:val="none" w:sz="0" w:space="0" w:color="auto"/>
        <w:bottom w:val="none" w:sz="0" w:space="0" w:color="auto"/>
        <w:right w:val="none" w:sz="0" w:space="0" w:color="auto"/>
      </w:divBdr>
    </w:div>
    <w:div w:id="879515267">
      <w:bodyDiv w:val="1"/>
      <w:marLeft w:val="0"/>
      <w:marRight w:val="0"/>
      <w:marTop w:val="0"/>
      <w:marBottom w:val="0"/>
      <w:divBdr>
        <w:top w:val="none" w:sz="0" w:space="0" w:color="auto"/>
        <w:left w:val="none" w:sz="0" w:space="0" w:color="auto"/>
        <w:bottom w:val="none" w:sz="0" w:space="0" w:color="auto"/>
        <w:right w:val="none" w:sz="0" w:space="0" w:color="auto"/>
      </w:divBdr>
    </w:div>
    <w:div w:id="898706998">
      <w:bodyDiv w:val="1"/>
      <w:marLeft w:val="0"/>
      <w:marRight w:val="0"/>
      <w:marTop w:val="0"/>
      <w:marBottom w:val="0"/>
      <w:divBdr>
        <w:top w:val="none" w:sz="0" w:space="0" w:color="auto"/>
        <w:left w:val="none" w:sz="0" w:space="0" w:color="auto"/>
        <w:bottom w:val="none" w:sz="0" w:space="0" w:color="auto"/>
        <w:right w:val="none" w:sz="0" w:space="0" w:color="auto"/>
      </w:divBdr>
    </w:div>
    <w:div w:id="938638533">
      <w:bodyDiv w:val="1"/>
      <w:marLeft w:val="0"/>
      <w:marRight w:val="0"/>
      <w:marTop w:val="0"/>
      <w:marBottom w:val="0"/>
      <w:divBdr>
        <w:top w:val="none" w:sz="0" w:space="0" w:color="auto"/>
        <w:left w:val="none" w:sz="0" w:space="0" w:color="auto"/>
        <w:bottom w:val="none" w:sz="0" w:space="0" w:color="auto"/>
        <w:right w:val="none" w:sz="0" w:space="0" w:color="auto"/>
      </w:divBdr>
    </w:div>
    <w:div w:id="1033463073">
      <w:bodyDiv w:val="1"/>
      <w:marLeft w:val="0"/>
      <w:marRight w:val="0"/>
      <w:marTop w:val="0"/>
      <w:marBottom w:val="0"/>
      <w:divBdr>
        <w:top w:val="none" w:sz="0" w:space="0" w:color="auto"/>
        <w:left w:val="none" w:sz="0" w:space="0" w:color="auto"/>
        <w:bottom w:val="none" w:sz="0" w:space="0" w:color="auto"/>
        <w:right w:val="none" w:sz="0" w:space="0" w:color="auto"/>
      </w:divBdr>
    </w:div>
    <w:div w:id="1110199772">
      <w:bodyDiv w:val="1"/>
      <w:marLeft w:val="0"/>
      <w:marRight w:val="0"/>
      <w:marTop w:val="0"/>
      <w:marBottom w:val="0"/>
      <w:divBdr>
        <w:top w:val="none" w:sz="0" w:space="0" w:color="auto"/>
        <w:left w:val="none" w:sz="0" w:space="0" w:color="auto"/>
        <w:bottom w:val="none" w:sz="0" w:space="0" w:color="auto"/>
        <w:right w:val="none" w:sz="0" w:space="0" w:color="auto"/>
      </w:divBdr>
    </w:div>
    <w:div w:id="1169253851">
      <w:bodyDiv w:val="1"/>
      <w:marLeft w:val="0"/>
      <w:marRight w:val="0"/>
      <w:marTop w:val="0"/>
      <w:marBottom w:val="0"/>
      <w:divBdr>
        <w:top w:val="none" w:sz="0" w:space="0" w:color="auto"/>
        <w:left w:val="none" w:sz="0" w:space="0" w:color="auto"/>
        <w:bottom w:val="none" w:sz="0" w:space="0" w:color="auto"/>
        <w:right w:val="none" w:sz="0" w:space="0" w:color="auto"/>
      </w:divBdr>
    </w:div>
    <w:div w:id="1171680377">
      <w:bodyDiv w:val="1"/>
      <w:marLeft w:val="0"/>
      <w:marRight w:val="0"/>
      <w:marTop w:val="0"/>
      <w:marBottom w:val="0"/>
      <w:divBdr>
        <w:top w:val="none" w:sz="0" w:space="0" w:color="auto"/>
        <w:left w:val="none" w:sz="0" w:space="0" w:color="auto"/>
        <w:bottom w:val="none" w:sz="0" w:space="0" w:color="auto"/>
        <w:right w:val="none" w:sz="0" w:space="0" w:color="auto"/>
      </w:divBdr>
    </w:div>
    <w:div w:id="1193759839">
      <w:bodyDiv w:val="1"/>
      <w:marLeft w:val="0"/>
      <w:marRight w:val="0"/>
      <w:marTop w:val="0"/>
      <w:marBottom w:val="0"/>
      <w:divBdr>
        <w:top w:val="none" w:sz="0" w:space="0" w:color="auto"/>
        <w:left w:val="none" w:sz="0" w:space="0" w:color="auto"/>
        <w:bottom w:val="none" w:sz="0" w:space="0" w:color="auto"/>
        <w:right w:val="none" w:sz="0" w:space="0" w:color="auto"/>
      </w:divBdr>
    </w:div>
    <w:div w:id="1374311413">
      <w:bodyDiv w:val="1"/>
      <w:marLeft w:val="0"/>
      <w:marRight w:val="0"/>
      <w:marTop w:val="0"/>
      <w:marBottom w:val="0"/>
      <w:divBdr>
        <w:top w:val="none" w:sz="0" w:space="0" w:color="auto"/>
        <w:left w:val="none" w:sz="0" w:space="0" w:color="auto"/>
        <w:bottom w:val="none" w:sz="0" w:space="0" w:color="auto"/>
        <w:right w:val="none" w:sz="0" w:space="0" w:color="auto"/>
      </w:divBdr>
    </w:div>
    <w:div w:id="1447853179">
      <w:bodyDiv w:val="1"/>
      <w:marLeft w:val="0"/>
      <w:marRight w:val="0"/>
      <w:marTop w:val="0"/>
      <w:marBottom w:val="0"/>
      <w:divBdr>
        <w:top w:val="none" w:sz="0" w:space="0" w:color="auto"/>
        <w:left w:val="none" w:sz="0" w:space="0" w:color="auto"/>
        <w:bottom w:val="none" w:sz="0" w:space="0" w:color="auto"/>
        <w:right w:val="none" w:sz="0" w:space="0" w:color="auto"/>
      </w:divBdr>
      <w:divsChild>
        <w:div w:id="630211818">
          <w:marLeft w:val="0"/>
          <w:marRight w:val="0"/>
          <w:marTop w:val="0"/>
          <w:marBottom w:val="0"/>
          <w:divBdr>
            <w:top w:val="none" w:sz="0" w:space="0" w:color="auto"/>
            <w:left w:val="none" w:sz="0" w:space="0" w:color="auto"/>
            <w:bottom w:val="none" w:sz="0" w:space="0" w:color="auto"/>
            <w:right w:val="none" w:sz="0" w:space="0" w:color="auto"/>
          </w:divBdr>
        </w:div>
      </w:divsChild>
    </w:div>
    <w:div w:id="1467312212">
      <w:bodyDiv w:val="1"/>
      <w:marLeft w:val="0"/>
      <w:marRight w:val="0"/>
      <w:marTop w:val="0"/>
      <w:marBottom w:val="0"/>
      <w:divBdr>
        <w:top w:val="none" w:sz="0" w:space="0" w:color="auto"/>
        <w:left w:val="none" w:sz="0" w:space="0" w:color="auto"/>
        <w:bottom w:val="none" w:sz="0" w:space="0" w:color="auto"/>
        <w:right w:val="none" w:sz="0" w:space="0" w:color="auto"/>
      </w:divBdr>
    </w:div>
    <w:div w:id="1510438467">
      <w:bodyDiv w:val="1"/>
      <w:marLeft w:val="0"/>
      <w:marRight w:val="0"/>
      <w:marTop w:val="0"/>
      <w:marBottom w:val="0"/>
      <w:divBdr>
        <w:top w:val="none" w:sz="0" w:space="0" w:color="auto"/>
        <w:left w:val="none" w:sz="0" w:space="0" w:color="auto"/>
        <w:bottom w:val="none" w:sz="0" w:space="0" w:color="auto"/>
        <w:right w:val="none" w:sz="0" w:space="0" w:color="auto"/>
      </w:divBdr>
    </w:div>
    <w:div w:id="1521504660">
      <w:bodyDiv w:val="1"/>
      <w:marLeft w:val="0"/>
      <w:marRight w:val="0"/>
      <w:marTop w:val="0"/>
      <w:marBottom w:val="0"/>
      <w:divBdr>
        <w:top w:val="none" w:sz="0" w:space="0" w:color="auto"/>
        <w:left w:val="none" w:sz="0" w:space="0" w:color="auto"/>
        <w:bottom w:val="none" w:sz="0" w:space="0" w:color="auto"/>
        <w:right w:val="none" w:sz="0" w:space="0" w:color="auto"/>
      </w:divBdr>
    </w:div>
    <w:div w:id="1633711995">
      <w:bodyDiv w:val="1"/>
      <w:marLeft w:val="0"/>
      <w:marRight w:val="0"/>
      <w:marTop w:val="0"/>
      <w:marBottom w:val="0"/>
      <w:divBdr>
        <w:top w:val="none" w:sz="0" w:space="0" w:color="auto"/>
        <w:left w:val="none" w:sz="0" w:space="0" w:color="auto"/>
        <w:bottom w:val="none" w:sz="0" w:space="0" w:color="auto"/>
        <w:right w:val="none" w:sz="0" w:space="0" w:color="auto"/>
      </w:divBdr>
    </w:div>
    <w:div w:id="1718699653">
      <w:bodyDiv w:val="1"/>
      <w:marLeft w:val="0"/>
      <w:marRight w:val="0"/>
      <w:marTop w:val="0"/>
      <w:marBottom w:val="0"/>
      <w:divBdr>
        <w:top w:val="none" w:sz="0" w:space="0" w:color="auto"/>
        <w:left w:val="none" w:sz="0" w:space="0" w:color="auto"/>
        <w:bottom w:val="none" w:sz="0" w:space="0" w:color="auto"/>
        <w:right w:val="none" w:sz="0" w:space="0" w:color="auto"/>
      </w:divBdr>
    </w:div>
    <w:div w:id="1720670922">
      <w:bodyDiv w:val="1"/>
      <w:marLeft w:val="0"/>
      <w:marRight w:val="0"/>
      <w:marTop w:val="0"/>
      <w:marBottom w:val="0"/>
      <w:divBdr>
        <w:top w:val="none" w:sz="0" w:space="0" w:color="auto"/>
        <w:left w:val="none" w:sz="0" w:space="0" w:color="auto"/>
        <w:bottom w:val="none" w:sz="0" w:space="0" w:color="auto"/>
        <w:right w:val="none" w:sz="0" w:space="0" w:color="auto"/>
      </w:divBdr>
      <w:divsChild>
        <w:div w:id="408624718">
          <w:marLeft w:val="0"/>
          <w:marRight w:val="0"/>
          <w:marTop w:val="0"/>
          <w:marBottom w:val="0"/>
          <w:divBdr>
            <w:top w:val="none" w:sz="0" w:space="0" w:color="auto"/>
            <w:left w:val="none" w:sz="0" w:space="0" w:color="auto"/>
            <w:bottom w:val="none" w:sz="0" w:space="0" w:color="auto"/>
            <w:right w:val="none" w:sz="0" w:space="0" w:color="auto"/>
          </w:divBdr>
        </w:div>
        <w:div w:id="1392584215">
          <w:marLeft w:val="0"/>
          <w:marRight w:val="0"/>
          <w:marTop w:val="0"/>
          <w:marBottom w:val="0"/>
          <w:divBdr>
            <w:top w:val="none" w:sz="0" w:space="0" w:color="auto"/>
            <w:left w:val="none" w:sz="0" w:space="0" w:color="auto"/>
            <w:bottom w:val="none" w:sz="0" w:space="0" w:color="auto"/>
            <w:right w:val="none" w:sz="0" w:space="0" w:color="auto"/>
          </w:divBdr>
        </w:div>
        <w:div w:id="425229095">
          <w:marLeft w:val="0"/>
          <w:marRight w:val="0"/>
          <w:marTop w:val="0"/>
          <w:marBottom w:val="0"/>
          <w:divBdr>
            <w:top w:val="none" w:sz="0" w:space="0" w:color="auto"/>
            <w:left w:val="none" w:sz="0" w:space="0" w:color="auto"/>
            <w:bottom w:val="none" w:sz="0" w:space="0" w:color="auto"/>
            <w:right w:val="none" w:sz="0" w:space="0" w:color="auto"/>
          </w:divBdr>
        </w:div>
        <w:div w:id="1004436621">
          <w:marLeft w:val="0"/>
          <w:marRight w:val="0"/>
          <w:marTop w:val="0"/>
          <w:marBottom w:val="0"/>
          <w:divBdr>
            <w:top w:val="none" w:sz="0" w:space="0" w:color="auto"/>
            <w:left w:val="none" w:sz="0" w:space="0" w:color="auto"/>
            <w:bottom w:val="none" w:sz="0" w:space="0" w:color="auto"/>
            <w:right w:val="none" w:sz="0" w:space="0" w:color="auto"/>
          </w:divBdr>
        </w:div>
      </w:divsChild>
    </w:div>
    <w:div w:id="1879657009">
      <w:bodyDiv w:val="1"/>
      <w:marLeft w:val="0"/>
      <w:marRight w:val="0"/>
      <w:marTop w:val="0"/>
      <w:marBottom w:val="0"/>
      <w:divBdr>
        <w:top w:val="none" w:sz="0" w:space="0" w:color="auto"/>
        <w:left w:val="none" w:sz="0" w:space="0" w:color="auto"/>
        <w:bottom w:val="none" w:sz="0" w:space="0" w:color="auto"/>
        <w:right w:val="none" w:sz="0" w:space="0" w:color="auto"/>
      </w:divBdr>
    </w:div>
    <w:div w:id="1942060083">
      <w:bodyDiv w:val="1"/>
      <w:marLeft w:val="0"/>
      <w:marRight w:val="0"/>
      <w:marTop w:val="0"/>
      <w:marBottom w:val="0"/>
      <w:divBdr>
        <w:top w:val="none" w:sz="0" w:space="0" w:color="auto"/>
        <w:left w:val="none" w:sz="0" w:space="0" w:color="auto"/>
        <w:bottom w:val="none" w:sz="0" w:space="0" w:color="auto"/>
        <w:right w:val="none" w:sz="0" w:space="0" w:color="auto"/>
      </w:divBdr>
    </w:div>
    <w:div w:id="198797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16739-A868-4632-9B99-53359552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34</Pages>
  <Words>10478</Words>
  <Characters>58358</Characters>
  <Application>Microsoft Office Word</Application>
  <DocSecurity>0</DocSecurity>
  <Lines>1577</Lines>
  <Paragraphs>882</Paragraphs>
  <ScaleCrop>false</ScaleCrop>
  <HeadingPairs>
    <vt:vector size="2" baseType="variant">
      <vt:variant>
        <vt:lpstr>Title</vt:lpstr>
      </vt:variant>
      <vt:variant>
        <vt:i4>1</vt:i4>
      </vt:variant>
    </vt:vector>
  </HeadingPairs>
  <TitlesOfParts>
    <vt:vector size="1" baseType="lpstr">
      <vt:lpstr>Framework and data sources</vt:lpstr>
    </vt:vector>
  </TitlesOfParts>
  <Company>Productivity Commission</Company>
  <LinksUpToDate>false</LinksUpToDate>
  <CharactersWithSpaces>67954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and data sources</dc:title>
  <dc:subject>Productivity in Manufacturing</dc:subject>
  <dc:creator>Productivity Commission</dc:creator>
  <dc:description>A.</dc:description>
  <cp:lastModifiedBy>Productivity Commission</cp:lastModifiedBy>
  <cp:revision>2</cp:revision>
  <cp:lastPrinted>2013-11-27T23:51:00Z</cp:lastPrinted>
  <dcterms:created xsi:type="dcterms:W3CDTF">2013-12-03T23:25:00Z</dcterms:created>
  <dcterms:modified xsi:type="dcterms:W3CDTF">2013-12-03T23:25:00Z</dcterms:modified>
</cp:coreProperties>
</file>