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D46D99" w:rsidRDefault="00403C38" w:rsidP="00403C38">
      <w:pPr>
        <w:pStyle w:val="Chapter"/>
        <w:ind w:left="907" w:hanging="907"/>
      </w:pPr>
      <w:bookmarkStart w:id="0" w:name="_AppendixNotByChapter"/>
      <w:bookmarkStart w:id="1" w:name="ChapterNumber"/>
      <w:bookmarkStart w:id="2" w:name="_GoBack"/>
      <w:bookmarkEnd w:id="0"/>
      <w:bookmarkEnd w:id="2"/>
      <w:r w:rsidRPr="00D46D99">
        <w:t>B</w:t>
      </w:r>
      <w:bookmarkEnd w:id="1"/>
      <w:r w:rsidRPr="00D46D99">
        <w:tab/>
      </w:r>
      <w:bookmarkStart w:id="3" w:name="ChapterTitle"/>
      <w:r w:rsidRPr="00D46D99">
        <w:t>Manufacturing's input-output linkages</w:t>
      </w:r>
      <w:bookmarkEnd w:id="3"/>
    </w:p>
    <w:p w:rsidR="0066398B" w:rsidRPr="00D46D99" w:rsidRDefault="0066398B" w:rsidP="0066398B">
      <w:pPr>
        <w:pStyle w:val="BodyText"/>
      </w:pPr>
      <w:bookmarkStart w:id="4" w:name="begin"/>
      <w:bookmarkEnd w:id="4"/>
      <w:r w:rsidRPr="00D46D99">
        <w:t xml:space="preserve">This appendix provides </w:t>
      </w:r>
      <w:r w:rsidR="006A2B77" w:rsidRPr="00D46D99">
        <w:t>further</w:t>
      </w:r>
      <w:r w:rsidRPr="00D46D99">
        <w:t xml:space="preserve"> background on the linkages between Manufacturing and other sectors of the economy</w:t>
      </w:r>
      <w:r w:rsidR="006A2B77" w:rsidRPr="00D46D99">
        <w:t xml:space="preserve"> discussed in chapter 2</w:t>
      </w:r>
      <w:r w:rsidRPr="00D46D99">
        <w:t xml:space="preserve">. </w:t>
      </w:r>
    </w:p>
    <w:p w:rsidR="00D06DF2" w:rsidRPr="00D46D99" w:rsidRDefault="00403C38" w:rsidP="00D06DF2">
      <w:pPr>
        <w:pStyle w:val="Heading2"/>
        <w:spacing w:line="240" w:lineRule="auto"/>
      </w:pPr>
      <w:proofErr w:type="spellStart"/>
      <w:r w:rsidRPr="00D46D99">
        <w:t>B.</w:t>
      </w:r>
      <w:r w:rsidR="00E2360E">
        <w:rPr>
          <w:noProof/>
        </w:rPr>
        <w:t>1</w:t>
      </w:r>
      <w:proofErr w:type="spellEnd"/>
      <w:r w:rsidR="00D06DF2" w:rsidRPr="00D46D99">
        <w:tab/>
        <w:t>Using the input-output tables</w:t>
      </w:r>
    </w:p>
    <w:p w:rsidR="00D06DF2" w:rsidRPr="00D46D99" w:rsidRDefault="00D06DF2" w:rsidP="00D06DF2">
      <w:pPr>
        <w:pStyle w:val="BodyText"/>
      </w:pPr>
      <w:r w:rsidRPr="00D46D99">
        <w:t xml:space="preserve">The </w:t>
      </w:r>
      <w:r w:rsidR="00514504" w:rsidRPr="00D46D99">
        <w:t xml:space="preserve">ABS publishes input-output (IO) tables </w:t>
      </w:r>
      <w:r w:rsidRPr="00D46D99">
        <w:t>as part of the National Accounts</w:t>
      </w:r>
      <w:r w:rsidR="00514504" w:rsidRPr="00D46D99">
        <w:t xml:space="preserve"> (Cat.</w:t>
      </w:r>
      <w:r w:rsidR="009A625A">
        <w:t> </w:t>
      </w:r>
      <w:r w:rsidR="00514504" w:rsidRPr="00D46D99">
        <w:t>no. 5209.0.55.001)</w:t>
      </w:r>
      <w:r w:rsidRPr="00D46D99">
        <w:t xml:space="preserve">, </w:t>
      </w:r>
      <w:r w:rsidR="00514504" w:rsidRPr="00D46D99">
        <w:t xml:space="preserve">which </w:t>
      </w:r>
      <w:r w:rsidRPr="00D46D99">
        <w:t xml:space="preserve">can be used to identify up- and downstream relationships between </w:t>
      </w:r>
      <w:r w:rsidR="006A2B77" w:rsidRPr="00D46D99">
        <w:t>M</w:t>
      </w:r>
      <w:r w:rsidRPr="00D46D99">
        <w:t>anufacturing and other sectors, as well as between diffe</w:t>
      </w:r>
      <w:r w:rsidR="00BF3314" w:rsidRPr="00D46D99">
        <w:t xml:space="preserve">rent </w:t>
      </w:r>
      <w:r w:rsidR="00F05C4A">
        <w:t>M</w:t>
      </w:r>
      <w:r w:rsidR="00BF3314" w:rsidRPr="00D46D99">
        <w:t xml:space="preserve">anufacturing subsectors. </w:t>
      </w:r>
      <w:r w:rsidRPr="00D46D99">
        <w:t xml:space="preserve">IO tables break down the value of the total production of </w:t>
      </w:r>
      <w:proofErr w:type="spellStart"/>
      <w:r w:rsidRPr="00D46D99">
        <w:t>ANZSIC</w:t>
      </w:r>
      <w:proofErr w:type="spellEnd"/>
      <w:r w:rsidRPr="00D46D99">
        <w:t>-based industry groups</w:t>
      </w:r>
      <w:r w:rsidR="00227B2A">
        <w:rPr>
          <w:rStyle w:val="FootnoteReference"/>
        </w:rPr>
        <w:footnoteReference w:id="1"/>
      </w:r>
      <w:r w:rsidRPr="00D46D99">
        <w:t xml:space="preserve"> into primary inputs and intermediate inputs. The rows in the tables show the value in basic prices of output from each industry or product group being absorbed as intermediate inputs to other industries, as well as the final uses of that industry or product group. The columns show the value of intermediate inputs absorbed by each industry, as well as its primary inputs and the value of its total Australian production.</w:t>
      </w:r>
    </w:p>
    <w:p w:rsidR="00D06DF2" w:rsidRPr="00FE45BC" w:rsidRDefault="00D06DF2" w:rsidP="00FE45BC">
      <w:pPr>
        <w:pStyle w:val="BodyText"/>
      </w:pPr>
      <w:r w:rsidRPr="00FE45BC">
        <w:t>Analysis of the IO</w:t>
      </w:r>
      <w:r w:rsidR="00BF3314" w:rsidRPr="00FE45BC">
        <w:t xml:space="preserve"> table</w:t>
      </w:r>
      <w:r w:rsidRPr="00FE45BC">
        <w:t>s in this appendix is based on industry-to-industry tables</w:t>
      </w:r>
      <w:r w:rsidR="00BF3314" w:rsidRPr="00FE45BC">
        <w:t>,</w:t>
      </w:r>
      <w:r w:rsidRPr="00FE45BC">
        <w:t xml:space="preserve"> rather than product group-to-industry tables, unless otherwise indicated. That is, the cells report the flow of products from supply industries (in the row-headings) to the use industries (in the column-headings). In an industry-to-industry table, the cell entries include not only those products that are mainly produced by, or primary to, the row-heading industry, but also its secondary products, that is, those products that are mainly produced by other industries. Where secondary products make up a significant proportion of the output of an industry, typical IO analysis needs to be interpreted with particular caution. </w:t>
      </w:r>
      <w:r w:rsidR="006836D7" w:rsidRPr="00FE45BC">
        <w:t>T</w:t>
      </w:r>
      <w:r w:rsidRPr="00FE45BC">
        <w:t xml:space="preserve">his problem appears not to be substantial </w:t>
      </w:r>
      <w:r w:rsidR="006472E3" w:rsidRPr="00FE45BC">
        <w:t xml:space="preserve">in the case of Manufacturing </w:t>
      </w:r>
      <w:r w:rsidR="006836D7" w:rsidRPr="00FE45BC">
        <w:t xml:space="preserve">as </w:t>
      </w:r>
      <w:r w:rsidRPr="00FE45BC">
        <w:t xml:space="preserve">only a </w:t>
      </w:r>
      <w:r w:rsidR="00CC52A8" w:rsidRPr="00FE45BC">
        <w:t xml:space="preserve">relatively </w:t>
      </w:r>
      <w:r w:rsidRPr="00FE45BC">
        <w:t xml:space="preserve">minor proportion of products produced by the industry </w:t>
      </w:r>
      <w:r w:rsidR="006836D7" w:rsidRPr="00FE45BC">
        <w:t xml:space="preserve">are </w:t>
      </w:r>
      <w:r w:rsidRPr="00FE45BC">
        <w:t xml:space="preserve">not primary to </w:t>
      </w:r>
      <w:r w:rsidR="006836D7" w:rsidRPr="00FE45BC">
        <w:t>Manufacturing.</w:t>
      </w:r>
    </w:p>
    <w:p w:rsidR="007B4926" w:rsidRDefault="007B4926">
      <w:pPr>
        <w:rPr>
          <w:szCs w:val="20"/>
        </w:rPr>
      </w:pPr>
      <w:r>
        <w:br w:type="page"/>
      </w:r>
    </w:p>
    <w:p w:rsidR="00D06DF2" w:rsidRPr="00D46D99" w:rsidRDefault="00D06DF2" w:rsidP="00D06DF2">
      <w:pPr>
        <w:pStyle w:val="BodyText"/>
      </w:pPr>
      <w:r w:rsidRPr="00D46D99">
        <w:lastRenderedPageBreak/>
        <w:t>The ABS also includes data on imported intermediate goods in the IO tables. The IO tables have either a direct or indirect allocation of imports. Where imports are allocated directly, all the rows which show the intermediate inputs to use industries report the value of domestically produced intermediate inputs only. Where imports are allocated indirectly, each row showing the supply of intermediate inputs to industries comprise</w:t>
      </w:r>
      <w:r w:rsidR="006472E3">
        <w:t>s</w:t>
      </w:r>
      <w:r w:rsidRPr="00D46D99">
        <w:t xml:space="preserve"> the total value of imported and domestically produced intermediate inputs.</w:t>
      </w:r>
    </w:p>
    <w:p w:rsidR="00D06DF2" w:rsidRPr="00D46D99" w:rsidRDefault="00D06DF2" w:rsidP="00D06DF2">
      <w:pPr>
        <w:pStyle w:val="BodyText"/>
      </w:pPr>
      <w:r w:rsidRPr="00D46D99">
        <w:t xml:space="preserve">Tables with direct allocation of imports give a better indication of how changing supply-use flows affect domestic manufacturers and are therefore useful for studying the reliance of Australian </w:t>
      </w:r>
      <w:r w:rsidR="00A83C0F">
        <w:t>Manufacturing</w:t>
      </w:r>
      <w:r w:rsidRPr="00D46D99">
        <w:t xml:space="preserve"> on domestic downstream users. Tables with indirect allocation of imports give a better indication of the technological input structure of an industry, since they show the value of all the intermediate inputs used, regardless of their origin. These are useful for informing how manufacturers may have changed their input structure over time. Unless otherwise indicated, the IO tables used in the analysis in this appendix directly allocate imports (that is, the intermediate flows refer to domestic products only).</w:t>
      </w:r>
    </w:p>
    <w:p w:rsidR="00D06DF2" w:rsidRPr="00D46D99" w:rsidRDefault="00D06DF2" w:rsidP="00D06DF2">
      <w:pPr>
        <w:pStyle w:val="BodyText"/>
      </w:pPr>
      <w:r w:rsidRPr="00D46D99">
        <w:t>The IO tables present static data, based on prices in that reference year only. Stemming from this, the main limitation for observing changing industry-flow relationships over time using the IO tables is that any change in the value of intermediate inputs flowing from a supply to a use industry between any two years capture</w:t>
      </w:r>
      <w:r w:rsidR="00087317">
        <w:t>s</w:t>
      </w:r>
      <w:r w:rsidRPr="00D46D99">
        <w:t xml:space="preserve"> both price and volume effects. Unless appropriate deflators are used </w:t>
      </w:r>
      <w:r w:rsidR="001954EC">
        <w:t xml:space="preserve">to </w:t>
      </w:r>
      <w:r w:rsidRPr="00D46D99">
        <w:t xml:space="preserve">adjust for price effects, the price and volume effects cannot be separated. Where an input is subject to high price volatility, and </w:t>
      </w:r>
      <w:r w:rsidR="00087317" w:rsidRPr="00D46D99">
        <w:t>us</w:t>
      </w:r>
      <w:r w:rsidR="00087317">
        <w:t>e</w:t>
      </w:r>
      <w:r w:rsidR="00087317" w:rsidRPr="00D46D99">
        <w:t xml:space="preserve"> </w:t>
      </w:r>
      <w:r w:rsidRPr="00D46D99">
        <w:t xml:space="preserve">industries are price-takers, the difficulty of interpreting a change in the value of the intermediate use of that input is exacerbated: a price rise (or fall) in an input would change the value of the intermediate flow of that input to a use industry, even where the input structure of the </w:t>
      </w:r>
      <w:r w:rsidR="00BF3314" w:rsidRPr="00D46D99">
        <w:t>use industry remains unchanged.</w:t>
      </w:r>
    </w:p>
    <w:p w:rsidR="00D06DF2" w:rsidRPr="00D46D99" w:rsidRDefault="00D06DF2" w:rsidP="00D06DF2">
      <w:pPr>
        <w:pStyle w:val="BodyText"/>
      </w:pPr>
      <w:r w:rsidRPr="00D46D99">
        <w:t xml:space="preserve">The analysis in this appendix is based on reference years 1994-95, 2001-02 and </w:t>
      </w:r>
      <w:r w:rsidR="00AA1874" w:rsidRPr="00D46D99">
        <w:t>2008-09</w:t>
      </w:r>
      <w:r w:rsidRPr="00D46D99">
        <w:t xml:space="preserve"> (which is the latest year for which IO data </w:t>
      </w:r>
      <w:r w:rsidR="0015427B">
        <w:t>are</w:t>
      </w:r>
      <w:r w:rsidRPr="00D46D99">
        <w:t xml:space="preserve"> available).</w:t>
      </w:r>
      <w:r w:rsidR="00AB6BB9" w:rsidRPr="00D46D99">
        <w:t xml:space="preserve"> </w:t>
      </w:r>
      <w:r w:rsidR="001954EC">
        <w:t>IO</w:t>
      </w:r>
      <w:r w:rsidR="00703500">
        <w:t xml:space="preserve"> </w:t>
      </w:r>
      <w:r w:rsidR="00016F14">
        <w:t xml:space="preserve">tables </w:t>
      </w:r>
      <w:r w:rsidR="00703500">
        <w:t xml:space="preserve">are based on the edition of </w:t>
      </w:r>
      <w:proofErr w:type="spellStart"/>
      <w:r w:rsidR="00703500" w:rsidRPr="00703500">
        <w:t>ANZSIC</w:t>
      </w:r>
      <w:proofErr w:type="spellEnd"/>
      <w:r w:rsidR="00703500" w:rsidRPr="00703500">
        <w:t xml:space="preserve"> </w:t>
      </w:r>
      <w:r w:rsidR="00703500">
        <w:t xml:space="preserve">current at the time of compilation. </w:t>
      </w:r>
      <w:r w:rsidRPr="00D46D99">
        <w:t xml:space="preserve">To the extent possible, the information presented in this appendix </w:t>
      </w:r>
      <w:r w:rsidR="00016F14">
        <w:t>has been</w:t>
      </w:r>
      <w:r w:rsidRPr="00D46D99">
        <w:t xml:space="preserve"> adjusted for concordance issues</w:t>
      </w:r>
      <w:r w:rsidR="00703500" w:rsidRPr="00703500">
        <w:t xml:space="preserve"> </w:t>
      </w:r>
      <w:r w:rsidR="00703500">
        <w:t>between the 1993 edition (</w:t>
      </w:r>
      <w:proofErr w:type="spellStart"/>
      <w:r w:rsidR="00703500">
        <w:t>ANZSIC93</w:t>
      </w:r>
      <w:proofErr w:type="spellEnd"/>
      <w:r w:rsidR="00703500">
        <w:t>) and 2006 edition (ANZSIC06).</w:t>
      </w:r>
      <w:r w:rsidR="00391BF0" w:rsidRPr="00D46D99">
        <w:t xml:space="preserve"> (</w:t>
      </w:r>
      <w:r w:rsidR="00A113CE">
        <w:t>B</w:t>
      </w:r>
      <w:r w:rsidR="00391BF0" w:rsidRPr="00D46D99">
        <w:t xml:space="preserve">ox </w:t>
      </w:r>
      <w:proofErr w:type="spellStart"/>
      <w:r w:rsidR="00391BF0" w:rsidRPr="00D46D99">
        <w:t>B.1</w:t>
      </w:r>
      <w:proofErr w:type="spellEnd"/>
      <w:r w:rsidR="00A113CE">
        <w:t xml:space="preserve"> outlines the major changes to Printing and recorded media. Insufficient data were available to adjust for other changes</w:t>
      </w:r>
      <w:r w:rsidR="001954EC" w:rsidRPr="00D46D99">
        <w:t>.</w:t>
      </w:r>
      <w:r w:rsidR="00391BF0" w:rsidRPr="00D46D99">
        <w:t>)</w:t>
      </w:r>
    </w:p>
    <w:p w:rsidR="00391BF0" w:rsidRPr="00D46D99" w:rsidRDefault="00391BF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91BF0" w:rsidRPr="00D46D99">
        <w:tc>
          <w:tcPr>
            <w:tcW w:w="8771" w:type="dxa"/>
            <w:tcBorders>
              <w:top w:val="single" w:sz="6" w:space="0" w:color="auto"/>
              <w:bottom w:val="nil"/>
            </w:tcBorders>
          </w:tcPr>
          <w:p w:rsidR="00391BF0" w:rsidRPr="00D46D99" w:rsidRDefault="00391BF0" w:rsidP="00391BF0">
            <w:pPr>
              <w:pStyle w:val="BoxTitle"/>
            </w:pPr>
            <w:r w:rsidRPr="00D46D99">
              <w:rPr>
                <w:b w:val="0"/>
              </w:rPr>
              <w:t xml:space="preserve">Box </w:t>
            </w:r>
            <w:bookmarkStart w:id="5" w:name="OLE_LINK4"/>
            <w:proofErr w:type="spellStart"/>
            <w:r w:rsidRPr="00D46D99">
              <w:rPr>
                <w:b w:val="0"/>
              </w:rPr>
              <w:t>B.</w:t>
            </w:r>
            <w:r w:rsidR="00E2360E">
              <w:rPr>
                <w:b w:val="0"/>
                <w:noProof/>
              </w:rPr>
              <w:t>1</w:t>
            </w:r>
            <w:bookmarkEnd w:id="5"/>
            <w:proofErr w:type="spellEnd"/>
            <w:r w:rsidRPr="00D46D99">
              <w:tab/>
              <w:t>Concordance issues</w:t>
            </w:r>
            <w:r w:rsidR="00A113CE">
              <w:t xml:space="preserve"> for Printing and recorded media</w:t>
            </w:r>
          </w:p>
        </w:tc>
      </w:tr>
      <w:tr w:rsidR="00391BF0" w:rsidRPr="00D46D99">
        <w:trPr>
          <w:cantSplit/>
        </w:trPr>
        <w:tc>
          <w:tcPr>
            <w:tcW w:w="8771" w:type="dxa"/>
            <w:tcBorders>
              <w:top w:val="nil"/>
              <w:left w:val="single" w:sz="6" w:space="0" w:color="auto"/>
              <w:bottom w:val="nil"/>
              <w:right w:val="single" w:sz="6" w:space="0" w:color="auto"/>
            </w:tcBorders>
          </w:tcPr>
          <w:p w:rsidR="00391BF0" w:rsidRPr="00D46D99" w:rsidRDefault="00391BF0" w:rsidP="0043644C">
            <w:pPr>
              <w:pStyle w:val="Box"/>
            </w:pPr>
            <w:r w:rsidRPr="00D46D99">
              <w:t xml:space="preserve">The </w:t>
            </w:r>
            <w:r w:rsidR="00AA1874" w:rsidRPr="00D46D99">
              <w:t>2008-09</w:t>
            </w:r>
            <w:r w:rsidRPr="00D46D99">
              <w:t xml:space="preserve"> tables are based on ANZSIC06, whereas the tables from the previous years are based on </w:t>
            </w:r>
            <w:proofErr w:type="spellStart"/>
            <w:r w:rsidRPr="00D46D99">
              <w:t>ANZSIC93</w:t>
            </w:r>
            <w:proofErr w:type="spellEnd"/>
            <w:r w:rsidRPr="00D46D99">
              <w:t>. Comparisons of IO tables across these years are based on ANZSIC06. For the 1994-95 and the 2001-02 IO tables, the Input</w:t>
            </w:r>
            <w:r w:rsidR="00024F32">
              <w:t>-</w:t>
            </w:r>
            <w:r w:rsidRPr="00D46D99">
              <w:t>Output Industry Groups (</w:t>
            </w:r>
            <w:proofErr w:type="spellStart"/>
            <w:r w:rsidRPr="00D46D99">
              <w:t>IOIG</w:t>
            </w:r>
            <w:proofErr w:type="spellEnd"/>
            <w:r w:rsidRPr="00D46D99">
              <w:t xml:space="preserve">) 2401 ‘Printing and services to printing’ and 2402 ‘Publishing, recorded media’ were classified as subdivision 24 Printing, </w:t>
            </w:r>
            <w:r w:rsidR="007F09D9">
              <w:t>p</w:t>
            </w:r>
            <w:r w:rsidRPr="00D46D99">
              <w:t xml:space="preserve">ublishing and </w:t>
            </w:r>
            <w:r w:rsidR="007F09D9">
              <w:t>r</w:t>
            </w:r>
            <w:r w:rsidRPr="00D46D99">
              <w:t xml:space="preserve">ecorded </w:t>
            </w:r>
            <w:r w:rsidR="007F09D9">
              <w:t>m</w:t>
            </w:r>
            <w:r w:rsidRPr="00D46D99">
              <w:t xml:space="preserve">edia and were considered part of Division C Manufacturing in </w:t>
            </w:r>
            <w:proofErr w:type="spellStart"/>
            <w:r w:rsidRPr="00D46D99">
              <w:t>ANZSIC93</w:t>
            </w:r>
            <w:proofErr w:type="spellEnd"/>
            <w:r w:rsidRPr="00D46D99">
              <w:t xml:space="preserve">. These activities have since been reclassified in ANZSIC06 so that they are now mapped to new </w:t>
            </w:r>
            <w:proofErr w:type="spellStart"/>
            <w:r w:rsidRPr="00D46D99">
              <w:t>IOIGs</w:t>
            </w:r>
            <w:proofErr w:type="spellEnd"/>
            <w:r w:rsidRPr="00D46D99">
              <w:t xml:space="preserve"> which fall under C Manufacturing, J Information </w:t>
            </w:r>
            <w:r w:rsidR="007F09D9">
              <w:t>m</w:t>
            </w:r>
            <w:r w:rsidRPr="00D46D99">
              <w:t xml:space="preserve">edia and </w:t>
            </w:r>
            <w:r w:rsidR="007F09D9">
              <w:t>t</w:t>
            </w:r>
            <w:r w:rsidRPr="00D46D99">
              <w:t xml:space="preserve">elecommunications and N Administrative and </w:t>
            </w:r>
            <w:r w:rsidR="007F09D9">
              <w:t>s</w:t>
            </w:r>
            <w:r w:rsidRPr="00D46D99">
              <w:t xml:space="preserve">upport </w:t>
            </w:r>
            <w:r w:rsidR="007F09D9">
              <w:t>s</w:t>
            </w:r>
            <w:r w:rsidRPr="00D46D99">
              <w:t xml:space="preserve">ervices. However, the mapping from the former </w:t>
            </w:r>
            <w:proofErr w:type="spellStart"/>
            <w:r w:rsidRPr="00D46D99">
              <w:t>IOIGs</w:t>
            </w:r>
            <w:proofErr w:type="spellEnd"/>
            <w:r w:rsidRPr="00D46D99">
              <w:t xml:space="preserve"> </w:t>
            </w:r>
            <w:r w:rsidR="00AD3D65">
              <w:t>(</w:t>
            </w:r>
            <w:proofErr w:type="spellStart"/>
            <w:r w:rsidR="00AD3D65">
              <w:t>IOIG</w:t>
            </w:r>
            <w:proofErr w:type="spellEnd"/>
            <w:r w:rsidR="00AD3D65">
              <w:t xml:space="preserve"> 2005) </w:t>
            </w:r>
            <w:r w:rsidRPr="00D46D99">
              <w:t xml:space="preserve">to the </w:t>
            </w:r>
            <w:r w:rsidR="00F779D6">
              <w:t>new</w:t>
            </w:r>
            <w:r w:rsidR="00F779D6" w:rsidRPr="00D46D99">
              <w:t xml:space="preserve"> </w:t>
            </w:r>
            <w:proofErr w:type="spellStart"/>
            <w:r w:rsidRPr="00D46D99">
              <w:t>IOIGs</w:t>
            </w:r>
            <w:proofErr w:type="spellEnd"/>
            <w:r w:rsidRPr="00D46D99">
              <w:t xml:space="preserve"> </w:t>
            </w:r>
            <w:r w:rsidR="00AD3D65">
              <w:t>(</w:t>
            </w:r>
            <w:proofErr w:type="spellStart"/>
            <w:r w:rsidR="00AD3D65">
              <w:t>IOIG</w:t>
            </w:r>
            <w:proofErr w:type="spellEnd"/>
            <w:r w:rsidR="00AD3D65">
              <w:t xml:space="preserve"> 2009) </w:t>
            </w:r>
            <w:r w:rsidRPr="00D46D99">
              <w:t>is partial rather than complete</w:t>
            </w:r>
            <w:r w:rsidR="00C52194">
              <w:t xml:space="preserve"> (see ABS</w:t>
            </w:r>
            <w:r w:rsidR="00CE579E">
              <w:t> </w:t>
            </w:r>
            <w:r w:rsidR="00A34541">
              <w:t>2012</w:t>
            </w:r>
            <w:r w:rsidR="00446B64">
              <w:t xml:space="preserve"> for details</w:t>
            </w:r>
            <w:r w:rsidR="00C52194">
              <w:t>)</w:t>
            </w:r>
            <w:r w:rsidRPr="00D46D99">
              <w:t xml:space="preserve">. </w:t>
            </w:r>
          </w:p>
          <w:p w:rsidR="00391BF0" w:rsidRPr="00D46D99" w:rsidRDefault="00391BF0" w:rsidP="0043644C">
            <w:pPr>
              <w:pStyle w:val="Box"/>
            </w:pPr>
            <w:r w:rsidRPr="00D46D99">
              <w:t xml:space="preserve">In order to have the earlier IO tables concord with </w:t>
            </w:r>
            <w:r w:rsidR="00AA1874" w:rsidRPr="00D46D99">
              <w:t>2008-09</w:t>
            </w:r>
            <w:r w:rsidRPr="00D46D99">
              <w:t>, 2401 (</w:t>
            </w:r>
            <w:proofErr w:type="spellStart"/>
            <w:r w:rsidRPr="00AD3D65">
              <w:t>IOIG</w:t>
            </w:r>
            <w:proofErr w:type="spellEnd"/>
            <w:r w:rsidRPr="00AD3D65">
              <w:t xml:space="preserve"> 2005</w:t>
            </w:r>
            <w:r w:rsidRPr="00D46D99">
              <w:t>) ‘Printing and services to printing’ is considered to be part of Manufacturing and in this appendix, is compared directly to 1601 (</w:t>
            </w:r>
            <w:proofErr w:type="spellStart"/>
            <w:r w:rsidRPr="00AD3D65">
              <w:t>IOIG</w:t>
            </w:r>
            <w:proofErr w:type="spellEnd"/>
            <w:r w:rsidRPr="00AD3D65">
              <w:t xml:space="preserve"> 2009</w:t>
            </w:r>
            <w:r w:rsidRPr="00D46D99">
              <w:t xml:space="preserve">) ‘Printing (including the </w:t>
            </w:r>
            <w:r w:rsidR="007F09D9">
              <w:t>r</w:t>
            </w:r>
            <w:r w:rsidRPr="00D46D99">
              <w:t xml:space="preserve">eproduction of </w:t>
            </w:r>
            <w:r w:rsidR="007F09D9">
              <w:t>r</w:t>
            </w:r>
            <w:r w:rsidRPr="00D46D99">
              <w:t xml:space="preserve">ecorded </w:t>
            </w:r>
            <w:r w:rsidR="007F09D9">
              <w:t>m</w:t>
            </w:r>
            <w:r w:rsidRPr="00D46D99">
              <w:t>edia)’ (</w:t>
            </w:r>
            <w:proofErr w:type="spellStart"/>
            <w:r w:rsidRPr="00D46D99">
              <w:t>PRM</w:t>
            </w:r>
            <w:proofErr w:type="spellEnd"/>
            <w:r w:rsidRPr="00D46D99">
              <w:t xml:space="preserve">) in the </w:t>
            </w:r>
            <w:r w:rsidR="00AA1874" w:rsidRPr="00D46D99">
              <w:t>2008-09</w:t>
            </w:r>
            <w:r w:rsidRPr="00D46D99">
              <w:t xml:space="preserve"> IO tables. But as well as including activities which match </w:t>
            </w:r>
            <w:proofErr w:type="spellStart"/>
            <w:r w:rsidRPr="00D46D99">
              <w:t>PRM</w:t>
            </w:r>
            <w:proofErr w:type="spellEnd"/>
            <w:r w:rsidRPr="00D46D99">
              <w:t>, the old 2401 (</w:t>
            </w:r>
            <w:proofErr w:type="spellStart"/>
            <w:r w:rsidRPr="00AD3D65">
              <w:t>IOIG</w:t>
            </w:r>
            <w:proofErr w:type="spellEnd"/>
            <w:r w:rsidRPr="00AD3D65">
              <w:t xml:space="preserve"> 2005</w:t>
            </w:r>
            <w:r w:rsidRPr="00D46D99">
              <w:t xml:space="preserve">) also includes 1502 ‘Paper </w:t>
            </w:r>
            <w:r w:rsidR="007F09D9">
              <w:t>s</w:t>
            </w:r>
            <w:r w:rsidRPr="00D46D99">
              <w:t xml:space="preserve">tationery and </w:t>
            </w:r>
            <w:r w:rsidR="007F09D9">
              <w:t>o</w:t>
            </w:r>
            <w:r w:rsidRPr="00D46D99">
              <w:t xml:space="preserve">ther </w:t>
            </w:r>
            <w:r w:rsidR="007F09D9">
              <w:t>c</w:t>
            </w:r>
            <w:r w:rsidRPr="00D46D99">
              <w:t xml:space="preserve">onverted paper </w:t>
            </w:r>
            <w:r w:rsidR="007F09D9">
              <w:t>p</w:t>
            </w:r>
            <w:r w:rsidRPr="00D46D99">
              <w:t xml:space="preserve">roduct </w:t>
            </w:r>
            <w:r w:rsidR="007F09D9">
              <w:t>m</w:t>
            </w:r>
            <w:r w:rsidRPr="00D46D99">
              <w:t xml:space="preserve">anufacturing’ (which belongs to 15 ‘Pulp, </w:t>
            </w:r>
            <w:r w:rsidR="007F09D9">
              <w:t>p</w:t>
            </w:r>
            <w:r w:rsidRPr="00D46D99">
              <w:t xml:space="preserve">aper and </w:t>
            </w:r>
            <w:r w:rsidR="007F09D9">
              <w:t>c</w:t>
            </w:r>
            <w:r w:rsidRPr="00D46D99">
              <w:t xml:space="preserve">onverted </w:t>
            </w:r>
            <w:r w:rsidR="007F09D9">
              <w:t>p</w:t>
            </w:r>
            <w:r w:rsidRPr="00D46D99">
              <w:t xml:space="preserve">aper </w:t>
            </w:r>
            <w:r w:rsidR="007F09D9">
              <w:t>p</w:t>
            </w:r>
            <w:r w:rsidRPr="00D46D99">
              <w:t xml:space="preserve">roduct </w:t>
            </w:r>
            <w:r w:rsidR="007F09D9">
              <w:t>m</w:t>
            </w:r>
            <w:r w:rsidRPr="00D46D99">
              <w:t xml:space="preserve">anufacturing’) as well as activities which are now reclassified outside of Manufacturing into 5401 ‘Publishing (except </w:t>
            </w:r>
            <w:proofErr w:type="spellStart"/>
            <w:r w:rsidR="007F09D9">
              <w:t>i</w:t>
            </w:r>
            <w:r w:rsidRPr="00D46D99">
              <w:t>nternet</w:t>
            </w:r>
            <w:proofErr w:type="spellEnd"/>
            <w:r w:rsidRPr="00D46D99">
              <w:t xml:space="preserve"> and </w:t>
            </w:r>
            <w:r w:rsidR="007F09D9">
              <w:t>m</w:t>
            </w:r>
            <w:r w:rsidRPr="00D46D99">
              <w:t xml:space="preserve">usic </w:t>
            </w:r>
            <w:r w:rsidR="007F09D9">
              <w:t>p</w:t>
            </w:r>
            <w:r w:rsidRPr="00D46D99">
              <w:t xml:space="preserve">ublishing) and 7201 ‘Building </w:t>
            </w:r>
            <w:r w:rsidR="007F09D9">
              <w:t>c</w:t>
            </w:r>
            <w:r w:rsidRPr="00D46D99">
              <w:t xml:space="preserve">leaning, </w:t>
            </w:r>
            <w:r w:rsidR="007F09D9">
              <w:t>p</w:t>
            </w:r>
            <w:r w:rsidRPr="00D46D99">
              <w:t xml:space="preserve">est </w:t>
            </w:r>
            <w:r w:rsidR="007F09D9">
              <w:t>c</w:t>
            </w:r>
            <w:r w:rsidRPr="00D46D99">
              <w:t xml:space="preserve">ontrol, </w:t>
            </w:r>
            <w:r w:rsidR="007F09D9">
              <w:t>a</w:t>
            </w:r>
            <w:r w:rsidRPr="00D46D99">
              <w:t xml:space="preserve">dministrative and </w:t>
            </w:r>
            <w:r w:rsidR="007F09D9">
              <w:t>o</w:t>
            </w:r>
            <w:r w:rsidRPr="00D46D99">
              <w:t xml:space="preserve">ther </w:t>
            </w:r>
            <w:r w:rsidR="007F09D9">
              <w:t>s</w:t>
            </w:r>
            <w:r w:rsidRPr="00D46D99">
              <w:t xml:space="preserve">upport </w:t>
            </w:r>
            <w:r w:rsidR="007F09D9">
              <w:t>s</w:t>
            </w:r>
            <w:r w:rsidRPr="00D46D99">
              <w:t>ervices’. Because these activities are not separated out, the inclusion of the old 1601 (</w:t>
            </w:r>
            <w:proofErr w:type="spellStart"/>
            <w:r w:rsidRPr="00AD3D65">
              <w:t>IOIG</w:t>
            </w:r>
            <w:proofErr w:type="spellEnd"/>
            <w:r w:rsidRPr="00AD3D65">
              <w:t xml:space="preserve"> 2009</w:t>
            </w:r>
            <w:r w:rsidRPr="00D46D99">
              <w:t xml:space="preserve">) in </w:t>
            </w:r>
            <w:proofErr w:type="spellStart"/>
            <w:r w:rsidRPr="00D46D99">
              <w:t>PRM</w:t>
            </w:r>
            <w:proofErr w:type="spellEnd"/>
            <w:r w:rsidRPr="00D46D99">
              <w:t xml:space="preserve"> would overstate input and output flows to and from this subdivision. </w:t>
            </w:r>
          </w:p>
          <w:p w:rsidR="00391BF0" w:rsidRPr="00D46D99" w:rsidRDefault="00391BF0" w:rsidP="0043644C">
            <w:pPr>
              <w:pStyle w:val="Box"/>
            </w:pPr>
            <w:r w:rsidRPr="00D46D99">
              <w:t>On the other hand, 2402 (</w:t>
            </w:r>
            <w:proofErr w:type="spellStart"/>
            <w:r w:rsidRPr="00AD3D65">
              <w:t>IOIG</w:t>
            </w:r>
            <w:proofErr w:type="spellEnd"/>
            <w:r w:rsidRPr="00AD3D65">
              <w:t xml:space="preserve"> 2005</w:t>
            </w:r>
            <w:r w:rsidRPr="00D46D99">
              <w:t xml:space="preserve">) ‘Publishing; recorded media and publishing’ from the earlier tables is, in this appendix, treated as part of Services rather than as Manufacturing because activities in this industry group have mainly been reclassified to division J Information </w:t>
            </w:r>
            <w:r w:rsidR="007F09D9">
              <w:t>m</w:t>
            </w:r>
            <w:r w:rsidRPr="00D46D99">
              <w:t xml:space="preserve">edia and </w:t>
            </w:r>
            <w:r w:rsidR="007F09D9">
              <w:t>t</w:t>
            </w:r>
            <w:r w:rsidRPr="00D46D99">
              <w:t xml:space="preserve">elecommunications in </w:t>
            </w:r>
            <w:proofErr w:type="spellStart"/>
            <w:r w:rsidRPr="00D46D99">
              <w:t>ANZSIC</w:t>
            </w:r>
            <w:proofErr w:type="spellEnd"/>
            <w:r w:rsidRPr="00D46D99">
              <w:t xml:space="preserve"> 2006.</w:t>
            </w:r>
            <w:r w:rsidR="00171E81" w:rsidRPr="00D46D99">
              <w:rPr>
                <w:rStyle w:val="FootnoteReference"/>
                <w:rFonts w:ascii="Arial" w:hAnsi="Arial"/>
                <w:position w:val="0"/>
                <w:sz w:val="24"/>
                <w:vertAlign w:val="superscript"/>
              </w:rPr>
              <w:t>1</w:t>
            </w:r>
            <w:r w:rsidRPr="00D46D99">
              <w:t xml:space="preserve"> This, however, would have the effect of understating the input and output flows from </w:t>
            </w:r>
            <w:proofErr w:type="spellStart"/>
            <w:r w:rsidRPr="00D46D99">
              <w:t>PRM</w:t>
            </w:r>
            <w:proofErr w:type="spellEnd"/>
            <w:r w:rsidRPr="00D46D99">
              <w:t xml:space="preserve"> because parts of 1601 (</w:t>
            </w:r>
            <w:proofErr w:type="spellStart"/>
            <w:r w:rsidRPr="00AD3D65">
              <w:t>IOIG</w:t>
            </w:r>
            <w:proofErr w:type="spellEnd"/>
            <w:r w:rsidRPr="00AD3D65">
              <w:t xml:space="preserve"> 2009</w:t>
            </w:r>
            <w:r w:rsidRPr="00D46D99">
              <w:t>) ‘Printing (including the reproduction of recorded media)’ were actually formerly included in the old 2402 (</w:t>
            </w:r>
            <w:proofErr w:type="spellStart"/>
            <w:r w:rsidRPr="00AD3D65">
              <w:t>IOIG</w:t>
            </w:r>
            <w:proofErr w:type="spellEnd"/>
            <w:r w:rsidRPr="00AD3D65">
              <w:t xml:space="preserve"> 2005</w:t>
            </w:r>
            <w:r w:rsidRPr="00D46D99">
              <w:t>).</w:t>
            </w:r>
            <w:r w:rsidR="00171E81" w:rsidRPr="00D46D99">
              <w:rPr>
                <w:rStyle w:val="FootnoteReference"/>
                <w:rFonts w:ascii="Arial" w:hAnsi="Arial"/>
                <w:position w:val="0"/>
                <w:sz w:val="24"/>
                <w:vertAlign w:val="superscript"/>
              </w:rPr>
              <w:t>2</w:t>
            </w:r>
            <w:r w:rsidRPr="00D46D99">
              <w:t xml:space="preserve"> Manufacturing activity (as defined in ANZSIC06) that dropped out would include newspaper printing (which would fall under 1611 Printing) and the Reproduction of </w:t>
            </w:r>
            <w:r w:rsidR="007F09D9">
              <w:t>r</w:t>
            </w:r>
            <w:r w:rsidRPr="00D46D99">
              <w:t xml:space="preserve">ecorded </w:t>
            </w:r>
            <w:r w:rsidR="007F09D9">
              <w:t>m</w:t>
            </w:r>
            <w:r w:rsidRPr="00D46D99">
              <w:t>edia (1620).</w:t>
            </w:r>
          </w:p>
          <w:p w:rsidR="00391BF0" w:rsidRPr="00D46D99" w:rsidRDefault="00391BF0" w:rsidP="00391BF0">
            <w:pPr>
              <w:pStyle w:val="Box"/>
              <w:spacing w:before="0" w:line="160" w:lineRule="atLeast"/>
            </w:pPr>
            <w:r w:rsidRPr="00D46D99">
              <w:t>_____________________</w:t>
            </w:r>
          </w:p>
          <w:p w:rsidR="00391BF0" w:rsidRPr="00D46D99" w:rsidRDefault="00391BF0" w:rsidP="00171E81">
            <w:pPr>
              <w:pStyle w:val="Box"/>
              <w:spacing w:line="240" w:lineRule="atLeast"/>
              <w:rPr>
                <w:rFonts w:cs="Arial"/>
                <w:sz w:val="18"/>
                <w:szCs w:val="18"/>
              </w:rPr>
            </w:pPr>
            <w:r w:rsidRPr="00D46D99">
              <w:rPr>
                <w:rStyle w:val="FootnoteReference"/>
                <w:rFonts w:ascii="Arial" w:hAnsi="Arial"/>
                <w:position w:val="0"/>
                <w:sz w:val="24"/>
                <w:vertAlign w:val="superscript"/>
              </w:rPr>
              <w:t>1</w:t>
            </w:r>
            <w:r w:rsidRPr="00D46D99">
              <w:rPr>
                <w:sz w:val="24"/>
                <w:vertAlign w:val="superscript"/>
              </w:rPr>
              <w:t xml:space="preserve"> </w:t>
            </w:r>
            <w:r w:rsidRPr="00D46D99">
              <w:rPr>
                <w:rFonts w:cs="Arial"/>
                <w:sz w:val="18"/>
                <w:szCs w:val="18"/>
              </w:rPr>
              <w:t xml:space="preserve">These include 5401 Publishing (except </w:t>
            </w:r>
            <w:proofErr w:type="spellStart"/>
            <w:r w:rsidR="007F09D9">
              <w:rPr>
                <w:rFonts w:cs="Arial"/>
                <w:sz w:val="18"/>
                <w:szCs w:val="18"/>
              </w:rPr>
              <w:t>i</w:t>
            </w:r>
            <w:r w:rsidRPr="00D46D99">
              <w:rPr>
                <w:rFonts w:cs="Arial"/>
                <w:sz w:val="18"/>
                <w:szCs w:val="18"/>
              </w:rPr>
              <w:t>nternet</w:t>
            </w:r>
            <w:proofErr w:type="spellEnd"/>
            <w:r w:rsidRPr="00D46D99">
              <w:rPr>
                <w:rFonts w:cs="Arial"/>
                <w:sz w:val="18"/>
                <w:szCs w:val="18"/>
              </w:rPr>
              <w:t xml:space="preserve"> and </w:t>
            </w:r>
            <w:r w:rsidR="007F09D9">
              <w:rPr>
                <w:rFonts w:cs="Arial"/>
                <w:sz w:val="18"/>
                <w:szCs w:val="18"/>
              </w:rPr>
              <w:t>m</w:t>
            </w:r>
            <w:r w:rsidRPr="00D46D99">
              <w:rPr>
                <w:rFonts w:cs="Arial"/>
                <w:sz w:val="18"/>
                <w:szCs w:val="18"/>
              </w:rPr>
              <w:t xml:space="preserve">usic </w:t>
            </w:r>
            <w:r w:rsidR="007F09D9">
              <w:rPr>
                <w:rFonts w:cs="Arial"/>
                <w:sz w:val="18"/>
                <w:szCs w:val="18"/>
              </w:rPr>
              <w:t>p</w:t>
            </w:r>
            <w:r w:rsidRPr="00D46D99">
              <w:rPr>
                <w:rFonts w:cs="Arial"/>
                <w:sz w:val="18"/>
                <w:szCs w:val="18"/>
              </w:rPr>
              <w:t xml:space="preserve">ublishing); 5501 Motion </w:t>
            </w:r>
            <w:r w:rsidR="007F09D9">
              <w:rPr>
                <w:rFonts w:cs="Arial"/>
                <w:sz w:val="18"/>
                <w:szCs w:val="18"/>
              </w:rPr>
              <w:t>p</w:t>
            </w:r>
            <w:r w:rsidRPr="00D46D99">
              <w:rPr>
                <w:rFonts w:cs="Arial"/>
                <w:sz w:val="18"/>
                <w:szCs w:val="18"/>
              </w:rPr>
              <w:t xml:space="preserve">icture and </w:t>
            </w:r>
            <w:r w:rsidR="007F09D9">
              <w:rPr>
                <w:rFonts w:cs="Arial"/>
                <w:sz w:val="18"/>
                <w:szCs w:val="18"/>
              </w:rPr>
              <w:t>s</w:t>
            </w:r>
            <w:r w:rsidRPr="00D46D99">
              <w:rPr>
                <w:rFonts w:cs="Arial"/>
                <w:sz w:val="18"/>
                <w:szCs w:val="18"/>
              </w:rPr>
              <w:t xml:space="preserve">ound </w:t>
            </w:r>
            <w:r w:rsidR="007F09D9">
              <w:rPr>
                <w:rFonts w:cs="Arial"/>
                <w:sz w:val="18"/>
                <w:szCs w:val="18"/>
              </w:rPr>
              <w:t>r</w:t>
            </w:r>
            <w:r w:rsidRPr="00D46D99">
              <w:rPr>
                <w:rFonts w:cs="Arial"/>
                <w:sz w:val="18"/>
                <w:szCs w:val="18"/>
              </w:rPr>
              <w:t xml:space="preserve">ecording and 5701 Internet </w:t>
            </w:r>
            <w:r w:rsidR="007F09D9">
              <w:rPr>
                <w:rFonts w:cs="Arial"/>
                <w:sz w:val="18"/>
                <w:szCs w:val="18"/>
              </w:rPr>
              <w:t>p</w:t>
            </w:r>
            <w:r w:rsidRPr="00D46D99">
              <w:rPr>
                <w:rFonts w:cs="Arial"/>
                <w:sz w:val="18"/>
                <w:szCs w:val="18"/>
              </w:rPr>
              <w:t xml:space="preserve">ublishing and </w:t>
            </w:r>
            <w:r w:rsidR="007F09D9">
              <w:rPr>
                <w:rFonts w:cs="Arial"/>
                <w:sz w:val="18"/>
                <w:szCs w:val="18"/>
              </w:rPr>
              <w:t>b</w:t>
            </w:r>
            <w:r w:rsidRPr="00D46D99">
              <w:rPr>
                <w:rFonts w:cs="Arial"/>
                <w:sz w:val="18"/>
                <w:szCs w:val="18"/>
              </w:rPr>
              <w:t xml:space="preserve">roadcasting and </w:t>
            </w:r>
            <w:r w:rsidR="007F09D9">
              <w:rPr>
                <w:rFonts w:cs="Arial"/>
                <w:sz w:val="18"/>
                <w:szCs w:val="18"/>
              </w:rPr>
              <w:t>s</w:t>
            </w:r>
            <w:r w:rsidRPr="00D46D99">
              <w:rPr>
                <w:rFonts w:cs="Arial"/>
                <w:sz w:val="18"/>
                <w:szCs w:val="18"/>
              </w:rPr>
              <w:t xml:space="preserve">ervices </w:t>
            </w:r>
            <w:r w:rsidR="007F09D9">
              <w:rPr>
                <w:rFonts w:cs="Arial"/>
                <w:sz w:val="18"/>
                <w:szCs w:val="18"/>
              </w:rPr>
              <w:t>p</w:t>
            </w:r>
            <w:r w:rsidRPr="00D46D99">
              <w:rPr>
                <w:rFonts w:cs="Arial"/>
                <w:sz w:val="18"/>
                <w:szCs w:val="18"/>
              </w:rPr>
              <w:t xml:space="preserve">roviders, </w:t>
            </w:r>
            <w:proofErr w:type="spellStart"/>
            <w:r w:rsidR="007F09D9">
              <w:rPr>
                <w:rFonts w:cs="Arial"/>
                <w:sz w:val="18"/>
                <w:szCs w:val="18"/>
              </w:rPr>
              <w:t>w</w:t>
            </w:r>
            <w:r w:rsidRPr="00D46D99">
              <w:rPr>
                <w:rFonts w:cs="Arial"/>
                <w:sz w:val="18"/>
                <w:szCs w:val="18"/>
              </w:rPr>
              <w:t>ebsearch</w:t>
            </w:r>
            <w:proofErr w:type="spellEnd"/>
            <w:r w:rsidRPr="00D46D99">
              <w:rPr>
                <w:rFonts w:cs="Arial"/>
                <w:sz w:val="18"/>
                <w:szCs w:val="18"/>
              </w:rPr>
              <w:t xml:space="preserve"> </w:t>
            </w:r>
            <w:r w:rsidR="007F09D9">
              <w:rPr>
                <w:rFonts w:cs="Arial"/>
                <w:sz w:val="18"/>
                <w:szCs w:val="18"/>
              </w:rPr>
              <w:t>p</w:t>
            </w:r>
            <w:r w:rsidRPr="00D46D99">
              <w:rPr>
                <w:rFonts w:cs="Arial"/>
                <w:sz w:val="18"/>
                <w:szCs w:val="18"/>
              </w:rPr>
              <w:t xml:space="preserve">ortals and </w:t>
            </w:r>
            <w:r w:rsidR="007F09D9">
              <w:rPr>
                <w:rFonts w:cs="Arial"/>
                <w:sz w:val="18"/>
                <w:szCs w:val="18"/>
              </w:rPr>
              <w:t>d</w:t>
            </w:r>
            <w:r w:rsidRPr="00D46D99">
              <w:rPr>
                <w:rFonts w:cs="Arial"/>
                <w:sz w:val="18"/>
                <w:szCs w:val="18"/>
              </w:rPr>
              <w:t xml:space="preserve">ata </w:t>
            </w:r>
            <w:r w:rsidR="007F09D9">
              <w:rPr>
                <w:rFonts w:cs="Arial"/>
                <w:sz w:val="18"/>
                <w:szCs w:val="18"/>
              </w:rPr>
              <w:t>p</w:t>
            </w:r>
            <w:r w:rsidRPr="00D46D99">
              <w:rPr>
                <w:rFonts w:cs="Arial"/>
                <w:sz w:val="18"/>
                <w:szCs w:val="18"/>
              </w:rPr>
              <w:t xml:space="preserve">rocessing </w:t>
            </w:r>
            <w:r w:rsidR="007F09D9">
              <w:rPr>
                <w:rFonts w:cs="Arial"/>
                <w:sz w:val="18"/>
                <w:szCs w:val="18"/>
              </w:rPr>
              <w:t>s</w:t>
            </w:r>
            <w:r w:rsidRPr="00D46D99">
              <w:rPr>
                <w:rFonts w:cs="Arial"/>
                <w:sz w:val="18"/>
                <w:szCs w:val="18"/>
              </w:rPr>
              <w:t xml:space="preserve">ervices </w:t>
            </w:r>
          </w:p>
          <w:p w:rsidR="00391BF0" w:rsidRPr="00D46D99" w:rsidRDefault="00391BF0" w:rsidP="00024F32">
            <w:pPr>
              <w:pStyle w:val="Box"/>
              <w:spacing w:line="240" w:lineRule="atLeast"/>
            </w:pPr>
            <w:r w:rsidRPr="00D46D99">
              <w:rPr>
                <w:rStyle w:val="FootnoteReference"/>
                <w:rFonts w:ascii="Arial" w:hAnsi="Arial"/>
                <w:position w:val="0"/>
                <w:sz w:val="24"/>
                <w:vertAlign w:val="superscript"/>
              </w:rPr>
              <w:t>2</w:t>
            </w:r>
            <w:r w:rsidRPr="00D46D99">
              <w:rPr>
                <w:sz w:val="24"/>
                <w:vertAlign w:val="superscript"/>
              </w:rPr>
              <w:t xml:space="preserve"> </w:t>
            </w:r>
            <w:r w:rsidRPr="00D46D99">
              <w:rPr>
                <w:rFonts w:cs="Arial"/>
                <w:sz w:val="18"/>
                <w:szCs w:val="18"/>
              </w:rPr>
              <w:t xml:space="preserve">The </w:t>
            </w:r>
            <w:proofErr w:type="spellStart"/>
            <w:r w:rsidRPr="00D46D99">
              <w:rPr>
                <w:rFonts w:cs="Arial"/>
                <w:sz w:val="18"/>
                <w:szCs w:val="18"/>
              </w:rPr>
              <w:t>ANZSIC93</w:t>
            </w:r>
            <w:proofErr w:type="spellEnd"/>
            <w:r w:rsidRPr="00D46D99">
              <w:rPr>
                <w:rFonts w:cs="Arial"/>
                <w:sz w:val="18"/>
                <w:szCs w:val="18"/>
              </w:rPr>
              <w:t xml:space="preserve"> classes which were in 2402 Publishing; recorded media and publishing included: 2421</w:t>
            </w:r>
            <w:r w:rsidR="00024F32">
              <w:rPr>
                <w:rFonts w:cs="Arial"/>
                <w:sz w:val="18"/>
                <w:szCs w:val="18"/>
              </w:rPr>
              <w:t> </w:t>
            </w:r>
            <w:r w:rsidRPr="00D46D99">
              <w:rPr>
                <w:rFonts w:cs="Arial"/>
                <w:sz w:val="18"/>
                <w:szCs w:val="18"/>
              </w:rPr>
              <w:t xml:space="preserve">Newspaper </w:t>
            </w:r>
            <w:r w:rsidR="007F09D9">
              <w:rPr>
                <w:rFonts w:cs="Arial"/>
                <w:sz w:val="18"/>
                <w:szCs w:val="18"/>
              </w:rPr>
              <w:t>p</w:t>
            </w:r>
            <w:r w:rsidRPr="00D46D99">
              <w:rPr>
                <w:rFonts w:cs="Arial"/>
                <w:sz w:val="18"/>
                <w:szCs w:val="18"/>
              </w:rPr>
              <w:t xml:space="preserve">rinting or </w:t>
            </w:r>
            <w:r w:rsidR="007F09D9">
              <w:rPr>
                <w:rFonts w:cs="Arial"/>
                <w:sz w:val="18"/>
                <w:szCs w:val="18"/>
              </w:rPr>
              <w:t>p</w:t>
            </w:r>
            <w:r w:rsidRPr="00D46D99">
              <w:rPr>
                <w:rFonts w:cs="Arial"/>
                <w:sz w:val="18"/>
                <w:szCs w:val="18"/>
              </w:rPr>
              <w:t xml:space="preserve">ublishing; 2422 Other </w:t>
            </w:r>
            <w:r w:rsidR="007F09D9">
              <w:rPr>
                <w:rFonts w:cs="Arial"/>
                <w:sz w:val="18"/>
                <w:szCs w:val="18"/>
              </w:rPr>
              <w:t>p</w:t>
            </w:r>
            <w:r w:rsidRPr="00D46D99">
              <w:rPr>
                <w:rFonts w:cs="Arial"/>
                <w:sz w:val="18"/>
                <w:szCs w:val="18"/>
              </w:rPr>
              <w:t xml:space="preserve">eriodical </w:t>
            </w:r>
            <w:r w:rsidR="007F09D9">
              <w:rPr>
                <w:rFonts w:cs="Arial"/>
                <w:sz w:val="18"/>
                <w:szCs w:val="18"/>
              </w:rPr>
              <w:t>p</w:t>
            </w:r>
            <w:r w:rsidRPr="00D46D99">
              <w:rPr>
                <w:rFonts w:cs="Arial"/>
                <w:sz w:val="18"/>
                <w:szCs w:val="18"/>
              </w:rPr>
              <w:t xml:space="preserve">ublishing; 2423 Book and </w:t>
            </w:r>
            <w:r w:rsidR="007F09D9">
              <w:rPr>
                <w:rFonts w:cs="Arial"/>
                <w:sz w:val="18"/>
                <w:szCs w:val="18"/>
              </w:rPr>
              <w:t>o</w:t>
            </w:r>
            <w:r w:rsidRPr="00D46D99">
              <w:rPr>
                <w:rFonts w:cs="Arial"/>
                <w:sz w:val="18"/>
                <w:szCs w:val="18"/>
              </w:rPr>
              <w:t xml:space="preserve">ther </w:t>
            </w:r>
            <w:r w:rsidR="007F09D9">
              <w:rPr>
                <w:rFonts w:cs="Arial"/>
                <w:sz w:val="18"/>
                <w:szCs w:val="18"/>
              </w:rPr>
              <w:t>p</w:t>
            </w:r>
            <w:r w:rsidRPr="00D46D99">
              <w:rPr>
                <w:rFonts w:cs="Arial"/>
                <w:sz w:val="18"/>
                <w:szCs w:val="18"/>
              </w:rPr>
              <w:t xml:space="preserve">ublishing and 2430 Recorded </w:t>
            </w:r>
            <w:r w:rsidR="007F09D9">
              <w:rPr>
                <w:rFonts w:cs="Arial"/>
                <w:sz w:val="18"/>
                <w:szCs w:val="18"/>
              </w:rPr>
              <w:t>m</w:t>
            </w:r>
            <w:r w:rsidRPr="00D46D99">
              <w:rPr>
                <w:rFonts w:cs="Arial"/>
                <w:sz w:val="18"/>
                <w:szCs w:val="18"/>
              </w:rPr>
              <w:t xml:space="preserve">edia </w:t>
            </w:r>
            <w:r w:rsidR="007F09D9">
              <w:rPr>
                <w:rFonts w:cs="Arial"/>
                <w:sz w:val="18"/>
                <w:szCs w:val="18"/>
              </w:rPr>
              <w:t>m</w:t>
            </w:r>
            <w:r w:rsidRPr="00D46D99">
              <w:rPr>
                <w:rFonts w:cs="Arial"/>
                <w:sz w:val="18"/>
                <w:szCs w:val="18"/>
              </w:rPr>
              <w:t xml:space="preserve">anufacturing and </w:t>
            </w:r>
            <w:r w:rsidR="007F09D9">
              <w:rPr>
                <w:rFonts w:cs="Arial"/>
                <w:sz w:val="18"/>
                <w:szCs w:val="18"/>
              </w:rPr>
              <w:t>p</w:t>
            </w:r>
            <w:r w:rsidRPr="00D46D99">
              <w:rPr>
                <w:rFonts w:cs="Arial"/>
                <w:sz w:val="18"/>
                <w:szCs w:val="18"/>
              </w:rPr>
              <w:t xml:space="preserve">ublishing. 2430 Recorded </w:t>
            </w:r>
            <w:r w:rsidR="007F09D9">
              <w:rPr>
                <w:rFonts w:cs="Arial"/>
                <w:sz w:val="18"/>
                <w:szCs w:val="18"/>
              </w:rPr>
              <w:t>m</w:t>
            </w:r>
            <w:r w:rsidRPr="00D46D99">
              <w:rPr>
                <w:rFonts w:cs="Arial"/>
                <w:sz w:val="18"/>
                <w:szCs w:val="18"/>
              </w:rPr>
              <w:t xml:space="preserve">edia </w:t>
            </w:r>
            <w:r w:rsidR="007F09D9">
              <w:rPr>
                <w:rFonts w:cs="Arial"/>
                <w:sz w:val="18"/>
                <w:szCs w:val="18"/>
              </w:rPr>
              <w:t>m</w:t>
            </w:r>
            <w:r w:rsidRPr="00D46D99">
              <w:rPr>
                <w:rFonts w:cs="Arial"/>
                <w:sz w:val="18"/>
                <w:szCs w:val="18"/>
              </w:rPr>
              <w:t xml:space="preserve">anufacturing and </w:t>
            </w:r>
            <w:r w:rsidR="007F09D9">
              <w:rPr>
                <w:rFonts w:cs="Arial"/>
                <w:sz w:val="18"/>
                <w:szCs w:val="18"/>
              </w:rPr>
              <w:t>p</w:t>
            </w:r>
            <w:r w:rsidRPr="00D46D99">
              <w:rPr>
                <w:rFonts w:cs="Arial"/>
                <w:sz w:val="18"/>
                <w:szCs w:val="18"/>
              </w:rPr>
              <w:t xml:space="preserve">ublishing corresponds to these ANZSIC06 classes: 1620 Reproduction of </w:t>
            </w:r>
            <w:r w:rsidR="007F09D9">
              <w:rPr>
                <w:rFonts w:cs="Arial"/>
                <w:sz w:val="18"/>
                <w:szCs w:val="18"/>
              </w:rPr>
              <w:t>r</w:t>
            </w:r>
            <w:r w:rsidRPr="00D46D99">
              <w:rPr>
                <w:rFonts w:cs="Arial"/>
                <w:sz w:val="18"/>
                <w:szCs w:val="18"/>
              </w:rPr>
              <w:t xml:space="preserve">ecorded </w:t>
            </w:r>
            <w:r w:rsidR="007F09D9">
              <w:rPr>
                <w:rFonts w:cs="Arial"/>
                <w:sz w:val="18"/>
                <w:szCs w:val="18"/>
              </w:rPr>
              <w:t>m</w:t>
            </w:r>
            <w:r w:rsidRPr="00D46D99">
              <w:rPr>
                <w:rFonts w:cs="Arial"/>
                <w:sz w:val="18"/>
                <w:szCs w:val="18"/>
              </w:rPr>
              <w:t xml:space="preserve">edia (which is part of Manufacturing) and partially to 5420 Software </w:t>
            </w:r>
            <w:r w:rsidR="007F09D9">
              <w:rPr>
                <w:rFonts w:cs="Arial"/>
                <w:sz w:val="18"/>
                <w:szCs w:val="18"/>
              </w:rPr>
              <w:t>p</w:t>
            </w:r>
            <w:r w:rsidRPr="00D46D99">
              <w:rPr>
                <w:rFonts w:cs="Arial"/>
                <w:sz w:val="18"/>
                <w:szCs w:val="18"/>
              </w:rPr>
              <w:t xml:space="preserve">ublishing and 5521 Music </w:t>
            </w:r>
            <w:r w:rsidR="007F09D9">
              <w:rPr>
                <w:rFonts w:cs="Arial"/>
                <w:sz w:val="18"/>
                <w:szCs w:val="18"/>
              </w:rPr>
              <w:t>p</w:t>
            </w:r>
            <w:r w:rsidRPr="00D46D99">
              <w:rPr>
                <w:rFonts w:cs="Arial"/>
                <w:sz w:val="18"/>
                <w:szCs w:val="18"/>
              </w:rPr>
              <w:t xml:space="preserve">ublishing (which are outside of Manufacturing). 2421 Newspaper </w:t>
            </w:r>
            <w:r w:rsidR="007F09D9">
              <w:rPr>
                <w:rFonts w:cs="Arial"/>
                <w:sz w:val="18"/>
                <w:szCs w:val="18"/>
              </w:rPr>
              <w:t>p</w:t>
            </w:r>
            <w:r w:rsidRPr="00D46D99">
              <w:rPr>
                <w:rFonts w:cs="Arial"/>
                <w:sz w:val="18"/>
                <w:szCs w:val="18"/>
              </w:rPr>
              <w:t xml:space="preserve">rinting or </w:t>
            </w:r>
            <w:r w:rsidR="007F09D9">
              <w:rPr>
                <w:rFonts w:cs="Arial"/>
                <w:sz w:val="18"/>
                <w:szCs w:val="18"/>
              </w:rPr>
              <w:t>p</w:t>
            </w:r>
            <w:r w:rsidRPr="00D46D99">
              <w:rPr>
                <w:rFonts w:cs="Arial"/>
                <w:sz w:val="18"/>
                <w:szCs w:val="18"/>
              </w:rPr>
              <w:t xml:space="preserve">ublishing corresponds partially to these ANZSIC06 classes: 1611 Printing (which is part of Manufacturing) and 5411 Newspaper </w:t>
            </w:r>
            <w:r w:rsidR="007F09D9">
              <w:rPr>
                <w:rFonts w:cs="Arial"/>
                <w:sz w:val="18"/>
                <w:szCs w:val="18"/>
              </w:rPr>
              <w:t>p</w:t>
            </w:r>
            <w:r w:rsidRPr="00D46D99">
              <w:rPr>
                <w:rFonts w:cs="Arial"/>
                <w:sz w:val="18"/>
                <w:szCs w:val="18"/>
              </w:rPr>
              <w:t>ublishing.</w:t>
            </w:r>
            <w:r w:rsidRPr="00D46D99">
              <w:rPr>
                <w:rFonts w:ascii="Times New Roman" w:hAnsi="Times New Roman"/>
                <w:sz w:val="20"/>
              </w:rPr>
              <w:t xml:space="preserve"> </w:t>
            </w:r>
          </w:p>
        </w:tc>
      </w:tr>
      <w:tr w:rsidR="00391BF0" w:rsidRPr="00D46D99">
        <w:trPr>
          <w:cantSplit/>
        </w:trPr>
        <w:tc>
          <w:tcPr>
            <w:tcW w:w="8771" w:type="dxa"/>
            <w:tcBorders>
              <w:top w:val="nil"/>
              <w:left w:val="single" w:sz="6" w:space="0" w:color="auto"/>
              <w:bottom w:val="single" w:sz="6" w:space="0" w:color="auto"/>
              <w:right w:val="single" w:sz="6" w:space="0" w:color="auto"/>
            </w:tcBorders>
          </w:tcPr>
          <w:p w:rsidR="00391BF0" w:rsidRPr="00D46D99" w:rsidRDefault="00391BF0">
            <w:pPr>
              <w:pStyle w:val="Box"/>
              <w:spacing w:before="0" w:line="120" w:lineRule="exact"/>
            </w:pPr>
          </w:p>
        </w:tc>
      </w:tr>
      <w:tr w:rsidR="00391BF0" w:rsidRPr="00D46D99">
        <w:tc>
          <w:tcPr>
            <w:tcW w:w="8771" w:type="dxa"/>
            <w:tcBorders>
              <w:top w:val="nil"/>
              <w:left w:val="nil"/>
              <w:bottom w:val="nil"/>
              <w:right w:val="nil"/>
            </w:tcBorders>
          </w:tcPr>
          <w:p w:rsidR="00391BF0" w:rsidRPr="00D46D99" w:rsidRDefault="00391BF0" w:rsidP="00391BF0">
            <w:pPr>
              <w:pStyle w:val="BoxSpaceBelow"/>
            </w:pPr>
          </w:p>
        </w:tc>
      </w:tr>
    </w:tbl>
    <w:p w:rsidR="00D06DF2" w:rsidRPr="00D46D99" w:rsidRDefault="00403C38" w:rsidP="00D06DF2">
      <w:pPr>
        <w:pStyle w:val="Heading2"/>
      </w:pPr>
      <w:proofErr w:type="spellStart"/>
      <w:r w:rsidRPr="00D46D99">
        <w:lastRenderedPageBreak/>
        <w:t>B.</w:t>
      </w:r>
      <w:r w:rsidR="00E2360E">
        <w:rPr>
          <w:noProof/>
        </w:rPr>
        <w:t>2</w:t>
      </w:r>
      <w:proofErr w:type="spellEnd"/>
      <w:r w:rsidR="00D06DF2" w:rsidRPr="00D46D99">
        <w:tab/>
        <w:t>Manufacturing linkages to other sectors</w:t>
      </w:r>
    </w:p>
    <w:p w:rsidR="00D06DF2" w:rsidRPr="00FE45BC" w:rsidRDefault="00D06DF2" w:rsidP="00B05CE2">
      <w:pPr>
        <w:pStyle w:val="BodyText"/>
      </w:pPr>
      <w:r w:rsidRPr="00FE45BC">
        <w:t xml:space="preserve">Manufacturing largely occupies a central position along the supply chain and therefore has a high level of linkages, not only within itself, but also with other sectors of </w:t>
      </w:r>
      <w:r w:rsidR="00E91877" w:rsidRPr="00FE45BC">
        <w:t>the Australian economy. It is a</w:t>
      </w:r>
      <w:r w:rsidRPr="00FE45BC">
        <w:t xml:space="preserve"> large downstream user of output from Manufacturing itself, as well as from Agriculture and Mining and a large upstream supplier to Construction and Transport.</w:t>
      </w:r>
    </w:p>
    <w:p w:rsidR="00D06DF2" w:rsidRDefault="00D06DF2" w:rsidP="00D06DF2">
      <w:pPr>
        <w:pStyle w:val="BodyText"/>
      </w:pPr>
      <w:r w:rsidRPr="00D46D99">
        <w:t xml:space="preserve">Table </w:t>
      </w:r>
      <w:proofErr w:type="spellStart"/>
      <w:r w:rsidR="00847B80" w:rsidRPr="00D46D99">
        <w:t>B.1</w:t>
      </w:r>
      <w:proofErr w:type="spellEnd"/>
      <w:r w:rsidRPr="00D46D99">
        <w:t xml:space="preserve"> shows the </w:t>
      </w:r>
      <w:r w:rsidR="001954EC">
        <w:t>IO</w:t>
      </w:r>
      <w:r w:rsidRPr="00D46D99">
        <w:t xml:space="preserve"> linkages between Agriculture, Mining, Manufacturing and a selection of service sectors for </w:t>
      </w:r>
      <w:r w:rsidR="00AA1874" w:rsidRPr="00D46D99">
        <w:t>2008-09, the latest year for which IO tables have been released by the ABS.</w:t>
      </w:r>
      <w:r w:rsidRPr="00D46D99">
        <w:t xml:space="preserve"> This table shows the direct requirement coefficients which are the value of the flows from the supply industry (the row heading), expressed as a percentage of the value of total output produced by the use industry (the column heading). The column for Manufacturing shows the contributions of intermediate inputs from the supply industries to the value of Manufacturing output. Every $100 of </w:t>
      </w:r>
      <w:r w:rsidR="00A83C0F">
        <w:t>M</w:t>
      </w:r>
      <w:r w:rsidRPr="00D46D99">
        <w:t>anufacturing output prod</w:t>
      </w:r>
      <w:r w:rsidR="00AA1874" w:rsidRPr="00D46D99">
        <w:t>uced required, on average, $55.50 of intermediate inputs ($7.20</w:t>
      </w:r>
      <w:r w:rsidR="004B728C" w:rsidRPr="00D46D99">
        <w:t xml:space="preserve"> from Agriculture, $8.30 from Mining, $19.50</w:t>
      </w:r>
      <w:r w:rsidRPr="00D46D99">
        <w:t xml:space="preserve"> from Manufacturing and the rest from services). Since these data are based on a direct allocation of imports table from the ABS, the intermediate flows between industry refers only to domestic products. </w:t>
      </w:r>
    </w:p>
    <w:p w:rsidR="007B4926" w:rsidRPr="005C5735" w:rsidRDefault="007B4926" w:rsidP="007B4926">
      <w:pPr>
        <w:pStyle w:val="TableTitle"/>
        <w:spacing w:line="240" w:lineRule="auto"/>
      </w:pPr>
      <w:r w:rsidRPr="00D46D99">
        <w:rPr>
          <w:b w:val="0"/>
        </w:rPr>
        <w:t xml:space="preserve">Table </w:t>
      </w:r>
      <w:bookmarkStart w:id="6" w:name="OLE_LINK10"/>
      <w:proofErr w:type="spellStart"/>
      <w:r w:rsidRPr="00D46D99">
        <w:rPr>
          <w:b w:val="0"/>
        </w:rPr>
        <w:t>B.</w:t>
      </w:r>
      <w:r>
        <w:rPr>
          <w:b w:val="0"/>
          <w:noProof/>
        </w:rPr>
        <w:t>1</w:t>
      </w:r>
      <w:bookmarkEnd w:id="6"/>
      <w:proofErr w:type="spellEnd"/>
      <w:r w:rsidRPr="00D46D99">
        <w:tab/>
        <w:t>Input-output linkages between sectors</w:t>
      </w:r>
      <w:r>
        <w:t>,</w:t>
      </w:r>
      <w:r w:rsidRPr="00D46D99">
        <w:rPr>
          <w:rStyle w:val="NoteLabel"/>
          <w:b/>
        </w:rPr>
        <w:t>a</w:t>
      </w:r>
      <w:r>
        <w:t xml:space="preserve"> 2008-09</w:t>
      </w:r>
    </w:p>
    <w:p w:rsidR="007B4926" w:rsidRPr="00D46D99" w:rsidRDefault="007B4926" w:rsidP="007B4926">
      <w:pPr>
        <w:pStyle w:val="Subtitle"/>
        <w:spacing w:line="240" w:lineRule="auto"/>
      </w:pPr>
      <w:r>
        <w:t>Per cent</w:t>
      </w:r>
    </w:p>
    <w:tbl>
      <w:tblPr>
        <w:tblW w:w="5000" w:type="pct"/>
        <w:tblLayout w:type="fixed"/>
        <w:tblCellMar>
          <w:left w:w="0" w:type="dxa"/>
          <w:right w:w="0" w:type="dxa"/>
        </w:tblCellMar>
        <w:tblLook w:val="0000" w:firstRow="0" w:lastRow="0" w:firstColumn="0" w:lastColumn="0" w:noHBand="0" w:noVBand="0"/>
      </w:tblPr>
      <w:tblGrid>
        <w:gridCol w:w="425"/>
        <w:gridCol w:w="1382"/>
        <w:gridCol w:w="997"/>
        <w:gridCol w:w="997"/>
        <w:gridCol w:w="998"/>
        <w:gridCol w:w="997"/>
        <w:gridCol w:w="998"/>
        <w:gridCol w:w="997"/>
        <w:gridCol w:w="998"/>
      </w:tblGrid>
      <w:tr w:rsidR="007B4926" w:rsidRPr="00D46D99" w:rsidTr="00A25F6B">
        <w:tc>
          <w:tcPr>
            <w:tcW w:w="242" w:type="pct"/>
            <w:tcBorders>
              <w:top w:val="single" w:sz="4" w:space="0" w:color="auto"/>
            </w:tcBorders>
          </w:tcPr>
          <w:p w:rsidR="007B4926" w:rsidRPr="00D46D99" w:rsidRDefault="007B4926" w:rsidP="00A25F6B">
            <w:pPr>
              <w:pStyle w:val="TableColumnHeading"/>
              <w:spacing w:line="240" w:lineRule="auto"/>
              <w:jc w:val="left"/>
            </w:pPr>
          </w:p>
        </w:tc>
        <w:tc>
          <w:tcPr>
            <w:tcW w:w="786" w:type="pct"/>
            <w:tcBorders>
              <w:top w:val="single" w:sz="4" w:space="0" w:color="auto"/>
            </w:tcBorders>
          </w:tcPr>
          <w:p w:rsidR="007B4926" w:rsidRPr="00D46D99" w:rsidRDefault="007B4926" w:rsidP="00A25F6B">
            <w:pPr>
              <w:pStyle w:val="TableColumnHeading"/>
              <w:spacing w:line="240" w:lineRule="auto"/>
              <w:jc w:val="left"/>
              <w:rPr>
                <w:i w:val="0"/>
              </w:rPr>
            </w:pPr>
          </w:p>
        </w:tc>
        <w:tc>
          <w:tcPr>
            <w:tcW w:w="3972" w:type="pct"/>
            <w:gridSpan w:val="7"/>
            <w:tcBorders>
              <w:top w:val="single" w:sz="6" w:space="0" w:color="auto"/>
              <w:bottom w:val="single" w:sz="6" w:space="0" w:color="auto"/>
            </w:tcBorders>
            <w:vAlign w:val="bottom"/>
          </w:tcPr>
          <w:p w:rsidR="007B4926" w:rsidRPr="00F122F3" w:rsidRDefault="007B4926" w:rsidP="00A25F6B">
            <w:pPr>
              <w:pStyle w:val="TableColumnHeading"/>
              <w:jc w:val="center"/>
              <w:rPr>
                <w:b/>
              </w:rPr>
            </w:pPr>
            <w:r w:rsidRPr="00F122F3">
              <w:rPr>
                <w:b/>
              </w:rPr>
              <w:t>TO</w:t>
            </w:r>
          </w:p>
        </w:tc>
      </w:tr>
      <w:tr w:rsidR="007B4926" w:rsidRPr="00D46D99" w:rsidTr="00A25F6B">
        <w:tc>
          <w:tcPr>
            <w:tcW w:w="242" w:type="pct"/>
            <w:tcBorders>
              <w:bottom w:val="single" w:sz="6" w:space="0" w:color="auto"/>
            </w:tcBorders>
          </w:tcPr>
          <w:p w:rsidR="007B4926" w:rsidRPr="00D46D99" w:rsidRDefault="007B4926" w:rsidP="00A25F6B">
            <w:pPr>
              <w:pStyle w:val="TableColumnHeading"/>
              <w:spacing w:line="240" w:lineRule="auto"/>
            </w:pPr>
          </w:p>
        </w:tc>
        <w:tc>
          <w:tcPr>
            <w:tcW w:w="786" w:type="pct"/>
            <w:tcBorders>
              <w:bottom w:val="single" w:sz="6" w:space="0" w:color="auto"/>
            </w:tcBorders>
          </w:tcPr>
          <w:p w:rsidR="007B4926" w:rsidRPr="00D46D99" w:rsidRDefault="007B4926" w:rsidP="00A25F6B">
            <w:pPr>
              <w:pStyle w:val="TableColumnHeading"/>
              <w:spacing w:line="240" w:lineRule="auto"/>
              <w:rPr>
                <w:i w:val="0"/>
              </w:rPr>
            </w:pPr>
          </w:p>
        </w:tc>
        <w:tc>
          <w:tcPr>
            <w:tcW w:w="567" w:type="pct"/>
            <w:tcBorders>
              <w:top w:val="single" w:sz="6" w:space="0" w:color="auto"/>
              <w:bottom w:val="single" w:sz="6" w:space="0" w:color="auto"/>
            </w:tcBorders>
            <w:vAlign w:val="bottom"/>
          </w:tcPr>
          <w:p w:rsidR="007B4926" w:rsidRPr="00D46D99" w:rsidRDefault="007B4926" w:rsidP="00A25F6B">
            <w:pPr>
              <w:pStyle w:val="TableColumnHeading"/>
            </w:pPr>
            <w:r w:rsidRPr="00D46D99">
              <w:t>Ag.</w:t>
            </w:r>
          </w:p>
        </w:tc>
        <w:tc>
          <w:tcPr>
            <w:tcW w:w="567" w:type="pct"/>
            <w:tcBorders>
              <w:top w:val="single" w:sz="6" w:space="0" w:color="auto"/>
              <w:bottom w:val="single" w:sz="6" w:space="0" w:color="auto"/>
            </w:tcBorders>
            <w:vAlign w:val="bottom"/>
          </w:tcPr>
          <w:p w:rsidR="007B4926" w:rsidRPr="00D46D99" w:rsidRDefault="007B4926" w:rsidP="00A25F6B">
            <w:pPr>
              <w:pStyle w:val="TableColumnHeading"/>
            </w:pPr>
            <w:r w:rsidRPr="00D46D99">
              <w:t>Mining</w:t>
            </w:r>
          </w:p>
        </w:tc>
        <w:tc>
          <w:tcPr>
            <w:tcW w:w="568" w:type="pct"/>
            <w:tcBorders>
              <w:top w:val="single" w:sz="6" w:space="0" w:color="auto"/>
              <w:bottom w:val="single" w:sz="6" w:space="0" w:color="auto"/>
            </w:tcBorders>
            <w:vAlign w:val="bottom"/>
          </w:tcPr>
          <w:p w:rsidR="007B4926" w:rsidRPr="00D46D99" w:rsidRDefault="007B4926" w:rsidP="00A25F6B">
            <w:pPr>
              <w:pStyle w:val="TableColumnHeading"/>
            </w:pPr>
            <w:proofErr w:type="spellStart"/>
            <w:r w:rsidRPr="00D46D99">
              <w:t>Mfg</w:t>
            </w:r>
            <w:proofErr w:type="spellEnd"/>
          </w:p>
        </w:tc>
        <w:tc>
          <w:tcPr>
            <w:tcW w:w="567" w:type="pct"/>
            <w:tcBorders>
              <w:top w:val="single" w:sz="6" w:space="0" w:color="auto"/>
              <w:bottom w:val="single" w:sz="6" w:space="0" w:color="auto"/>
            </w:tcBorders>
            <w:shd w:val="clear" w:color="auto" w:fill="auto"/>
            <w:vAlign w:val="bottom"/>
          </w:tcPr>
          <w:p w:rsidR="007B4926" w:rsidRPr="00D46D99" w:rsidRDefault="007B4926" w:rsidP="00A25F6B">
            <w:pPr>
              <w:pStyle w:val="TableColumnHeading"/>
              <w:ind w:left="-121" w:right="-16"/>
              <w:jc w:val="center"/>
            </w:pPr>
            <w:proofErr w:type="spellStart"/>
            <w:r w:rsidRPr="00D46D99">
              <w:t>EGWWS</w:t>
            </w:r>
            <w:proofErr w:type="spellEnd"/>
            <w:r>
              <w:rPr>
                <w:rStyle w:val="NoteLabel"/>
                <w:i w:val="0"/>
              </w:rPr>
              <w:t>b</w:t>
            </w:r>
          </w:p>
        </w:tc>
        <w:tc>
          <w:tcPr>
            <w:tcW w:w="568" w:type="pct"/>
            <w:tcBorders>
              <w:top w:val="single" w:sz="6" w:space="0" w:color="auto"/>
              <w:bottom w:val="single" w:sz="6" w:space="0" w:color="auto"/>
            </w:tcBorders>
            <w:shd w:val="clear" w:color="auto" w:fill="auto"/>
            <w:vAlign w:val="bottom"/>
          </w:tcPr>
          <w:p w:rsidR="007B4926" w:rsidRPr="00D46D99" w:rsidRDefault="007B4926" w:rsidP="00A25F6B">
            <w:pPr>
              <w:pStyle w:val="TableColumnHeading"/>
            </w:pPr>
            <w:r w:rsidRPr="00D46D99">
              <w:t>Constr.</w:t>
            </w:r>
          </w:p>
        </w:tc>
        <w:tc>
          <w:tcPr>
            <w:tcW w:w="567" w:type="pct"/>
            <w:tcBorders>
              <w:top w:val="single" w:sz="6" w:space="0" w:color="auto"/>
              <w:bottom w:val="single" w:sz="6" w:space="0" w:color="auto"/>
            </w:tcBorders>
            <w:vAlign w:val="bottom"/>
          </w:tcPr>
          <w:p w:rsidR="007B4926" w:rsidRPr="00D46D99" w:rsidRDefault="007B4926" w:rsidP="00A25F6B">
            <w:pPr>
              <w:pStyle w:val="TableColumnHeading"/>
            </w:pPr>
            <w:r w:rsidRPr="00D46D99">
              <w:t>Transport</w:t>
            </w:r>
          </w:p>
        </w:tc>
        <w:tc>
          <w:tcPr>
            <w:tcW w:w="568" w:type="pct"/>
            <w:tcBorders>
              <w:top w:val="single" w:sz="6" w:space="0" w:color="auto"/>
              <w:bottom w:val="single" w:sz="6" w:space="0" w:color="auto"/>
            </w:tcBorders>
            <w:shd w:val="clear" w:color="auto" w:fill="auto"/>
            <w:vAlign w:val="bottom"/>
          </w:tcPr>
          <w:p w:rsidR="007B4926" w:rsidRPr="00D46D99" w:rsidRDefault="007B4926" w:rsidP="00A25F6B">
            <w:pPr>
              <w:pStyle w:val="TableColumnHeading"/>
              <w:ind w:right="0"/>
            </w:pPr>
            <w:r w:rsidRPr="00D46D99">
              <w:t>Other services</w:t>
            </w:r>
            <w:r>
              <w:rPr>
                <w:rStyle w:val="NoteLabel"/>
                <w:i w:val="0"/>
              </w:rPr>
              <w:t>c</w:t>
            </w:r>
          </w:p>
        </w:tc>
      </w:tr>
      <w:tr w:rsidR="007B4926" w:rsidRPr="00D46D99" w:rsidTr="00A25F6B">
        <w:tc>
          <w:tcPr>
            <w:tcW w:w="242" w:type="pct"/>
            <w:vMerge w:val="restart"/>
          </w:tcPr>
          <w:tbl>
            <w:tblPr>
              <w:tblW w:w="486" w:type="dxa"/>
              <w:tblLayout w:type="fixed"/>
              <w:tblLook w:val="04A0" w:firstRow="1" w:lastRow="0" w:firstColumn="1" w:lastColumn="0" w:noHBand="0" w:noVBand="1"/>
            </w:tblPr>
            <w:tblGrid>
              <w:gridCol w:w="486"/>
            </w:tblGrid>
            <w:tr w:rsidR="007B4926" w:rsidRPr="00D46D99" w:rsidTr="00A25F6B">
              <w:trPr>
                <w:trHeight w:val="316"/>
              </w:trPr>
              <w:tc>
                <w:tcPr>
                  <w:tcW w:w="486" w:type="dxa"/>
                  <w:vMerge w:val="restart"/>
                  <w:tcBorders>
                    <w:top w:val="nil"/>
                    <w:left w:val="nil"/>
                    <w:bottom w:val="nil"/>
                    <w:right w:val="nil"/>
                  </w:tcBorders>
                  <w:shd w:val="clear" w:color="auto" w:fill="auto"/>
                  <w:noWrap/>
                  <w:textDirection w:val="btLr"/>
                  <w:vAlign w:val="center"/>
                  <w:hideMark/>
                </w:tcPr>
                <w:p w:rsidR="007B4926" w:rsidRPr="00F122F3" w:rsidRDefault="007B4926" w:rsidP="00A25F6B">
                  <w:pPr>
                    <w:pStyle w:val="TableColumnHeading"/>
                    <w:jc w:val="center"/>
                    <w:rPr>
                      <w:b/>
                    </w:rPr>
                  </w:pPr>
                  <w:r w:rsidRPr="00F122F3">
                    <w:rPr>
                      <w:b/>
                    </w:rPr>
                    <w:t>FROM</w:t>
                  </w:r>
                </w:p>
              </w:tc>
            </w:tr>
            <w:tr w:rsidR="007B4926" w:rsidRPr="00D46D99" w:rsidTr="00A25F6B">
              <w:trPr>
                <w:trHeight w:val="297"/>
              </w:trPr>
              <w:tc>
                <w:tcPr>
                  <w:tcW w:w="486" w:type="dxa"/>
                  <w:vMerge/>
                  <w:tcBorders>
                    <w:top w:val="nil"/>
                    <w:left w:val="nil"/>
                    <w:bottom w:val="nil"/>
                    <w:right w:val="nil"/>
                  </w:tcBorders>
                  <w:vAlign w:val="center"/>
                  <w:hideMark/>
                </w:tcPr>
                <w:p w:rsidR="007B4926" w:rsidRPr="00D46D99" w:rsidRDefault="007B4926" w:rsidP="00A25F6B">
                  <w:pPr>
                    <w:rPr>
                      <w:rFonts w:ascii="Calibri" w:hAnsi="Calibri" w:cs="Calibri"/>
                      <w:color w:val="000000"/>
                      <w:sz w:val="22"/>
                      <w:szCs w:val="22"/>
                    </w:rPr>
                  </w:pPr>
                </w:p>
              </w:tc>
            </w:tr>
            <w:tr w:rsidR="007B4926" w:rsidRPr="00D46D99" w:rsidTr="00A25F6B">
              <w:trPr>
                <w:trHeight w:val="297"/>
              </w:trPr>
              <w:tc>
                <w:tcPr>
                  <w:tcW w:w="486" w:type="dxa"/>
                  <w:vMerge/>
                  <w:tcBorders>
                    <w:top w:val="nil"/>
                    <w:left w:val="nil"/>
                    <w:bottom w:val="nil"/>
                    <w:right w:val="nil"/>
                  </w:tcBorders>
                  <w:vAlign w:val="center"/>
                  <w:hideMark/>
                </w:tcPr>
                <w:p w:rsidR="007B4926" w:rsidRPr="00D46D99" w:rsidRDefault="007B4926" w:rsidP="00A25F6B">
                  <w:pPr>
                    <w:rPr>
                      <w:rFonts w:ascii="Calibri" w:hAnsi="Calibri" w:cs="Calibri"/>
                      <w:color w:val="000000"/>
                      <w:sz w:val="22"/>
                      <w:szCs w:val="22"/>
                    </w:rPr>
                  </w:pPr>
                </w:p>
              </w:tc>
            </w:tr>
            <w:tr w:rsidR="007B4926" w:rsidRPr="00D46D99" w:rsidTr="00A25F6B">
              <w:trPr>
                <w:trHeight w:val="297"/>
              </w:trPr>
              <w:tc>
                <w:tcPr>
                  <w:tcW w:w="486" w:type="dxa"/>
                  <w:vMerge/>
                  <w:tcBorders>
                    <w:top w:val="nil"/>
                    <w:left w:val="nil"/>
                    <w:bottom w:val="nil"/>
                    <w:right w:val="nil"/>
                  </w:tcBorders>
                  <w:vAlign w:val="center"/>
                  <w:hideMark/>
                </w:tcPr>
                <w:p w:rsidR="007B4926" w:rsidRPr="00D46D99" w:rsidRDefault="007B4926" w:rsidP="00A25F6B">
                  <w:pPr>
                    <w:rPr>
                      <w:rFonts w:ascii="Calibri" w:hAnsi="Calibri" w:cs="Calibri"/>
                      <w:color w:val="000000"/>
                      <w:sz w:val="22"/>
                      <w:szCs w:val="22"/>
                    </w:rPr>
                  </w:pPr>
                </w:p>
              </w:tc>
            </w:tr>
            <w:tr w:rsidR="007B4926" w:rsidRPr="00D46D99" w:rsidTr="00A25F6B">
              <w:trPr>
                <w:trHeight w:val="297"/>
              </w:trPr>
              <w:tc>
                <w:tcPr>
                  <w:tcW w:w="486" w:type="dxa"/>
                  <w:vMerge/>
                  <w:tcBorders>
                    <w:top w:val="nil"/>
                    <w:left w:val="nil"/>
                    <w:bottom w:val="nil"/>
                    <w:right w:val="nil"/>
                  </w:tcBorders>
                  <w:vAlign w:val="center"/>
                  <w:hideMark/>
                </w:tcPr>
                <w:p w:rsidR="007B4926" w:rsidRPr="00D46D99" w:rsidRDefault="007B4926" w:rsidP="00A25F6B">
                  <w:pPr>
                    <w:rPr>
                      <w:rFonts w:ascii="Calibri" w:hAnsi="Calibri" w:cs="Calibri"/>
                      <w:color w:val="000000"/>
                      <w:sz w:val="22"/>
                      <w:szCs w:val="22"/>
                    </w:rPr>
                  </w:pPr>
                </w:p>
              </w:tc>
            </w:tr>
            <w:tr w:rsidR="007B4926" w:rsidRPr="00D46D99" w:rsidTr="00A25F6B">
              <w:trPr>
                <w:trHeight w:val="297"/>
              </w:trPr>
              <w:tc>
                <w:tcPr>
                  <w:tcW w:w="486" w:type="dxa"/>
                  <w:vMerge/>
                  <w:tcBorders>
                    <w:top w:val="nil"/>
                    <w:left w:val="nil"/>
                    <w:bottom w:val="nil"/>
                    <w:right w:val="nil"/>
                  </w:tcBorders>
                  <w:vAlign w:val="center"/>
                  <w:hideMark/>
                </w:tcPr>
                <w:p w:rsidR="007B4926" w:rsidRPr="00D46D99" w:rsidRDefault="007B4926" w:rsidP="00A25F6B">
                  <w:pPr>
                    <w:rPr>
                      <w:rFonts w:ascii="Calibri" w:hAnsi="Calibri" w:cs="Calibri"/>
                      <w:color w:val="000000"/>
                      <w:sz w:val="22"/>
                      <w:szCs w:val="22"/>
                    </w:rPr>
                  </w:pPr>
                </w:p>
              </w:tc>
            </w:tr>
            <w:tr w:rsidR="007B4926" w:rsidRPr="00D46D99" w:rsidTr="00A25F6B">
              <w:trPr>
                <w:trHeight w:val="297"/>
              </w:trPr>
              <w:tc>
                <w:tcPr>
                  <w:tcW w:w="486" w:type="dxa"/>
                  <w:vMerge/>
                  <w:tcBorders>
                    <w:top w:val="nil"/>
                    <w:left w:val="nil"/>
                    <w:bottom w:val="nil"/>
                    <w:right w:val="nil"/>
                  </w:tcBorders>
                  <w:vAlign w:val="center"/>
                  <w:hideMark/>
                </w:tcPr>
                <w:p w:rsidR="007B4926" w:rsidRPr="00D46D99" w:rsidRDefault="007B4926" w:rsidP="00A25F6B">
                  <w:pPr>
                    <w:rPr>
                      <w:rFonts w:ascii="Calibri" w:hAnsi="Calibri" w:cs="Calibri"/>
                      <w:color w:val="000000"/>
                      <w:sz w:val="22"/>
                      <w:szCs w:val="22"/>
                    </w:rPr>
                  </w:pPr>
                </w:p>
              </w:tc>
            </w:tr>
            <w:tr w:rsidR="007B4926" w:rsidRPr="00D46D99" w:rsidTr="00A25F6B">
              <w:trPr>
                <w:trHeight w:val="297"/>
              </w:trPr>
              <w:tc>
                <w:tcPr>
                  <w:tcW w:w="486" w:type="dxa"/>
                  <w:vMerge/>
                  <w:tcBorders>
                    <w:top w:val="nil"/>
                    <w:left w:val="nil"/>
                    <w:bottom w:val="nil"/>
                    <w:right w:val="nil"/>
                  </w:tcBorders>
                  <w:vAlign w:val="center"/>
                  <w:hideMark/>
                </w:tcPr>
                <w:p w:rsidR="007B4926" w:rsidRPr="00D46D99" w:rsidRDefault="007B4926" w:rsidP="00A25F6B">
                  <w:pPr>
                    <w:rPr>
                      <w:rFonts w:ascii="Calibri" w:hAnsi="Calibri" w:cs="Calibri"/>
                      <w:color w:val="000000"/>
                      <w:sz w:val="22"/>
                      <w:szCs w:val="22"/>
                    </w:rPr>
                  </w:pPr>
                </w:p>
              </w:tc>
            </w:tr>
            <w:tr w:rsidR="007B4926" w:rsidRPr="00D46D99" w:rsidTr="00A25F6B">
              <w:trPr>
                <w:trHeight w:val="297"/>
              </w:trPr>
              <w:tc>
                <w:tcPr>
                  <w:tcW w:w="486" w:type="dxa"/>
                  <w:vMerge/>
                  <w:tcBorders>
                    <w:top w:val="nil"/>
                    <w:left w:val="nil"/>
                    <w:bottom w:val="nil"/>
                    <w:right w:val="nil"/>
                  </w:tcBorders>
                  <w:vAlign w:val="center"/>
                  <w:hideMark/>
                </w:tcPr>
                <w:p w:rsidR="007B4926" w:rsidRPr="00D46D99" w:rsidRDefault="007B4926" w:rsidP="00A25F6B">
                  <w:pPr>
                    <w:rPr>
                      <w:rFonts w:ascii="Calibri" w:hAnsi="Calibri" w:cs="Calibri"/>
                      <w:color w:val="000000"/>
                      <w:sz w:val="22"/>
                      <w:szCs w:val="22"/>
                    </w:rPr>
                  </w:pPr>
                </w:p>
              </w:tc>
            </w:tr>
            <w:tr w:rsidR="007B4926" w:rsidRPr="00D46D99" w:rsidTr="00A25F6B">
              <w:trPr>
                <w:trHeight w:val="419"/>
              </w:trPr>
              <w:tc>
                <w:tcPr>
                  <w:tcW w:w="486" w:type="dxa"/>
                  <w:vMerge/>
                  <w:tcBorders>
                    <w:top w:val="nil"/>
                    <w:left w:val="nil"/>
                    <w:bottom w:val="nil"/>
                    <w:right w:val="nil"/>
                  </w:tcBorders>
                  <w:vAlign w:val="center"/>
                  <w:hideMark/>
                </w:tcPr>
                <w:p w:rsidR="007B4926" w:rsidRPr="00D46D99" w:rsidRDefault="007B4926" w:rsidP="00A25F6B">
                  <w:pPr>
                    <w:rPr>
                      <w:rFonts w:ascii="Calibri" w:hAnsi="Calibri" w:cs="Calibri"/>
                      <w:color w:val="000000"/>
                      <w:sz w:val="22"/>
                      <w:szCs w:val="22"/>
                    </w:rPr>
                  </w:pPr>
                </w:p>
              </w:tc>
            </w:tr>
          </w:tbl>
          <w:p w:rsidR="007B4926" w:rsidRPr="00D46D99" w:rsidRDefault="007B4926" w:rsidP="00A25F6B">
            <w:pPr>
              <w:pStyle w:val="TableBodyText"/>
              <w:spacing w:line="240" w:lineRule="auto"/>
              <w:jc w:val="left"/>
            </w:pPr>
          </w:p>
        </w:tc>
        <w:tc>
          <w:tcPr>
            <w:tcW w:w="786" w:type="pct"/>
            <w:shd w:val="clear" w:color="auto" w:fill="D9D9D9" w:themeFill="background1" w:themeFillShade="D9"/>
            <w:vAlign w:val="bottom"/>
          </w:tcPr>
          <w:p w:rsidR="007B4926" w:rsidRPr="00D46D99" w:rsidRDefault="007B4926" w:rsidP="00A25F6B">
            <w:pPr>
              <w:pStyle w:val="TableBodyText"/>
              <w:jc w:val="left"/>
            </w:pPr>
            <w:r w:rsidRPr="00D46D99">
              <w:t>Agriculture</w:t>
            </w:r>
          </w:p>
        </w:tc>
        <w:tc>
          <w:tcPr>
            <w:tcW w:w="567" w:type="pct"/>
            <w:shd w:val="clear" w:color="auto" w:fill="D9D9D9" w:themeFill="background1" w:themeFillShade="D9"/>
            <w:vAlign w:val="bottom"/>
          </w:tcPr>
          <w:p w:rsidR="007B4926" w:rsidRPr="00D46D99" w:rsidRDefault="007B4926" w:rsidP="00A25F6B">
            <w:pPr>
              <w:pStyle w:val="TableBodyText"/>
            </w:pPr>
            <w:r w:rsidRPr="00D46D99">
              <w:t>18.4</w:t>
            </w:r>
          </w:p>
        </w:tc>
        <w:tc>
          <w:tcPr>
            <w:tcW w:w="567" w:type="pct"/>
            <w:shd w:val="clear" w:color="auto" w:fill="D9D9D9" w:themeFill="background1" w:themeFillShade="D9"/>
            <w:vAlign w:val="bottom"/>
          </w:tcPr>
          <w:p w:rsidR="007B4926" w:rsidRPr="00D46D99" w:rsidRDefault="007B4926" w:rsidP="00A25F6B">
            <w:pPr>
              <w:pStyle w:val="TableBodyText"/>
            </w:pPr>
            <w:r w:rsidRPr="00D46D99">
              <w:t>0.1</w:t>
            </w:r>
          </w:p>
        </w:tc>
        <w:tc>
          <w:tcPr>
            <w:tcW w:w="568" w:type="pct"/>
            <w:shd w:val="clear" w:color="auto" w:fill="D9D9D9" w:themeFill="background1" w:themeFillShade="D9"/>
            <w:vAlign w:val="bottom"/>
          </w:tcPr>
          <w:p w:rsidR="007B4926" w:rsidRPr="00D46D99" w:rsidRDefault="007B4926" w:rsidP="00A25F6B">
            <w:pPr>
              <w:pStyle w:val="TableBodyText"/>
              <w:rPr>
                <w:b/>
                <w:bCs/>
              </w:rPr>
            </w:pPr>
            <w:r w:rsidRPr="00D46D99">
              <w:rPr>
                <w:b/>
                <w:bCs/>
              </w:rPr>
              <w:t>7.2</w:t>
            </w:r>
          </w:p>
        </w:tc>
        <w:tc>
          <w:tcPr>
            <w:tcW w:w="567" w:type="pct"/>
            <w:shd w:val="clear" w:color="auto" w:fill="D9D9D9" w:themeFill="background1" w:themeFillShade="D9"/>
            <w:vAlign w:val="bottom"/>
          </w:tcPr>
          <w:p w:rsidR="007B4926" w:rsidRPr="00D46D99" w:rsidRDefault="007B4926" w:rsidP="00A25F6B">
            <w:pPr>
              <w:pStyle w:val="TableBodyText"/>
            </w:pPr>
            <w:r w:rsidRPr="00D46D99">
              <w:t>0.0</w:t>
            </w:r>
          </w:p>
        </w:tc>
        <w:tc>
          <w:tcPr>
            <w:tcW w:w="568" w:type="pct"/>
            <w:shd w:val="clear" w:color="auto" w:fill="D9D9D9" w:themeFill="background1" w:themeFillShade="D9"/>
            <w:vAlign w:val="bottom"/>
          </w:tcPr>
          <w:p w:rsidR="007B4926" w:rsidRPr="00D46D99" w:rsidRDefault="007B4926" w:rsidP="00A25F6B">
            <w:pPr>
              <w:pStyle w:val="TableBodyText"/>
            </w:pPr>
            <w:r w:rsidRPr="00D46D99">
              <w:t>0.1</w:t>
            </w:r>
          </w:p>
        </w:tc>
        <w:tc>
          <w:tcPr>
            <w:tcW w:w="567" w:type="pct"/>
            <w:shd w:val="clear" w:color="auto" w:fill="D9D9D9" w:themeFill="background1" w:themeFillShade="D9"/>
            <w:vAlign w:val="bottom"/>
          </w:tcPr>
          <w:p w:rsidR="007B4926" w:rsidRPr="00D46D99" w:rsidRDefault="007B4926" w:rsidP="00A25F6B">
            <w:pPr>
              <w:pStyle w:val="TableBodyText"/>
            </w:pPr>
            <w:r w:rsidRPr="00D46D99">
              <w:t>0.2</w:t>
            </w:r>
          </w:p>
        </w:tc>
        <w:tc>
          <w:tcPr>
            <w:tcW w:w="568" w:type="pct"/>
            <w:shd w:val="clear" w:color="auto" w:fill="D9D9D9" w:themeFill="background1" w:themeFillShade="D9"/>
            <w:vAlign w:val="bottom"/>
          </w:tcPr>
          <w:p w:rsidR="007B4926" w:rsidRPr="00D46D99" w:rsidRDefault="007B4926" w:rsidP="00A25F6B">
            <w:pPr>
              <w:pStyle w:val="TableBodyText"/>
            </w:pPr>
            <w:r w:rsidRPr="00D46D99">
              <w:t>0.5</w:t>
            </w:r>
          </w:p>
        </w:tc>
      </w:tr>
      <w:tr w:rsidR="007B4926" w:rsidRPr="00D46D99" w:rsidTr="00A25F6B">
        <w:tc>
          <w:tcPr>
            <w:tcW w:w="242" w:type="pct"/>
            <w:vMerge/>
          </w:tcPr>
          <w:p w:rsidR="007B4926" w:rsidRPr="00D46D99" w:rsidRDefault="007B4926" w:rsidP="00A25F6B">
            <w:pPr>
              <w:pStyle w:val="TableBodyText"/>
              <w:spacing w:line="240" w:lineRule="auto"/>
              <w:jc w:val="left"/>
            </w:pPr>
          </w:p>
        </w:tc>
        <w:tc>
          <w:tcPr>
            <w:tcW w:w="786" w:type="pct"/>
            <w:vAlign w:val="bottom"/>
          </w:tcPr>
          <w:p w:rsidR="007B4926" w:rsidRPr="00D46D99" w:rsidRDefault="007B4926" w:rsidP="00A25F6B">
            <w:pPr>
              <w:pStyle w:val="TableBodyText"/>
              <w:jc w:val="left"/>
            </w:pPr>
            <w:r w:rsidRPr="00D46D99">
              <w:t>Mining</w:t>
            </w:r>
          </w:p>
        </w:tc>
        <w:tc>
          <w:tcPr>
            <w:tcW w:w="567" w:type="pct"/>
            <w:vAlign w:val="bottom"/>
          </w:tcPr>
          <w:p w:rsidR="007B4926" w:rsidRPr="00D46D99" w:rsidRDefault="007B4926" w:rsidP="00A25F6B">
            <w:pPr>
              <w:pStyle w:val="TableBodyText"/>
            </w:pPr>
            <w:r w:rsidRPr="00D46D99">
              <w:t>0.1</w:t>
            </w:r>
          </w:p>
        </w:tc>
        <w:tc>
          <w:tcPr>
            <w:tcW w:w="567" w:type="pct"/>
            <w:vAlign w:val="bottom"/>
          </w:tcPr>
          <w:p w:rsidR="007B4926" w:rsidRPr="00D46D99" w:rsidRDefault="007B4926" w:rsidP="00A25F6B">
            <w:pPr>
              <w:pStyle w:val="TableBodyText"/>
            </w:pPr>
            <w:r w:rsidRPr="00D46D99">
              <w:t>9.2</w:t>
            </w:r>
          </w:p>
        </w:tc>
        <w:tc>
          <w:tcPr>
            <w:tcW w:w="568" w:type="pct"/>
            <w:vAlign w:val="bottom"/>
          </w:tcPr>
          <w:p w:rsidR="007B4926" w:rsidRPr="00D46D99" w:rsidRDefault="007B4926" w:rsidP="00A25F6B">
            <w:pPr>
              <w:pStyle w:val="TableBodyText"/>
              <w:rPr>
                <w:b/>
                <w:bCs/>
              </w:rPr>
            </w:pPr>
            <w:r w:rsidRPr="00D46D99">
              <w:rPr>
                <w:b/>
                <w:bCs/>
              </w:rPr>
              <w:t>8.3</w:t>
            </w:r>
          </w:p>
        </w:tc>
        <w:tc>
          <w:tcPr>
            <w:tcW w:w="567" w:type="pct"/>
            <w:shd w:val="clear" w:color="auto" w:fill="auto"/>
            <w:vAlign w:val="bottom"/>
          </w:tcPr>
          <w:p w:rsidR="007B4926" w:rsidRPr="00D46D99" w:rsidRDefault="007B4926" w:rsidP="00A25F6B">
            <w:pPr>
              <w:pStyle w:val="TableBodyText"/>
            </w:pPr>
            <w:r w:rsidRPr="00D46D99">
              <w:t>6.8</w:t>
            </w:r>
          </w:p>
        </w:tc>
        <w:tc>
          <w:tcPr>
            <w:tcW w:w="568" w:type="pct"/>
            <w:shd w:val="clear" w:color="auto" w:fill="auto"/>
            <w:vAlign w:val="bottom"/>
          </w:tcPr>
          <w:p w:rsidR="007B4926" w:rsidRPr="00D46D99" w:rsidRDefault="007B4926" w:rsidP="00A25F6B">
            <w:pPr>
              <w:pStyle w:val="TableBodyText"/>
            </w:pPr>
            <w:r w:rsidRPr="00D46D99">
              <w:t>0.3</w:t>
            </w:r>
          </w:p>
        </w:tc>
        <w:tc>
          <w:tcPr>
            <w:tcW w:w="567" w:type="pct"/>
            <w:vAlign w:val="bottom"/>
          </w:tcPr>
          <w:p w:rsidR="007B4926" w:rsidRPr="00D46D99" w:rsidRDefault="007B4926" w:rsidP="00A25F6B">
            <w:pPr>
              <w:pStyle w:val="TableBodyText"/>
            </w:pPr>
            <w:r w:rsidRPr="00D46D99">
              <w:t>0.2</w:t>
            </w:r>
          </w:p>
        </w:tc>
        <w:tc>
          <w:tcPr>
            <w:tcW w:w="568" w:type="pct"/>
            <w:shd w:val="clear" w:color="auto" w:fill="auto"/>
            <w:vAlign w:val="bottom"/>
          </w:tcPr>
          <w:p w:rsidR="007B4926" w:rsidRPr="00D46D99" w:rsidRDefault="007B4926" w:rsidP="00A25F6B">
            <w:pPr>
              <w:pStyle w:val="TableBodyText"/>
            </w:pPr>
            <w:r w:rsidRPr="00D46D99">
              <w:t>0.2</w:t>
            </w:r>
          </w:p>
        </w:tc>
      </w:tr>
      <w:tr w:rsidR="007B4926" w:rsidRPr="00D46D99" w:rsidTr="00A25F6B">
        <w:tc>
          <w:tcPr>
            <w:tcW w:w="242" w:type="pct"/>
            <w:vMerge/>
          </w:tcPr>
          <w:p w:rsidR="007B4926" w:rsidRPr="00D46D99" w:rsidRDefault="007B4926" w:rsidP="00A25F6B">
            <w:pPr>
              <w:pStyle w:val="TableBodyText"/>
              <w:spacing w:line="240" w:lineRule="auto"/>
              <w:jc w:val="left"/>
            </w:pPr>
          </w:p>
        </w:tc>
        <w:tc>
          <w:tcPr>
            <w:tcW w:w="786" w:type="pct"/>
            <w:shd w:val="clear" w:color="auto" w:fill="D9D9D9" w:themeFill="background1" w:themeFillShade="D9"/>
            <w:vAlign w:val="bottom"/>
          </w:tcPr>
          <w:p w:rsidR="007B4926" w:rsidRPr="00D46D99" w:rsidRDefault="007B4926" w:rsidP="00A25F6B">
            <w:pPr>
              <w:pStyle w:val="TableBodyText"/>
              <w:ind w:right="0"/>
              <w:jc w:val="left"/>
            </w:pPr>
            <w:r w:rsidRPr="00D46D99">
              <w:t>Manufacturing</w:t>
            </w:r>
          </w:p>
        </w:tc>
        <w:tc>
          <w:tcPr>
            <w:tcW w:w="567" w:type="pct"/>
            <w:shd w:val="clear" w:color="auto" w:fill="D9D9D9" w:themeFill="background1" w:themeFillShade="D9"/>
            <w:vAlign w:val="bottom"/>
          </w:tcPr>
          <w:p w:rsidR="007B4926" w:rsidRPr="00D46D99" w:rsidRDefault="007B4926" w:rsidP="00A25F6B">
            <w:pPr>
              <w:pStyle w:val="TableBodyText"/>
              <w:rPr>
                <w:b/>
                <w:bCs/>
              </w:rPr>
            </w:pPr>
            <w:r w:rsidRPr="00D46D99">
              <w:rPr>
                <w:b/>
                <w:bCs/>
              </w:rPr>
              <w:t>8.3</w:t>
            </w:r>
          </w:p>
        </w:tc>
        <w:tc>
          <w:tcPr>
            <w:tcW w:w="567" w:type="pct"/>
            <w:shd w:val="clear" w:color="auto" w:fill="D9D9D9" w:themeFill="background1" w:themeFillShade="D9"/>
            <w:vAlign w:val="bottom"/>
          </w:tcPr>
          <w:p w:rsidR="007B4926" w:rsidRPr="00D46D99" w:rsidRDefault="007B4926" w:rsidP="00A25F6B">
            <w:pPr>
              <w:pStyle w:val="TableBodyText"/>
              <w:rPr>
                <w:b/>
                <w:bCs/>
              </w:rPr>
            </w:pPr>
            <w:r w:rsidRPr="00D46D99">
              <w:rPr>
                <w:b/>
                <w:bCs/>
              </w:rPr>
              <w:t>5.1</w:t>
            </w:r>
          </w:p>
        </w:tc>
        <w:tc>
          <w:tcPr>
            <w:tcW w:w="568" w:type="pct"/>
            <w:shd w:val="clear" w:color="auto" w:fill="D9D9D9" w:themeFill="background1" w:themeFillShade="D9"/>
            <w:vAlign w:val="bottom"/>
          </w:tcPr>
          <w:p w:rsidR="007B4926" w:rsidRPr="00D46D99" w:rsidRDefault="007B4926" w:rsidP="00A25F6B">
            <w:pPr>
              <w:pStyle w:val="TableBodyText"/>
              <w:rPr>
                <w:b/>
                <w:bCs/>
              </w:rPr>
            </w:pPr>
            <w:r w:rsidRPr="00D46D99">
              <w:rPr>
                <w:b/>
                <w:bCs/>
              </w:rPr>
              <w:t>19.5</w:t>
            </w:r>
          </w:p>
        </w:tc>
        <w:tc>
          <w:tcPr>
            <w:tcW w:w="567" w:type="pct"/>
            <w:shd w:val="clear" w:color="auto" w:fill="D9D9D9" w:themeFill="background1" w:themeFillShade="D9"/>
            <w:vAlign w:val="bottom"/>
          </w:tcPr>
          <w:p w:rsidR="007B4926" w:rsidRPr="00D46D99" w:rsidRDefault="007B4926" w:rsidP="00A25F6B">
            <w:pPr>
              <w:pStyle w:val="TableBodyText"/>
              <w:rPr>
                <w:b/>
                <w:bCs/>
              </w:rPr>
            </w:pPr>
            <w:r w:rsidRPr="00D46D99">
              <w:rPr>
                <w:b/>
                <w:bCs/>
              </w:rPr>
              <w:t>3.4</w:t>
            </w:r>
          </w:p>
        </w:tc>
        <w:tc>
          <w:tcPr>
            <w:tcW w:w="568" w:type="pct"/>
            <w:shd w:val="clear" w:color="auto" w:fill="D9D9D9" w:themeFill="background1" w:themeFillShade="D9"/>
            <w:vAlign w:val="bottom"/>
          </w:tcPr>
          <w:p w:rsidR="007B4926" w:rsidRPr="00D46D99" w:rsidRDefault="007B4926" w:rsidP="00A25F6B">
            <w:pPr>
              <w:pStyle w:val="TableBodyText"/>
              <w:rPr>
                <w:b/>
                <w:bCs/>
              </w:rPr>
            </w:pPr>
            <w:r w:rsidRPr="00D46D99">
              <w:rPr>
                <w:b/>
                <w:bCs/>
              </w:rPr>
              <w:t>14.4</w:t>
            </w:r>
          </w:p>
        </w:tc>
        <w:tc>
          <w:tcPr>
            <w:tcW w:w="567" w:type="pct"/>
            <w:shd w:val="clear" w:color="auto" w:fill="D9D9D9" w:themeFill="background1" w:themeFillShade="D9"/>
            <w:vAlign w:val="bottom"/>
          </w:tcPr>
          <w:p w:rsidR="007B4926" w:rsidRPr="00D46D99" w:rsidRDefault="007B4926" w:rsidP="00A25F6B">
            <w:pPr>
              <w:pStyle w:val="TableBodyText"/>
              <w:rPr>
                <w:b/>
                <w:bCs/>
              </w:rPr>
            </w:pPr>
            <w:r w:rsidRPr="00D46D99">
              <w:rPr>
                <w:b/>
                <w:bCs/>
              </w:rPr>
              <w:t>9.1</w:t>
            </w:r>
          </w:p>
        </w:tc>
        <w:tc>
          <w:tcPr>
            <w:tcW w:w="568" w:type="pct"/>
            <w:shd w:val="clear" w:color="auto" w:fill="D9D9D9" w:themeFill="background1" w:themeFillShade="D9"/>
            <w:vAlign w:val="bottom"/>
          </w:tcPr>
          <w:p w:rsidR="007B4926" w:rsidRPr="00D46D99" w:rsidRDefault="007B4926" w:rsidP="00A25F6B">
            <w:pPr>
              <w:pStyle w:val="TableBodyText"/>
              <w:rPr>
                <w:b/>
                <w:bCs/>
              </w:rPr>
            </w:pPr>
            <w:r w:rsidRPr="00D46D99">
              <w:rPr>
                <w:b/>
                <w:bCs/>
              </w:rPr>
              <w:t>4.8</w:t>
            </w:r>
          </w:p>
        </w:tc>
      </w:tr>
      <w:tr w:rsidR="007B4926" w:rsidRPr="00D46D99" w:rsidTr="00A25F6B">
        <w:tc>
          <w:tcPr>
            <w:tcW w:w="242" w:type="pct"/>
            <w:vMerge/>
          </w:tcPr>
          <w:p w:rsidR="007B4926" w:rsidRPr="00D46D99" w:rsidRDefault="007B4926" w:rsidP="00A25F6B">
            <w:pPr>
              <w:pStyle w:val="TableBodyText"/>
              <w:spacing w:line="240" w:lineRule="auto"/>
              <w:jc w:val="left"/>
            </w:pPr>
          </w:p>
        </w:tc>
        <w:tc>
          <w:tcPr>
            <w:tcW w:w="786" w:type="pct"/>
            <w:vAlign w:val="bottom"/>
          </w:tcPr>
          <w:p w:rsidR="007B4926" w:rsidRPr="00D46D99" w:rsidRDefault="007B4926" w:rsidP="00A25F6B">
            <w:pPr>
              <w:pStyle w:val="TableBodyText"/>
              <w:jc w:val="left"/>
            </w:pPr>
            <w:proofErr w:type="spellStart"/>
            <w:r w:rsidRPr="00D46D99">
              <w:t>EGWWS</w:t>
            </w:r>
            <w:proofErr w:type="spellEnd"/>
            <w:r>
              <w:rPr>
                <w:rStyle w:val="NoteLabel"/>
              </w:rPr>
              <w:t>b</w:t>
            </w:r>
          </w:p>
        </w:tc>
        <w:tc>
          <w:tcPr>
            <w:tcW w:w="567" w:type="pct"/>
            <w:vAlign w:val="bottom"/>
          </w:tcPr>
          <w:p w:rsidR="007B4926" w:rsidRPr="00D46D99" w:rsidRDefault="007B4926" w:rsidP="00A25F6B">
            <w:pPr>
              <w:pStyle w:val="TableBodyText"/>
            </w:pPr>
            <w:r w:rsidRPr="00D46D99">
              <w:t>1.4</w:t>
            </w:r>
          </w:p>
        </w:tc>
        <w:tc>
          <w:tcPr>
            <w:tcW w:w="567" w:type="pct"/>
            <w:vAlign w:val="bottom"/>
          </w:tcPr>
          <w:p w:rsidR="007B4926" w:rsidRPr="00D46D99" w:rsidRDefault="007B4926" w:rsidP="00A25F6B">
            <w:pPr>
              <w:pStyle w:val="TableBodyText"/>
            </w:pPr>
            <w:r w:rsidRPr="00D46D99">
              <w:t>1.2</w:t>
            </w:r>
          </w:p>
        </w:tc>
        <w:tc>
          <w:tcPr>
            <w:tcW w:w="568" w:type="pct"/>
            <w:vAlign w:val="bottom"/>
          </w:tcPr>
          <w:p w:rsidR="007B4926" w:rsidRPr="00D46D99" w:rsidRDefault="007B4926" w:rsidP="00A25F6B">
            <w:pPr>
              <w:pStyle w:val="TableBodyText"/>
              <w:rPr>
                <w:b/>
                <w:bCs/>
              </w:rPr>
            </w:pPr>
            <w:r w:rsidRPr="00D46D99">
              <w:rPr>
                <w:b/>
                <w:bCs/>
              </w:rPr>
              <w:t>1.5</w:t>
            </w:r>
          </w:p>
        </w:tc>
        <w:tc>
          <w:tcPr>
            <w:tcW w:w="567" w:type="pct"/>
            <w:shd w:val="clear" w:color="auto" w:fill="auto"/>
            <w:vAlign w:val="bottom"/>
          </w:tcPr>
          <w:p w:rsidR="007B4926" w:rsidRPr="00D46D99" w:rsidRDefault="007B4926" w:rsidP="00A25F6B">
            <w:pPr>
              <w:pStyle w:val="TableBodyText"/>
            </w:pPr>
            <w:r w:rsidRPr="00D46D99">
              <w:t>23.4</w:t>
            </w:r>
          </w:p>
        </w:tc>
        <w:tc>
          <w:tcPr>
            <w:tcW w:w="568" w:type="pct"/>
            <w:shd w:val="clear" w:color="auto" w:fill="auto"/>
            <w:vAlign w:val="bottom"/>
          </w:tcPr>
          <w:p w:rsidR="007B4926" w:rsidRPr="00D46D99" w:rsidRDefault="007B4926" w:rsidP="00A25F6B">
            <w:pPr>
              <w:pStyle w:val="TableBodyText"/>
            </w:pPr>
            <w:r w:rsidRPr="00D46D99">
              <w:t>1.0</w:t>
            </w:r>
          </w:p>
        </w:tc>
        <w:tc>
          <w:tcPr>
            <w:tcW w:w="567" w:type="pct"/>
            <w:vAlign w:val="bottom"/>
          </w:tcPr>
          <w:p w:rsidR="007B4926" w:rsidRPr="00D46D99" w:rsidRDefault="007B4926" w:rsidP="00A25F6B">
            <w:pPr>
              <w:pStyle w:val="TableBodyText"/>
            </w:pPr>
            <w:r w:rsidRPr="00D46D99">
              <w:t>1.1</w:t>
            </w:r>
          </w:p>
        </w:tc>
        <w:tc>
          <w:tcPr>
            <w:tcW w:w="568" w:type="pct"/>
            <w:shd w:val="clear" w:color="auto" w:fill="auto"/>
            <w:vAlign w:val="bottom"/>
          </w:tcPr>
          <w:p w:rsidR="007B4926" w:rsidRPr="00D46D99" w:rsidRDefault="007B4926" w:rsidP="00A25F6B">
            <w:pPr>
              <w:pStyle w:val="TableBodyText"/>
            </w:pPr>
            <w:r w:rsidRPr="00D46D99">
              <w:t>0.7</w:t>
            </w:r>
          </w:p>
        </w:tc>
      </w:tr>
      <w:tr w:rsidR="007B4926" w:rsidRPr="00D46D99" w:rsidTr="00A25F6B">
        <w:tc>
          <w:tcPr>
            <w:tcW w:w="242" w:type="pct"/>
            <w:vMerge/>
          </w:tcPr>
          <w:p w:rsidR="007B4926" w:rsidRPr="00D46D99" w:rsidRDefault="007B4926" w:rsidP="00A25F6B">
            <w:pPr>
              <w:pStyle w:val="TableBodyText"/>
              <w:spacing w:line="240" w:lineRule="auto"/>
              <w:jc w:val="left"/>
            </w:pPr>
          </w:p>
        </w:tc>
        <w:tc>
          <w:tcPr>
            <w:tcW w:w="786" w:type="pct"/>
            <w:shd w:val="clear" w:color="auto" w:fill="D9D9D9" w:themeFill="background1" w:themeFillShade="D9"/>
            <w:vAlign w:val="bottom"/>
          </w:tcPr>
          <w:p w:rsidR="007B4926" w:rsidRPr="00D46D99" w:rsidRDefault="007B4926" w:rsidP="00A25F6B">
            <w:pPr>
              <w:pStyle w:val="TableBodyText"/>
              <w:jc w:val="left"/>
            </w:pPr>
            <w:r w:rsidRPr="00D46D99">
              <w:t>Construction</w:t>
            </w:r>
          </w:p>
        </w:tc>
        <w:tc>
          <w:tcPr>
            <w:tcW w:w="567" w:type="pct"/>
            <w:shd w:val="clear" w:color="auto" w:fill="D9D9D9" w:themeFill="background1" w:themeFillShade="D9"/>
            <w:vAlign w:val="bottom"/>
          </w:tcPr>
          <w:p w:rsidR="007B4926" w:rsidRPr="00D46D99" w:rsidRDefault="007B4926" w:rsidP="00A25F6B">
            <w:pPr>
              <w:pStyle w:val="TableBodyText"/>
            </w:pPr>
            <w:r w:rsidRPr="00D46D99">
              <w:t>2.1</w:t>
            </w:r>
          </w:p>
        </w:tc>
        <w:tc>
          <w:tcPr>
            <w:tcW w:w="567" w:type="pct"/>
            <w:shd w:val="clear" w:color="auto" w:fill="D9D9D9" w:themeFill="background1" w:themeFillShade="D9"/>
            <w:vAlign w:val="bottom"/>
          </w:tcPr>
          <w:p w:rsidR="007B4926" w:rsidRPr="00D46D99" w:rsidRDefault="007B4926" w:rsidP="00A25F6B">
            <w:pPr>
              <w:pStyle w:val="TableBodyText"/>
            </w:pPr>
            <w:r w:rsidRPr="00D46D99">
              <w:t>3.5</w:t>
            </w:r>
          </w:p>
        </w:tc>
        <w:tc>
          <w:tcPr>
            <w:tcW w:w="568" w:type="pct"/>
            <w:shd w:val="clear" w:color="auto" w:fill="D9D9D9" w:themeFill="background1" w:themeFillShade="D9"/>
            <w:vAlign w:val="bottom"/>
          </w:tcPr>
          <w:p w:rsidR="007B4926" w:rsidRPr="00D46D99" w:rsidRDefault="007B4926" w:rsidP="00A25F6B">
            <w:pPr>
              <w:pStyle w:val="TableBodyText"/>
              <w:rPr>
                <w:b/>
                <w:bCs/>
              </w:rPr>
            </w:pPr>
            <w:r w:rsidRPr="00D46D99">
              <w:rPr>
                <w:b/>
                <w:bCs/>
              </w:rPr>
              <w:t>0.8</w:t>
            </w:r>
          </w:p>
        </w:tc>
        <w:tc>
          <w:tcPr>
            <w:tcW w:w="567" w:type="pct"/>
            <w:shd w:val="clear" w:color="auto" w:fill="D9D9D9" w:themeFill="background1" w:themeFillShade="D9"/>
            <w:vAlign w:val="bottom"/>
          </w:tcPr>
          <w:p w:rsidR="007B4926" w:rsidRPr="00D46D99" w:rsidRDefault="007B4926" w:rsidP="00A25F6B">
            <w:pPr>
              <w:pStyle w:val="TableBodyText"/>
            </w:pPr>
            <w:r w:rsidRPr="00D46D99">
              <w:t>4.5</w:t>
            </w:r>
          </w:p>
        </w:tc>
        <w:tc>
          <w:tcPr>
            <w:tcW w:w="568" w:type="pct"/>
            <w:shd w:val="clear" w:color="auto" w:fill="D9D9D9" w:themeFill="background1" w:themeFillShade="D9"/>
            <w:vAlign w:val="bottom"/>
          </w:tcPr>
          <w:p w:rsidR="007B4926" w:rsidRPr="00D46D99" w:rsidRDefault="007B4926" w:rsidP="00A25F6B">
            <w:pPr>
              <w:pStyle w:val="TableBodyText"/>
            </w:pPr>
            <w:r w:rsidRPr="00D46D99">
              <w:t>25.9</w:t>
            </w:r>
          </w:p>
        </w:tc>
        <w:tc>
          <w:tcPr>
            <w:tcW w:w="567" w:type="pct"/>
            <w:shd w:val="clear" w:color="auto" w:fill="D9D9D9" w:themeFill="background1" w:themeFillShade="D9"/>
            <w:vAlign w:val="bottom"/>
          </w:tcPr>
          <w:p w:rsidR="007B4926" w:rsidRPr="00D46D99" w:rsidRDefault="007B4926" w:rsidP="00A25F6B">
            <w:pPr>
              <w:pStyle w:val="TableBodyText"/>
            </w:pPr>
            <w:r w:rsidRPr="00D46D99">
              <w:t>2.2</w:t>
            </w:r>
          </w:p>
        </w:tc>
        <w:tc>
          <w:tcPr>
            <w:tcW w:w="568" w:type="pct"/>
            <w:shd w:val="clear" w:color="auto" w:fill="D9D9D9" w:themeFill="background1" w:themeFillShade="D9"/>
            <w:vAlign w:val="bottom"/>
          </w:tcPr>
          <w:p w:rsidR="007B4926" w:rsidRPr="00D46D99" w:rsidRDefault="007B4926" w:rsidP="00A25F6B">
            <w:pPr>
              <w:pStyle w:val="TableBodyText"/>
            </w:pPr>
            <w:r w:rsidRPr="00D46D99">
              <w:t>2.3</w:t>
            </w:r>
          </w:p>
        </w:tc>
      </w:tr>
      <w:tr w:rsidR="007B4926" w:rsidRPr="00D46D99" w:rsidTr="00A25F6B">
        <w:tc>
          <w:tcPr>
            <w:tcW w:w="242" w:type="pct"/>
            <w:vMerge/>
          </w:tcPr>
          <w:p w:rsidR="007B4926" w:rsidRPr="00D46D99" w:rsidRDefault="007B4926" w:rsidP="00A25F6B">
            <w:pPr>
              <w:pStyle w:val="TableBodyText"/>
              <w:spacing w:line="240" w:lineRule="auto"/>
              <w:jc w:val="left"/>
            </w:pPr>
          </w:p>
        </w:tc>
        <w:tc>
          <w:tcPr>
            <w:tcW w:w="786" w:type="pct"/>
            <w:vAlign w:val="bottom"/>
          </w:tcPr>
          <w:p w:rsidR="007B4926" w:rsidRPr="00D46D99" w:rsidRDefault="007B4926" w:rsidP="00A25F6B">
            <w:pPr>
              <w:pStyle w:val="TableBodyText"/>
              <w:jc w:val="left"/>
            </w:pPr>
            <w:r w:rsidRPr="00D46D99">
              <w:t>Transport</w:t>
            </w:r>
          </w:p>
        </w:tc>
        <w:tc>
          <w:tcPr>
            <w:tcW w:w="567" w:type="pct"/>
            <w:vAlign w:val="bottom"/>
          </w:tcPr>
          <w:p w:rsidR="007B4926" w:rsidRPr="00D46D99" w:rsidRDefault="007B4926" w:rsidP="00A25F6B">
            <w:pPr>
              <w:pStyle w:val="TableBodyText"/>
            </w:pPr>
            <w:r w:rsidRPr="00D46D99">
              <w:t>4.4</w:t>
            </w:r>
          </w:p>
        </w:tc>
        <w:tc>
          <w:tcPr>
            <w:tcW w:w="567" w:type="pct"/>
            <w:vAlign w:val="bottom"/>
          </w:tcPr>
          <w:p w:rsidR="007B4926" w:rsidRPr="00D46D99" w:rsidRDefault="007B4926" w:rsidP="00A25F6B">
            <w:pPr>
              <w:pStyle w:val="TableBodyText"/>
            </w:pPr>
            <w:r w:rsidRPr="00D46D99">
              <w:t>2.3</w:t>
            </w:r>
          </w:p>
        </w:tc>
        <w:tc>
          <w:tcPr>
            <w:tcW w:w="568" w:type="pct"/>
            <w:vAlign w:val="bottom"/>
          </w:tcPr>
          <w:p w:rsidR="007B4926" w:rsidRPr="00D46D99" w:rsidRDefault="007B4926" w:rsidP="00A25F6B">
            <w:pPr>
              <w:pStyle w:val="TableBodyText"/>
              <w:rPr>
                <w:b/>
                <w:bCs/>
              </w:rPr>
            </w:pPr>
            <w:r w:rsidRPr="00D46D99">
              <w:rPr>
                <w:b/>
                <w:bCs/>
              </w:rPr>
              <w:t>4.6</w:t>
            </w:r>
          </w:p>
        </w:tc>
        <w:tc>
          <w:tcPr>
            <w:tcW w:w="567" w:type="pct"/>
            <w:shd w:val="clear" w:color="auto" w:fill="auto"/>
            <w:vAlign w:val="bottom"/>
          </w:tcPr>
          <w:p w:rsidR="007B4926" w:rsidRPr="00D46D99" w:rsidRDefault="007B4926" w:rsidP="00A25F6B">
            <w:pPr>
              <w:pStyle w:val="TableBodyText"/>
            </w:pPr>
            <w:r w:rsidRPr="00D46D99">
              <w:t>1.2</w:t>
            </w:r>
          </w:p>
        </w:tc>
        <w:tc>
          <w:tcPr>
            <w:tcW w:w="568" w:type="pct"/>
            <w:shd w:val="clear" w:color="auto" w:fill="auto"/>
            <w:vAlign w:val="bottom"/>
          </w:tcPr>
          <w:p w:rsidR="007B4926" w:rsidRPr="00D46D99" w:rsidRDefault="007B4926" w:rsidP="00A25F6B">
            <w:pPr>
              <w:pStyle w:val="TableBodyText"/>
            </w:pPr>
            <w:r w:rsidRPr="00D46D99">
              <w:t>2.1</w:t>
            </w:r>
          </w:p>
        </w:tc>
        <w:tc>
          <w:tcPr>
            <w:tcW w:w="567" w:type="pct"/>
            <w:vAlign w:val="bottom"/>
          </w:tcPr>
          <w:p w:rsidR="007B4926" w:rsidRPr="00D46D99" w:rsidRDefault="007B4926" w:rsidP="00A25F6B">
            <w:pPr>
              <w:pStyle w:val="TableBodyText"/>
            </w:pPr>
            <w:r w:rsidRPr="00D46D99">
              <w:t>7.9</w:t>
            </w:r>
          </w:p>
        </w:tc>
        <w:tc>
          <w:tcPr>
            <w:tcW w:w="568" w:type="pct"/>
            <w:shd w:val="clear" w:color="auto" w:fill="auto"/>
            <w:vAlign w:val="bottom"/>
          </w:tcPr>
          <w:p w:rsidR="007B4926" w:rsidRPr="00D46D99" w:rsidRDefault="007B4926" w:rsidP="00A25F6B">
            <w:pPr>
              <w:pStyle w:val="TableBodyText"/>
            </w:pPr>
            <w:r w:rsidRPr="00D46D99">
              <w:t>2.7</w:t>
            </w:r>
          </w:p>
        </w:tc>
      </w:tr>
      <w:tr w:rsidR="007B4926" w:rsidRPr="00D46D99" w:rsidTr="00A25F6B">
        <w:tc>
          <w:tcPr>
            <w:tcW w:w="242" w:type="pct"/>
            <w:vMerge/>
          </w:tcPr>
          <w:p w:rsidR="007B4926" w:rsidRPr="00D46D99" w:rsidRDefault="007B4926" w:rsidP="00A25F6B">
            <w:pPr>
              <w:pStyle w:val="TableBodyText"/>
              <w:spacing w:line="240" w:lineRule="auto"/>
              <w:jc w:val="left"/>
            </w:pPr>
          </w:p>
        </w:tc>
        <w:tc>
          <w:tcPr>
            <w:tcW w:w="786" w:type="pct"/>
            <w:shd w:val="clear" w:color="auto" w:fill="D9D9D9" w:themeFill="background1" w:themeFillShade="D9"/>
            <w:vAlign w:val="bottom"/>
          </w:tcPr>
          <w:p w:rsidR="007B4926" w:rsidRPr="00D46D99" w:rsidRDefault="007B4926" w:rsidP="00A25F6B">
            <w:pPr>
              <w:pStyle w:val="TableBodyText"/>
              <w:ind w:right="0"/>
              <w:jc w:val="left"/>
            </w:pPr>
            <w:r w:rsidRPr="00D46D99">
              <w:t>Other services</w:t>
            </w:r>
          </w:p>
        </w:tc>
        <w:tc>
          <w:tcPr>
            <w:tcW w:w="567"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pPr>
            <w:r w:rsidRPr="00D46D99">
              <w:t>15.8</w:t>
            </w:r>
          </w:p>
        </w:tc>
        <w:tc>
          <w:tcPr>
            <w:tcW w:w="567"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pPr>
            <w:r w:rsidRPr="00D46D99">
              <w:t>11.8</w:t>
            </w:r>
          </w:p>
        </w:tc>
        <w:tc>
          <w:tcPr>
            <w:tcW w:w="568"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rPr>
                <w:b/>
                <w:bCs/>
              </w:rPr>
            </w:pPr>
            <w:r w:rsidRPr="00D46D99">
              <w:rPr>
                <w:b/>
                <w:bCs/>
              </w:rPr>
              <w:t>13.6</w:t>
            </w:r>
          </w:p>
        </w:tc>
        <w:tc>
          <w:tcPr>
            <w:tcW w:w="567"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pPr>
            <w:r w:rsidRPr="00D46D99">
              <w:t>11.0</w:t>
            </w:r>
          </w:p>
        </w:tc>
        <w:tc>
          <w:tcPr>
            <w:tcW w:w="568"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pPr>
            <w:r w:rsidRPr="00D46D99">
              <w:t>20.8</w:t>
            </w:r>
          </w:p>
        </w:tc>
        <w:tc>
          <w:tcPr>
            <w:tcW w:w="567"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pPr>
            <w:r w:rsidRPr="00D46D99">
              <w:t>26.9</w:t>
            </w:r>
          </w:p>
        </w:tc>
        <w:tc>
          <w:tcPr>
            <w:tcW w:w="568"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pPr>
            <w:r w:rsidRPr="00D46D99">
              <w:t>27.5</w:t>
            </w:r>
          </w:p>
        </w:tc>
      </w:tr>
      <w:tr w:rsidR="007B4926" w:rsidRPr="00D46D99" w:rsidTr="00A25F6B">
        <w:tc>
          <w:tcPr>
            <w:tcW w:w="242" w:type="pct"/>
            <w:vMerge/>
          </w:tcPr>
          <w:p w:rsidR="007B4926" w:rsidRPr="00D46D99" w:rsidRDefault="007B4926" w:rsidP="00A25F6B">
            <w:pPr>
              <w:pStyle w:val="TableBodyText"/>
              <w:spacing w:line="240" w:lineRule="auto"/>
              <w:jc w:val="left"/>
            </w:pPr>
          </w:p>
        </w:tc>
        <w:tc>
          <w:tcPr>
            <w:tcW w:w="786" w:type="pct"/>
            <w:vAlign w:val="bottom"/>
          </w:tcPr>
          <w:p w:rsidR="007B4926" w:rsidRPr="00A548C6" w:rsidRDefault="007B4926" w:rsidP="00A25F6B">
            <w:pPr>
              <w:pStyle w:val="TableBodyText"/>
              <w:ind w:right="-36"/>
              <w:jc w:val="left"/>
              <w:rPr>
                <w:i/>
              </w:rPr>
            </w:pPr>
            <w:r w:rsidRPr="00A548C6">
              <w:rPr>
                <w:i/>
              </w:rPr>
              <w:t xml:space="preserve">Total </w:t>
            </w:r>
            <w:r>
              <w:rPr>
                <w:i/>
              </w:rPr>
              <w:t xml:space="preserve">domestic </w:t>
            </w:r>
            <w:r w:rsidRPr="00A548C6">
              <w:rPr>
                <w:i/>
              </w:rPr>
              <w:t>intermediates</w:t>
            </w:r>
          </w:p>
        </w:tc>
        <w:tc>
          <w:tcPr>
            <w:tcW w:w="567" w:type="pct"/>
            <w:tcBorders>
              <w:top w:val="single" w:sz="4" w:space="0" w:color="auto"/>
            </w:tcBorders>
            <w:vAlign w:val="bottom"/>
          </w:tcPr>
          <w:p w:rsidR="007B4926" w:rsidRPr="00D46D99" w:rsidRDefault="007B4926" w:rsidP="00A25F6B">
            <w:pPr>
              <w:pStyle w:val="TableBodyText"/>
              <w:rPr>
                <w:i/>
              </w:rPr>
            </w:pPr>
            <w:r w:rsidRPr="00D46D99">
              <w:rPr>
                <w:i/>
              </w:rPr>
              <w:t>50.4</w:t>
            </w:r>
          </w:p>
        </w:tc>
        <w:tc>
          <w:tcPr>
            <w:tcW w:w="567" w:type="pct"/>
            <w:tcBorders>
              <w:top w:val="single" w:sz="4" w:space="0" w:color="auto"/>
            </w:tcBorders>
            <w:vAlign w:val="bottom"/>
          </w:tcPr>
          <w:p w:rsidR="007B4926" w:rsidRPr="00D46D99" w:rsidRDefault="007B4926" w:rsidP="00A25F6B">
            <w:pPr>
              <w:pStyle w:val="TableBodyText"/>
              <w:rPr>
                <w:i/>
              </w:rPr>
            </w:pPr>
            <w:r w:rsidRPr="00D46D99">
              <w:rPr>
                <w:i/>
              </w:rPr>
              <w:t>33.2</w:t>
            </w:r>
          </w:p>
        </w:tc>
        <w:tc>
          <w:tcPr>
            <w:tcW w:w="568" w:type="pct"/>
            <w:tcBorders>
              <w:top w:val="single" w:sz="4" w:space="0" w:color="auto"/>
            </w:tcBorders>
            <w:vAlign w:val="bottom"/>
          </w:tcPr>
          <w:p w:rsidR="007B4926" w:rsidRPr="00D46D99" w:rsidRDefault="007B4926" w:rsidP="00A25F6B">
            <w:pPr>
              <w:pStyle w:val="TableBodyText"/>
              <w:rPr>
                <w:b/>
                <w:bCs/>
                <w:i/>
              </w:rPr>
            </w:pPr>
            <w:r w:rsidRPr="00D46D99">
              <w:rPr>
                <w:b/>
                <w:bCs/>
                <w:i/>
              </w:rPr>
              <w:t>55.5</w:t>
            </w:r>
          </w:p>
        </w:tc>
        <w:tc>
          <w:tcPr>
            <w:tcW w:w="567" w:type="pct"/>
            <w:tcBorders>
              <w:top w:val="single" w:sz="4" w:space="0" w:color="auto"/>
            </w:tcBorders>
            <w:shd w:val="clear" w:color="auto" w:fill="auto"/>
            <w:vAlign w:val="bottom"/>
          </w:tcPr>
          <w:p w:rsidR="007B4926" w:rsidRPr="00D46D99" w:rsidRDefault="007B4926" w:rsidP="00A25F6B">
            <w:pPr>
              <w:pStyle w:val="TableBodyText"/>
              <w:rPr>
                <w:i/>
              </w:rPr>
            </w:pPr>
            <w:r w:rsidRPr="00D46D99">
              <w:rPr>
                <w:i/>
              </w:rPr>
              <w:t>50.2</w:t>
            </w:r>
          </w:p>
        </w:tc>
        <w:tc>
          <w:tcPr>
            <w:tcW w:w="568" w:type="pct"/>
            <w:tcBorders>
              <w:top w:val="single" w:sz="4" w:space="0" w:color="auto"/>
            </w:tcBorders>
            <w:shd w:val="clear" w:color="auto" w:fill="auto"/>
            <w:vAlign w:val="bottom"/>
          </w:tcPr>
          <w:p w:rsidR="007B4926" w:rsidRPr="00D46D99" w:rsidRDefault="007B4926" w:rsidP="00A25F6B">
            <w:pPr>
              <w:pStyle w:val="TableBodyText"/>
              <w:rPr>
                <w:i/>
              </w:rPr>
            </w:pPr>
            <w:r w:rsidRPr="00D46D99">
              <w:rPr>
                <w:i/>
              </w:rPr>
              <w:t>64.6</w:t>
            </w:r>
          </w:p>
        </w:tc>
        <w:tc>
          <w:tcPr>
            <w:tcW w:w="567" w:type="pct"/>
            <w:tcBorders>
              <w:top w:val="single" w:sz="4" w:space="0" w:color="auto"/>
            </w:tcBorders>
            <w:vAlign w:val="bottom"/>
          </w:tcPr>
          <w:p w:rsidR="007B4926" w:rsidRPr="00D46D99" w:rsidRDefault="007B4926" w:rsidP="00A25F6B">
            <w:pPr>
              <w:pStyle w:val="TableBodyText"/>
              <w:rPr>
                <w:i/>
              </w:rPr>
            </w:pPr>
            <w:r w:rsidRPr="00D46D99">
              <w:rPr>
                <w:i/>
              </w:rPr>
              <w:t>47.5</w:t>
            </w:r>
          </w:p>
        </w:tc>
        <w:tc>
          <w:tcPr>
            <w:tcW w:w="568" w:type="pct"/>
            <w:tcBorders>
              <w:top w:val="single" w:sz="4" w:space="0" w:color="auto"/>
            </w:tcBorders>
            <w:shd w:val="clear" w:color="auto" w:fill="auto"/>
            <w:vAlign w:val="bottom"/>
          </w:tcPr>
          <w:p w:rsidR="007B4926" w:rsidRPr="00D46D99" w:rsidRDefault="007B4926" w:rsidP="00A25F6B">
            <w:pPr>
              <w:pStyle w:val="TableBodyText"/>
              <w:rPr>
                <w:i/>
              </w:rPr>
            </w:pPr>
            <w:r w:rsidRPr="00D46D99">
              <w:rPr>
                <w:i/>
              </w:rPr>
              <w:t>38.7</w:t>
            </w:r>
          </w:p>
        </w:tc>
      </w:tr>
      <w:tr w:rsidR="007B4926" w:rsidRPr="00D46D99" w:rsidTr="00A25F6B">
        <w:trPr>
          <w:trHeight w:val="288"/>
        </w:trPr>
        <w:tc>
          <w:tcPr>
            <w:tcW w:w="242" w:type="pct"/>
            <w:vMerge/>
          </w:tcPr>
          <w:p w:rsidR="007B4926" w:rsidRPr="00D46D99" w:rsidRDefault="007B4926" w:rsidP="00A25F6B">
            <w:pPr>
              <w:pStyle w:val="TableBodyText"/>
              <w:spacing w:line="240" w:lineRule="auto"/>
              <w:jc w:val="left"/>
            </w:pPr>
          </w:p>
        </w:tc>
        <w:tc>
          <w:tcPr>
            <w:tcW w:w="786" w:type="pct"/>
            <w:shd w:val="clear" w:color="auto" w:fill="D9D9D9" w:themeFill="background1" w:themeFillShade="D9"/>
            <w:vAlign w:val="bottom"/>
          </w:tcPr>
          <w:p w:rsidR="007B4926" w:rsidRPr="00D46D99" w:rsidRDefault="007B4926" w:rsidP="00A25F6B">
            <w:pPr>
              <w:pStyle w:val="TableBodyText"/>
              <w:spacing w:after="0"/>
              <w:jc w:val="left"/>
            </w:pPr>
            <w:r w:rsidRPr="00D46D99">
              <w:t>V</w:t>
            </w:r>
            <w:r>
              <w:t>alue added</w:t>
            </w:r>
          </w:p>
        </w:tc>
        <w:tc>
          <w:tcPr>
            <w:tcW w:w="567" w:type="pct"/>
            <w:shd w:val="clear" w:color="auto" w:fill="D9D9D9" w:themeFill="background1" w:themeFillShade="D9"/>
            <w:vAlign w:val="bottom"/>
          </w:tcPr>
          <w:p w:rsidR="007B4926" w:rsidRPr="00D46D99" w:rsidRDefault="007B4926" w:rsidP="00A25F6B">
            <w:pPr>
              <w:pStyle w:val="TableBodyText"/>
              <w:spacing w:after="0"/>
            </w:pPr>
            <w:r w:rsidRPr="00D46D99">
              <w:t>41.9</w:t>
            </w:r>
          </w:p>
        </w:tc>
        <w:tc>
          <w:tcPr>
            <w:tcW w:w="567" w:type="pct"/>
            <w:shd w:val="clear" w:color="auto" w:fill="D9D9D9" w:themeFill="background1" w:themeFillShade="D9"/>
            <w:vAlign w:val="bottom"/>
          </w:tcPr>
          <w:p w:rsidR="007B4926" w:rsidRPr="00D46D99" w:rsidRDefault="007B4926" w:rsidP="00A25F6B">
            <w:pPr>
              <w:pStyle w:val="TableBodyText"/>
              <w:spacing w:after="0"/>
            </w:pPr>
            <w:r w:rsidRPr="00D46D99">
              <w:t>62.8</w:t>
            </w:r>
          </w:p>
        </w:tc>
        <w:tc>
          <w:tcPr>
            <w:tcW w:w="568" w:type="pct"/>
            <w:shd w:val="clear" w:color="auto" w:fill="D9D9D9" w:themeFill="background1" w:themeFillShade="D9"/>
            <w:vAlign w:val="bottom"/>
          </w:tcPr>
          <w:p w:rsidR="007B4926" w:rsidRPr="00D46D99" w:rsidRDefault="007B4926" w:rsidP="00A25F6B">
            <w:pPr>
              <w:pStyle w:val="TableBodyText"/>
              <w:spacing w:after="0"/>
              <w:rPr>
                <w:b/>
                <w:bCs/>
              </w:rPr>
            </w:pPr>
            <w:r w:rsidRPr="00D46D99">
              <w:rPr>
                <w:b/>
                <w:bCs/>
              </w:rPr>
              <w:t>27.7</w:t>
            </w:r>
          </w:p>
        </w:tc>
        <w:tc>
          <w:tcPr>
            <w:tcW w:w="567" w:type="pct"/>
            <w:shd w:val="clear" w:color="auto" w:fill="D9D9D9" w:themeFill="background1" w:themeFillShade="D9"/>
            <w:vAlign w:val="bottom"/>
          </w:tcPr>
          <w:p w:rsidR="007B4926" w:rsidRPr="00D46D99" w:rsidRDefault="007B4926" w:rsidP="00A25F6B">
            <w:pPr>
              <w:pStyle w:val="TableBodyText"/>
              <w:spacing w:after="0"/>
            </w:pPr>
            <w:r w:rsidRPr="00D46D99">
              <w:t>45.6</w:t>
            </w:r>
          </w:p>
        </w:tc>
        <w:tc>
          <w:tcPr>
            <w:tcW w:w="568" w:type="pct"/>
            <w:shd w:val="clear" w:color="auto" w:fill="D9D9D9" w:themeFill="background1" w:themeFillShade="D9"/>
            <w:vAlign w:val="bottom"/>
          </w:tcPr>
          <w:p w:rsidR="007B4926" w:rsidRPr="00D46D99" w:rsidRDefault="007B4926" w:rsidP="00A25F6B">
            <w:pPr>
              <w:pStyle w:val="TableBodyText"/>
              <w:spacing w:after="0"/>
            </w:pPr>
            <w:r w:rsidRPr="00D46D99">
              <w:t>30.2</w:t>
            </w:r>
          </w:p>
        </w:tc>
        <w:tc>
          <w:tcPr>
            <w:tcW w:w="567" w:type="pct"/>
            <w:shd w:val="clear" w:color="auto" w:fill="D9D9D9" w:themeFill="background1" w:themeFillShade="D9"/>
            <w:vAlign w:val="bottom"/>
          </w:tcPr>
          <w:p w:rsidR="007B4926" w:rsidRPr="00D46D99" w:rsidRDefault="007B4926" w:rsidP="00A25F6B">
            <w:pPr>
              <w:pStyle w:val="TableBodyText"/>
              <w:spacing w:after="0"/>
            </w:pPr>
            <w:r w:rsidRPr="00D46D99">
              <w:t>44.9</w:t>
            </w:r>
          </w:p>
        </w:tc>
        <w:tc>
          <w:tcPr>
            <w:tcW w:w="568" w:type="pct"/>
            <w:shd w:val="clear" w:color="auto" w:fill="D9D9D9" w:themeFill="background1" w:themeFillShade="D9"/>
            <w:vAlign w:val="bottom"/>
          </w:tcPr>
          <w:p w:rsidR="007B4926" w:rsidRPr="00D46D99" w:rsidRDefault="007B4926" w:rsidP="00A25F6B">
            <w:pPr>
              <w:pStyle w:val="TableBodyText"/>
              <w:spacing w:after="0"/>
            </w:pPr>
            <w:r w:rsidRPr="00D46D99">
              <w:t>56.8</w:t>
            </w:r>
          </w:p>
        </w:tc>
      </w:tr>
      <w:tr w:rsidR="007B4926" w:rsidRPr="00D46D99" w:rsidTr="00A25F6B">
        <w:trPr>
          <w:trHeight w:val="235"/>
        </w:trPr>
        <w:tc>
          <w:tcPr>
            <w:tcW w:w="242" w:type="pct"/>
            <w:vMerge/>
          </w:tcPr>
          <w:p w:rsidR="007B4926" w:rsidRPr="00D46D99" w:rsidRDefault="007B4926" w:rsidP="00A25F6B">
            <w:pPr>
              <w:pStyle w:val="TableBodyText"/>
              <w:spacing w:line="240" w:lineRule="auto"/>
              <w:jc w:val="left"/>
            </w:pPr>
          </w:p>
        </w:tc>
        <w:tc>
          <w:tcPr>
            <w:tcW w:w="786" w:type="pct"/>
            <w:vAlign w:val="bottom"/>
          </w:tcPr>
          <w:p w:rsidR="007B4926" w:rsidRPr="00024F32" w:rsidRDefault="007B4926" w:rsidP="00A25F6B">
            <w:pPr>
              <w:pStyle w:val="TableBodyText"/>
              <w:jc w:val="left"/>
              <w:rPr>
                <w:b/>
              </w:rPr>
            </w:pPr>
            <w:r w:rsidRPr="00D46D99">
              <w:t>Imports</w:t>
            </w:r>
            <w:r w:rsidRPr="00024F32">
              <w:rPr>
                <w:rStyle w:val="NoteLabel"/>
              </w:rPr>
              <w:t>d</w:t>
            </w:r>
          </w:p>
        </w:tc>
        <w:tc>
          <w:tcPr>
            <w:tcW w:w="567" w:type="pct"/>
            <w:vAlign w:val="bottom"/>
          </w:tcPr>
          <w:p w:rsidR="007B4926" w:rsidRPr="00D46D99" w:rsidRDefault="007B4926" w:rsidP="00A25F6B">
            <w:pPr>
              <w:pStyle w:val="TableBodyText"/>
            </w:pPr>
            <w:r w:rsidRPr="00D46D99">
              <w:t>7.1</w:t>
            </w:r>
          </w:p>
        </w:tc>
        <w:tc>
          <w:tcPr>
            <w:tcW w:w="567" w:type="pct"/>
            <w:vAlign w:val="bottom"/>
          </w:tcPr>
          <w:p w:rsidR="007B4926" w:rsidRPr="00D46D99" w:rsidRDefault="007B4926" w:rsidP="00A25F6B">
            <w:pPr>
              <w:pStyle w:val="TableBodyText"/>
            </w:pPr>
            <w:r w:rsidRPr="00D46D99">
              <w:t>4.0</w:t>
            </w:r>
          </w:p>
        </w:tc>
        <w:tc>
          <w:tcPr>
            <w:tcW w:w="568" w:type="pct"/>
            <w:vAlign w:val="bottom"/>
          </w:tcPr>
          <w:p w:rsidR="007B4926" w:rsidRPr="00024F32" w:rsidRDefault="007B4926" w:rsidP="00A25F6B">
            <w:pPr>
              <w:pStyle w:val="TableBodyText"/>
              <w:rPr>
                <w:b/>
              </w:rPr>
            </w:pPr>
            <w:r w:rsidRPr="00024F32">
              <w:rPr>
                <w:b/>
              </w:rPr>
              <w:t>16.2</w:t>
            </w:r>
          </w:p>
        </w:tc>
        <w:tc>
          <w:tcPr>
            <w:tcW w:w="567" w:type="pct"/>
            <w:shd w:val="clear" w:color="auto" w:fill="auto"/>
            <w:vAlign w:val="bottom"/>
          </w:tcPr>
          <w:p w:rsidR="007B4926" w:rsidRPr="00D46D99" w:rsidRDefault="007B4926" w:rsidP="00A25F6B">
            <w:pPr>
              <w:pStyle w:val="TableBodyText"/>
            </w:pPr>
            <w:r w:rsidRPr="00D46D99">
              <w:t>3.8</w:t>
            </w:r>
          </w:p>
        </w:tc>
        <w:tc>
          <w:tcPr>
            <w:tcW w:w="568" w:type="pct"/>
            <w:shd w:val="clear" w:color="auto" w:fill="auto"/>
            <w:vAlign w:val="bottom"/>
          </w:tcPr>
          <w:p w:rsidR="007B4926" w:rsidRPr="00D46D99" w:rsidRDefault="007B4926" w:rsidP="00A25F6B">
            <w:pPr>
              <w:pStyle w:val="TableBodyText"/>
            </w:pPr>
            <w:r w:rsidRPr="00D46D99">
              <w:t>4.9</w:t>
            </w:r>
          </w:p>
        </w:tc>
        <w:tc>
          <w:tcPr>
            <w:tcW w:w="567" w:type="pct"/>
            <w:vAlign w:val="bottom"/>
          </w:tcPr>
          <w:p w:rsidR="007B4926" w:rsidRPr="00D46D99" w:rsidRDefault="007B4926" w:rsidP="00A25F6B">
            <w:pPr>
              <w:pStyle w:val="TableBodyText"/>
            </w:pPr>
            <w:r w:rsidRPr="00D46D99">
              <w:t>6.8</w:t>
            </w:r>
          </w:p>
        </w:tc>
        <w:tc>
          <w:tcPr>
            <w:tcW w:w="568" w:type="pct"/>
            <w:shd w:val="clear" w:color="auto" w:fill="auto"/>
            <w:vAlign w:val="bottom"/>
          </w:tcPr>
          <w:p w:rsidR="007B4926" w:rsidRPr="00D46D99" w:rsidRDefault="007B4926" w:rsidP="00A25F6B">
            <w:pPr>
              <w:pStyle w:val="TableBodyText"/>
            </w:pPr>
            <w:r w:rsidRPr="00D46D99">
              <w:t>3.9</w:t>
            </w:r>
          </w:p>
        </w:tc>
      </w:tr>
      <w:tr w:rsidR="007B4926" w:rsidRPr="00D46D99" w:rsidTr="00A25F6B">
        <w:tc>
          <w:tcPr>
            <w:tcW w:w="242" w:type="pct"/>
            <w:tcBorders>
              <w:bottom w:val="single" w:sz="4" w:space="0" w:color="auto"/>
            </w:tcBorders>
          </w:tcPr>
          <w:p w:rsidR="007B4926" w:rsidRPr="00D46D99" w:rsidRDefault="007B4926" w:rsidP="00A25F6B">
            <w:pPr>
              <w:pStyle w:val="TableBodyText"/>
              <w:spacing w:line="240" w:lineRule="auto"/>
              <w:jc w:val="left"/>
              <w:rPr>
                <w:b/>
              </w:rPr>
            </w:pPr>
          </w:p>
        </w:tc>
        <w:tc>
          <w:tcPr>
            <w:tcW w:w="786" w:type="pct"/>
            <w:tcBorders>
              <w:bottom w:val="single" w:sz="4" w:space="0" w:color="auto"/>
            </w:tcBorders>
            <w:shd w:val="clear" w:color="auto" w:fill="D9D9D9" w:themeFill="background1" w:themeFillShade="D9"/>
            <w:vAlign w:val="bottom"/>
          </w:tcPr>
          <w:p w:rsidR="007B4926" w:rsidRPr="00D46D99" w:rsidRDefault="007B4926" w:rsidP="00A25F6B">
            <w:pPr>
              <w:rPr>
                <w:rFonts w:ascii="Calibri" w:hAnsi="Calibri" w:cs="Calibri"/>
                <w:b/>
                <w:color w:val="000000"/>
                <w:sz w:val="22"/>
                <w:szCs w:val="22"/>
              </w:rPr>
            </w:pPr>
            <w:r w:rsidRPr="00D46D99">
              <w:rPr>
                <w:rFonts w:ascii="Calibri" w:hAnsi="Calibri" w:cs="Calibri"/>
                <w:b/>
                <w:color w:val="000000"/>
                <w:sz w:val="22"/>
                <w:szCs w:val="22"/>
              </w:rPr>
              <w:t>Total</w:t>
            </w:r>
            <w:r>
              <w:rPr>
                <w:rStyle w:val="NoteLabel"/>
              </w:rPr>
              <w:t>e</w:t>
            </w:r>
          </w:p>
        </w:tc>
        <w:tc>
          <w:tcPr>
            <w:tcW w:w="567"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pPr>
            <w:r w:rsidRPr="00D46D99">
              <w:t>100</w:t>
            </w:r>
          </w:p>
        </w:tc>
        <w:tc>
          <w:tcPr>
            <w:tcW w:w="567"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pPr>
            <w:r w:rsidRPr="00D46D99">
              <w:t>100</w:t>
            </w:r>
          </w:p>
        </w:tc>
        <w:tc>
          <w:tcPr>
            <w:tcW w:w="568"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rPr>
                <w:b/>
              </w:rPr>
            </w:pPr>
            <w:r w:rsidRPr="00D46D99">
              <w:rPr>
                <w:b/>
              </w:rPr>
              <w:t>100</w:t>
            </w:r>
          </w:p>
        </w:tc>
        <w:tc>
          <w:tcPr>
            <w:tcW w:w="567"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pPr>
            <w:r w:rsidRPr="00D46D99">
              <w:t>100</w:t>
            </w:r>
          </w:p>
        </w:tc>
        <w:tc>
          <w:tcPr>
            <w:tcW w:w="568"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pPr>
            <w:r w:rsidRPr="00D46D99">
              <w:t>100</w:t>
            </w:r>
          </w:p>
        </w:tc>
        <w:tc>
          <w:tcPr>
            <w:tcW w:w="567"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pPr>
            <w:r w:rsidRPr="00D46D99">
              <w:t>100</w:t>
            </w:r>
          </w:p>
        </w:tc>
        <w:tc>
          <w:tcPr>
            <w:tcW w:w="568" w:type="pct"/>
            <w:tcBorders>
              <w:bottom w:val="single" w:sz="4" w:space="0" w:color="auto"/>
            </w:tcBorders>
            <w:shd w:val="clear" w:color="auto" w:fill="D9D9D9" w:themeFill="background1" w:themeFillShade="D9"/>
            <w:vAlign w:val="bottom"/>
          </w:tcPr>
          <w:p w:rsidR="007B4926" w:rsidRPr="00D46D99" w:rsidRDefault="007B4926" w:rsidP="00A25F6B">
            <w:pPr>
              <w:pStyle w:val="TableBodyText"/>
            </w:pPr>
            <w:r w:rsidRPr="00D46D99">
              <w:t>100</w:t>
            </w:r>
          </w:p>
        </w:tc>
      </w:tr>
    </w:tbl>
    <w:p w:rsidR="007B4926" w:rsidRPr="00F122F3" w:rsidRDefault="007B4926" w:rsidP="007B4926">
      <w:pPr>
        <w:pStyle w:val="Note"/>
      </w:pPr>
      <w:r w:rsidRPr="00D46D99">
        <w:rPr>
          <w:rStyle w:val="NoteLabel"/>
        </w:rPr>
        <w:t>a</w:t>
      </w:r>
      <w:r w:rsidRPr="00D46D99">
        <w:t xml:space="preserve"> Based on direct allocation of imports so that the percentages intermediate inputs refer only to domestically produced inputs. </w:t>
      </w:r>
      <w:r>
        <w:rPr>
          <w:rStyle w:val="NoteLabel"/>
        </w:rPr>
        <w:t>b</w:t>
      </w:r>
      <w:r w:rsidRPr="00AC24DB" w:rsidDel="00227B2A">
        <w:t xml:space="preserve"> </w:t>
      </w:r>
      <w:r w:rsidRPr="00AC24DB">
        <w:t xml:space="preserve">Electricity, gas, water and waste services. </w:t>
      </w:r>
      <w:r>
        <w:rPr>
          <w:rStyle w:val="NoteLabel"/>
        </w:rPr>
        <w:t>c</w:t>
      </w:r>
      <w:r w:rsidRPr="00D46D99">
        <w:t xml:space="preserve"> </w:t>
      </w:r>
      <w:r>
        <w:t xml:space="preserve">Includes non-market sector industries. </w:t>
      </w:r>
      <w:r>
        <w:rPr>
          <w:rStyle w:val="NoteLabel"/>
        </w:rPr>
        <w:t>d</w:t>
      </w:r>
      <w:r>
        <w:t> </w:t>
      </w:r>
      <w:r w:rsidRPr="00D46D99">
        <w:t xml:space="preserve">Imports refer to imported intermediate goods used by column (use) industry and can be products from any industry. </w:t>
      </w:r>
      <w:r>
        <w:rPr>
          <w:rStyle w:val="NoteLabel"/>
        </w:rPr>
        <w:t>e</w:t>
      </w:r>
      <w:r>
        <w:t xml:space="preserve"> Includes </w:t>
      </w:r>
      <w:r w:rsidRPr="00D46D99">
        <w:t>taxes less subsidies on products.</w:t>
      </w:r>
    </w:p>
    <w:p w:rsidR="007B4926" w:rsidRDefault="007B4926" w:rsidP="007B4926">
      <w:pPr>
        <w:pStyle w:val="Source"/>
        <w:spacing w:line="240" w:lineRule="auto"/>
      </w:pPr>
      <w:r w:rsidRPr="00D46D99">
        <w:rPr>
          <w:i/>
        </w:rPr>
        <w:t>Source</w:t>
      </w:r>
      <w:r w:rsidRPr="00D46D99">
        <w:t>: ABS (</w:t>
      </w:r>
      <w:r w:rsidRPr="00D46D99">
        <w:rPr>
          <w:i/>
        </w:rPr>
        <w:t>Australian National Accounts: Input-</w:t>
      </w:r>
      <w:r>
        <w:rPr>
          <w:i/>
        </w:rPr>
        <w:t>O</w:t>
      </w:r>
      <w:r w:rsidRPr="00D46D99">
        <w:rPr>
          <w:i/>
        </w:rPr>
        <w:t xml:space="preserve">utput Tables, </w:t>
      </w:r>
      <w:r w:rsidRPr="00A0540E">
        <w:rPr>
          <w:i/>
        </w:rPr>
        <w:t>2008-09</w:t>
      </w:r>
      <w:r>
        <w:t xml:space="preserve">, </w:t>
      </w:r>
      <w:r w:rsidRPr="00D46D99">
        <w:t>Cat. no. 5209.0.55.001, Table 5).</w:t>
      </w:r>
    </w:p>
    <w:p w:rsidR="00D06DF2" w:rsidRPr="00FE45BC" w:rsidRDefault="00D06DF2" w:rsidP="00D06DF2">
      <w:pPr>
        <w:pStyle w:val="BodyText"/>
      </w:pPr>
      <w:r w:rsidRPr="00FE45BC">
        <w:lastRenderedPageBreak/>
        <w:t xml:space="preserve">Changes in the coefficients give a broad indication of the changing relationships between Australian manufacturers and their users and suppliers. Table </w:t>
      </w:r>
      <w:proofErr w:type="spellStart"/>
      <w:r w:rsidR="00AB6BB9" w:rsidRPr="00FE45BC">
        <w:t>B.1</w:t>
      </w:r>
      <w:proofErr w:type="spellEnd"/>
      <w:r w:rsidRPr="00FE45BC">
        <w:t xml:space="preserve"> shows the coefficients at the divisional level and table </w:t>
      </w:r>
      <w:proofErr w:type="spellStart"/>
      <w:r w:rsidR="00AB6BB9" w:rsidRPr="00FE45BC">
        <w:t>B.2</w:t>
      </w:r>
      <w:proofErr w:type="spellEnd"/>
      <w:r w:rsidR="00AB6BB9" w:rsidRPr="00FE45BC">
        <w:t xml:space="preserve"> </w:t>
      </w:r>
      <w:r w:rsidRPr="00FE45BC">
        <w:t xml:space="preserve">shows the coefficients for the subsectors of Manufacturing. Petroleum, coal, chemical </w:t>
      </w:r>
      <w:r w:rsidR="00F4385D" w:rsidRPr="00FE45BC">
        <w:t>and</w:t>
      </w:r>
      <w:r w:rsidRPr="00FE45BC">
        <w:t xml:space="preserve"> rubber products (</w:t>
      </w:r>
      <w:proofErr w:type="spellStart"/>
      <w:r w:rsidRPr="00FE45BC">
        <w:t>PCCR</w:t>
      </w:r>
      <w:proofErr w:type="spellEnd"/>
      <w:r w:rsidRPr="00FE45BC">
        <w:t xml:space="preserve">) provides a relatively large share of intermediate inputs to Agriculture and Mining as well as to the Manufacturing subsectors. Of all the Manufacturing subsectors, </w:t>
      </w:r>
      <w:r w:rsidR="00BA20E3" w:rsidRPr="00FE45BC">
        <w:t>M</w:t>
      </w:r>
      <w:r w:rsidRPr="00FE45BC">
        <w:t>etal products (MP)</w:t>
      </w:r>
      <w:r w:rsidR="004B728C" w:rsidRPr="00FE45BC">
        <w:t xml:space="preserve"> provides the largest share</w:t>
      </w:r>
      <w:r w:rsidRPr="00FE45BC">
        <w:t xml:space="preserve"> of intermediate inputs used by total Manufacturing. Every $100 of </w:t>
      </w:r>
      <w:r w:rsidR="004B728C" w:rsidRPr="00FE45BC">
        <w:t>Manufacturing output requires $9.</w:t>
      </w:r>
      <w:r w:rsidR="0011257A" w:rsidRPr="00FE45BC">
        <w:t>2</w:t>
      </w:r>
      <w:r w:rsidRPr="00FE45BC">
        <w:t xml:space="preserve">0 of intermediate inputs from MP. Machinery </w:t>
      </w:r>
      <w:r w:rsidR="00F4385D" w:rsidRPr="00FE45BC">
        <w:t>and</w:t>
      </w:r>
      <w:r w:rsidRPr="00FE45BC">
        <w:t xml:space="preserve"> equipment </w:t>
      </w:r>
      <w:r w:rsidR="00AB6BB9" w:rsidRPr="00FE45BC">
        <w:t xml:space="preserve">manufacturing </w:t>
      </w:r>
      <w:r w:rsidRPr="00FE45BC">
        <w:t xml:space="preserve">(ME) and </w:t>
      </w:r>
      <w:r w:rsidR="00CE1770" w:rsidRPr="00FE45BC">
        <w:t>Textile</w:t>
      </w:r>
      <w:r w:rsidR="004B728C" w:rsidRPr="00FE45BC">
        <w:t xml:space="preserve">, clothing and other </w:t>
      </w:r>
      <w:r w:rsidR="00466044" w:rsidRPr="00FE45BC">
        <w:t>manufacturing</w:t>
      </w:r>
      <w:r w:rsidRPr="00FE45BC">
        <w:t xml:space="preserve"> </w:t>
      </w:r>
      <w:r w:rsidR="00BA20E3" w:rsidRPr="00FE45BC">
        <w:t>(</w:t>
      </w:r>
      <w:proofErr w:type="spellStart"/>
      <w:r w:rsidR="00BA20E3" w:rsidRPr="00FE45BC">
        <w:t>TCO</w:t>
      </w:r>
      <w:proofErr w:type="spellEnd"/>
      <w:r w:rsidR="00BA20E3" w:rsidRPr="00FE45BC">
        <w:t xml:space="preserve">) </w:t>
      </w:r>
      <w:r w:rsidRPr="00FE45BC">
        <w:t>have a high reliance on inputs from MP.</w:t>
      </w:r>
    </w:p>
    <w:p w:rsidR="007B4926" w:rsidRPr="007B4926" w:rsidRDefault="007B4926" w:rsidP="007B4926">
      <w:pPr>
        <w:pStyle w:val="Heading3"/>
      </w:pPr>
      <w:r w:rsidRPr="007B4926">
        <w:t>Suppliers to Manufacturing</w:t>
      </w:r>
    </w:p>
    <w:p w:rsidR="007B4926" w:rsidRPr="00D46D99" w:rsidRDefault="007B4926" w:rsidP="007B4926">
      <w:pPr>
        <w:pStyle w:val="BodyText"/>
      </w:pPr>
      <w:r w:rsidRPr="00D46D99">
        <w:t>A Commission Research Paper in 2003 identified that in the mid-</w:t>
      </w:r>
      <w:proofErr w:type="spellStart"/>
      <w:r w:rsidRPr="00D46D99">
        <w:t>1990s</w:t>
      </w:r>
      <w:proofErr w:type="spellEnd"/>
      <w:r w:rsidRPr="00D46D99">
        <w:t>, Manufacturing was a significant user of inputs from the primary industries (Agriculture and Mining), with the resource processing parts of Manufacturing having more linkage with resources than the elaborately transformed manufactures (</w:t>
      </w:r>
      <w:r w:rsidRPr="00BB1763">
        <w:t>PC 2003</w:t>
      </w:r>
      <w:r w:rsidRPr="00D46D99">
        <w:t>). Since then, the linkage</w:t>
      </w:r>
      <w:r>
        <w:t>s</w:t>
      </w:r>
      <w:r w:rsidRPr="00D46D99">
        <w:t xml:space="preserve"> between Manufacturing and the primary industries have strengthened</w:t>
      </w:r>
      <w:r>
        <w:t>, likely</w:t>
      </w:r>
      <w:r w:rsidRPr="00D46D99">
        <w:t xml:space="preserve"> as a result of the mining boom. </w:t>
      </w:r>
    </w:p>
    <w:p w:rsidR="007B4926" w:rsidRPr="00D46D99" w:rsidRDefault="007B4926" w:rsidP="007B4926">
      <w:pPr>
        <w:pStyle w:val="BodyText"/>
      </w:pPr>
      <w:r w:rsidRPr="00D46D99">
        <w:t>While in 1994-95, intermediate inputs from Mining contributed $5.10 per every $100 of Manufacturing output, by 2008-09, it contributed $8.30 (</w:t>
      </w:r>
      <w:r w:rsidRPr="00BB1763">
        <w:t xml:space="preserve">ABS </w:t>
      </w:r>
      <w:proofErr w:type="spellStart"/>
      <w:r w:rsidRPr="00BB1763">
        <w:t>201</w:t>
      </w:r>
      <w:r>
        <w:t>2a</w:t>
      </w:r>
      <w:proofErr w:type="spellEnd"/>
      <w:r w:rsidRPr="00D46D99">
        <w:t xml:space="preserve">). Aside from the intra-industry flows within Agriculture and Mining, Manufacturing is the most significant user of inputs from these industries (table </w:t>
      </w:r>
      <w:proofErr w:type="spellStart"/>
      <w:r w:rsidRPr="00D46D99">
        <w:t>B.1</w:t>
      </w:r>
      <w:proofErr w:type="spellEnd"/>
      <w:r w:rsidRPr="00D46D99">
        <w:t xml:space="preserve">). </w:t>
      </w:r>
    </w:p>
    <w:p w:rsidR="007B4926" w:rsidRPr="00D46D99" w:rsidRDefault="007B4926" w:rsidP="007B4926">
      <w:pPr>
        <w:pStyle w:val="BodyText"/>
      </w:pPr>
      <w:r w:rsidRPr="00D46D99">
        <w:t>In the 2003 Research Paper, the Commission also noted that the outsourcing of non</w:t>
      </w:r>
      <w:r>
        <w:noBreakHyphen/>
      </w:r>
      <w:r w:rsidRPr="00D46D99">
        <w:t>core service activities (such as accountancy, cleaning, transport and data</w:t>
      </w:r>
      <w:r>
        <w:noBreakHyphen/>
      </w:r>
      <w:r w:rsidRPr="00D46D99">
        <w:t>processing) by firms in Manufacturing had contributed to the decline in the sector’s share</w:t>
      </w:r>
      <w:r>
        <w:t xml:space="preserve"> of gross domestic product</w:t>
      </w:r>
      <w:r w:rsidRPr="00D46D99">
        <w:t>. Intermediate inputs from the services sector had been making a significantly higher contribution to Manufacturing in the mid-</w:t>
      </w:r>
      <w:proofErr w:type="spellStart"/>
      <w:r>
        <w:t>19</w:t>
      </w:r>
      <w:r w:rsidRPr="00D46D99">
        <w:t>90s</w:t>
      </w:r>
      <w:proofErr w:type="spellEnd"/>
      <w:r w:rsidRPr="00D46D99">
        <w:t xml:space="preserve"> than in the early </w:t>
      </w:r>
      <w:proofErr w:type="spellStart"/>
      <w:r>
        <w:t>19</w:t>
      </w:r>
      <w:r w:rsidRPr="00D46D99">
        <w:t>80s</w:t>
      </w:r>
      <w:proofErr w:type="spellEnd"/>
      <w:r w:rsidRPr="00D46D99">
        <w:t xml:space="preserve">, suggesting that activities that were previously performed by manufacturers themselves were increasingly being supplied from the services sector. The coefficient representing the flow of services into Manufacturing has since stabilised, suggesting that the outsourcing trend may have plateaued. As shown in table </w:t>
      </w:r>
      <w:proofErr w:type="spellStart"/>
      <w:r w:rsidRPr="00D46D99">
        <w:t>B.1</w:t>
      </w:r>
      <w:proofErr w:type="spellEnd"/>
      <w:r w:rsidRPr="00D46D99">
        <w:t xml:space="preserve">, the services industries contributed $20.50 to every $100 of </w:t>
      </w:r>
      <w:r>
        <w:t>Manufacturing</w:t>
      </w:r>
      <w:r w:rsidRPr="00D46D99">
        <w:t xml:space="preserve"> output. This is similar to 1994-95: the IO tables for that year show that the services contribution was $19.80. </w:t>
      </w:r>
    </w:p>
    <w:p w:rsidR="004C12BF" w:rsidRPr="00D46D99" w:rsidRDefault="004C12BF" w:rsidP="004C12BF">
      <w:pPr>
        <w:pStyle w:val="BodyText"/>
        <w:spacing w:line="240" w:lineRule="auto"/>
        <w:sectPr w:rsidR="004C12BF" w:rsidRPr="00D46D99" w:rsidSect="009A3830">
          <w:headerReference w:type="even" r:id="rId9"/>
          <w:headerReference w:type="default" r:id="rId10"/>
          <w:footerReference w:type="even" r:id="rId11"/>
          <w:footerReference w:type="default" r:id="rId12"/>
          <w:pgSz w:w="11907" w:h="16840" w:code="9"/>
          <w:pgMar w:top="1985" w:right="1304" w:bottom="1418" w:left="1814" w:header="1701" w:footer="567" w:gutter="0"/>
          <w:pgNumType w:start="217" w:chapStyle="1" w:chapSep="period"/>
          <w:cols w:space="720"/>
        </w:sectPr>
      </w:pPr>
      <w:r w:rsidRPr="00D46D99">
        <w:rPr>
          <w:i/>
        </w:rPr>
        <w:br w:type="page"/>
      </w:r>
    </w:p>
    <w:p w:rsidR="004C12BF" w:rsidRPr="005C5735" w:rsidRDefault="004C12BF" w:rsidP="004C12BF">
      <w:pPr>
        <w:pStyle w:val="TableTitle"/>
        <w:spacing w:line="240" w:lineRule="auto"/>
      </w:pPr>
      <w:r w:rsidRPr="00D46D99">
        <w:rPr>
          <w:b w:val="0"/>
        </w:rPr>
        <w:lastRenderedPageBreak/>
        <w:t xml:space="preserve">Table </w:t>
      </w:r>
      <w:bookmarkStart w:id="7" w:name="OLE_LINK1"/>
      <w:proofErr w:type="spellStart"/>
      <w:r w:rsidR="00403C38" w:rsidRPr="00D46D99">
        <w:rPr>
          <w:b w:val="0"/>
        </w:rPr>
        <w:t>B.</w:t>
      </w:r>
      <w:r w:rsidR="00E2360E">
        <w:rPr>
          <w:b w:val="0"/>
          <w:noProof/>
        </w:rPr>
        <w:t>2</w:t>
      </w:r>
      <w:bookmarkEnd w:id="7"/>
      <w:proofErr w:type="spellEnd"/>
      <w:r w:rsidRPr="00D46D99">
        <w:tab/>
        <w:t>Input-output linkages of Manufacturing subsectors</w:t>
      </w:r>
      <w:r w:rsidR="00C7527E">
        <w:t>,</w:t>
      </w:r>
      <w:r w:rsidR="00562628" w:rsidRPr="00D46D99">
        <w:rPr>
          <w:rStyle w:val="NoteLabel"/>
          <w:b/>
        </w:rPr>
        <w:t>a</w:t>
      </w:r>
      <w:r w:rsidR="005C5735">
        <w:t xml:space="preserve"> 2008-09</w:t>
      </w:r>
    </w:p>
    <w:p w:rsidR="004C12BF" w:rsidRPr="00D46D99" w:rsidRDefault="005C5735" w:rsidP="004C12BF">
      <w:pPr>
        <w:pStyle w:val="Subtitle"/>
        <w:spacing w:line="240" w:lineRule="auto"/>
      </w:pPr>
      <w:r>
        <w:t>Per cent</w:t>
      </w:r>
    </w:p>
    <w:tbl>
      <w:tblPr>
        <w:tblW w:w="4974" w:type="pct"/>
        <w:tblLayout w:type="fixed"/>
        <w:tblCellMar>
          <w:left w:w="0" w:type="dxa"/>
          <w:right w:w="0" w:type="dxa"/>
        </w:tblCellMar>
        <w:tblLook w:val="0000" w:firstRow="0" w:lastRow="0" w:firstColumn="0" w:lastColumn="0" w:noHBand="0" w:noVBand="0"/>
      </w:tblPr>
      <w:tblGrid>
        <w:gridCol w:w="287"/>
        <w:gridCol w:w="1700"/>
        <w:gridCol w:w="949"/>
        <w:gridCol w:w="949"/>
        <w:gridCol w:w="949"/>
        <w:gridCol w:w="949"/>
        <w:gridCol w:w="949"/>
        <w:gridCol w:w="949"/>
        <w:gridCol w:w="949"/>
        <w:gridCol w:w="949"/>
        <w:gridCol w:w="949"/>
        <w:gridCol w:w="949"/>
        <w:gridCol w:w="949"/>
        <w:gridCol w:w="941"/>
      </w:tblGrid>
      <w:tr w:rsidR="005E68E7" w:rsidRPr="00D46D99" w:rsidTr="006A3AF3">
        <w:tc>
          <w:tcPr>
            <w:tcW w:w="107" w:type="pct"/>
            <w:tcBorders>
              <w:top w:val="single" w:sz="4" w:space="0" w:color="auto"/>
            </w:tcBorders>
            <w:shd w:val="clear" w:color="auto" w:fill="auto"/>
          </w:tcPr>
          <w:p w:rsidR="005E68E7" w:rsidRPr="00D46D99" w:rsidRDefault="005E68E7" w:rsidP="006B5014">
            <w:pPr>
              <w:pStyle w:val="TableColumnHeading"/>
              <w:spacing w:before="0" w:after="0" w:line="240" w:lineRule="auto"/>
              <w:jc w:val="left"/>
            </w:pPr>
          </w:p>
        </w:tc>
        <w:tc>
          <w:tcPr>
            <w:tcW w:w="636" w:type="pct"/>
            <w:tcBorders>
              <w:top w:val="single" w:sz="4" w:space="0" w:color="auto"/>
            </w:tcBorders>
            <w:shd w:val="clear" w:color="auto" w:fill="auto"/>
            <w:vAlign w:val="bottom"/>
          </w:tcPr>
          <w:p w:rsidR="005E68E7" w:rsidRPr="00D46D99" w:rsidRDefault="005E68E7" w:rsidP="006B5014">
            <w:pPr>
              <w:rPr>
                <w:rFonts w:ascii="Calibri" w:hAnsi="Calibri" w:cs="Calibri"/>
                <w:color w:val="000000"/>
                <w:sz w:val="22"/>
                <w:szCs w:val="22"/>
              </w:rPr>
            </w:pPr>
          </w:p>
        </w:tc>
        <w:tc>
          <w:tcPr>
            <w:tcW w:w="4258" w:type="pct"/>
            <w:gridSpan w:val="12"/>
            <w:tcBorders>
              <w:top w:val="single" w:sz="6" w:space="0" w:color="auto"/>
              <w:bottom w:val="single" w:sz="6" w:space="0" w:color="auto"/>
            </w:tcBorders>
            <w:shd w:val="clear" w:color="auto" w:fill="auto"/>
            <w:vAlign w:val="bottom"/>
          </w:tcPr>
          <w:p w:rsidR="005E68E7" w:rsidRPr="00D46D99" w:rsidRDefault="005E68E7" w:rsidP="006B5014">
            <w:pPr>
              <w:pStyle w:val="TableColumnHeading"/>
              <w:spacing w:before="0" w:after="0" w:line="240" w:lineRule="auto"/>
              <w:jc w:val="center"/>
              <w:rPr>
                <w:b/>
              </w:rPr>
            </w:pPr>
            <w:r w:rsidRPr="00D46D99">
              <w:rPr>
                <w:b/>
              </w:rPr>
              <w:t>TO</w:t>
            </w:r>
          </w:p>
        </w:tc>
      </w:tr>
      <w:tr w:rsidR="006A3AF3" w:rsidRPr="00D46D99" w:rsidTr="006A3AF3">
        <w:tc>
          <w:tcPr>
            <w:tcW w:w="107" w:type="pct"/>
            <w:tcBorders>
              <w:bottom w:val="single" w:sz="6" w:space="0" w:color="auto"/>
            </w:tcBorders>
            <w:shd w:val="clear" w:color="auto" w:fill="auto"/>
          </w:tcPr>
          <w:p w:rsidR="001F73B7" w:rsidRPr="00D46D99" w:rsidRDefault="001F73B7" w:rsidP="002A7C6E">
            <w:pPr>
              <w:pStyle w:val="TableColumnHeading"/>
              <w:spacing w:line="240" w:lineRule="auto"/>
              <w:jc w:val="left"/>
            </w:pPr>
          </w:p>
        </w:tc>
        <w:tc>
          <w:tcPr>
            <w:tcW w:w="636" w:type="pct"/>
            <w:tcBorders>
              <w:bottom w:val="single" w:sz="6" w:space="0" w:color="auto"/>
            </w:tcBorders>
            <w:shd w:val="clear" w:color="auto" w:fill="auto"/>
            <w:vAlign w:val="bottom"/>
          </w:tcPr>
          <w:p w:rsidR="001F73B7" w:rsidRPr="00D46D99" w:rsidRDefault="001F73B7" w:rsidP="00081742">
            <w:pPr>
              <w:rPr>
                <w:rFonts w:ascii="Calibri" w:hAnsi="Calibri" w:cs="Calibri"/>
                <w:color w:val="000000"/>
                <w:sz w:val="22"/>
                <w:szCs w:val="22"/>
              </w:rPr>
            </w:pPr>
            <w:r w:rsidRPr="00D46D99">
              <w:rPr>
                <w:rFonts w:ascii="Calibri" w:hAnsi="Calibri" w:cs="Calibri"/>
                <w:color w:val="000000"/>
                <w:sz w:val="22"/>
                <w:szCs w:val="22"/>
              </w:rPr>
              <w:t> </w:t>
            </w:r>
          </w:p>
        </w:tc>
        <w:tc>
          <w:tcPr>
            <w:tcW w:w="355" w:type="pct"/>
            <w:tcBorders>
              <w:top w:val="single" w:sz="6" w:space="0" w:color="auto"/>
              <w:bottom w:val="single" w:sz="6" w:space="0" w:color="auto"/>
            </w:tcBorders>
            <w:shd w:val="clear" w:color="auto" w:fill="auto"/>
            <w:vAlign w:val="bottom"/>
          </w:tcPr>
          <w:p w:rsidR="001F73B7" w:rsidRPr="00D46D99" w:rsidRDefault="005E68E7" w:rsidP="002A7C6E">
            <w:pPr>
              <w:pStyle w:val="TableColumnHeading"/>
              <w:spacing w:line="240" w:lineRule="auto"/>
              <w:rPr>
                <w:b/>
              </w:rPr>
            </w:pPr>
            <w:r w:rsidRPr="00D46D99">
              <w:rPr>
                <w:b/>
              </w:rPr>
              <w:t>Agric.</w:t>
            </w:r>
          </w:p>
        </w:tc>
        <w:tc>
          <w:tcPr>
            <w:tcW w:w="355" w:type="pct"/>
            <w:tcBorders>
              <w:top w:val="single" w:sz="6" w:space="0" w:color="auto"/>
              <w:bottom w:val="single" w:sz="6" w:space="0" w:color="auto"/>
            </w:tcBorders>
            <w:shd w:val="clear" w:color="auto" w:fill="auto"/>
            <w:vAlign w:val="bottom"/>
          </w:tcPr>
          <w:p w:rsidR="001F73B7" w:rsidRPr="00D46D99" w:rsidRDefault="001F73B7" w:rsidP="002A7C6E">
            <w:pPr>
              <w:pStyle w:val="TableColumnHeading"/>
              <w:spacing w:line="240" w:lineRule="auto"/>
              <w:rPr>
                <w:b/>
              </w:rPr>
            </w:pPr>
            <w:r w:rsidRPr="00D46D99">
              <w:rPr>
                <w:b/>
              </w:rPr>
              <w:t>Mining</w:t>
            </w:r>
          </w:p>
        </w:tc>
        <w:tc>
          <w:tcPr>
            <w:tcW w:w="355" w:type="pct"/>
            <w:tcBorders>
              <w:top w:val="single" w:sz="6" w:space="0" w:color="auto"/>
              <w:bottom w:val="single" w:sz="6" w:space="0" w:color="auto"/>
            </w:tcBorders>
            <w:shd w:val="clear" w:color="auto" w:fill="auto"/>
            <w:vAlign w:val="bottom"/>
          </w:tcPr>
          <w:p w:rsidR="001F73B7" w:rsidRPr="00D46D99" w:rsidRDefault="001F73B7" w:rsidP="002A7C6E">
            <w:pPr>
              <w:pStyle w:val="TableColumnHeading"/>
              <w:spacing w:line="240" w:lineRule="auto"/>
            </w:pPr>
            <w:proofErr w:type="spellStart"/>
            <w:r w:rsidRPr="00D46D99">
              <w:t>FBT</w:t>
            </w:r>
            <w:proofErr w:type="spellEnd"/>
          </w:p>
        </w:tc>
        <w:tc>
          <w:tcPr>
            <w:tcW w:w="355" w:type="pct"/>
            <w:tcBorders>
              <w:top w:val="single" w:sz="6" w:space="0" w:color="auto"/>
              <w:bottom w:val="single" w:sz="6" w:space="0" w:color="auto"/>
            </w:tcBorders>
            <w:shd w:val="clear" w:color="auto" w:fill="auto"/>
            <w:vAlign w:val="bottom"/>
          </w:tcPr>
          <w:p w:rsidR="001F73B7" w:rsidRPr="00D46D99" w:rsidRDefault="001F73B7" w:rsidP="0002587B">
            <w:pPr>
              <w:pStyle w:val="TableColumnHeading"/>
              <w:spacing w:line="240" w:lineRule="auto"/>
            </w:pPr>
            <w:proofErr w:type="spellStart"/>
            <w:r w:rsidRPr="00D46D99">
              <w:t>TC</w:t>
            </w:r>
            <w:r w:rsidR="0002587B" w:rsidRPr="00D46D99">
              <w:t>O</w:t>
            </w:r>
            <w:proofErr w:type="spellEnd"/>
          </w:p>
        </w:tc>
        <w:tc>
          <w:tcPr>
            <w:tcW w:w="355" w:type="pct"/>
            <w:tcBorders>
              <w:top w:val="single" w:sz="6" w:space="0" w:color="auto"/>
              <w:bottom w:val="single" w:sz="6" w:space="0" w:color="auto"/>
            </w:tcBorders>
            <w:shd w:val="clear" w:color="auto" w:fill="auto"/>
            <w:vAlign w:val="bottom"/>
          </w:tcPr>
          <w:p w:rsidR="001F73B7" w:rsidRPr="00D46D99" w:rsidRDefault="001F73B7" w:rsidP="002A7C6E">
            <w:pPr>
              <w:pStyle w:val="TableColumnHeading"/>
              <w:spacing w:line="240" w:lineRule="auto"/>
            </w:pPr>
            <w:r w:rsidRPr="00D46D99">
              <w:t>WP</w:t>
            </w:r>
          </w:p>
        </w:tc>
        <w:tc>
          <w:tcPr>
            <w:tcW w:w="355" w:type="pct"/>
            <w:tcBorders>
              <w:top w:val="single" w:sz="6" w:space="0" w:color="auto"/>
              <w:bottom w:val="single" w:sz="6" w:space="0" w:color="auto"/>
            </w:tcBorders>
            <w:shd w:val="clear" w:color="auto" w:fill="auto"/>
            <w:vAlign w:val="bottom"/>
          </w:tcPr>
          <w:p w:rsidR="001F73B7" w:rsidRPr="00D46D99" w:rsidRDefault="001F73B7" w:rsidP="002A7C6E">
            <w:pPr>
              <w:pStyle w:val="TableColumnHeading"/>
              <w:spacing w:line="240" w:lineRule="auto"/>
            </w:pPr>
            <w:proofErr w:type="spellStart"/>
            <w:r w:rsidRPr="00D46D99">
              <w:t>PRM</w:t>
            </w:r>
            <w:proofErr w:type="spellEnd"/>
          </w:p>
        </w:tc>
        <w:tc>
          <w:tcPr>
            <w:tcW w:w="355" w:type="pct"/>
            <w:tcBorders>
              <w:top w:val="single" w:sz="6" w:space="0" w:color="auto"/>
              <w:bottom w:val="single" w:sz="6" w:space="0" w:color="auto"/>
            </w:tcBorders>
            <w:shd w:val="clear" w:color="auto" w:fill="auto"/>
            <w:vAlign w:val="bottom"/>
          </w:tcPr>
          <w:p w:rsidR="001F73B7" w:rsidRPr="00D46D99" w:rsidRDefault="001F73B7" w:rsidP="002A7C6E">
            <w:pPr>
              <w:pStyle w:val="TableColumnHeading"/>
              <w:spacing w:line="240" w:lineRule="auto"/>
            </w:pPr>
            <w:proofErr w:type="spellStart"/>
            <w:r w:rsidRPr="00D46D99">
              <w:t>PCCR</w:t>
            </w:r>
            <w:proofErr w:type="spellEnd"/>
          </w:p>
        </w:tc>
        <w:tc>
          <w:tcPr>
            <w:tcW w:w="355" w:type="pct"/>
            <w:tcBorders>
              <w:top w:val="single" w:sz="6" w:space="0" w:color="auto"/>
              <w:bottom w:val="single" w:sz="6" w:space="0" w:color="auto"/>
            </w:tcBorders>
            <w:shd w:val="clear" w:color="auto" w:fill="auto"/>
            <w:vAlign w:val="bottom"/>
          </w:tcPr>
          <w:p w:rsidR="001F73B7" w:rsidRPr="00D46D99" w:rsidRDefault="001F73B7" w:rsidP="002A7C6E">
            <w:pPr>
              <w:pStyle w:val="TableColumnHeading"/>
              <w:spacing w:line="240" w:lineRule="auto"/>
            </w:pPr>
            <w:r w:rsidRPr="00D46D99">
              <w:t>NM</w:t>
            </w:r>
          </w:p>
        </w:tc>
        <w:tc>
          <w:tcPr>
            <w:tcW w:w="355" w:type="pct"/>
            <w:tcBorders>
              <w:top w:val="single" w:sz="6" w:space="0" w:color="auto"/>
              <w:bottom w:val="single" w:sz="6" w:space="0" w:color="auto"/>
            </w:tcBorders>
            <w:shd w:val="clear" w:color="auto" w:fill="auto"/>
            <w:vAlign w:val="bottom"/>
          </w:tcPr>
          <w:p w:rsidR="001F73B7" w:rsidRPr="00D46D99" w:rsidRDefault="001F73B7" w:rsidP="002A7C6E">
            <w:pPr>
              <w:pStyle w:val="TableColumnHeading"/>
              <w:spacing w:line="240" w:lineRule="auto"/>
            </w:pPr>
            <w:r w:rsidRPr="00D46D99">
              <w:t>MP</w:t>
            </w:r>
          </w:p>
        </w:tc>
        <w:tc>
          <w:tcPr>
            <w:tcW w:w="355" w:type="pct"/>
            <w:tcBorders>
              <w:top w:val="single" w:sz="6" w:space="0" w:color="auto"/>
              <w:bottom w:val="single" w:sz="6" w:space="0" w:color="auto"/>
            </w:tcBorders>
            <w:shd w:val="clear" w:color="auto" w:fill="auto"/>
            <w:vAlign w:val="bottom"/>
          </w:tcPr>
          <w:p w:rsidR="001F73B7" w:rsidRPr="00D46D99" w:rsidRDefault="001F73B7" w:rsidP="002A7C6E">
            <w:pPr>
              <w:pStyle w:val="TableColumnHeading"/>
              <w:spacing w:line="240" w:lineRule="auto"/>
            </w:pPr>
            <w:r w:rsidRPr="00D46D99">
              <w:t>ME</w:t>
            </w:r>
          </w:p>
        </w:tc>
        <w:tc>
          <w:tcPr>
            <w:tcW w:w="355" w:type="pct"/>
            <w:tcBorders>
              <w:top w:val="single" w:sz="6" w:space="0" w:color="auto"/>
              <w:bottom w:val="single" w:sz="6" w:space="0" w:color="auto"/>
            </w:tcBorders>
            <w:shd w:val="clear" w:color="auto" w:fill="auto"/>
            <w:vAlign w:val="bottom"/>
          </w:tcPr>
          <w:p w:rsidR="001F73B7" w:rsidRPr="00D46D99" w:rsidRDefault="001F73B7" w:rsidP="006A3AF3">
            <w:pPr>
              <w:pStyle w:val="TableColumnHeading"/>
              <w:spacing w:line="240" w:lineRule="auto"/>
              <w:ind w:right="0"/>
              <w:rPr>
                <w:b/>
              </w:rPr>
            </w:pPr>
            <w:r w:rsidRPr="00D46D99">
              <w:rPr>
                <w:b/>
              </w:rPr>
              <w:t xml:space="preserve">Total </w:t>
            </w:r>
            <w:proofErr w:type="spellStart"/>
            <w:r w:rsidRPr="00D46D99">
              <w:rPr>
                <w:b/>
              </w:rPr>
              <w:t>Mfg</w:t>
            </w:r>
            <w:proofErr w:type="spellEnd"/>
          </w:p>
        </w:tc>
        <w:tc>
          <w:tcPr>
            <w:tcW w:w="355" w:type="pct"/>
            <w:tcBorders>
              <w:top w:val="single" w:sz="6" w:space="0" w:color="auto"/>
              <w:bottom w:val="single" w:sz="6" w:space="0" w:color="auto"/>
            </w:tcBorders>
            <w:shd w:val="clear" w:color="auto" w:fill="auto"/>
            <w:vAlign w:val="bottom"/>
          </w:tcPr>
          <w:p w:rsidR="001F73B7" w:rsidRPr="00D46D99" w:rsidRDefault="001F73B7" w:rsidP="006A3AF3">
            <w:pPr>
              <w:pStyle w:val="TableColumnHeading"/>
              <w:spacing w:line="240" w:lineRule="auto"/>
              <w:ind w:right="0"/>
              <w:rPr>
                <w:b/>
              </w:rPr>
            </w:pPr>
            <w:r w:rsidRPr="00D46D99">
              <w:rPr>
                <w:b/>
              </w:rPr>
              <w:t>Services</w:t>
            </w:r>
          </w:p>
        </w:tc>
      </w:tr>
      <w:tr w:rsidR="006A3AF3" w:rsidRPr="00D46D99" w:rsidTr="003B0660">
        <w:tc>
          <w:tcPr>
            <w:tcW w:w="107" w:type="pct"/>
            <w:vMerge w:val="restart"/>
            <w:textDirection w:val="btLr"/>
            <w:vAlign w:val="center"/>
          </w:tcPr>
          <w:p w:rsidR="00DF0502" w:rsidRPr="00D46D99" w:rsidRDefault="00DF0502" w:rsidP="002A7C6E">
            <w:pPr>
              <w:pStyle w:val="TableBodyText"/>
              <w:spacing w:line="240" w:lineRule="auto"/>
              <w:jc w:val="center"/>
              <w:rPr>
                <w:b/>
                <w:i/>
              </w:rPr>
            </w:pPr>
            <w:r w:rsidRPr="00D46D99">
              <w:rPr>
                <w:b/>
                <w:i/>
              </w:rPr>
              <w:t>FROM</w:t>
            </w:r>
          </w:p>
        </w:tc>
        <w:tc>
          <w:tcPr>
            <w:tcW w:w="636" w:type="pct"/>
            <w:shd w:val="clear" w:color="auto" w:fill="D9D9D9" w:themeFill="background1" w:themeFillShade="D9"/>
            <w:vAlign w:val="bottom"/>
          </w:tcPr>
          <w:p w:rsidR="00DF0502" w:rsidRPr="00D46D99" w:rsidRDefault="00DF0502" w:rsidP="003B0660">
            <w:pPr>
              <w:pStyle w:val="TableBodyText"/>
              <w:ind w:right="0"/>
              <w:jc w:val="left"/>
              <w:rPr>
                <w:b/>
              </w:rPr>
            </w:pPr>
            <w:r w:rsidRPr="00D46D99">
              <w:rPr>
                <w:b/>
              </w:rPr>
              <w:t>Agriculture</w:t>
            </w:r>
          </w:p>
        </w:tc>
        <w:tc>
          <w:tcPr>
            <w:tcW w:w="355" w:type="pct"/>
            <w:shd w:val="clear" w:color="auto" w:fill="D9D9D9" w:themeFill="background1" w:themeFillShade="D9"/>
            <w:vAlign w:val="bottom"/>
          </w:tcPr>
          <w:p w:rsidR="00DF0502" w:rsidRPr="00AA74B5" w:rsidRDefault="00DF0502" w:rsidP="003B0660">
            <w:pPr>
              <w:pStyle w:val="TableBodyText"/>
            </w:pPr>
            <w:r w:rsidRPr="00AA74B5">
              <w:t>18.4</w:t>
            </w:r>
          </w:p>
        </w:tc>
        <w:tc>
          <w:tcPr>
            <w:tcW w:w="355" w:type="pct"/>
            <w:shd w:val="clear" w:color="auto" w:fill="D9D9D9" w:themeFill="background1" w:themeFillShade="D9"/>
            <w:vAlign w:val="bottom"/>
          </w:tcPr>
          <w:p w:rsidR="00DF0502" w:rsidRPr="00AA74B5" w:rsidRDefault="00DF0502" w:rsidP="003B0660">
            <w:pPr>
              <w:pStyle w:val="TableBodyText"/>
            </w:pPr>
            <w:r w:rsidRPr="00AA74B5">
              <w:t>0.1</w:t>
            </w:r>
          </w:p>
        </w:tc>
        <w:tc>
          <w:tcPr>
            <w:tcW w:w="355" w:type="pct"/>
            <w:shd w:val="clear" w:color="auto" w:fill="D9D9D9" w:themeFill="background1" w:themeFillShade="D9"/>
            <w:vAlign w:val="bottom"/>
          </w:tcPr>
          <w:p w:rsidR="00DF0502" w:rsidRPr="00AA74B5" w:rsidRDefault="00DF0502" w:rsidP="003B0660">
            <w:pPr>
              <w:pStyle w:val="TableBodyText"/>
            </w:pPr>
            <w:r w:rsidRPr="00AA74B5">
              <w:t>29.5</w:t>
            </w:r>
          </w:p>
        </w:tc>
        <w:tc>
          <w:tcPr>
            <w:tcW w:w="355" w:type="pct"/>
            <w:shd w:val="clear" w:color="auto" w:fill="D9D9D9" w:themeFill="background1" w:themeFillShade="D9"/>
            <w:vAlign w:val="bottom"/>
          </w:tcPr>
          <w:p w:rsidR="00DF0502" w:rsidRPr="00AA74B5" w:rsidRDefault="00DF0502" w:rsidP="003B0660">
            <w:pPr>
              <w:pStyle w:val="TableBodyText"/>
            </w:pPr>
            <w:r w:rsidRPr="00AA74B5">
              <w:t>5.8</w:t>
            </w:r>
          </w:p>
        </w:tc>
        <w:tc>
          <w:tcPr>
            <w:tcW w:w="355" w:type="pct"/>
            <w:shd w:val="clear" w:color="auto" w:fill="D9D9D9" w:themeFill="background1" w:themeFillShade="D9"/>
            <w:vAlign w:val="bottom"/>
          </w:tcPr>
          <w:p w:rsidR="00DF0502" w:rsidRPr="00AA74B5" w:rsidRDefault="00DF0502" w:rsidP="003B0660">
            <w:pPr>
              <w:pStyle w:val="TableBodyText"/>
            </w:pPr>
            <w:r w:rsidRPr="00AA74B5">
              <w:t>8.1</w:t>
            </w:r>
          </w:p>
        </w:tc>
        <w:tc>
          <w:tcPr>
            <w:tcW w:w="355" w:type="pct"/>
            <w:shd w:val="clear" w:color="auto" w:fill="D9D9D9" w:themeFill="background1" w:themeFillShade="D9"/>
            <w:vAlign w:val="bottom"/>
          </w:tcPr>
          <w:p w:rsidR="00DF0502" w:rsidRPr="00AA74B5" w:rsidRDefault="00DF0502" w:rsidP="003B0660">
            <w:pPr>
              <w:pStyle w:val="TableBodyText"/>
            </w:pPr>
            <w:r w:rsidRPr="00AA74B5">
              <w:t>0.1</w:t>
            </w:r>
          </w:p>
        </w:tc>
        <w:tc>
          <w:tcPr>
            <w:tcW w:w="355" w:type="pct"/>
            <w:shd w:val="clear" w:color="auto" w:fill="D9D9D9" w:themeFill="background1" w:themeFillShade="D9"/>
            <w:vAlign w:val="bottom"/>
          </w:tcPr>
          <w:p w:rsidR="00DF0502" w:rsidRPr="00AA74B5" w:rsidRDefault="00DF0502" w:rsidP="003B0660">
            <w:pPr>
              <w:pStyle w:val="TableBodyText"/>
            </w:pPr>
            <w:r w:rsidRPr="00AA74B5">
              <w:t>0.5</w:t>
            </w:r>
          </w:p>
        </w:tc>
        <w:tc>
          <w:tcPr>
            <w:tcW w:w="355" w:type="pct"/>
            <w:shd w:val="clear" w:color="auto" w:fill="D9D9D9" w:themeFill="background1" w:themeFillShade="D9"/>
            <w:vAlign w:val="bottom"/>
          </w:tcPr>
          <w:p w:rsidR="00DF0502" w:rsidRPr="00AA74B5" w:rsidRDefault="00DF0502" w:rsidP="003B0660">
            <w:pPr>
              <w:pStyle w:val="TableBodyText"/>
            </w:pPr>
            <w:r w:rsidRPr="00AA74B5">
              <w:t>0.0</w:t>
            </w:r>
          </w:p>
        </w:tc>
        <w:tc>
          <w:tcPr>
            <w:tcW w:w="355" w:type="pct"/>
            <w:shd w:val="clear" w:color="auto" w:fill="D9D9D9" w:themeFill="background1" w:themeFillShade="D9"/>
            <w:vAlign w:val="bottom"/>
          </w:tcPr>
          <w:p w:rsidR="00DF0502" w:rsidRPr="00AA74B5" w:rsidRDefault="00DF0502" w:rsidP="003B0660">
            <w:pPr>
              <w:pStyle w:val="TableBodyText"/>
            </w:pPr>
            <w:r w:rsidRPr="00AA74B5">
              <w:t>0.0</w:t>
            </w:r>
          </w:p>
        </w:tc>
        <w:tc>
          <w:tcPr>
            <w:tcW w:w="355" w:type="pct"/>
            <w:shd w:val="clear" w:color="auto" w:fill="D9D9D9" w:themeFill="background1" w:themeFillShade="D9"/>
            <w:vAlign w:val="bottom"/>
          </w:tcPr>
          <w:p w:rsidR="00DF0502" w:rsidRPr="00AA74B5" w:rsidRDefault="00DF0502" w:rsidP="003B0660">
            <w:pPr>
              <w:pStyle w:val="TableBodyText"/>
            </w:pPr>
            <w:r w:rsidRPr="00AA74B5">
              <w:t>0.0</w:t>
            </w:r>
          </w:p>
        </w:tc>
        <w:tc>
          <w:tcPr>
            <w:tcW w:w="355" w:type="pct"/>
            <w:shd w:val="clear" w:color="auto" w:fill="D9D9D9" w:themeFill="background1" w:themeFillShade="D9"/>
            <w:vAlign w:val="bottom"/>
          </w:tcPr>
          <w:p w:rsidR="00DF0502" w:rsidRPr="00AA74B5" w:rsidRDefault="00DF0502" w:rsidP="003B0660">
            <w:pPr>
              <w:pStyle w:val="TableBodyText"/>
            </w:pPr>
            <w:r w:rsidRPr="00AA74B5">
              <w:t>7.2</w:t>
            </w:r>
          </w:p>
        </w:tc>
        <w:tc>
          <w:tcPr>
            <w:tcW w:w="355" w:type="pct"/>
            <w:shd w:val="clear" w:color="auto" w:fill="D9D9D9" w:themeFill="background1" w:themeFillShade="D9"/>
            <w:vAlign w:val="bottom"/>
          </w:tcPr>
          <w:p w:rsidR="00DF0502" w:rsidRPr="00AA74B5" w:rsidRDefault="00DF0502" w:rsidP="003B0660">
            <w:pPr>
              <w:pStyle w:val="TableBodyText"/>
            </w:pPr>
            <w:r w:rsidRPr="00AA74B5">
              <w:t>0.4</w:t>
            </w:r>
          </w:p>
        </w:tc>
      </w:tr>
      <w:tr w:rsidR="006A3AF3" w:rsidRPr="00D46D99" w:rsidTr="003B0660">
        <w:tc>
          <w:tcPr>
            <w:tcW w:w="107" w:type="pct"/>
            <w:vMerge/>
          </w:tcPr>
          <w:p w:rsidR="00DF0502" w:rsidRPr="00D46D99" w:rsidRDefault="00DF0502" w:rsidP="002A7C6E">
            <w:pPr>
              <w:pStyle w:val="TableBodyText"/>
              <w:spacing w:line="240" w:lineRule="auto"/>
              <w:jc w:val="left"/>
            </w:pPr>
          </w:p>
        </w:tc>
        <w:tc>
          <w:tcPr>
            <w:tcW w:w="636" w:type="pct"/>
            <w:vAlign w:val="bottom"/>
          </w:tcPr>
          <w:p w:rsidR="00DF0502" w:rsidRPr="00D46D99" w:rsidRDefault="00DF0502" w:rsidP="003B0660">
            <w:pPr>
              <w:pStyle w:val="TableBodyText"/>
              <w:jc w:val="left"/>
              <w:rPr>
                <w:b/>
              </w:rPr>
            </w:pPr>
            <w:r w:rsidRPr="00D46D99">
              <w:rPr>
                <w:b/>
              </w:rPr>
              <w:t>Mining</w:t>
            </w:r>
          </w:p>
        </w:tc>
        <w:tc>
          <w:tcPr>
            <w:tcW w:w="355" w:type="pct"/>
            <w:vAlign w:val="bottom"/>
          </w:tcPr>
          <w:p w:rsidR="00DF0502" w:rsidRPr="00AA74B5" w:rsidRDefault="00DF0502" w:rsidP="003B0660">
            <w:pPr>
              <w:pStyle w:val="TableBodyText"/>
            </w:pPr>
            <w:r w:rsidRPr="00AA74B5">
              <w:t>0.1</w:t>
            </w:r>
          </w:p>
        </w:tc>
        <w:tc>
          <w:tcPr>
            <w:tcW w:w="355" w:type="pct"/>
            <w:vAlign w:val="bottom"/>
          </w:tcPr>
          <w:p w:rsidR="00DF0502" w:rsidRPr="00AA74B5" w:rsidRDefault="00DF0502" w:rsidP="003B0660">
            <w:pPr>
              <w:pStyle w:val="TableBodyText"/>
            </w:pPr>
            <w:r w:rsidRPr="00AA74B5">
              <w:t>9.2</w:t>
            </w:r>
          </w:p>
        </w:tc>
        <w:tc>
          <w:tcPr>
            <w:tcW w:w="355" w:type="pct"/>
            <w:vAlign w:val="bottom"/>
          </w:tcPr>
          <w:p w:rsidR="00DF0502" w:rsidRPr="00AA74B5" w:rsidRDefault="00DF0502" w:rsidP="003B0660">
            <w:pPr>
              <w:pStyle w:val="TableBodyText"/>
            </w:pPr>
            <w:r w:rsidRPr="00AA74B5">
              <w:t>0.5</w:t>
            </w:r>
          </w:p>
        </w:tc>
        <w:tc>
          <w:tcPr>
            <w:tcW w:w="355" w:type="pct"/>
            <w:vAlign w:val="bottom"/>
          </w:tcPr>
          <w:p w:rsidR="00DF0502" w:rsidRPr="00AA74B5" w:rsidRDefault="00DF0502" w:rsidP="003B0660">
            <w:pPr>
              <w:pStyle w:val="TableBodyText"/>
            </w:pPr>
            <w:r w:rsidRPr="00AA74B5">
              <w:t>0.1</w:t>
            </w:r>
          </w:p>
        </w:tc>
        <w:tc>
          <w:tcPr>
            <w:tcW w:w="355" w:type="pct"/>
            <w:vAlign w:val="bottom"/>
          </w:tcPr>
          <w:p w:rsidR="00DF0502" w:rsidRPr="00AA74B5" w:rsidRDefault="00DF0502" w:rsidP="003B0660">
            <w:pPr>
              <w:pStyle w:val="TableBodyText"/>
            </w:pPr>
            <w:r w:rsidRPr="00AA74B5">
              <w:t>0.6</w:t>
            </w:r>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12.1</w:t>
            </w:r>
          </w:p>
        </w:tc>
        <w:tc>
          <w:tcPr>
            <w:tcW w:w="355" w:type="pct"/>
            <w:vAlign w:val="bottom"/>
          </w:tcPr>
          <w:p w:rsidR="00DF0502" w:rsidRPr="00AA74B5" w:rsidRDefault="00DF0502" w:rsidP="003B0660">
            <w:pPr>
              <w:pStyle w:val="TableBodyText"/>
            </w:pPr>
            <w:r w:rsidRPr="00AA74B5">
              <w:t>7.8</w:t>
            </w:r>
          </w:p>
        </w:tc>
        <w:tc>
          <w:tcPr>
            <w:tcW w:w="355" w:type="pct"/>
            <w:vAlign w:val="bottom"/>
          </w:tcPr>
          <w:p w:rsidR="00DF0502" w:rsidRPr="00AA74B5" w:rsidRDefault="00DF0502" w:rsidP="003B0660">
            <w:pPr>
              <w:pStyle w:val="TableBodyText"/>
            </w:pPr>
            <w:r w:rsidRPr="00AA74B5">
              <w:t>20.6</w:t>
            </w:r>
          </w:p>
        </w:tc>
        <w:tc>
          <w:tcPr>
            <w:tcW w:w="355" w:type="pct"/>
            <w:vAlign w:val="bottom"/>
          </w:tcPr>
          <w:p w:rsidR="00DF0502" w:rsidRPr="00AA74B5" w:rsidRDefault="00DF0502" w:rsidP="003B0660">
            <w:pPr>
              <w:pStyle w:val="TableBodyText"/>
            </w:pPr>
            <w:r w:rsidRPr="00AA74B5">
              <w:t>0.1</w:t>
            </w:r>
          </w:p>
        </w:tc>
        <w:tc>
          <w:tcPr>
            <w:tcW w:w="355" w:type="pct"/>
            <w:vAlign w:val="bottom"/>
          </w:tcPr>
          <w:p w:rsidR="00DF0502" w:rsidRPr="00AA74B5" w:rsidRDefault="00DF0502" w:rsidP="003B0660">
            <w:pPr>
              <w:pStyle w:val="TableBodyText"/>
            </w:pPr>
            <w:r w:rsidRPr="00AA74B5">
              <w:t>8.3</w:t>
            </w:r>
          </w:p>
        </w:tc>
        <w:tc>
          <w:tcPr>
            <w:tcW w:w="355" w:type="pct"/>
            <w:vAlign w:val="bottom"/>
          </w:tcPr>
          <w:p w:rsidR="00DF0502" w:rsidRPr="00AA74B5" w:rsidRDefault="00DF0502" w:rsidP="003B0660">
            <w:pPr>
              <w:pStyle w:val="TableBodyText"/>
            </w:pPr>
            <w:r w:rsidRPr="00AA74B5">
              <w:t>0.4</w:t>
            </w:r>
          </w:p>
        </w:tc>
      </w:tr>
      <w:tr w:rsidR="006A3AF3" w:rsidRPr="00D46D99" w:rsidTr="003B0660">
        <w:tc>
          <w:tcPr>
            <w:tcW w:w="107" w:type="pct"/>
            <w:vMerge/>
          </w:tcPr>
          <w:p w:rsidR="00DF0502" w:rsidRPr="00D46D99" w:rsidRDefault="00DF0502" w:rsidP="002A7C6E">
            <w:pPr>
              <w:pStyle w:val="TableBodyText"/>
              <w:spacing w:line="240" w:lineRule="auto"/>
              <w:jc w:val="left"/>
            </w:pPr>
          </w:p>
        </w:tc>
        <w:tc>
          <w:tcPr>
            <w:tcW w:w="636" w:type="pct"/>
            <w:shd w:val="clear" w:color="auto" w:fill="D9D9D9" w:themeFill="background1" w:themeFillShade="D9"/>
            <w:vAlign w:val="bottom"/>
          </w:tcPr>
          <w:p w:rsidR="00DF0502" w:rsidRPr="00D46D99" w:rsidRDefault="00DF0502" w:rsidP="003B0660">
            <w:pPr>
              <w:pStyle w:val="TableBodyText"/>
              <w:ind w:left="139"/>
              <w:jc w:val="left"/>
            </w:pPr>
            <w:proofErr w:type="spellStart"/>
            <w:r w:rsidRPr="00D46D99">
              <w:t>FBT</w:t>
            </w:r>
            <w:proofErr w:type="spellEnd"/>
          </w:p>
        </w:tc>
        <w:tc>
          <w:tcPr>
            <w:tcW w:w="355" w:type="pct"/>
            <w:shd w:val="clear" w:color="auto" w:fill="D9D9D9" w:themeFill="background1" w:themeFillShade="D9"/>
            <w:vAlign w:val="bottom"/>
          </w:tcPr>
          <w:p w:rsidR="00DF0502" w:rsidRPr="00AA74B5" w:rsidRDefault="00DF0502" w:rsidP="003B0660">
            <w:pPr>
              <w:pStyle w:val="TableBodyText"/>
            </w:pPr>
            <w:r w:rsidRPr="00AA74B5">
              <w:t>2.2</w:t>
            </w:r>
          </w:p>
        </w:tc>
        <w:tc>
          <w:tcPr>
            <w:tcW w:w="355" w:type="pct"/>
            <w:shd w:val="clear" w:color="auto" w:fill="D9D9D9" w:themeFill="background1" w:themeFillShade="D9"/>
            <w:vAlign w:val="bottom"/>
          </w:tcPr>
          <w:p w:rsidR="00DF0502" w:rsidRPr="00AA74B5" w:rsidRDefault="00DF0502" w:rsidP="003B0660">
            <w:pPr>
              <w:pStyle w:val="TableBodyText"/>
            </w:pPr>
            <w:r w:rsidRPr="00AA74B5">
              <w:t>0.2</w:t>
            </w:r>
          </w:p>
        </w:tc>
        <w:tc>
          <w:tcPr>
            <w:tcW w:w="355" w:type="pct"/>
            <w:shd w:val="clear" w:color="auto" w:fill="D9D9D9" w:themeFill="background1" w:themeFillShade="D9"/>
            <w:vAlign w:val="bottom"/>
          </w:tcPr>
          <w:p w:rsidR="00DF0502" w:rsidRPr="00AA74B5" w:rsidRDefault="00DF0502" w:rsidP="003B0660">
            <w:pPr>
              <w:pStyle w:val="TableBodyText"/>
            </w:pPr>
            <w:r w:rsidRPr="00AA74B5">
              <w:t>11.6</w:t>
            </w:r>
          </w:p>
        </w:tc>
        <w:tc>
          <w:tcPr>
            <w:tcW w:w="355" w:type="pct"/>
            <w:shd w:val="clear" w:color="auto" w:fill="D9D9D9" w:themeFill="background1" w:themeFillShade="D9"/>
            <w:vAlign w:val="bottom"/>
          </w:tcPr>
          <w:p w:rsidR="00DF0502" w:rsidRPr="00AA74B5" w:rsidRDefault="00DF0502" w:rsidP="003B0660">
            <w:pPr>
              <w:pStyle w:val="TableBodyText"/>
            </w:pPr>
            <w:r w:rsidRPr="00AA74B5">
              <w:t>2.8</w:t>
            </w:r>
          </w:p>
        </w:tc>
        <w:tc>
          <w:tcPr>
            <w:tcW w:w="355" w:type="pct"/>
            <w:shd w:val="clear" w:color="auto" w:fill="D9D9D9" w:themeFill="background1" w:themeFillShade="D9"/>
            <w:vAlign w:val="bottom"/>
          </w:tcPr>
          <w:p w:rsidR="00DF0502" w:rsidRPr="00AA74B5" w:rsidRDefault="00DF0502" w:rsidP="003B0660">
            <w:pPr>
              <w:pStyle w:val="TableBodyText"/>
            </w:pPr>
            <w:r w:rsidRPr="00AA74B5">
              <w:t>0.2</w:t>
            </w:r>
          </w:p>
        </w:tc>
        <w:tc>
          <w:tcPr>
            <w:tcW w:w="355" w:type="pct"/>
            <w:shd w:val="clear" w:color="auto" w:fill="D9D9D9" w:themeFill="background1" w:themeFillShade="D9"/>
            <w:vAlign w:val="bottom"/>
          </w:tcPr>
          <w:p w:rsidR="00DF0502" w:rsidRPr="00AA74B5" w:rsidRDefault="00DF0502" w:rsidP="003B0660">
            <w:pPr>
              <w:pStyle w:val="TableBodyText"/>
            </w:pPr>
            <w:r w:rsidRPr="00AA74B5">
              <w:t>0.2</w:t>
            </w:r>
          </w:p>
        </w:tc>
        <w:tc>
          <w:tcPr>
            <w:tcW w:w="355" w:type="pct"/>
            <w:shd w:val="clear" w:color="auto" w:fill="D9D9D9" w:themeFill="background1" w:themeFillShade="D9"/>
            <w:vAlign w:val="bottom"/>
          </w:tcPr>
          <w:p w:rsidR="00DF0502" w:rsidRPr="00AA74B5" w:rsidRDefault="00DF0502" w:rsidP="003B0660">
            <w:pPr>
              <w:pStyle w:val="TableBodyText"/>
            </w:pPr>
            <w:r w:rsidRPr="00AA74B5">
              <w:t>0.8</w:t>
            </w:r>
          </w:p>
        </w:tc>
        <w:tc>
          <w:tcPr>
            <w:tcW w:w="355" w:type="pct"/>
            <w:shd w:val="clear" w:color="auto" w:fill="D9D9D9" w:themeFill="background1" w:themeFillShade="D9"/>
            <w:vAlign w:val="bottom"/>
          </w:tcPr>
          <w:p w:rsidR="00DF0502" w:rsidRPr="00AA74B5" w:rsidRDefault="00DF0502" w:rsidP="003B0660">
            <w:pPr>
              <w:pStyle w:val="TableBodyText"/>
            </w:pPr>
            <w:r w:rsidRPr="00AA74B5">
              <w:t>0.2</w:t>
            </w:r>
          </w:p>
        </w:tc>
        <w:tc>
          <w:tcPr>
            <w:tcW w:w="355" w:type="pct"/>
            <w:shd w:val="clear" w:color="auto" w:fill="D9D9D9" w:themeFill="background1" w:themeFillShade="D9"/>
            <w:vAlign w:val="bottom"/>
          </w:tcPr>
          <w:p w:rsidR="00DF0502" w:rsidRPr="00AA74B5" w:rsidRDefault="00DF0502" w:rsidP="003B0660">
            <w:pPr>
              <w:pStyle w:val="TableBodyText"/>
            </w:pPr>
            <w:r w:rsidRPr="00AA74B5">
              <w:t>0.1</w:t>
            </w:r>
          </w:p>
        </w:tc>
        <w:tc>
          <w:tcPr>
            <w:tcW w:w="355" w:type="pct"/>
            <w:shd w:val="clear" w:color="auto" w:fill="D9D9D9" w:themeFill="background1" w:themeFillShade="D9"/>
            <w:vAlign w:val="bottom"/>
          </w:tcPr>
          <w:p w:rsidR="00DF0502" w:rsidRPr="00AA74B5" w:rsidRDefault="00DF0502" w:rsidP="003B0660">
            <w:pPr>
              <w:pStyle w:val="TableBodyText"/>
            </w:pPr>
            <w:r w:rsidRPr="00AA74B5">
              <w:t>0.2</w:t>
            </w:r>
          </w:p>
        </w:tc>
        <w:tc>
          <w:tcPr>
            <w:tcW w:w="355" w:type="pct"/>
            <w:shd w:val="clear" w:color="auto" w:fill="D9D9D9" w:themeFill="background1" w:themeFillShade="D9"/>
            <w:vAlign w:val="bottom"/>
          </w:tcPr>
          <w:p w:rsidR="00DF0502" w:rsidRPr="00AA74B5" w:rsidRDefault="00DF0502" w:rsidP="003B0660">
            <w:pPr>
              <w:pStyle w:val="TableBodyText"/>
            </w:pPr>
            <w:r w:rsidRPr="00AA74B5">
              <w:t>2.9</w:t>
            </w:r>
          </w:p>
        </w:tc>
        <w:tc>
          <w:tcPr>
            <w:tcW w:w="355" w:type="pct"/>
            <w:shd w:val="clear" w:color="auto" w:fill="D9D9D9" w:themeFill="background1" w:themeFillShade="D9"/>
            <w:vAlign w:val="bottom"/>
          </w:tcPr>
          <w:p w:rsidR="00DF0502" w:rsidRPr="00AA74B5" w:rsidRDefault="00DF0502" w:rsidP="003B0660">
            <w:pPr>
              <w:pStyle w:val="TableBodyText"/>
            </w:pPr>
            <w:r w:rsidRPr="00AA74B5">
              <w:t>1.2</w:t>
            </w:r>
          </w:p>
        </w:tc>
      </w:tr>
      <w:tr w:rsidR="006A3AF3" w:rsidRPr="00D46D99" w:rsidTr="003B0660">
        <w:tc>
          <w:tcPr>
            <w:tcW w:w="107" w:type="pct"/>
            <w:vMerge/>
          </w:tcPr>
          <w:p w:rsidR="00DF0502" w:rsidRPr="00D46D99" w:rsidRDefault="00DF0502" w:rsidP="002A7C6E">
            <w:pPr>
              <w:pStyle w:val="TableBodyText"/>
              <w:spacing w:line="240" w:lineRule="auto"/>
              <w:jc w:val="left"/>
            </w:pPr>
          </w:p>
        </w:tc>
        <w:tc>
          <w:tcPr>
            <w:tcW w:w="636" w:type="pct"/>
            <w:vAlign w:val="bottom"/>
          </w:tcPr>
          <w:p w:rsidR="00DF0502" w:rsidRPr="00D46D99" w:rsidRDefault="00DF0502" w:rsidP="003B0660">
            <w:pPr>
              <w:pStyle w:val="TableBodyText"/>
              <w:ind w:left="139"/>
              <w:jc w:val="left"/>
            </w:pPr>
            <w:proofErr w:type="spellStart"/>
            <w:r w:rsidRPr="00D46D99">
              <w:t>TCO</w:t>
            </w:r>
            <w:proofErr w:type="spellEnd"/>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0.1</w:t>
            </w:r>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4.1</w:t>
            </w:r>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0.4</w:t>
            </w:r>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0.4</w:t>
            </w:r>
          </w:p>
        </w:tc>
        <w:tc>
          <w:tcPr>
            <w:tcW w:w="355" w:type="pct"/>
            <w:vAlign w:val="bottom"/>
          </w:tcPr>
          <w:p w:rsidR="00DF0502" w:rsidRPr="00AA74B5" w:rsidRDefault="00DF0502" w:rsidP="003B0660">
            <w:pPr>
              <w:pStyle w:val="TableBodyText"/>
            </w:pPr>
            <w:r w:rsidRPr="00AA74B5">
              <w:t>0.4</w:t>
            </w:r>
          </w:p>
        </w:tc>
        <w:tc>
          <w:tcPr>
            <w:tcW w:w="355" w:type="pct"/>
            <w:vAlign w:val="bottom"/>
          </w:tcPr>
          <w:p w:rsidR="00DF0502" w:rsidRPr="00AA74B5" w:rsidRDefault="00DF0502" w:rsidP="003B0660">
            <w:pPr>
              <w:pStyle w:val="TableBodyText"/>
            </w:pPr>
            <w:r w:rsidRPr="00AA74B5">
              <w:t>0.2</w:t>
            </w:r>
          </w:p>
        </w:tc>
      </w:tr>
      <w:tr w:rsidR="006A3AF3" w:rsidRPr="00D46D99" w:rsidTr="003B0660">
        <w:tc>
          <w:tcPr>
            <w:tcW w:w="107" w:type="pct"/>
            <w:vMerge/>
          </w:tcPr>
          <w:p w:rsidR="00DF0502" w:rsidRPr="00D46D99" w:rsidRDefault="00DF0502" w:rsidP="002A7C6E">
            <w:pPr>
              <w:pStyle w:val="TableBodyText"/>
              <w:spacing w:line="240" w:lineRule="auto"/>
              <w:jc w:val="left"/>
            </w:pPr>
          </w:p>
        </w:tc>
        <w:tc>
          <w:tcPr>
            <w:tcW w:w="636" w:type="pct"/>
            <w:shd w:val="clear" w:color="auto" w:fill="D9D9D9" w:themeFill="background1" w:themeFillShade="D9"/>
            <w:vAlign w:val="bottom"/>
          </w:tcPr>
          <w:p w:rsidR="00DF0502" w:rsidRPr="00D46D99" w:rsidRDefault="00DF0502" w:rsidP="003B0660">
            <w:pPr>
              <w:pStyle w:val="TableBodyText"/>
              <w:ind w:left="139"/>
              <w:jc w:val="left"/>
            </w:pPr>
            <w:r w:rsidRPr="00D46D99">
              <w:t>WP</w:t>
            </w:r>
          </w:p>
        </w:tc>
        <w:tc>
          <w:tcPr>
            <w:tcW w:w="355" w:type="pct"/>
            <w:shd w:val="clear" w:color="auto" w:fill="D9D9D9" w:themeFill="background1" w:themeFillShade="D9"/>
            <w:vAlign w:val="bottom"/>
          </w:tcPr>
          <w:p w:rsidR="00DF0502" w:rsidRPr="00AA74B5" w:rsidRDefault="00DF0502" w:rsidP="003B0660">
            <w:pPr>
              <w:pStyle w:val="TableBodyText"/>
            </w:pPr>
            <w:r w:rsidRPr="00AA74B5">
              <w:t>0.2</w:t>
            </w:r>
          </w:p>
        </w:tc>
        <w:tc>
          <w:tcPr>
            <w:tcW w:w="355" w:type="pct"/>
            <w:shd w:val="clear" w:color="auto" w:fill="D9D9D9" w:themeFill="background1" w:themeFillShade="D9"/>
            <w:vAlign w:val="bottom"/>
          </w:tcPr>
          <w:p w:rsidR="00DF0502" w:rsidRPr="00AA74B5" w:rsidRDefault="00DF0502" w:rsidP="003B0660">
            <w:pPr>
              <w:pStyle w:val="TableBodyText"/>
            </w:pPr>
            <w:r w:rsidRPr="00AA74B5">
              <w:t>0.1</w:t>
            </w:r>
          </w:p>
        </w:tc>
        <w:tc>
          <w:tcPr>
            <w:tcW w:w="355" w:type="pct"/>
            <w:shd w:val="clear" w:color="auto" w:fill="D9D9D9" w:themeFill="background1" w:themeFillShade="D9"/>
            <w:vAlign w:val="bottom"/>
          </w:tcPr>
          <w:p w:rsidR="00DF0502" w:rsidRPr="00AA74B5" w:rsidRDefault="00DF0502" w:rsidP="003B0660">
            <w:pPr>
              <w:pStyle w:val="TableBodyText"/>
            </w:pPr>
            <w:r w:rsidRPr="00AA74B5">
              <w:t>1.5</w:t>
            </w:r>
          </w:p>
        </w:tc>
        <w:tc>
          <w:tcPr>
            <w:tcW w:w="355" w:type="pct"/>
            <w:shd w:val="clear" w:color="auto" w:fill="D9D9D9" w:themeFill="background1" w:themeFillShade="D9"/>
            <w:vAlign w:val="bottom"/>
          </w:tcPr>
          <w:p w:rsidR="00DF0502" w:rsidRPr="00AA74B5" w:rsidRDefault="00DF0502" w:rsidP="003B0660">
            <w:pPr>
              <w:pStyle w:val="TableBodyText"/>
            </w:pPr>
            <w:r w:rsidRPr="00AA74B5">
              <w:t>2.8</w:t>
            </w:r>
          </w:p>
        </w:tc>
        <w:tc>
          <w:tcPr>
            <w:tcW w:w="355" w:type="pct"/>
            <w:shd w:val="clear" w:color="auto" w:fill="D9D9D9" w:themeFill="background1" w:themeFillShade="D9"/>
            <w:vAlign w:val="bottom"/>
          </w:tcPr>
          <w:p w:rsidR="00DF0502" w:rsidRPr="00AA74B5" w:rsidRDefault="00DF0502" w:rsidP="003B0660">
            <w:pPr>
              <w:pStyle w:val="TableBodyText"/>
            </w:pPr>
            <w:r w:rsidRPr="00AA74B5">
              <w:t>7.3</w:t>
            </w:r>
          </w:p>
        </w:tc>
        <w:tc>
          <w:tcPr>
            <w:tcW w:w="355" w:type="pct"/>
            <w:shd w:val="clear" w:color="auto" w:fill="D9D9D9" w:themeFill="background1" w:themeFillShade="D9"/>
            <w:vAlign w:val="bottom"/>
          </w:tcPr>
          <w:p w:rsidR="00DF0502" w:rsidRPr="00AA74B5" w:rsidRDefault="00DF0502" w:rsidP="003B0660">
            <w:pPr>
              <w:pStyle w:val="TableBodyText"/>
            </w:pPr>
            <w:r w:rsidRPr="00AA74B5">
              <w:t>4.7</w:t>
            </w:r>
          </w:p>
        </w:tc>
        <w:tc>
          <w:tcPr>
            <w:tcW w:w="355" w:type="pct"/>
            <w:shd w:val="clear" w:color="auto" w:fill="D9D9D9" w:themeFill="background1" w:themeFillShade="D9"/>
            <w:vAlign w:val="bottom"/>
          </w:tcPr>
          <w:p w:rsidR="00DF0502" w:rsidRPr="00AA74B5" w:rsidRDefault="00DF0502" w:rsidP="003B0660">
            <w:pPr>
              <w:pStyle w:val="TableBodyText"/>
            </w:pPr>
            <w:r w:rsidRPr="00AA74B5">
              <w:t>0.7</w:t>
            </w:r>
          </w:p>
        </w:tc>
        <w:tc>
          <w:tcPr>
            <w:tcW w:w="355" w:type="pct"/>
            <w:shd w:val="clear" w:color="auto" w:fill="D9D9D9" w:themeFill="background1" w:themeFillShade="D9"/>
            <w:vAlign w:val="bottom"/>
          </w:tcPr>
          <w:p w:rsidR="00DF0502" w:rsidRPr="00AA74B5" w:rsidRDefault="00DF0502" w:rsidP="003B0660">
            <w:pPr>
              <w:pStyle w:val="TableBodyText"/>
            </w:pPr>
            <w:r w:rsidRPr="00AA74B5">
              <w:t>0.6</w:t>
            </w:r>
          </w:p>
        </w:tc>
        <w:tc>
          <w:tcPr>
            <w:tcW w:w="355" w:type="pct"/>
            <w:shd w:val="clear" w:color="auto" w:fill="D9D9D9" w:themeFill="background1" w:themeFillShade="D9"/>
            <w:vAlign w:val="bottom"/>
          </w:tcPr>
          <w:p w:rsidR="00DF0502" w:rsidRPr="00AA74B5" w:rsidRDefault="00DF0502" w:rsidP="003B0660">
            <w:pPr>
              <w:pStyle w:val="TableBodyText"/>
            </w:pPr>
            <w:r w:rsidRPr="00AA74B5">
              <w:t>0.3</w:t>
            </w:r>
          </w:p>
        </w:tc>
        <w:tc>
          <w:tcPr>
            <w:tcW w:w="355" w:type="pct"/>
            <w:shd w:val="clear" w:color="auto" w:fill="D9D9D9" w:themeFill="background1" w:themeFillShade="D9"/>
            <w:vAlign w:val="bottom"/>
          </w:tcPr>
          <w:p w:rsidR="00DF0502" w:rsidRPr="00AA74B5" w:rsidRDefault="00DF0502" w:rsidP="003B0660">
            <w:pPr>
              <w:pStyle w:val="TableBodyText"/>
            </w:pPr>
            <w:r w:rsidRPr="00AA74B5">
              <w:t>0.4</w:t>
            </w:r>
          </w:p>
        </w:tc>
        <w:tc>
          <w:tcPr>
            <w:tcW w:w="355" w:type="pct"/>
            <w:shd w:val="clear" w:color="auto" w:fill="D9D9D9" w:themeFill="background1" w:themeFillShade="D9"/>
            <w:vAlign w:val="bottom"/>
          </w:tcPr>
          <w:p w:rsidR="00DF0502" w:rsidRPr="00AA74B5" w:rsidRDefault="00DF0502" w:rsidP="003B0660">
            <w:pPr>
              <w:pStyle w:val="TableBodyText"/>
            </w:pPr>
            <w:r w:rsidRPr="00AA74B5">
              <w:t>1.3</w:t>
            </w:r>
          </w:p>
        </w:tc>
        <w:tc>
          <w:tcPr>
            <w:tcW w:w="355" w:type="pct"/>
            <w:shd w:val="clear" w:color="auto" w:fill="D9D9D9" w:themeFill="background1" w:themeFillShade="D9"/>
            <w:vAlign w:val="bottom"/>
          </w:tcPr>
          <w:p w:rsidR="00DF0502" w:rsidRPr="00AA74B5" w:rsidRDefault="00DF0502" w:rsidP="003B0660">
            <w:pPr>
              <w:pStyle w:val="TableBodyText"/>
            </w:pPr>
            <w:r w:rsidRPr="00AA74B5">
              <w:t>0.7</w:t>
            </w:r>
          </w:p>
        </w:tc>
      </w:tr>
      <w:tr w:rsidR="006A3AF3" w:rsidRPr="00D46D99" w:rsidTr="003B0660">
        <w:tc>
          <w:tcPr>
            <w:tcW w:w="107" w:type="pct"/>
            <w:vMerge/>
          </w:tcPr>
          <w:p w:rsidR="00DF0502" w:rsidRPr="00D46D99" w:rsidRDefault="00DF0502" w:rsidP="002A7C6E">
            <w:pPr>
              <w:pStyle w:val="TableBodyText"/>
              <w:spacing w:line="240" w:lineRule="auto"/>
              <w:jc w:val="left"/>
            </w:pPr>
          </w:p>
        </w:tc>
        <w:tc>
          <w:tcPr>
            <w:tcW w:w="636" w:type="pct"/>
            <w:vAlign w:val="bottom"/>
          </w:tcPr>
          <w:p w:rsidR="00DF0502" w:rsidRPr="00D46D99" w:rsidRDefault="00DF0502" w:rsidP="003B0660">
            <w:pPr>
              <w:pStyle w:val="TableBodyText"/>
              <w:ind w:left="139"/>
              <w:jc w:val="left"/>
            </w:pPr>
            <w:proofErr w:type="spellStart"/>
            <w:r w:rsidRPr="00D46D99">
              <w:t>PRM</w:t>
            </w:r>
            <w:proofErr w:type="spellEnd"/>
          </w:p>
        </w:tc>
        <w:tc>
          <w:tcPr>
            <w:tcW w:w="355" w:type="pct"/>
            <w:vAlign w:val="bottom"/>
          </w:tcPr>
          <w:p w:rsidR="00DF0502" w:rsidRPr="00AA74B5" w:rsidRDefault="00DF0502" w:rsidP="003B0660">
            <w:pPr>
              <w:pStyle w:val="TableBodyText"/>
            </w:pPr>
            <w:r w:rsidRPr="00AA74B5">
              <w:t>0.1</w:t>
            </w:r>
          </w:p>
        </w:tc>
        <w:tc>
          <w:tcPr>
            <w:tcW w:w="355" w:type="pct"/>
            <w:vAlign w:val="bottom"/>
          </w:tcPr>
          <w:p w:rsidR="00DF0502" w:rsidRPr="00AA74B5" w:rsidRDefault="00DF0502" w:rsidP="003B0660">
            <w:pPr>
              <w:pStyle w:val="TableBodyText"/>
            </w:pPr>
            <w:r w:rsidRPr="00AA74B5">
              <w:t>0.1</w:t>
            </w:r>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0.1</w:t>
            </w:r>
          </w:p>
        </w:tc>
        <w:tc>
          <w:tcPr>
            <w:tcW w:w="355" w:type="pct"/>
            <w:vAlign w:val="bottom"/>
          </w:tcPr>
          <w:p w:rsidR="00DF0502" w:rsidRPr="00AA74B5" w:rsidRDefault="00DF0502" w:rsidP="003B0660">
            <w:pPr>
              <w:pStyle w:val="TableBodyText"/>
            </w:pPr>
            <w:r w:rsidRPr="00AA74B5">
              <w:t>0.7</w:t>
            </w:r>
          </w:p>
        </w:tc>
        <w:tc>
          <w:tcPr>
            <w:tcW w:w="355" w:type="pct"/>
            <w:vAlign w:val="bottom"/>
          </w:tcPr>
          <w:p w:rsidR="00DF0502" w:rsidRPr="00AA74B5" w:rsidRDefault="00DF0502" w:rsidP="003B0660">
            <w:pPr>
              <w:pStyle w:val="TableBodyText"/>
            </w:pPr>
            <w:r w:rsidRPr="00AA74B5">
              <w:t>1.8</w:t>
            </w:r>
          </w:p>
        </w:tc>
        <w:tc>
          <w:tcPr>
            <w:tcW w:w="355" w:type="pct"/>
            <w:vAlign w:val="bottom"/>
          </w:tcPr>
          <w:p w:rsidR="00DF0502" w:rsidRPr="00AA74B5" w:rsidRDefault="00DF0502" w:rsidP="003B0660">
            <w:pPr>
              <w:pStyle w:val="TableBodyText"/>
            </w:pPr>
            <w:r w:rsidRPr="00AA74B5">
              <w:t>0.1</w:t>
            </w:r>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0.1</w:t>
            </w:r>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0.5</w:t>
            </w:r>
          </w:p>
        </w:tc>
      </w:tr>
      <w:tr w:rsidR="006A3AF3" w:rsidRPr="00D46D99" w:rsidTr="003B0660">
        <w:tc>
          <w:tcPr>
            <w:tcW w:w="107" w:type="pct"/>
            <w:vMerge/>
          </w:tcPr>
          <w:p w:rsidR="00DF0502" w:rsidRPr="00D46D99" w:rsidRDefault="00DF0502" w:rsidP="002A7C6E">
            <w:pPr>
              <w:pStyle w:val="TableBodyText"/>
              <w:spacing w:line="240" w:lineRule="auto"/>
              <w:jc w:val="left"/>
            </w:pPr>
          </w:p>
        </w:tc>
        <w:tc>
          <w:tcPr>
            <w:tcW w:w="636" w:type="pct"/>
            <w:shd w:val="clear" w:color="auto" w:fill="D9D9D9" w:themeFill="background1" w:themeFillShade="D9"/>
            <w:vAlign w:val="bottom"/>
          </w:tcPr>
          <w:p w:rsidR="00DF0502" w:rsidRPr="00D46D99" w:rsidRDefault="00DF0502" w:rsidP="003B0660">
            <w:pPr>
              <w:pStyle w:val="TableBodyText"/>
              <w:ind w:left="139"/>
              <w:jc w:val="left"/>
            </w:pPr>
            <w:proofErr w:type="spellStart"/>
            <w:r w:rsidRPr="00D46D99">
              <w:t>PCCR</w:t>
            </w:r>
            <w:proofErr w:type="spellEnd"/>
          </w:p>
        </w:tc>
        <w:tc>
          <w:tcPr>
            <w:tcW w:w="355" w:type="pct"/>
            <w:shd w:val="clear" w:color="auto" w:fill="D9D9D9" w:themeFill="background1" w:themeFillShade="D9"/>
            <w:vAlign w:val="bottom"/>
          </w:tcPr>
          <w:p w:rsidR="00DF0502" w:rsidRPr="00AA74B5" w:rsidRDefault="00DF0502" w:rsidP="003B0660">
            <w:pPr>
              <w:pStyle w:val="TableBodyText"/>
            </w:pPr>
            <w:r w:rsidRPr="00AA74B5">
              <w:t>4.1</w:t>
            </w:r>
          </w:p>
        </w:tc>
        <w:tc>
          <w:tcPr>
            <w:tcW w:w="355" w:type="pct"/>
            <w:shd w:val="clear" w:color="auto" w:fill="D9D9D9" w:themeFill="background1" w:themeFillShade="D9"/>
            <w:vAlign w:val="bottom"/>
          </w:tcPr>
          <w:p w:rsidR="00DF0502" w:rsidRPr="00AA74B5" w:rsidRDefault="00DF0502" w:rsidP="003B0660">
            <w:pPr>
              <w:pStyle w:val="TableBodyText"/>
            </w:pPr>
            <w:r w:rsidRPr="00AA74B5">
              <w:t>2.1</w:t>
            </w:r>
          </w:p>
        </w:tc>
        <w:tc>
          <w:tcPr>
            <w:tcW w:w="355" w:type="pct"/>
            <w:shd w:val="clear" w:color="auto" w:fill="D9D9D9" w:themeFill="background1" w:themeFillShade="D9"/>
            <w:vAlign w:val="bottom"/>
          </w:tcPr>
          <w:p w:rsidR="00DF0502" w:rsidRPr="00AA74B5" w:rsidRDefault="00DF0502" w:rsidP="003B0660">
            <w:pPr>
              <w:pStyle w:val="TableBodyText"/>
            </w:pPr>
            <w:r w:rsidRPr="00AA74B5">
              <w:t>2.1</w:t>
            </w:r>
          </w:p>
        </w:tc>
        <w:tc>
          <w:tcPr>
            <w:tcW w:w="355" w:type="pct"/>
            <w:shd w:val="clear" w:color="auto" w:fill="D9D9D9" w:themeFill="background1" w:themeFillShade="D9"/>
            <w:vAlign w:val="bottom"/>
          </w:tcPr>
          <w:p w:rsidR="00DF0502" w:rsidRPr="00AA74B5" w:rsidRDefault="00DF0502" w:rsidP="003B0660">
            <w:pPr>
              <w:pStyle w:val="TableBodyText"/>
            </w:pPr>
            <w:r w:rsidRPr="00AA74B5">
              <w:t>2.2</w:t>
            </w:r>
          </w:p>
        </w:tc>
        <w:tc>
          <w:tcPr>
            <w:tcW w:w="355" w:type="pct"/>
            <w:shd w:val="clear" w:color="auto" w:fill="D9D9D9" w:themeFill="background1" w:themeFillShade="D9"/>
            <w:vAlign w:val="bottom"/>
          </w:tcPr>
          <w:p w:rsidR="00DF0502" w:rsidRPr="00AA74B5" w:rsidRDefault="00DF0502" w:rsidP="003B0660">
            <w:pPr>
              <w:pStyle w:val="TableBodyText"/>
            </w:pPr>
            <w:r w:rsidRPr="00AA74B5">
              <w:t>3.2</w:t>
            </w:r>
          </w:p>
        </w:tc>
        <w:tc>
          <w:tcPr>
            <w:tcW w:w="355" w:type="pct"/>
            <w:shd w:val="clear" w:color="auto" w:fill="D9D9D9" w:themeFill="background1" w:themeFillShade="D9"/>
            <w:vAlign w:val="bottom"/>
          </w:tcPr>
          <w:p w:rsidR="00DF0502" w:rsidRPr="00AA74B5" w:rsidRDefault="00DF0502" w:rsidP="003B0660">
            <w:pPr>
              <w:pStyle w:val="TableBodyText"/>
            </w:pPr>
            <w:r w:rsidRPr="00AA74B5">
              <w:t>6.6</w:t>
            </w:r>
          </w:p>
        </w:tc>
        <w:tc>
          <w:tcPr>
            <w:tcW w:w="355" w:type="pct"/>
            <w:shd w:val="clear" w:color="auto" w:fill="D9D9D9" w:themeFill="background1" w:themeFillShade="D9"/>
            <w:vAlign w:val="bottom"/>
          </w:tcPr>
          <w:p w:rsidR="00DF0502" w:rsidRPr="00AA74B5" w:rsidRDefault="00DF0502" w:rsidP="003B0660">
            <w:pPr>
              <w:pStyle w:val="TableBodyText"/>
            </w:pPr>
            <w:r w:rsidRPr="00AA74B5">
              <w:t>9.5</w:t>
            </w:r>
          </w:p>
        </w:tc>
        <w:tc>
          <w:tcPr>
            <w:tcW w:w="355" w:type="pct"/>
            <w:shd w:val="clear" w:color="auto" w:fill="D9D9D9" w:themeFill="background1" w:themeFillShade="D9"/>
            <w:vAlign w:val="bottom"/>
          </w:tcPr>
          <w:p w:rsidR="00DF0502" w:rsidRPr="00AA74B5" w:rsidRDefault="00DF0502" w:rsidP="003B0660">
            <w:pPr>
              <w:pStyle w:val="TableBodyText"/>
            </w:pPr>
            <w:r w:rsidRPr="00AA74B5">
              <w:t>2.7</w:t>
            </w:r>
          </w:p>
        </w:tc>
        <w:tc>
          <w:tcPr>
            <w:tcW w:w="355" w:type="pct"/>
            <w:shd w:val="clear" w:color="auto" w:fill="D9D9D9" w:themeFill="background1" w:themeFillShade="D9"/>
            <w:vAlign w:val="bottom"/>
          </w:tcPr>
          <w:p w:rsidR="00DF0502" w:rsidRPr="00AA74B5" w:rsidRDefault="00DF0502" w:rsidP="003B0660">
            <w:pPr>
              <w:pStyle w:val="TableBodyText"/>
            </w:pPr>
            <w:r w:rsidRPr="00AA74B5">
              <w:t>1.1</w:t>
            </w:r>
          </w:p>
        </w:tc>
        <w:tc>
          <w:tcPr>
            <w:tcW w:w="355" w:type="pct"/>
            <w:shd w:val="clear" w:color="auto" w:fill="D9D9D9" w:themeFill="background1" w:themeFillShade="D9"/>
            <w:vAlign w:val="bottom"/>
          </w:tcPr>
          <w:p w:rsidR="00DF0502" w:rsidRPr="00AA74B5" w:rsidRDefault="00DF0502" w:rsidP="003B0660">
            <w:pPr>
              <w:pStyle w:val="TableBodyText"/>
            </w:pPr>
            <w:r w:rsidRPr="00AA74B5">
              <w:t>1.9</w:t>
            </w:r>
          </w:p>
        </w:tc>
        <w:tc>
          <w:tcPr>
            <w:tcW w:w="355" w:type="pct"/>
            <w:shd w:val="clear" w:color="auto" w:fill="D9D9D9" w:themeFill="background1" w:themeFillShade="D9"/>
            <w:vAlign w:val="bottom"/>
          </w:tcPr>
          <w:p w:rsidR="00DF0502" w:rsidRPr="00AA74B5" w:rsidRDefault="00DF0502" w:rsidP="003B0660">
            <w:pPr>
              <w:pStyle w:val="TableBodyText"/>
            </w:pPr>
            <w:r w:rsidRPr="00AA74B5">
              <w:t>3.4</w:t>
            </w:r>
          </w:p>
        </w:tc>
        <w:tc>
          <w:tcPr>
            <w:tcW w:w="355" w:type="pct"/>
            <w:shd w:val="clear" w:color="auto" w:fill="D9D9D9" w:themeFill="background1" w:themeFillShade="D9"/>
            <w:vAlign w:val="bottom"/>
          </w:tcPr>
          <w:p w:rsidR="00DF0502" w:rsidRPr="00AA74B5" w:rsidRDefault="00DF0502" w:rsidP="003B0660">
            <w:pPr>
              <w:pStyle w:val="TableBodyText"/>
            </w:pPr>
            <w:r w:rsidRPr="00AA74B5">
              <w:t>1.3</w:t>
            </w:r>
          </w:p>
        </w:tc>
      </w:tr>
      <w:tr w:rsidR="006A3AF3" w:rsidRPr="00D46D99" w:rsidTr="003B0660">
        <w:tc>
          <w:tcPr>
            <w:tcW w:w="107" w:type="pct"/>
            <w:vMerge/>
          </w:tcPr>
          <w:p w:rsidR="00DF0502" w:rsidRPr="00D46D99" w:rsidRDefault="00DF0502" w:rsidP="002A7C6E">
            <w:pPr>
              <w:pStyle w:val="TableBodyText"/>
              <w:spacing w:line="240" w:lineRule="auto"/>
              <w:jc w:val="left"/>
            </w:pPr>
          </w:p>
        </w:tc>
        <w:tc>
          <w:tcPr>
            <w:tcW w:w="636" w:type="pct"/>
            <w:vAlign w:val="bottom"/>
          </w:tcPr>
          <w:p w:rsidR="00DF0502" w:rsidRPr="00D46D99" w:rsidRDefault="00DF0502" w:rsidP="003B0660">
            <w:pPr>
              <w:pStyle w:val="TableBodyText"/>
              <w:ind w:left="139"/>
              <w:jc w:val="left"/>
            </w:pPr>
            <w:r w:rsidRPr="00D46D99">
              <w:t>NM</w:t>
            </w:r>
          </w:p>
        </w:tc>
        <w:tc>
          <w:tcPr>
            <w:tcW w:w="355" w:type="pct"/>
            <w:vAlign w:val="bottom"/>
          </w:tcPr>
          <w:p w:rsidR="00DF0502" w:rsidRPr="00AA74B5" w:rsidRDefault="00DF0502" w:rsidP="003B0660">
            <w:pPr>
              <w:pStyle w:val="TableBodyText"/>
            </w:pPr>
            <w:r w:rsidRPr="00AA74B5">
              <w:t>0.1</w:t>
            </w:r>
          </w:p>
        </w:tc>
        <w:tc>
          <w:tcPr>
            <w:tcW w:w="355" w:type="pct"/>
            <w:vAlign w:val="bottom"/>
          </w:tcPr>
          <w:p w:rsidR="00DF0502" w:rsidRPr="00AA74B5" w:rsidRDefault="00DF0502" w:rsidP="003B0660">
            <w:pPr>
              <w:pStyle w:val="TableBodyText"/>
            </w:pPr>
            <w:r w:rsidRPr="00AA74B5">
              <w:t>0.1</w:t>
            </w:r>
          </w:p>
        </w:tc>
        <w:tc>
          <w:tcPr>
            <w:tcW w:w="355" w:type="pct"/>
            <w:vAlign w:val="bottom"/>
          </w:tcPr>
          <w:p w:rsidR="00DF0502" w:rsidRPr="00AA74B5" w:rsidRDefault="00DF0502" w:rsidP="003B0660">
            <w:pPr>
              <w:pStyle w:val="TableBodyText"/>
            </w:pPr>
            <w:r w:rsidRPr="00AA74B5">
              <w:t>0.5</w:t>
            </w:r>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0.2</w:t>
            </w:r>
          </w:p>
        </w:tc>
        <w:tc>
          <w:tcPr>
            <w:tcW w:w="355" w:type="pct"/>
            <w:vAlign w:val="bottom"/>
          </w:tcPr>
          <w:p w:rsidR="00DF0502" w:rsidRPr="00AA74B5" w:rsidRDefault="00DF0502" w:rsidP="003B0660">
            <w:pPr>
              <w:pStyle w:val="TableBodyText"/>
            </w:pPr>
            <w:r w:rsidRPr="00AA74B5">
              <w:t>0.3</w:t>
            </w:r>
          </w:p>
        </w:tc>
        <w:tc>
          <w:tcPr>
            <w:tcW w:w="355" w:type="pct"/>
            <w:vAlign w:val="bottom"/>
          </w:tcPr>
          <w:p w:rsidR="00DF0502" w:rsidRPr="00AA74B5" w:rsidRDefault="00DF0502" w:rsidP="003B0660">
            <w:pPr>
              <w:pStyle w:val="TableBodyText"/>
            </w:pPr>
            <w:r w:rsidRPr="00AA74B5">
              <w:t>0.4</w:t>
            </w:r>
          </w:p>
        </w:tc>
        <w:tc>
          <w:tcPr>
            <w:tcW w:w="355" w:type="pct"/>
            <w:vAlign w:val="bottom"/>
          </w:tcPr>
          <w:p w:rsidR="00DF0502" w:rsidRPr="00AA74B5" w:rsidRDefault="00DF0502" w:rsidP="003B0660">
            <w:pPr>
              <w:pStyle w:val="TableBodyText"/>
            </w:pPr>
            <w:r w:rsidRPr="00AA74B5">
              <w:t>11.7</w:t>
            </w:r>
          </w:p>
        </w:tc>
        <w:tc>
          <w:tcPr>
            <w:tcW w:w="355" w:type="pct"/>
            <w:vAlign w:val="bottom"/>
          </w:tcPr>
          <w:p w:rsidR="00DF0502" w:rsidRPr="00AA74B5" w:rsidRDefault="00DF0502" w:rsidP="003B0660">
            <w:pPr>
              <w:pStyle w:val="TableBodyText"/>
            </w:pPr>
            <w:r w:rsidRPr="00AA74B5">
              <w:t>0.3</w:t>
            </w:r>
          </w:p>
        </w:tc>
        <w:tc>
          <w:tcPr>
            <w:tcW w:w="355" w:type="pct"/>
            <w:vAlign w:val="bottom"/>
          </w:tcPr>
          <w:p w:rsidR="00DF0502" w:rsidRPr="00AA74B5" w:rsidRDefault="00DF0502" w:rsidP="003B0660">
            <w:pPr>
              <w:pStyle w:val="TableBodyText"/>
            </w:pPr>
            <w:r w:rsidRPr="00AA74B5">
              <w:t>0.8</w:t>
            </w:r>
          </w:p>
        </w:tc>
        <w:tc>
          <w:tcPr>
            <w:tcW w:w="355" w:type="pct"/>
            <w:vAlign w:val="bottom"/>
          </w:tcPr>
          <w:p w:rsidR="00DF0502" w:rsidRPr="00AA74B5" w:rsidRDefault="00DF0502" w:rsidP="003B0660">
            <w:pPr>
              <w:pStyle w:val="TableBodyText"/>
            </w:pPr>
            <w:r w:rsidRPr="00AA74B5">
              <w:t>0.9</w:t>
            </w:r>
          </w:p>
        </w:tc>
        <w:tc>
          <w:tcPr>
            <w:tcW w:w="355" w:type="pct"/>
            <w:vAlign w:val="bottom"/>
          </w:tcPr>
          <w:p w:rsidR="00DF0502" w:rsidRPr="00AA74B5" w:rsidRDefault="00DF0502" w:rsidP="003B0660">
            <w:pPr>
              <w:pStyle w:val="TableBodyText"/>
            </w:pPr>
            <w:r w:rsidRPr="00AA74B5">
              <w:t>0.6</w:t>
            </w:r>
          </w:p>
        </w:tc>
      </w:tr>
      <w:tr w:rsidR="006A3AF3" w:rsidRPr="00D46D99" w:rsidTr="003B0660">
        <w:tc>
          <w:tcPr>
            <w:tcW w:w="107" w:type="pct"/>
            <w:vMerge/>
          </w:tcPr>
          <w:p w:rsidR="00DF0502" w:rsidRPr="00D46D99" w:rsidRDefault="00DF0502" w:rsidP="002A7C6E">
            <w:pPr>
              <w:pStyle w:val="TableBodyText"/>
              <w:spacing w:line="240" w:lineRule="auto"/>
              <w:jc w:val="left"/>
            </w:pPr>
          </w:p>
        </w:tc>
        <w:tc>
          <w:tcPr>
            <w:tcW w:w="636" w:type="pct"/>
            <w:shd w:val="clear" w:color="auto" w:fill="D9D9D9" w:themeFill="background1" w:themeFillShade="D9"/>
            <w:vAlign w:val="bottom"/>
          </w:tcPr>
          <w:p w:rsidR="00DF0502" w:rsidRPr="00D46D99" w:rsidRDefault="00DF0502" w:rsidP="003B0660">
            <w:pPr>
              <w:pStyle w:val="TableBodyText"/>
              <w:ind w:left="139"/>
              <w:jc w:val="left"/>
            </w:pPr>
            <w:r w:rsidRPr="00D46D99">
              <w:t>MP</w:t>
            </w:r>
          </w:p>
        </w:tc>
        <w:tc>
          <w:tcPr>
            <w:tcW w:w="355" w:type="pct"/>
            <w:shd w:val="clear" w:color="auto" w:fill="D9D9D9" w:themeFill="background1" w:themeFillShade="D9"/>
            <w:vAlign w:val="bottom"/>
          </w:tcPr>
          <w:p w:rsidR="00DF0502" w:rsidRPr="00AA74B5" w:rsidRDefault="00DF0502" w:rsidP="003B0660">
            <w:pPr>
              <w:pStyle w:val="TableBodyText"/>
            </w:pPr>
            <w:r w:rsidRPr="00AA74B5">
              <w:t>0.4</w:t>
            </w:r>
          </w:p>
        </w:tc>
        <w:tc>
          <w:tcPr>
            <w:tcW w:w="355" w:type="pct"/>
            <w:shd w:val="clear" w:color="auto" w:fill="D9D9D9" w:themeFill="background1" w:themeFillShade="D9"/>
            <w:vAlign w:val="bottom"/>
          </w:tcPr>
          <w:p w:rsidR="00DF0502" w:rsidRPr="00AA74B5" w:rsidRDefault="00DF0502" w:rsidP="003B0660">
            <w:pPr>
              <w:pStyle w:val="TableBodyText"/>
            </w:pPr>
            <w:r w:rsidRPr="00AA74B5">
              <w:t>1.6</w:t>
            </w:r>
          </w:p>
        </w:tc>
        <w:tc>
          <w:tcPr>
            <w:tcW w:w="355" w:type="pct"/>
            <w:shd w:val="clear" w:color="auto" w:fill="D9D9D9" w:themeFill="background1" w:themeFillShade="D9"/>
            <w:vAlign w:val="bottom"/>
          </w:tcPr>
          <w:p w:rsidR="00DF0502" w:rsidRPr="00AA74B5" w:rsidRDefault="00DF0502" w:rsidP="003B0660">
            <w:pPr>
              <w:pStyle w:val="TableBodyText"/>
            </w:pPr>
            <w:r w:rsidRPr="00AA74B5">
              <w:t>0.6</w:t>
            </w:r>
          </w:p>
        </w:tc>
        <w:tc>
          <w:tcPr>
            <w:tcW w:w="355" w:type="pct"/>
            <w:shd w:val="clear" w:color="auto" w:fill="D9D9D9" w:themeFill="background1" w:themeFillShade="D9"/>
            <w:vAlign w:val="bottom"/>
          </w:tcPr>
          <w:p w:rsidR="00DF0502" w:rsidRPr="00AA74B5" w:rsidRDefault="00DF0502" w:rsidP="003B0660">
            <w:pPr>
              <w:pStyle w:val="TableBodyText"/>
            </w:pPr>
            <w:r w:rsidRPr="00AA74B5">
              <w:t>5.9</w:t>
            </w:r>
          </w:p>
        </w:tc>
        <w:tc>
          <w:tcPr>
            <w:tcW w:w="355" w:type="pct"/>
            <w:shd w:val="clear" w:color="auto" w:fill="D9D9D9" w:themeFill="background1" w:themeFillShade="D9"/>
            <w:vAlign w:val="bottom"/>
          </w:tcPr>
          <w:p w:rsidR="00DF0502" w:rsidRPr="00AA74B5" w:rsidRDefault="00DF0502" w:rsidP="003B0660">
            <w:pPr>
              <w:pStyle w:val="TableBodyText"/>
            </w:pPr>
            <w:r w:rsidRPr="00AA74B5">
              <w:t>2.3</w:t>
            </w:r>
          </w:p>
        </w:tc>
        <w:tc>
          <w:tcPr>
            <w:tcW w:w="355" w:type="pct"/>
            <w:shd w:val="clear" w:color="auto" w:fill="D9D9D9" w:themeFill="background1" w:themeFillShade="D9"/>
            <w:vAlign w:val="bottom"/>
          </w:tcPr>
          <w:p w:rsidR="00DF0502" w:rsidRPr="00AA74B5" w:rsidRDefault="00DF0502" w:rsidP="003B0660">
            <w:pPr>
              <w:pStyle w:val="TableBodyText"/>
            </w:pPr>
            <w:r w:rsidRPr="00AA74B5">
              <w:t>0.7</w:t>
            </w:r>
          </w:p>
        </w:tc>
        <w:tc>
          <w:tcPr>
            <w:tcW w:w="355" w:type="pct"/>
            <w:shd w:val="clear" w:color="auto" w:fill="D9D9D9" w:themeFill="background1" w:themeFillShade="D9"/>
            <w:vAlign w:val="bottom"/>
          </w:tcPr>
          <w:p w:rsidR="00DF0502" w:rsidRPr="00AA74B5" w:rsidRDefault="00DF0502" w:rsidP="003B0660">
            <w:pPr>
              <w:pStyle w:val="TableBodyText"/>
            </w:pPr>
            <w:r w:rsidRPr="00AA74B5">
              <w:t>0.8</w:t>
            </w:r>
          </w:p>
        </w:tc>
        <w:tc>
          <w:tcPr>
            <w:tcW w:w="355" w:type="pct"/>
            <w:shd w:val="clear" w:color="auto" w:fill="D9D9D9" w:themeFill="background1" w:themeFillShade="D9"/>
            <w:vAlign w:val="bottom"/>
          </w:tcPr>
          <w:p w:rsidR="00DF0502" w:rsidRPr="00AA74B5" w:rsidRDefault="00DF0502" w:rsidP="003B0660">
            <w:pPr>
              <w:pStyle w:val="TableBodyText"/>
            </w:pPr>
            <w:r w:rsidRPr="00AA74B5">
              <w:t>2.4</w:t>
            </w:r>
          </w:p>
        </w:tc>
        <w:tc>
          <w:tcPr>
            <w:tcW w:w="355" w:type="pct"/>
            <w:shd w:val="clear" w:color="auto" w:fill="D9D9D9" w:themeFill="background1" w:themeFillShade="D9"/>
            <w:vAlign w:val="bottom"/>
          </w:tcPr>
          <w:p w:rsidR="00DF0502" w:rsidRPr="00AA74B5" w:rsidRDefault="00DF0502" w:rsidP="003B0660">
            <w:pPr>
              <w:pStyle w:val="TableBodyText"/>
            </w:pPr>
            <w:r w:rsidRPr="00AA74B5">
              <w:t>21.5</w:t>
            </w:r>
          </w:p>
        </w:tc>
        <w:tc>
          <w:tcPr>
            <w:tcW w:w="355" w:type="pct"/>
            <w:shd w:val="clear" w:color="auto" w:fill="D9D9D9" w:themeFill="background1" w:themeFillShade="D9"/>
            <w:vAlign w:val="bottom"/>
          </w:tcPr>
          <w:p w:rsidR="00DF0502" w:rsidRPr="00AA74B5" w:rsidRDefault="00DF0502" w:rsidP="003B0660">
            <w:pPr>
              <w:pStyle w:val="TableBodyText"/>
            </w:pPr>
            <w:r w:rsidRPr="00AA74B5">
              <w:t>16.0</w:t>
            </w:r>
          </w:p>
        </w:tc>
        <w:tc>
          <w:tcPr>
            <w:tcW w:w="355" w:type="pct"/>
            <w:shd w:val="clear" w:color="auto" w:fill="D9D9D9" w:themeFill="background1" w:themeFillShade="D9"/>
            <w:vAlign w:val="bottom"/>
          </w:tcPr>
          <w:p w:rsidR="00DF0502" w:rsidRPr="00AA74B5" w:rsidRDefault="00DF0502" w:rsidP="003B0660">
            <w:pPr>
              <w:pStyle w:val="TableBodyText"/>
            </w:pPr>
            <w:r w:rsidRPr="00AA74B5">
              <w:t>9.2</w:t>
            </w:r>
          </w:p>
        </w:tc>
        <w:tc>
          <w:tcPr>
            <w:tcW w:w="355" w:type="pct"/>
            <w:shd w:val="clear" w:color="auto" w:fill="D9D9D9" w:themeFill="background1" w:themeFillShade="D9"/>
            <w:vAlign w:val="bottom"/>
          </w:tcPr>
          <w:p w:rsidR="00DF0502" w:rsidRPr="00AA74B5" w:rsidRDefault="00DF0502" w:rsidP="003B0660">
            <w:pPr>
              <w:pStyle w:val="TableBodyText"/>
            </w:pPr>
            <w:r w:rsidRPr="00AA74B5">
              <w:t>1.3</w:t>
            </w:r>
          </w:p>
        </w:tc>
      </w:tr>
      <w:tr w:rsidR="006A3AF3" w:rsidRPr="00D46D99" w:rsidTr="003B0660">
        <w:tc>
          <w:tcPr>
            <w:tcW w:w="107" w:type="pct"/>
            <w:vMerge/>
          </w:tcPr>
          <w:p w:rsidR="00DF0502" w:rsidRPr="00D46D99" w:rsidRDefault="00DF0502" w:rsidP="002A7C6E">
            <w:pPr>
              <w:pStyle w:val="TableBodyText"/>
              <w:spacing w:line="240" w:lineRule="auto"/>
              <w:jc w:val="left"/>
            </w:pPr>
          </w:p>
        </w:tc>
        <w:tc>
          <w:tcPr>
            <w:tcW w:w="636" w:type="pct"/>
            <w:vAlign w:val="bottom"/>
          </w:tcPr>
          <w:p w:rsidR="00DF0502" w:rsidRPr="00D46D99" w:rsidRDefault="00DF0502" w:rsidP="003B0660">
            <w:pPr>
              <w:pStyle w:val="TableBodyText"/>
              <w:ind w:left="139"/>
              <w:jc w:val="left"/>
            </w:pPr>
            <w:r w:rsidRPr="00D46D99">
              <w:t>ME</w:t>
            </w:r>
          </w:p>
        </w:tc>
        <w:tc>
          <w:tcPr>
            <w:tcW w:w="355" w:type="pct"/>
            <w:vAlign w:val="bottom"/>
          </w:tcPr>
          <w:p w:rsidR="00DF0502" w:rsidRPr="00AA74B5" w:rsidRDefault="00DF0502" w:rsidP="003B0660">
            <w:pPr>
              <w:pStyle w:val="TableBodyText"/>
            </w:pPr>
            <w:r w:rsidRPr="00AA74B5">
              <w:t>1.0</w:t>
            </w:r>
          </w:p>
        </w:tc>
        <w:tc>
          <w:tcPr>
            <w:tcW w:w="355" w:type="pct"/>
            <w:vAlign w:val="bottom"/>
          </w:tcPr>
          <w:p w:rsidR="00DF0502" w:rsidRPr="00AA74B5" w:rsidRDefault="00DF0502" w:rsidP="003B0660">
            <w:pPr>
              <w:pStyle w:val="TableBodyText"/>
            </w:pPr>
            <w:r w:rsidRPr="00AA74B5">
              <w:t>0.8</w:t>
            </w:r>
          </w:p>
        </w:tc>
        <w:tc>
          <w:tcPr>
            <w:tcW w:w="355" w:type="pct"/>
            <w:vAlign w:val="bottom"/>
          </w:tcPr>
          <w:p w:rsidR="00DF0502" w:rsidRPr="00AA74B5" w:rsidRDefault="00DF0502" w:rsidP="003B0660">
            <w:pPr>
              <w:pStyle w:val="TableBodyText"/>
            </w:pPr>
            <w:r w:rsidRPr="00AA74B5">
              <w:t>0.3</w:t>
            </w:r>
          </w:p>
        </w:tc>
        <w:tc>
          <w:tcPr>
            <w:tcW w:w="355" w:type="pct"/>
            <w:vAlign w:val="bottom"/>
          </w:tcPr>
          <w:p w:rsidR="00DF0502" w:rsidRPr="00AA74B5" w:rsidRDefault="00DF0502" w:rsidP="003B0660">
            <w:pPr>
              <w:pStyle w:val="TableBodyText"/>
            </w:pPr>
            <w:r w:rsidRPr="00AA74B5">
              <w:t>0.5</w:t>
            </w:r>
          </w:p>
        </w:tc>
        <w:tc>
          <w:tcPr>
            <w:tcW w:w="355" w:type="pct"/>
            <w:vAlign w:val="bottom"/>
          </w:tcPr>
          <w:p w:rsidR="00DF0502" w:rsidRPr="00AA74B5" w:rsidRDefault="00DF0502" w:rsidP="003B0660">
            <w:pPr>
              <w:pStyle w:val="TableBodyText"/>
            </w:pPr>
            <w:r w:rsidRPr="00AA74B5">
              <w:t>0.6</w:t>
            </w:r>
          </w:p>
        </w:tc>
        <w:tc>
          <w:tcPr>
            <w:tcW w:w="355" w:type="pct"/>
            <w:vAlign w:val="bottom"/>
          </w:tcPr>
          <w:p w:rsidR="00DF0502" w:rsidRPr="00AA74B5" w:rsidRDefault="00DF0502" w:rsidP="003B0660">
            <w:pPr>
              <w:pStyle w:val="TableBodyText"/>
            </w:pPr>
            <w:r w:rsidRPr="00AA74B5">
              <w:t>0.7</w:t>
            </w:r>
          </w:p>
        </w:tc>
        <w:tc>
          <w:tcPr>
            <w:tcW w:w="355" w:type="pct"/>
            <w:vAlign w:val="bottom"/>
          </w:tcPr>
          <w:p w:rsidR="00DF0502" w:rsidRPr="00AA74B5" w:rsidRDefault="00DF0502" w:rsidP="003B0660">
            <w:pPr>
              <w:pStyle w:val="TableBodyText"/>
            </w:pPr>
            <w:r w:rsidRPr="00AA74B5">
              <w:t>0.3</w:t>
            </w:r>
          </w:p>
        </w:tc>
        <w:tc>
          <w:tcPr>
            <w:tcW w:w="355" w:type="pct"/>
            <w:vAlign w:val="bottom"/>
          </w:tcPr>
          <w:p w:rsidR="00DF0502" w:rsidRPr="00AA74B5" w:rsidRDefault="00DF0502" w:rsidP="003B0660">
            <w:pPr>
              <w:pStyle w:val="TableBodyText"/>
            </w:pPr>
            <w:r w:rsidRPr="00AA74B5">
              <w:t>0.4</w:t>
            </w:r>
          </w:p>
        </w:tc>
        <w:tc>
          <w:tcPr>
            <w:tcW w:w="355" w:type="pct"/>
            <w:vAlign w:val="bottom"/>
          </w:tcPr>
          <w:p w:rsidR="00DF0502" w:rsidRPr="00AA74B5" w:rsidRDefault="00DF0502" w:rsidP="003B0660">
            <w:pPr>
              <w:pStyle w:val="TableBodyText"/>
            </w:pPr>
            <w:r w:rsidRPr="00AA74B5">
              <w:t>0.3</w:t>
            </w:r>
          </w:p>
        </w:tc>
        <w:tc>
          <w:tcPr>
            <w:tcW w:w="355" w:type="pct"/>
            <w:vAlign w:val="bottom"/>
          </w:tcPr>
          <w:p w:rsidR="00DF0502" w:rsidRPr="00AA74B5" w:rsidRDefault="00DF0502" w:rsidP="003B0660">
            <w:pPr>
              <w:pStyle w:val="TableBodyText"/>
            </w:pPr>
            <w:r w:rsidRPr="00AA74B5">
              <w:t>6.0</w:t>
            </w:r>
          </w:p>
        </w:tc>
        <w:tc>
          <w:tcPr>
            <w:tcW w:w="355" w:type="pct"/>
            <w:vAlign w:val="bottom"/>
          </w:tcPr>
          <w:p w:rsidR="00DF0502" w:rsidRPr="00AA74B5" w:rsidRDefault="00DF0502" w:rsidP="003B0660">
            <w:pPr>
              <w:pStyle w:val="TableBodyText"/>
            </w:pPr>
            <w:r w:rsidRPr="00AA74B5">
              <w:t>1.3</w:t>
            </w:r>
          </w:p>
        </w:tc>
        <w:tc>
          <w:tcPr>
            <w:tcW w:w="355" w:type="pct"/>
            <w:vAlign w:val="bottom"/>
          </w:tcPr>
          <w:p w:rsidR="00DF0502" w:rsidRPr="00AA74B5" w:rsidRDefault="00DF0502" w:rsidP="003B0660">
            <w:pPr>
              <w:pStyle w:val="TableBodyText"/>
            </w:pPr>
            <w:r w:rsidRPr="00AA74B5">
              <w:t>0.9</w:t>
            </w:r>
          </w:p>
        </w:tc>
      </w:tr>
      <w:tr w:rsidR="006A3AF3" w:rsidRPr="00D46D99" w:rsidTr="003B0660">
        <w:tc>
          <w:tcPr>
            <w:tcW w:w="107" w:type="pct"/>
            <w:vMerge/>
          </w:tcPr>
          <w:p w:rsidR="00DF0502" w:rsidRPr="00D46D99" w:rsidRDefault="00DF0502" w:rsidP="002A7C6E">
            <w:pPr>
              <w:pStyle w:val="TableBodyText"/>
              <w:spacing w:line="240" w:lineRule="auto"/>
              <w:jc w:val="left"/>
            </w:pPr>
          </w:p>
        </w:tc>
        <w:tc>
          <w:tcPr>
            <w:tcW w:w="636" w:type="pct"/>
            <w:shd w:val="clear" w:color="auto" w:fill="D9D9D9" w:themeFill="background1" w:themeFillShade="D9"/>
            <w:vAlign w:val="bottom"/>
          </w:tcPr>
          <w:p w:rsidR="00DF0502" w:rsidRPr="00D46D99" w:rsidRDefault="00DF0502" w:rsidP="003B0660">
            <w:pPr>
              <w:pStyle w:val="TableBodyText"/>
              <w:jc w:val="left"/>
              <w:rPr>
                <w:b/>
              </w:rPr>
            </w:pPr>
            <w:r w:rsidRPr="00D46D99">
              <w:rPr>
                <w:b/>
              </w:rPr>
              <w:t xml:space="preserve">Total </w:t>
            </w:r>
            <w:proofErr w:type="spellStart"/>
            <w:r w:rsidRPr="00D46D99">
              <w:rPr>
                <w:b/>
              </w:rPr>
              <w:t>Mfg</w:t>
            </w:r>
            <w:proofErr w:type="spellEnd"/>
          </w:p>
        </w:tc>
        <w:tc>
          <w:tcPr>
            <w:tcW w:w="355" w:type="pct"/>
            <w:shd w:val="clear" w:color="auto" w:fill="D9D9D9" w:themeFill="background1" w:themeFillShade="D9"/>
            <w:vAlign w:val="bottom"/>
          </w:tcPr>
          <w:p w:rsidR="00DF0502" w:rsidRPr="00AA74B5" w:rsidRDefault="00DF0502" w:rsidP="003B0660">
            <w:pPr>
              <w:pStyle w:val="TableBodyText"/>
            </w:pPr>
            <w:r w:rsidRPr="00AA74B5">
              <w:t>8.3</w:t>
            </w:r>
          </w:p>
        </w:tc>
        <w:tc>
          <w:tcPr>
            <w:tcW w:w="355" w:type="pct"/>
            <w:shd w:val="clear" w:color="auto" w:fill="D9D9D9" w:themeFill="background1" w:themeFillShade="D9"/>
            <w:vAlign w:val="bottom"/>
          </w:tcPr>
          <w:p w:rsidR="00DF0502" w:rsidRPr="00AA74B5" w:rsidRDefault="00DF0502" w:rsidP="003B0660">
            <w:pPr>
              <w:pStyle w:val="TableBodyText"/>
            </w:pPr>
            <w:r w:rsidRPr="00AA74B5">
              <w:t>5.1</w:t>
            </w:r>
          </w:p>
        </w:tc>
        <w:tc>
          <w:tcPr>
            <w:tcW w:w="355" w:type="pct"/>
            <w:shd w:val="clear" w:color="auto" w:fill="D9D9D9" w:themeFill="background1" w:themeFillShade="D9"/>
            <w:vAlign w:val="bottom"/>
          </w:tcPr>
          <w:p w:rsidR="00DF0502" w:rsidRPr="00AA74B5" w:rsidRDefault="00DF0502" w:rsidP="003B0660">
            <w:pPr>
              <w:pStyle w:val="TableBodyText"/>
            </w:pPr>
            <w:r w:rsidRPr="00AA74B5">
              <w:t>17.0</w:t>
            </w:r>
          </w:p>
        </w:tc>
        <w:tc>
          <w:tcPr>
            <w:tcW w:w="355" w:type="pct"/>
            <w:shd w:val="clear" w:color="auto" w:fill="D9D9D9" w:themeFill="background1" w:themeFillShade="D9"/>
            <w:vAlign w:val="bottom"/>
          </w:tcPr>
          <w:p w:rsidR="00DF0502" w:rsidRPr="00AA74B5" w:rsidRDefault="00DF0502" w:rsidP="003B0660">
            <w:pPr>
              <w:pStyle w:val="TableBodyText"/>
            </w:pPr>
            <w:r w:rsidRPr="00AA74B5">
              <w:t>18.7</w:t>
            </w:r>
          </w:p>
        </w:tc>
        <w:tc>
          <w:tcPr>
            <w:tcW w:w="355" w:type="pct"/>
            <w:shd w:val="clear" w:color="auto" w:fill="D9D9D9" w:themeFill="background1" w:themeFillShade="D9"/>
            <w:vAlign w:val="bottom"/>
          </w:tcPr>
          <w:p w:rsidR="00DF0502" w:rsidRPr="00AA74B5" w:rsidRDefault="00DF0502" w:rsidP="003B0660">
            <w:pPr>
              <w:pStyle w:val="TableBodyText"/>
            </w:pPr>
            <w:r w:rsidRPr="00AA74B5">
              <w:t>14.8</w:t>
            </w:r>
          </w:p>
        </w:tc>
        <w:tc>
          <w:tcPr>
            <w:tcW w:w="355" w:type="pct"/>
            <w:shd w:val="clear" w:color="auto" w:fill="D9D9D9" w:themeFill="background1" w:themeFillShade="D9"/>
            <w:vAlign w:val="bottom"/>
          </w:tcPr>
          <w:p w:rsidR="00DF0502" w:rsidRPr="00AA74B5" w:rsidRDefault="00DF0502" w:rsidP="003B0660">
            <w:pPr>
              <w:pStyle w:val="TableBodyText"/>
            </w:pPr>
            <w:r w:rsidRPr="00AA74B5">
              <w:t>15.2</w:t>
            </w:r>
          </w:p>
        </w:tc>
        <w:tc>
          <w:tcPr>
            <w:tcW w:w="355" w:type="pct"/>
            <w:shd w:val="clear" w:color="auto" w:fill="D9D9D9" w:themeFill="background1" w:themeFillShade="D9"/>
            <w:vAlign w:val="bottom"/>
          </w:tcPr>
          <w:p w:rsidR="00DF0502" w:rsidRPr="00AA74B5" w:rsidRDefault="00DF0502" w:rsidP="003B0660">
            <w:pPr>
              <w:pStyle w:val="TableBodyText"/>
            </w:pPr>
            <w:r w:rsidRPr="00AA74B5">
              <w:t>12.8</w:t>
            </w:r>
          </w:p>
        </w:tc>
        <w:tc>
          <w:tcPr>
            <w:tcW w:w="355" w:type="pct"/>
            <w:shd w:val="clear" w:color="auto" w:fill="D9D9D9" w:themeFill="background1" w:themeFillShade="D9"/>
            <w:vAlign w:val="bottom"/>
          </w:tcPr>
          <w:p w:rsidR="00DF0502" w:rsidRPr="00AA74B5" w:rsidRDefault="00DF0502" w:rsidP="003B0660">
            <w:pPr>
              <w:pStyle w:val="TableBodyText"/>
            </w:pPr>
            <w:r w:rsidRPr="00AA74B5">
              <w:t>18.4</w:t>
            </w:r>
          </w:p>
        </w:tc>
        <w:tc>
          <w:tcPr>
            <w:tcW w:w="355" w:type="pct"/>
            <w:shd w:val="clear" w:color="auto" w:fill="D9D9D9" w:themeFill="background1" w:themeFillShade="D9"/>
            <w:vAlign w:val="bottom"/>
          </w:tcPr>
          <w:p w:rsidR="00DF0502" w:rsidRPr="00AA74B5" w:rsidRDefault="00DF0502" w:rsidP="003B0660">
            <w:pPr>
              <w:pStyle w:val="TableBodyText"/>
            </w:pPr>
            <w:r w:rsidRPr="00AA74B5">
              <w:t>23.8</w:t>
            </w:r>
          </w:p>
        </w:tc>
        <w:tc>
          <w:tcPr>
            <w:tcW w:w="355" w:type="pct"/>
            <w:shd w:val="clear" w:color="auto" w:fill="D9D9D9" w:themeFill="background1" w:themeFillShade="D9"/>
            <w:vAlign w:val="bottom"/>
          </w:tcPr>
          <w:p w:rsidR="00DF0502" w:rsidRPr="00AA74B5" w:rsidRDefault="00DF0502" w:rsidP="003B0660">
            <w:pPr>
              <w:pStyle w:val="TableBodyText"/>
            </w:pPr>
            <w:r w:rsidRPr="00AA74B5">
              <w:t>25.9</w:t>
            </w:r>
          </w:p>
        </w:tc>
        <w:tc>
          <w:tcPr>
            <w:tcW w:w="355" w:type="pct"/>
            <w:shd w:val="clear" w:color="auto" w:fill="D9D9D9" w:themeFill="background1" w:themeFillShade="D9"/>
            <w:vAlign w:val="bottom"/>
          </w:tcPr>
          <w:p w:rsidR="00DF0502" w:rsidRPr="00AA74B5" w:rsidRDefault="00DF0502" w:rsidP="003B0660">
            <w:pPr>
              <w:pStyle w:val="TableBodyText"/>
            </w:pPr>
            <w:r w:rsidRPr="00AA74B5">
              <w:t>19.5</w:t>
            </w:r>
          </w:p>
        </w:tc>
        <w:tc>
          <w:tcPr>
            <w:tcW w:w="355" w:type="pct"/>
            <w:shd w:val="clear" w:color="auto" w:fill="D9D9D9" w:themeFill="background1" w:themeFillShade="D9"/>
            <w:vAlign w:val="bottom"/>
          </w:tcPr>
          <w:p w:rsidR="00DF0502" w:rsidRPr="00AA74B5" w:rsidRDefault="00DF0502" w:rsidP="003B0660">
            <w:pPr>
              <w:pStyle w:val="TableBodyText"/>
            </w:pPr>
            <w:r w:rsidRPr="00AA74B5">
              <w:t>6.7</w:t>
            </w:r>
          </w:p>
        </w:tc>
      </w:tr>
      <w:tr w:rsidR="006A3AF3" w:rsidRPr="00D46D99" w:rsidTr="003B0660">
        <w:tc>
          <w:tcPr>
            <w:tcW w:w="107" w:type="pct"/>
            <w:vMerge/>
          </w:tcPr>
          <w:p w:rsidR="00DF0502" w:rsidRPr="00D46D99" w:rsidRDefault="00DF0502" w:rsidP="002A7C6E">
            <w:pPr>
              <w:pStyle w:val="TableBodyText"/>
              <w:spacing w:line="240" w:lineRule="auto"/>
              <w:jc w:val="left"/>
            </w:pPr>
          </w:p>
        </w:tc>
        <w:tc>
          <w:tcPr>
            <w:tcW w:w="636" w:type="pct"/>
            <w:vAlign w:val="bottom"/>
          </w:tcPr>
          <w:p w:rsidR="00DF0502" w:rsidRPr="00D46D99" w:rsidRDefault="00DF0502" w:rsidP="003B0660">
            <w:pPr>
              <w:pStyle w:val="TableBodyText"/>
              <w:jc w:val="left"/>
              <w:rPr>
                <w:b/>
              </w:rPr>
            </w:pPr>
            <w:r w:rsidRPr="00D46D99">
              <w:rPr>
                <w:b/>
              </w:rPr>
              <w:t>Services</w:t>
            </w:r>
          </w:p>
        </w:tc>
        <w:tc>
          <w:tcPr>
            <w:tcW w:w="355" w:type="pct"/>
            <w:tcBorders>
              <w:bottom w:val="single" w:sz="4" w:space="0" w:color="auto"/>
            </w:tcBorders>
            <w:vAlign w:val="bottom"/>
          </w:tcPr>
          <w:p w:rsidR="00DF0502" w:rsidRPr="00AA74B5" w:rsidRDefault="00DF0502" w:rsidP="003B0660">
            <w:pPr>
              <w:pStyle w:val="TableBodyText"/>
            </w:pPr>
            <w:r w:rsidRPr="00AA74B5">
              <w:t>23.7</w:t>
            </w:r>
          </w:p>
        </w:tc>
        <w:tc>
          <w:tcPr>
            <w:tcW w:w="355" w:type="pct"/>
            <w:tcBorders>
              <w:bottom w:val="single" w:sz="4" w:space="0" w:color="auto"/>
            </w:tcBorders>
            <w:vAlign w:val="bottom"/>
          </w:tcPr>
          <w:p w:rsidR="00DF0502" w:rsidRPr="00AA74B5" w:rsidRDefault="00DF0502" w:rsidP="003B0660">
            <w:pPr>
              <w:pStyle w:val="TableBodyText"/>
            </w:pPr>
            <w:r w:rsidRPr="00AA74B5">
              <w:t>18.9</w:t>
            </w:r>
          </w:p>
        </w:tc>
        <w:tc>
          <w:tcPr>
            <w:tcW w:w="355" w:type="pct"/>
            <w:tcBorders>
              <w:bottom w:val="single" w:sz="4" w:space="0" w:color="auto"/>
            </w:tcBorders>
            <w:vAlign w:val="bottom"/>
          </w:tcPr>
          <w:p w:rsidR="00DF0502" w:rsidRPr="00AA74B5" w:rsidRDefault="00DF0502" w:rsidP="003B0660">
            <w:pPr>
              <w:pStyle w:val="TableBodyText"/>
            </w:pPr>
            <w:r w:rsidRPr="00AA74B5">
              <w:t>20.4</w:t>
            </w:r>
          </w:p>
        </w:tc>
        <w:tc>
          <w:tcPr>
            <w:tcW w:w="355" w:type="pct"/>
            <w:tcBorders>
              <w:bottom w:val="single" w:sz="4" w:space="0" w:color="auto"/>
            </w:tcBorders>
            <w:vAlign w:val="bottom"/>
          </w:tcPr>
          <w:p w:rsidR="00DF0502" w:rsidRPr="00AA74B5" w:rsidRDefault="00DF0502" w:rsidP="003B0660">
            <w:pPr>
              <w:pStyle w:val="TableBodyText"/>
            </w:pPr>
            <w:r w:rsidRPr="00AA74B5">
              <w:t>18.3</w:t>
            </w:r>
          </w:p>
        </w:tc>
        <w:tc>
          <w:tcPr>
            <w:tcW w:w="355" w:type="pct"/>
            <w:tcBorders>
              <w:bottom w:val="single" w:sz="4" w:space="0" w:color="auto"/>
            </w:tcBorders>
            <w:vAlign w:val="bottom"/>
          </w:tcPr>
          <w:p w:rsidR="00DF0502" w:rsidRPr="00AA74B5" w:rsidRDefault="00DF0502" w:rsidP="003B0660">
            <w:pPr>
              <w:pStyle w:val="TableBodyText"/>
            </w:pPr>
            <w:r w:rsidRPr="00AA74B5">
              <w:t>30.6</w:t>
            </w:r>
          </w:p>
        </w:tc>
        <w:tc>
          <w:tcPr>
            <w:tcW w:w="355" w:type="pct"/>
            <w:tcBorders>
              <w:bottom w:val="single" w:sz="4" w:space="0" w:color="auto"/>
            </w:tcBorders>
            <w:vAlign w:val="bottom"/>
          </w:tcPr>
          <w:p w:rsidR="00DF0502" w:rsidRPr="00AA74B5" w:rsidRDefault="00DF0502" w:rsidP="003B0660">
            <w:pPr>
              <w:pStyle w:val="TableBodyText"/>
            </w:pPr>
            <w:r w:rsidRPr="00AA74B5">
              <w:t>27.1</w:t>
            </w:r>
          </w:p>
        </w:tc>
        <w:tc>
          <w:tcPr>
            <w:tcW w:w="355" w:type="pct"/>
            <w:tcBorders>
              <w:bottom w:val="single" w:sz="4" w:space="0" w:color="auto"/>
            </w:tcBorders>
            <w:vAlign w:val="bottom"/>
          </w:tcPr>
          <w:p w:rsidR="00DF0502" w:rsidRPr="00AA74B5" w:rsidRDefault="00DF0502" w:rsidP="003B0660">
            <w:pPr>
              <w:pStyle w:val="TableBodyText"/>
            </w:pPr>
            <w:r w:rsidRPr="00AA74B5">
              <w:t>20.8</w:t>
            </w:r>
          </w:p>
        </w:tc>
        <w:tc>
          <w:tcPr>
            <w:tcW w:w="355" w:type="pct"/>
            <w:tcBorders>
              <w:bottom w:val="single" w:sz="4" w:space="0" w:color="auto"/>
            </w:tcBorders>
            <w:vAlign w:val="bottom"/>
          </w:tcPr>
          <w:p w:rsidR="00DF0502" w:rsidRPr="00AA74B5" w:rsidRDefault="00DF0502" w:rsidP="003B0660">
            <w:pPr>
              <w:pStyle w:val="TableBodyText"/>
            </w:pPr>
            <w:r w:rsidRPr="00AA74B5">
              <w:t>26.9</w:t>
            </w:r>
          </w:p>
        </w:tc>
        <w:tc>
          <w:tcPr>
            <w:tcW w:w="355" w:type="pct"/>
            <w:tcBorders>
              <w:bottom w:val="single" w:sz="4" w:space="0" w:color="auto"/>
            </w:tcBorders>
            <w:vAlign w:val="bottom"/>
          </w:tcPr>
          <w:p w:rsidR="00DF0502" w:rsidRPr="00AA74B5" w:rsidRDefault="00DF0502" w:rsidP="003B0660">
            <w:pPr>
              <w:pStyle w:val="TableBodyText"/>
            </w:pPr>
            <w:r w:rsidRPr="00AA74B5">
              <w:t>15.0</w:t>
            </w:r>
          </w:p>
        </w:tc>
        <w:tc>
          <w:tcPr>
            <w:tcW w:w="355" w:type="pct"/>
            <w:tcBorders>
              <w:bottom w:val="single" w:sz="4" w:space="0" w:color="auto"/>
            </w:tcBorders>
            <w:vAlign w:val="bottom"/>
          </w:tcPr>
          <w:p w:rsidR="00DF0502" w:rsidRPr="00AA74B5" w:rsidRDefault="00DF0502" w:rsidP="003B0660">
            <w:pPr>
              <w:pStyle w:val="TableBodyText"/>
            </w:pPr>
            <w:r w:rsidRPr="00AA74B5">
              <w:t>23.9</w:t>
            </w:r>
          </w:p>
        </w:tc>
        <w:tc>
          <w:tcPr>
            <w:tcW w:w="355" w:type="pct"/>
            <w:tcBorders>
              <w:bottom w:val="single" w:sz="4" w:space="0" w:color="auto"/>
            </w:tcBorders>
            <w:vAlign w:val="bottom"/>
          </w:tcPr>
          <w:p w:rsidR="00DF0502" w:rsidRPr="00AA74B5" w:rsidRDefault="00DF0502" w:rsidP="003B0660">
            <w:pPr>
              <w:pStyle w:val="TableBodyText"/>
            </w:pPr>
            <w:r w:rsidRPr="00AA74B5">
              <w:t>20.5</w:t>
            </w:r>
          </w:p>
        </w:tc>
        <w:tc>
          <w:tcPr>
            <w:tcW w:w="355" w:type="pct"/>
            <w:tcBorders>
              <w:bottom w:val="single" w:sz="4" w:space="0" w:color="auto"/>
            </w:tcBorders>
            <w:vAlign w:val="bottom"/>
          </w:tcPr>
          <w:p w:rsidR="00DF0502" w:rsidRPr="00AA74B5" w:rsidRDefault="00DF0502" w:rsidP="003B0660">
            <w:pPr>
              <w:pStyle w:val="TableBodyText"/>
            </w:pPr>
            <w:r w:rsidRPr="00AA74B5">
              <w:t>36.6</w:t>
            </w:r>
          </w:p>
        </w:tc>
      </w:tr>
      <w:tr w:rsidR="006A3AF3" w:rsidRPr="00D46D99" w:rsidTr="003B0660">
        <w:tc>
          <w:tcPr>
            <w:tcW w:w="107" w:type="pct"/>
            <w:vMerge/>
          </w:tcPr>
          <w:p w:rsidR="00DF0502" w:rsidRPr="00D46D99" w:rsidRDefault="00DF0502" w:rsidP="002A7C6E">
            <w:pPr>
              <w:pStyle w:val="TableBodyText"/>
              <w:spacing w:line="240" w:lineRule="auto"/>
              <w:jc w:val="left"/>
            </w:pPr>
          </w:p>
        </w:tc>
        <w:tc>
          <w:tcPr>
            <w:tcW w:w="636" w:type="pct"/>
            <w:shd w:val="clear" w:color="auto" w:fill="D9D9D9" w:themeFill="background1" w:themeFillShade="D9"/>
            <w:vAlign w:val="bottom"/>
          </w:tcPr>
          <w:p w:rsidR="00DF0502" w:rsidRPr="00DF0502" w:rsidRDefault="00DF0502" w:rsidP="003B0660">
            <w:pPr>
              <w:pStyle w:val="TableBodyText"/>
              <w:ind w:right="3"/>
              <w:jc w:val="left"/>
              <w:rPr>
                <w:i/>
              </w:rPr>
            </w:pPr>
            <w:r w:rsidRPr="00DF0502">
              <w:rPr>
                <w:i/>
              </w:rPr>
              <w:t xml:space="preserve">Total </w:t>
            </w:r>
            <w:r w:rsidR="00274FD3">
              <w:rPr>
                <w:i/>
              </w:rPr>
              <w:t xml:space="preserve">domestic </w:t>
            </w:r>
            <w:r w:rsidRPr="00DF0502">
              <w:rPr>
                <w:i/>
              </w:rPr>
              <w:t>intermediate inputs</w:t>
            </w:r>
          </w:p>
        </w:tc>
        <w:tc>
          <w:tcPr>
            <w:tcW w:w="355" w:type="pct"/>
            <w:tcBorders>
              <w:top w:val="single" w:sz="4" w:space="0" w:color="auto"/>
            </w:tcBorders>
            <w:shd w:val="clear" w:color="auto" w:fill="D9D9D9" w:themeFill="background1" w:themeFillShade="D9"/>
            <w:vAlign w:val="bottom"/>
          </w:tcPr>
          <w:p w:rsidR="00DF0502" w:rsidRPr="00DF0502" w:rsidRDefault="00DF0502" w:rsidP="003B0660">
            <w:pPr>
              <w:pStyle w:val="TableBodyText"/>
              <w:rPr>
                <w:i/>
              </w:rPr>
            </w:pPr>
            <w:r w:rsidRPr="00DF0502">
              <w:rPr>
                <w:i/>
              </w:rPr>
              <w:t>50.4</w:t>
            </w:r>
          </w:p>
        </w:tc>
        <w:tc>
          <w:tcPr>
            <w:tcW w:w="355" w:type="pct"/>
            <w:tcBorders>
              <w:top w:val="single" w:sz="4" w:space="0" w:color="auto"/>
            </w:tcBorders>
            <w:shd w:val="clear" w:color="auto" w:fill="D9D9D9" w:themeFill="background1" w:themeFillShade="D9"/>
            <w:vAlign w:val="bottom"/>
          </w:tcPr>
          <w:p w:rsidR="00DF0502" w:rsidRPr="00DF0502" w:rsidRDefault="00DF0502" w:rsidP="003B0660">
            <w:pPr>
              <w:pStyle w:val="TableBodyText"/>
              <w:rPr>
                <w:i/>
              </w:rPr>
            </w:pPr>
            <w:r w:rsidRPr="00DF0502">
              <w:rPr>
                <w:i/>
              </w:rPr>
              <w:t>33.2</w:t>
            </w:r>
          </w:p>
        </w:tc>
        <w:tc>
          <w:tcPr>
            <w:tcW w:w="355" w:type="pct"/>
            <w:tcBorders>
              <w:top w:val="single" w:sz="4" w:space="0" w:color="auto"/>
            </w:tcBorders>
            <w:shd w:val="clear" w:color="auto" w:fill="D9D9D9" w:themeFill="background1" w:themeFillShade="D9"/>
            <w:vAlign w:val="bottom"/>
          </w:tcPr>
          <w:p w:rsidR="00DF0502" w:rsidRPr="00DF0502" w:rsidRDefault="00DF0502" w:rsidP="003B0660">
            <w:pPr>
              <w:pStyle w:val="TableBodyText"/>
              <w:rPr>
                <w:i/>
              </w:rPr>
            </w:pPr>
            <w:r w:rsidRPr="00DF0502">
              <w:rPr>
                <w:i/>
              </w:rPr>
              <w:t>67.4</w:t>
            </w:r>
          </w:p>
        </w:tc>
        <w:tc>
          <w:tcPr>
            <w:tcW w:w="355" w:type="pct"/>
            <w:tcBorders>
              <w:top w:val="single" w:sz="4" w:space="0" w:color="auto"/>
            </w:tcBorders>
            <w:shd w:val="clear" w:color="auto" w:fill="D9D9D9" w:themeFill="background1" w:themeFillShade="D9"/>
            <w:vAlign w:val="bottom"/>
          </w:tcPr>
          <w:p w:rsidR="00DF0502" w:rsidRPr="00DF0502" w:rsidRDefault="00DF0502" w:rsidP="003B0660">
            <w:pPr>
              <w:pStyle w:val="TableBodyText"/>
              <w:rPr>
                <w:i/>
              </w:rPr>
            </w:pPr>
            <w:r w:rsidRPr="00DF0502">
              <w:rPr>
                <w:i/>
              </w:rPr>
              <w:t>43.0</w:t>
            </w:r>
          </w:p>
        </w:tc>
        <w:tc>
          <w:tcPr>
            <w:tcW w:w="355" w:type="pct"/>
            <w:tcBorders>
              <w:top w:val="single" w:sz="4" w:space="0" w:color="auto"/>
            </w:tcBorders>
            <w:shd w:val="clear" w:color="auto" w:fill="D9D9D9" w:themeFill="background1" w:themeFillShade="D9"/>
            <w:vAlign w:val="bottom"/>
          </w:tcPr>
          <w:p w:rsidR="00DF0502" w:rsidRPr="00DF0502" w:rsidRDefault="00DF0502" w:rsidP="003B0660">
            <w:pPr>
              <w:pStyle w:val="TableBodyText"/>
              <w:rPr>
                <w:i/>
              </w:rPr>
            </w:pPr>
            <w:r w:rsidRPr="00DF0502">
              <w:rPr>
                <w:i/>
              </w:rPr>
              <w:t>54.2</w:t>
            </w:r>
          </w:p>
        </w:tc>
        <w:tc>
          <w:tcPr>
            <w:tcW w:w="355" w:type="pct"/>
            <w:tcBorders>
              <w:top w:val="single" w:sz="4" w:space="0" w:color="auto"/>
            </w:tcBorders>
            <w:shd w:val="clear" w:color="auto" w:fill="D9D9D9" w:themeFill="background1" w:themeFillShade="D9"/>
            <w:vAlign w:val="bottom"/>
          </w:tcPr>
          <w:p w:rsidR="00DF0502" w:rsidRPr="00DF0502" w:rsidRDefault="00DF0502" w:rsidP="003B0660">
            <w:pPr>
              <w:pStyle w:val="TableBodyText"/>
              <w:rPr>
                <w:i/>
              </w:rPr>
            </w:pPr>
            <w:r w:rsidRPr="00DF0502">
              <w:rPr>
                <w:i/>
              </w:rPr>
              <w:t>42.6</w:t>
            </w:r>
          </w:p>
        </w:tc>
        <w:tc>
          <w:tcPr>
            <w:tcW w:w="355" w:type="pct"/>
            <w:tcBorders>
              <w:top w:val="single" w:sz="4" w:space="0" w:color="auto"/>
            </w:tcBorders>
            <w:shd w:val="clear" w:color="auto" w:fill="D9D9D9" w:themeFill="background1" w:themeFillShade="D9"/>
            <w:vAlign w:val="bottom"/>
          </w:tcPr>
          <w:p w:rsidR="00DF0502" w:rsidRPr="00DF0502" w:rsidRDefault="00DF0502" w:rsidP="003B0660">
            <w:pPr>
              <w:pStyle w:val="TableBodyText"/>
              <w:rPr>
                <w:i/>
              </w:rPr>
            </w:pPr>
            <w:r w:rsidRPr="00DF0502">
              <w:rPr>
                <w:i/>
              </w:rPr>
              <w:t>46.1</w:t>
            </w:r>
          </w:p>
        </w:tc>
        <w:tc>
          <w:tcPr>
            <w:tcW w:w="355" w:type="pct"/>
            <w:tcBorders>
              <w:top w:val="single" w:sz="4" w:space="0" w:color="auto"/>
            </w:tcBorders>
            <w:shd w:val="clear" w:color="auto" w:fill="D9D9D9" w:themeFill="background1" w:themeFillShade="D9"/>
            <w:vAlign w:val="bottom"/>
          </w:tcPr>
          <w:p w:rsidR="00DF0502" w:rsidRPr="00DF0502" w:rsidRDefault="00DF0502" w:rsidP="003B0660">
            <w:pPr>
              <w:pStyle w:val="TableBodyText"/>
              <w:rPr>
                <w:i/>
              </w:rPr>
            </w:pPr>
            <w:r w:rsidRPr="00DF0502">
              <w:rPr>
                <w:i/>
              </w:rPr>
              <w:t>53.2</w:t>
            </w:r>
          </w:p>
        </w:tc>
        <w:tc>
          <w:tcPr>
            <w:tcW w:w="355" w:type="pct"/>
            <w:tcBorders>
              <w:top w:val="single" w:sz="4" w:space="0" w:color="auto"/>
            </w:tcBorders>
            <w:shd w:val="clear" w:color="auto" w:fill="D9D9D9" w:themeFill="background1" w:themeFillShade="D9"/>
            <w:vAlign w:val="bottom"/>
          </w:tcPr>
          <w:p w:rsidR="00DF0502" w:rsidRPr="00DF0502" w:rsidRDefault="00DF0502" w:rsidP="003B0660">
            <w:pPr>
              <w:pStyle w:val="TableBodyText"/>
              <w:rPr>
                <w:i/>
              </w:rPr>
            </w:pPr>
            <w:r w:rsidRPr="00DF0502">
              <w:rPr>
                <w:i/>
              </w:rPr>
              <w:t>59.5</w:t>
            </w:r>
          </w:p>
        </w:tc>
        <w:tc>
          <w:tcPr>
            <w:tcW w:w="355" w:type="pct"/>
            <w:tcBorders>
              <w:top w:val="single" w:sz="4" w:space="0" w:color="auto"/>
            </w:tcBorders>
            <w:shd w:val="clear" w:color="auto" w:fill="D9D9D9" w:themeFill="background1" w:themeFillShade="D9"/>
            <w:vAlign w:val="bottom"/>
          </w:tcPr>
          <w:p w:rsidR="00DF0502" w:rsidRPr="00DF0502" w:rsidRDefault="00DF0502" w:rsidP="003B0660">
            <w:pPr>
              <w:pStyle w:val="TableBodyText"/>
              <w:rPr>
                <w:i/>
              </w:rPr>
            </w:pPr>
            <w:r w:rsidRPr="00DF0502">
              <w:rPr>
                <w:i/>
              </w:rPr>
              <w:t>49.9</w:t>
            </w:r>
          </w:p>
        </w:tc>
        <w:tc>
          <w:tcPr>
            <w:tcW w:w="355" w:type="pct"/>
            <w:tcBorders>
              <w:top w:val="single" w:sz="4" w:space="0" w:color="auto"/>
            </w:tcBorders>
            <w:shd w:val="clear" w:color="auto" w:fill="D9D9D9" w:themeFill="background1" w:themeFillShade="D9"/>
            <w:vAlign w:val="bottom"/>
          </w:tcPr>
          <w:p w:rsidR="00DF0502" w:rsidRPr="00DF0502" w:rsidRDefault="00DF0502" w:rsidP="003B0660">
            <w:pPr>
              <w:pStyle w:val="TableBodyText"/>
              <w:rPr>
                <w:i/>
              </w:rPr>
            </w:pPr>
            <w:r w:rsidRPr="00DF0502">
              <w:rPr>
                <w:i/>
              </w:rPr>
              <w:t>55.5</w:t>
            </w:r>
          </w:p>
        </w:tc>
        <w:tc>
          <w:tcPr>
            <w:tcW w:w="355" w:type="pct"/>
            <w:tcBorders>
              <w:top w:val="single" w:sz="4" w:space="0" w:color="auto"/>
            </w:tcBorders>
            <w:shd w:val="clear" w:color="auto" w:fill="D9D9D9" w:themeFill="background1" w:themeFillShade="D9"/>
            <w:vAlign w:val="bottom"/>
          </w:tcPr>
          <w:p w:rsidR="00DF0502" w:rsidRPr="00DF0502" w:rsidRDefault="00DF0502" w:rsidP="003B0660">
            <w:pPr>
              <w:pStyle w:val="TableBodyText"/>
              <w:rPr>
                <w:i/>
              </w:rPr>
            </w:pPr>
            <w:r w:rsidRPr="00DF0502">
              <w:rPr>
                <w:i/>
              </w:rPr>
              <w:t>44.0</w:t>
            </w:r>
          </w:p>
        </w:tc>
      </w:tr>
      <w:tr w:rsidR="006A3AF3" w:rsidRPr="00D46D99" w:rsidTr="003B0660">
        <w:tc>
          <w:tcPr>
            <w:tcW w:w="107" w:type="pct"/>
          </w:tcPr>
          <w:p w:rsidR="00DF0502" w:rsidRPr="00D46D99" w:rsidRDefault="00DF0502" w:rsidP="002A7C6E">
            <w:pPr>
              <w:pStyle w:val="TableBodyText"/>
              <w:spacing w:line="240" w:lineRule="auto"/>
              <w:jc w:val="left"/>
              <w:rPr>
                <w:i/>
              </w:rPr>
            </w:pPr>
          </w:p>
        </w:tc>
        <w:tc>
          <w:tcPr>
            <w:tcW w:w="636" w:type="pct"/>
            <w:vAlign w:val="bottom"/>
          </w:tcPr>
          <w:p w:rsidR="00DF0502" w:rsidRPr="00D46D99" w:rsidRDefault="00FC5430" w:rsidP="003B0660">
            <w:pPr>
              <w:pStyle w:val="TableBodyText"/>
              <w:jc w:val="left"/>
            </w:pPr>
            <w:r w:rsidRPr="00D46D99">
              <w:t>V</w:t>
            </w:r>
            <w:r>
              <w:t>alue added</w:t>
            </w:r>
          </w:p>
        </w:tc>
        <w:tc>
          <w:tcPr>
            <w:tcW w:w="355" w:type="pct"/>
            <w:vAlign w:val="bottom"/>
          </w:tcPr>
          <w:p w:rsidR="00DF0502" w:rsidRPr="009563E1" w:rsidRDefault="00DF0502" w:rsidP="003B0660">
            <w:pPr>
              <w:pStyle w:val="TableBodyText"/>
            </w:pPr>
            <w:r w:rsidRPr="009563E1">
              <w:t>41.9</w:t>
            </w:r>
          </w:p>
        </w:tc>
        <w:tc>
          <w:tcPr>
            <w:tcW w:w="355" w:type="pct"/>
            <w:vAlign w:val="bottom"/>
          </w:tcPr>
          <w:p w:rsidR="00DF0502" w:rsidRPr="009563E1" w:rsidRDefault="00DF0502" w:rsidP="003B0660">
            <w:pPr>
              <w:pStyle w:val="TableBodyText"/>
            </w:pPr>
            <w:r w:rsidRPr="009563E1">
              <w:t>62.8</w:t>
            </w:r>
          </w:p>
        </w:tc>
        <w:tc>
          <w:tcPr>
            <w:tcW w:w="355" w:type="pct"/>
            <w:vAlign w:val="bottom"/>
          </w:tcPr>
          <w:p w:rsidR="00DF0502" w:rsidRPr="009563E1" w:rsidRDefault="00DF0502" w:rsidP="003B0660">
            <w:pPr>
              <w:pStyle w:val="TableBodyText"/>
            </w:pPr>
            <w:r w:rsidRPr="009563E1">
              <w:t>26.7</w:t>
            </w:r>
          </w:p>
        </w:tc>
        <w:tc>
          <w:tcPr>
            <w:tcW w:w="355" w:type="pct"/>
            <w:vAlign w:val="bottom"/>
          </w:tcPr>
          <w:p w:rsidR="00DF0502" w:rsidRPr="009563E1" w:rsidRDefault="00DF0502" w:rsidP="003B0660">
            <w:pPr>
              <w:pStyle w:val="TableBodyText"/>
            </w:pPr>
            <w:r w:rsidRPr="009563E1">
              <w:t>40.4</w:t>
            </w:r>
          </w:p>
        </w:tc>
        <w:tc>
          <w:tcPr>
            <w:tcW w:w="355" w:type="pct"/>
            <w:vAlign w:val="bottom"/>
          </w:tcPr>
          <w:p w:rsidR="00DF0502" w:rsidRPr="009563E1" w:rsidRDefault="00DF0502" w:rsidP="003B0660">
            <w:pPr>
              <w:pStyle w:val="TableBodyText"/>
            </w:pPr>
            <w:r w:rsidRPr="009563E1">
              <w:t>35.5</w:t>
            </w:r>
          </w:p>
        </w:tc>
        <w:tc>
          <w:tcPr>
            <w:tcW w:w="355" w:type="pct"/>
            <w:vAlign w:val="bottom"/>
          </w:tcPr>
          <w:p w:rsidR="00DF0502" w:rsidRPr="009563E1" w:rsidRDefault="00DF0502" w:rsidP="003B0660">
            <w:pPr>
              <w:pStyle w:val="TableBodyText"/>
            </w:pPr>
            <w:r w:rsidRPr="009563E1">
              <w:t>44.7</w:t>
            </w:r>
          </w:p>
        </w:tc>
        <w:tc>
          <w:tcPr>
            <w:tcW w:w="355" w:type="pct"/>
            <w:vAlign w:val="bottom"/>
          </w:tcPr>
          <w:p w:rsidR="00DF0502" w:rsidRPr="009563E1" w:rsidRDefault="00DF0502" w:rsidP="003B0660">
            <w:pPr>
              <w:pStyle w:val="TableBodyText"/>
            </w:pPr>
            <w:r w:rsidRPr="009563E1">
              <w:t>23.7</w:t>
            </w:r>
          </w:p>
        </w:tc>
        <w:tc>
          <w:tcPr>
            <w:tcW w:w="355" w:type="pct"/>
            <w:vAlign w:val="bottom"/>
          </w:tcPr>
          <w:p w:rsidR="00DF0502" w:rsidRPr="009563E1" w:rsidRDefault="00DF0502" w:rsidP="003B0660">
            <w:pPr>
              <w:pStyle w:val="TableBodyText"/>
            </w:pPr>
            <w:r w:rsidRPr="009563E1">
              <w:t>37.4</w:t>
            </w:r>
          </w:p>
        </w:tc>
        <w:tc>
          <w:tcPr>
            <w:tcW w:w="355" w:type="pct"/>
            <w:vAlign w:val="bottom"/>
          </w:tcPr>
          <w:p w:rsidR="00DF0502" w:rsidRPr="009563E1" w:rsidRDefault="00DF0502" w:rsidP="003B0660">
            <w:pPr>
              <w:pStyle w:val="TableBodyText"/>
            </w:pPr>
            <w:r w:rsidRPr="009563E1">
              <w:t>22.9</w:t>
            </w:r>
          </w:p>
        </w:tc>
        <w:tc>
          <w:tcPr>
            <w:tcW w:w="355" w:type="pct"/>
            <w:vAlign w:val="bottom"/>
          </w:tcPr>
          <w:p w:rsidR="00DF0502" w:rsidRPr="009563E1" w:rsidRDefault="00DF0502" w:rsidP="003B0660">
            <w:pPr>
              <w:pStyle w:val="TableBodyText"/>
            </w:pPr>
            <w:r w:rsidRPr="009563E1">
              <w:t>30.6</w:t>
            </w:r>
          </w:p>
        </w:tc>
        <w:tc>
          <w:tcPr>
            <w:tcW w:w="355" w:type="pct"/>
            <w:vAlign w:val="bottom"/>
          </w:tcPr>
          <w:p w:rsidR="00DF0502" w:rsidRPr="009563E1" w:rsidRDefault="00DF0502" w:rsidP="003B0660">
            <w:pPr>
              <w:pStyle w:val="TableBodyText"/>
            </w:pPr>
            <w:r w:rsidRPr="009563E1">
              <w:t>27.7</w:t>
            </w:r>
          </w:p>
        </w:tc>
        <w:tc>
          <w:tcPr>
            <w:tcW w:w="355" w:type="pct"/>
            <w:vAlign w:val="bottom"/>
          </w:tcPr>
          <w:p w:rsidR="00DF0502" w:rsidRDefault="00DF0502" w:rsidP="003B0660">
            <w:pPr>
              <w:pStyle w:val="TableBodyText"/>
            </w:pPr>
            <w:r w:rsidRPr="009563E1">
              <w:t>51.1</w:t>
            </w:r>
          </w:p>
        </w:tc>
      </w:tr>
      <w:tr w:rsidR="006A3AF3" w:rsidRPr="00D46D99" w:rsidTr="003B0660">
        <w:tc>
          <w:tcPr>
            <w:tcW w:w="107" w:type="pct"/>
          </w:tcPr>
          <w:p w:rsidR="00DF0502" w:rsidRPr="00D46D99" w:rsidRDefault="00DF0502" w:rsidP="002A7C6E">
            <w:pPr>
              <w:pStyle w:val="TableBodyText"/>
              <w:spacing w:line="240" w:lineRule="auto"/>
              <w:jc w:val="left"/>
            </w:pPr>
          </w:p>
        </w:tc>
        <w:tc>
          <w:tcPr>
            <w:tcW w:w="636" w:type="pct"/>
            <w:shd w:val="clear" w:color="auto" w:fill="D9D9D9" w:themeFill="background1" w:themeFillShade="D9"/>
            <w:vAlign w:val="bottom"/>
          </w:tcPr>
          <w:p w:rsidR="00DF0502" w:rsidRPr="00D46D99" w:rsidRDefault="00DF0502" w:rsidP="003B0660">
            <w:pPr>
              <w:pStyle w:val="TableBodyText"/>
              <w:jc w:val="left"/>
            </w:pPr>
            <w:r w:rsidRPr="00D46D99">
              <w:t>Imports</w:t>
            </w:r>
            <w:r w:rsidR="00474904" w:rsidRPr="00474904">
              <w:rPr>
                <w:rStyle w:val="NoteLabel"/>
              </w:rPr>
              <w:t>b</w:t>
            </w:r>
          </w:p>
        </w:tc>
        <w:tc>
          <w:tcPr>
            <w:tcW w:w="355" w:type="pct"/>
            <w:shd w:val="clear" w:color="auto" w:fill="D9D9D9" w:themeFill="background1" w:themeFillShade="D9"/>
            <w:vAlign w:val="bottom"/>
          </w:tcPr>
          <w:p w:rsidR="00DF0502" w:rsidRPr="00A36F35" w:rsidRDefault="00DF0502" w:rsidP="003B0660">
            <w:pPr>
              <w:pStyle w:val="TableBodyText"/>
            </w:pPr>
            <w:r w:rsidRPr="00A36F35">
              <w:t>7.1</w:t>
            </w:r>
          </w:p>
        </w:tc>
        <w:tc>
          <w:tcPr>
            <w:tcW w:w="355" w:type="pct"/>
            <w:shd w:val="clear" w:color="auto" w:fill="D9D9D9" w:themeFill="background1" w:themeFillShade="D9"/>
            <w:vAlign w:val="bottom"/>
          </w:tcPr>
          <w:p w:rsidR="00DF0502" w:rsidRPr="00A36F35" w:rsidRDefault="00DF0502" w:rsidP="003B0660">
            <w:pPr>
              <w:pStyle w:val="TableBodyText"/>
            </w:pPr>
            <w:r w:rsidRPr="00A36F35">
              <w:t>4.0</w:t>
            </w:r>
          </w:p>
        </w:tc>
        <w:tc>
          <w:tcPr>
            <w:tcW w:w="355" w:type="pct"/>
            <w:shd w:val="clear" w:color="auto" w:fill="D9D9D9" w:themeFill="background1" w:themeFillShade="D9"/>
            <w:vAlign w:val="bottom"/>
          </w:tcPr>
          <w:p w:rsidR="00DF0502" w:rsidRPr="00A36F35" w:rsidRDefault="00DF0502" w:rsidP="003B0660">
            <w:pPr>
              <w:pStyle w:val="TableBodyText"/>
            </w:pPr>
            <w:r w:rsidRPr="00A36F35">
              <w:t>5.3</w:t>
            </w:r>
          </w:p>
        </w:tc>
        <w:tc>
          <w:tcPr>
            <w:tcW w:w="355" w:type="pct"/>
            <w:shd w:val="clear" w:color="auto" w:fill="D9D9D9" w:themeFill="background1" w:themeFillShade="D9"/>
            <w:vAlign w:val="bottom"/>
          </w:tcPr>
          <w:p w:rsidR="00DF0502" w:rsidRPr="00A36F35" w:rsidRDefault="00DF0502" w:rsidP="003B0660">
            <w:pPr>
              <w:pStyle w:val="TableBodyText"/>
            </w:pPr>
            <w:r w:rsidRPr="00A36F35">
              <w:t>15.5</w:t>
            </w:r>
          </w:p>
        </w:tc>
        <w:tc>
          <w:tcPr>
            <w:tcW w:w="355" w:type="pct"/>
            <w:shd w:val="clear" w:color="auto" w:fill="D9D9D9" w:themeFill="background1" w:themeFillShade="D9"/>
            <w:vAlign w:val="bottom"/>
          </w:tcPr>
          <w:p w:rsidR="00DF0502" w:rsidRPr="00A36F35" w:rsidRDefault="00DF0502" w:rsidP="003B0660">
            <w:pPr>
              <w:pStyle w:val="TableBodyText"/>
            </w:pPr>
            <w:r w:rsidRPr="00A36F35">
              <w:t>9.8</w:t>
            </w:r>
          </w:p>
        </w:tc>
        <w:tc>
          <w:tcPr>
            <w:tcW w:w="355" w:type="pct"/>
            <w:shd w:val="clear" w:color="auto" w:fill="D9D9D9" w:themeFill="background1" w:themeFillShade="D9"/>
            <w:vAlign w:val="bottom"/>
          </w:tcPr>
          <w:p w:rsidR="00DF0502" w:rsidRPr="00A36F35" w:rsidRDefault="00DF0502" w:rsidP="003B0660">
            <w:pPr>
              <w:pStyle w:val="TableBodyText"/>
            </w:pPr>
            <w:r w:rsidRPr="00A36F35">
              <w:t>12.3</w:t>
            </w:r>
          </w:p>
        </w:tc>
        <w:tc>
          <w:tcPr>
            <w:tcW w:w="355" w:type="pct"/>
            <w:shd w:val="clear" w:color="auto" w:fill="D9D9D9" w:themeFill="background1" w:themeFillShade="D9"/>
            <w:vAlign w:val="bottom"/>
          </w:tcPr>
          <w:p w:rsidR="00DF0502" w:rsidRPr="00A36F35" w:rsidRDefault="00DF0502" w:rsidP="003B0660">
            <w:pPr>
              <w:pStyle w:val="TableBodyText"/>
            </w:pPr>
            <w:r w:rsidRPr="00A36F35">
              <w:t>29.2</w:t>
            </w:r>
          </w:p>
        </w:tc>
        <w:tc>
          <w:tcPr>
            <w:tcW w:w="355" w:type="pct"/>
            <w:shd w:val="clear" w:color="auto" w:fill="D9D9D9" w:themeFill="background1" w:themeFillShade="D9"/>
            <w:vAlign w:val="bottom"/>
          </w:tcPr>
          <w:p w:rsidR="00DF0502" w:rsidRPr="00A36F35" w:rsidRDefault="00DF0502" w:rsidP="003B0660">
            <w:pPr>
              <w:pStyle w:val="TableBodyText"/>
            </w:pPr>
            <w:r w:rsidRPr="00A36F35">
              <w:t>8.6</w:t>
            </w:r>
          </w:p>
        </w:tc>
        <w:tc>
          <w:tcPr>
            <w:tcW w:w="355" w:type="pct"/>
            <w:shd w:val="clear" w:color="auto" w:fill="D9D9D9" w:themeFill="background1" w:themeFillShade="D9"/>
            <w:vAlign w:val="bottom"/>
          </w:tcPr>
          <w:p w:rsidR="00DF0502" w:rsidRPr="00A36F35" w:rsidRDefault="00DF0502" w:rsidP="003B0660">
            <w:pPr>
              <w:pStyle w:val="TableBodyText"/>
            </w:pPr>
            <w:r w:rsidRPr="00A36F35">
              <w:t>17.4</w:t>
            </w:r>
          </w:p>
        </w:tc>
        <w:tc>
          <w:tcPr>
            <w:tcW w:w="355" w:type="pct"/>
            <w:shd w:val="clear" w:color="auto" w:fill="D9D9D9" w:themeFill="background1" w:themeFillShade="D9"/>
            <w:vAlign w:val="bottom"/>
          </w:tcPr>
          <w:p w:rsidR="00DF0502" w:rsidRPr="00A36F35" w:rsidRDefault="00DF0502" w:rsidP="003B0660">
            <w:pPr>
              <w:pStyle w:val="TableBodyText"/>
            </w:pPr>
            <w:r w:rsidRPr="00A36F35">
              <w:t>19.1</w:t>
            </w:r>
          </w:p>
        </w:tc>
        <w:tc>
          <w:tcPr>
            <w:tcW w:w="355" w:type="pct"/>
            <w:shd w:val="clear" w:color="auto" w:fill="D9D9D9" w:themeFill="background1" w:themeFillShade="D9"/>
            <w:vAlign w:val="bottom"/>
          </w:tcPr>
          <w:p w:rsidR="00DF0502" w:rsidRPr="00A36F35" w:rsidRDefault="00DF0502" w:rsidP="003B0660">
            <w:pPr>
              <w:pStyle w:val="TableBodyText"/>
            </w:pPr>
            <w:r w:rsidRPr="00A36F35">
              <w:t>16.2</w:t>
            </w:r>
          </w:p>
        </w:tc>
        <w:tc>
          <w:tcPr>
            <w:tcW w:w="355" w:type="pct"/>
            <w:shd w:val="clear" w:color="auto" w:fill="D9D9D9" w:themeFill="background1" w:themeFillShade="D9"/>
            <w:vAlign w:val="bottom"/>
          </w:tcPr>
          <w:p w:rsidR="00DF0502" w:rsidRDefault="00DF0502" w:rsidP="003B0660">
            <w:pPr>
              <w:pStyle w:val="TableBodyText"/>
            </w:pPr>
            <w:r w:rsidRPr="00A36F35">
              <w:t>4.3</w:t>
            </w:r>
          </w:p>
        </w:tc>
      </w:tr>
      <w:tr w:rsidR="006A3AF3" w:rsidRPr="00D46D99" w:rsidTr="003B0660">
        <w:tc>
          <w:tcPr>
            <w:tcW w:w="107" w:type="pct"/>
            <w:tcBorders>
              <w:bottom w:val="single" w:sz="4" w:space="0" w:color="auto"/>
            </w:tcBorders>
          </w:tcPr>
          <w:p w:rsidR="005E68E7" w:rsidRPr="00D46D99" w:rsidRDefault="005E68E7" w:rsidP="005C1531">
            <w:pPr>
              <w:pStyle w:val="TableBodyText"/>
              <w:jc w:val="left"/>
              <w:rPr>
                <w:b/>
              </w:rPr>
            </w:pPr>
          </w:p>
        </w:tc>
        <w:tc>
          <w:tcPr>
            <w:tcW w:w="636" w:type="pct"/>
            <w:tcBorders>
              <w:bottom w:val="single" w:sz="4" w:space="0" w:color="auto"/>
            </w:tcBorders>
            <w:shd w:val="clear" w:color="auto" w:fill="auto"/>
            <w:vAlign w:val="bottom"/>
          </w:tcPr>
          <w:p w:rsidR="005E68E7" w:rsidRPr="00D46D99" w:rsidRDefault="003B0660" w:rsidP="003B0660">
            <w:pPr>
              <w:pStyle w:val="TableBodyText"/>
              <w:jc w:val="left"/>
              <w:rPr>
                <w:b/>
              </w:rPr>
            </w:pPr>
            <w:r>
              <w:rPr>
                <w:b/>
              </w:rPr>
              <w:t>Total</w:t>
            </w:r>
          </w:p>
        </w:tc>
        <w:tc>
          <w:tcPr>
            <w:tcW w:w="355" w:type="pct"/>
            <w:tcBorders>
              <w:bottom w:val="single" w:sz="4" w:space="0" w:color="auto"/>
            </w:tcBorders>
            <w:shd w:val="clear" w:color="auto" w:fill="auto"/>
            <w:vAlign w:val="bottom"/>
          </w:tcPr>
          <w:p w:rsidR="005E68E7" w:rsidRPr="00D46D99" w:rsidRDefault="005D78E5" w:rsidP="003B0660">
            <w:pPr>
              <w:pStyle w:val="TableBodyText"/>
            </w:pPr>
            <w:r w:rsidRPr="00D46D99">
              <w:t>100</w:t>
            </w:r>
          </w:p>
        </w:tc>
        <w:tc>
          <w:tcPr>
            <w:tcW w:w="355" w:type="pct"/>
            <w:tcBorders>
              <w:bottom w:val="single" w:sz="4" w:space="0" w:color="auto"/>
            </w:tcBorders>
            <w:shd w:val="clear" w:color="auto" w:fill="auto"/>
            <w:vAlign w:val="bottom"/>
          </w:tcPr>
          <w:p w:rsidR="005E68E7" w:rsidRPr="00D46D99" w:rsidRDefault="005D78E5" w:rsidP="003B0660">
            <w:pPr>
              <w:pStyle w:val="TableBodyText"/>
            </w:pPr>
            <w:r w:rsidRPr="00D46D99">
              <w:t>100</w:t>
            </w:r>
          </w:p>
        </w:tc>
        <w:tc>
          <w:tcPr>
            <w:tcW w:w="355" w:type="pct"/>
            <w:tcBorders>
              <w:bottom w:val="single" w:sz="4" w:space="0" w:color="auto"/>
            </w:tcBorders>
            <w:shd w:val="clear" w:color="auto" w:fill="auto"/>
            <w:vAlign w:val="bottom"/>
          </w:tcPr>
          <w:p w:rsidR="005E68E7" w:rsidRPr="00D46D99" w:rsidRDefault="005D78E5" w:rsidP="003B0660">
            <w:pPr>
              <w:pStyle w:val="TableBodyText"/>
            </w:pPr>
            <w:r w:rsidRPr="00D46D99">
              <w:t>100</w:t>
            </w:r>
          </w:p>
        </w:tc>
        <w:tc>
          <w:tcPr>
            <w:tcW w:w="355" w:type="pct"/>
            <w:tcBorders>
              <w:bottom w:val="single" w:sz="4" w:space="0" w:color="auto"/>
            </w:tcBorders>
            <w:shd w:val="clear" w:color="auto" w:fill="auto"/>
            <w:vAlign w:val="bottom"/>
          </w:tcPr>
          <w:p w:rsidR="005E68E7" w:rsidRPr="00D46D99" w:rsidRDefault="005D78E5" w:rsidP="003B0660">
            <w:pPr>
              <w:pStyle w:val="TableBodyText"/>
            </w:pPr>
            <w:r w:rsidRPr="00D46D99">
              <w:t>100</w:t>
            </w:r>
          </w:p>
        </w:tc>
        <w:tc>
          <w:tcPr>
            <w:tcW w:w="355" w:type="pct"/>
            <w:tcBorders>
              <w:bottom w:val="single" w:sz="4" w:space="0" w:color="auto"/>
            </w:tcBorders>
            <w:shd w:val="clear" w:color="auto" w:fill="auto"/>
            <w:vAlign w:val="bottom"/>
          </w:tcPr>
          <w:p w:rsidR="005E68E7" w:rsidRPr="00D46D99" w:rsidRDefault="005D78E5" w:rsidP="003B0660">
            <w:pPr>
              <w:pStyle w:val="TableBodyText"/>
            </w:pPr>
            <w:r w:rsidRPr="00D46D99">
              <w:t>100</w:t>
            </w:r>
          </w:p>
        </w:tc>
        <w:tc>
          <w:tcPr>
            <w:tcW w:w="355" w:type="pct"/>
            <w:tcBorders>
              <w:bottom w:val="single" w:sz="4" w:space="0" w:color="auto"/>
            </w:tcBorders>
            <w:shd w:val="clear" w:color="auto" w:fill="auto"/>
            <w:vAlign w:val="bottom"/>
          </w:tcPr>
          <w:p w:rsidR="005E68E7" w:rsidRPr="00D46D99" w:rsidRDefault="005D78E5" w:rsidP="003B0660">
            <w:pPr>
              <w:pStyle w:val="TableBodyText"/>
            </w:pPr>
            <w:r w:rsidRPr="00D46D99">
              <w:t>100</w:t>
            </w:r>
          </w:p>
        </w:tc>
        <w:tc>
          <w:tcPr>
            <w:tcW w:w="355" w:type="pct"/>
            <w:tcBorders>
              <w:bottom w:val="single" w:sz="4" w:space="0" w:color="auto"/>
            </w:tcBorders>
            <w:shd w:val="clear" w:color="auto" w:fill="auto"/>
            <w:vAlign w:val="bottom"/>
          </w:tcPr>
          <w:p w:rsidR="005E68E7" w:rsidRPr="00D46D99" w:rsidRDefault="005D78E5" w:rsidP="003B0660">
            <w:pPr>
              <w:pStyle w:val="TableBodyText"/>
            </w:pPr>
            <w:r w:rsidRPr="00D46D99">
              <w:t>100</w:t>
            </w:r>
          </w:p>
        </w:tc>
        <w:tc>
          <w:tcPr>
            <w:tcW w:w="355" w:type="pct"/>
            <w:tcBorders>
              <w:bottom w:val="single" w:sz="4" w:space="0" w:color="auto"/>
            </w:tcBorders>
            <w:shd w:val="clear" w:color="auto" w:fill="auto"/>
            <w:vAlign w:val="bottom"/>
          </w:tcPr>
          <w:p w:rsidR="005E68E7" w:rsidRPr="00D46D99" w:rsidRDefault="005D78E5" w:rsidP="003B0660">
            <w:pPr>
              <w:pStyle w:val="TableBodyText"/>
            </w:pPr>
            <w:r w:rsidRPr="00D46D99">
              <w:t>100</w:t>
            </w:r>
          </w:p>
        </w:tc>
        <w:tc>
          <w:tcPr>
            <w:tcW w:w="355" w:type="pct"/>
            <w:tcBorders>
              <w:bottom w:val="single" w:sz="4" w:space="0" w:color="auto"/>
            </w:tcBorders>
            <w:shd w:val="clear" w:color="auto" w:fill="auto"/>
            <w:vAlign w:val="bottom"/>
          </w:tcPr>
          <w:p w:rsidR="005E68E7" w:rsidRPr="00D46D99" w:rsidRDefault="005D78E5" w:rsidP="003B0660">
            <w:pPr>
              <w:pStyle w:val="TableBodyText"/>
            </w:pPr>
            <w:r w:rsidRPr="00D46D99">
              <w:t>100</w:t>
            </w:r>
          </w:p>
        </w:tc>
        <w:tc>
          <w:tcPr>
            <w:tcW w:w="355" w:type="pct"/>
            <w:tcBorders>
              <w:bottom w:val="single" w:sz="4" w:space="0" w:color="auto"/>
            </w:tcBorders>
            <w:shd w:val="clear" w:color="auto" w:fill="auto"/>
            <w:vAlign w:val="bottom"/>
          </w:tcPr>
          <w:p w:rsidR="005E68E7" w:rsidRPr="00D46D99" w:rsidRDefault="005D78E5" w:rsidP="003B0660">
            <w:pPr>
              <w:pStyle w:val="TableBodyText"/>
            </w:pPr>
            <w:r w:rsidRPr="00D46D99">
              <w:t>100</w:t>
            </w:r>
          </w:p>
        </w:tc>
        <w:tc>
          <w:tcPr>
            <w:tcW w:w="355" w:type="pct"/>
            <w:tcBorders>
              <w:bottom w:val="single" w:sz="4" w:space="0" w:color="auto"/>
            </w:tcBorders>
            <w:shd w:val="clear" w:color="auto" w:fill="auto"/>
            <w:vAlign w:val="bottom"/>
          </w:tcPr>
          <w:p w:rsidR="005E68E7" w:rsidRPr="00D46D99" w:rsidRDefault="005D78E5" w:rsidP="003B0660">
            <w:pPr>
              <w:pStyle w:val="TableBodyText"/>
            </w:pPr>
            <w:r w:rsidRPr="00D46D99">
              <w:t>100</w:t>
            </w:r>
          </w:p>
        </w:tc>
        <w:tc>
          <w:tcPr>
            <w:tcW w:w="355" w:type="pct"/>
            <w:tcBorders>
              <w:bottom w:val="single" w:sz="4" w:space="0" w:color="auto"/>
            </w:tcBorders>
            <w:shd w:val="clear" w:color="auto" w:fill="auto"/>
            <w:vAlign w:val="bottom"/>
          </w:tcPr>
          <w:p w:rsidR="005E68E7" w:rsidRPr="00D46D99" w:rsidRDefault="005D78E5" w:rsidP="003B0660">
            <w:pPr>
              <w:pStyle w:val="TableBodyText"/>
            </w:pPr>
            <w:r w:rsidRPr="00D46D99">
              <w:t>100</w:t>
            </w:r>
          </w:p>
        </w:tc>
      </w:tr>
    </w:tbl>
    <w:p w:rsidR="00562628" w:rsidRPr="00D46D99" w:rsidRDefault="003F12D6" w:rsidP="006B5014">
      <w:pPr>
        <w:pStyle w:val="Source"/>
        <w:spacing w:line="240" w:lineRule="auto"/>
        <w:rPr>
          <w:b/>
        </w:rPr>
      </w:pPr>
      <w:proofErr w:type="spellStart"/>
      <w:r w:rsidRPr="00D46D99">
        <w:t>FBT</w:t>
      </w:r>
      <w:proofErr w:type="spellEnd"/>
      <w:r w:rsidRPr="00D46D99">
        <w:t xml:space="preserve"> </w:t>
      </w:r>
      <w:r w:rsidR="001954EC">
        <w:t>is</w:t>
      </w:r>
      <w:r w:rsidRPr="00D46D99">
        <w:t xml:space="preserve"> Food, beverage &amp; tobacco products; </w:t>
      </w:r>
      <w:proofErr w:type="spellStart"/>
      <w:r w:rsidR="00FC5430" w:rsidRPr="00D46D99">
        <w:t>TC</w:t>
      </w:r>
      <w:r w:rsidR="00FC5430">
        <w:t>O</w:t>
      </w:r>
      <w:proofErr w:type="spellEnd"/>
      <w:r w:rsidR="00FC5430" w:rsidRPr="00D46D99">
        <w:t xml:space="preserve"> </w:t>
      </w:r>
      <w:r w:rsidR="001954EC">
        <w:t>is</w:t>
      </w:r>
      <w:r w:rsidRPr="00D46D99">
        <w:t xml:space="preserve"> Textile, clothing &amp; </w:t>
      </w:r>
      <w:r w:rsidR="00FC5430">
        <w:t>other manufacturing</w:t>
      </w:r>
      <w:r w:rsidRPr="00D46D99">
        <w:t xml:space="preserve">; WP </w:t>
      </w:r>
      <w:r w:rsidR="001954EC">
        <w:t>is</w:t>
      </w:r>
      <w:r w:rsidRPr="00D46D99">
        <w:t xml:space="preserve"> Wood &amp; paper products; </w:t>
      </w:r>
      <w:proofErr w:type="spellStart"/>
      <w:r w:rsidRPr="00D46D99">
        <w:t>PRM</w:t>
      </w:r>
      <w:proofErr w:type="spellEnd"/>
      <w:r w:rsidRPr="00D46D99">
        <w:t xml:space="preserve"> </w:t>
      </w:r>
      <w:r w:rsidR="001954EC">
        <w:t>is</w:t>
      </w:r>
      <w:r w:rsidRPr="00D46D99">
        <w:t xml:space="preserve"> Printing &amp; recorded media;</w:t>
      </w:r>
      <w:r w:rsidR="009A625A">
        <w:t> </w:t>
      </w:r>
      <w:proofErr w:type="spellStart"/>
      <w:r w:rsidRPr="00D46D99">
        <w:t>PCCR</w:t>
      </w:r>
      <w:proofErr w:type="spellEnd"/>
      <w:r w:rsidR="009A625A">
        <w:t> </w:t>
      </w:r>
      <w:r w:rsidR="001954EC">
        <w:t>is</w:t>
      </w:r>
      <w:r w:rsidR="009A625A">
        <w:t> </w:t>
      </w:r>
      <w:r w:rsidRPr="00D46D99">
        <w:t xml:space="preserve">Petroleum, coal, chemical &amp; rubber products; NM </w:t>
      </w:r>
      <w:r w:rsidR="001954EC">
        <w:t>is</w:t>
      </w:r>
      <w:r w:rsidRPr="00D46D99">
        <w:t xml:space="preserve"> Non-metallic mineral products; MP </w:t>
      </w:r>
      <w:r w:rsidR="001954EC">
        <w:t>is</w:t>
      </w:r>
      <w:r w:rsidRPr="00D46D99">
        <w:t xml:space="preserve"> Metal products; ME </w:t>
      </w:r>
      <w:r w:rsidR="001954EC">
        <w:t>is</w:t>
      </w:r>
      <w:r w:rsidRPr="00D46D99">
        <w:t xml:space="preserve"> Machinery &amp; equipment manufacturing</w:t>
      </w:r>
      <w:r w:rsidR="001D48B4" w:rsidRPr="00D46D99">
        <w:t>.</w:t>
      </w:r>
      <w:r w:rsidR="00466044" w:rsidRPr="00D46D99">
        <w:t xml:space="preserve"> </w:t>
      </w:r>
      <w:r w:rsidR="00562628" w:rsidRPr="00D46D99">
        <w:rPr>
          <w:rStyle w:val="NoteLabel"/>
        </w:rPr>
        <w:t>a</w:t>
      </w:r>
      <w:r w:rsidR="009A625A">
        <w:rPr>
          <w:rStyle w:val="NoteLabel"/>
        </w:rPr>
        <w:t> </w:t>
      </w:r>
      <w:r w:rsidR="00562628" w:rsidRPr="00D46D99">
        <w:t xml:space="preserve">Based on direct allocation of imports so that the percentages intermediate inputs refer only to domestically produced inputs. Percentages do not sum to 100 because the row for taxes less subsidies on products is not shown. </w:t>
      </w:r>
      <w:r w:rsidR="00562628" w:rsidRPr="00D46D99">
        <w:rPr>
          <w:rStyle w:val="NoteLabel"/>
        </w:rPr>
        <w:t>b</w:t>
      </w:r>
      <w:r w:rsidR="00562628" w:rsidRPr="00D46D99">
        <w:t xml:space="preserve"> Imports refer to imported intermediate goods used by column (use) industry and can be products from any industry.</w:t>
      </w:r>
    </w:p>
    <w:p w:rsidR="004C12BF" w:rsidRPr="00D46D99" w:rsidRDefault="004C12BF" w:rsidP="006B5014">
      <w:pPr>
        <w:pStyle w:val="Source"/>
        <w:spacing w:after="0" w:line="240" w:lineRule="auto"/>
      </w:pPr>
      <w:r w:rsidRPr="00D46D99">
        <w:rPr>
          <w:i/>
        </w:rPr>
        <w:t>Source</w:t>
      </w:r>
      <w:r w:rsidRPr="00A34541">
        <w:t>:</w:t>
      </w:r>
      <w:r w:rsidRPr="00D46D99">
        <w:t xml:space="preserve"> ABS (</w:t>
      </w:r>
      <w:r w:rsidR="00A0540E" w:rsidRPr="00D46D99">
        <w:rPr>
          <w:i/>
        </w:rPr>
        <w:t>Australian National Accounts: Input-</w:t>
      </w:r>
      <w:r w:rsidR="00A0540E">
        <w:rPr>
          <w:i/>
        </w:rPr>
        <w:t>O</w:t>
      </w:r>
      <w:r w:rsidR="00A0540E" w:rsidRPr="00D46D99">
        <w:rPr>
          <w:i/>
        </w:rPr>
        <w:t xml:space="preserve">utput Tables, </w:t>
      </w:r>
      <w:r w:rsidR="00A0540E" w:rsidRPr="00A0540E">
        <w:rPr>
          <w:i/>
        </w:rPr>
        <w:t>2008-09</w:t>
      </w:r>
      <w:r w:rsidR="00A0540E">
        <w:rPr>
          <w:i/>
        </w:rPr>
        <w:t>,</w:t>
      </w:r>
      <w:r w:rsidRPr="00D46D99">
        <w:rPr>
          <w:i/>
        </w:rPr>
        <w:t xml:space="preserve"> </w:t>
      </w:r>
      <w:r w:rsidRPr="00D46D99">
        <w:t xml:space="preserve">Cat. no. 5209.0.55.001, Table 5). </w:t>
      </w:r>
    </w:p>
    <w:p w:rsidR="003502F9" w:rsidRPr="00D46D99" w:rsidRDefault="003502F9" w:rsidP="003502F9">
      <w:pPr>
        <w:pStyle w:val="BodyText"/>
        <w:sectPr w:rsidR="003502F9" w:rsidRPr="00D46D99">
          <w:headerReference w:type="even" r:id="rId13"/>
          <w:headerReference w:type="default" r:id="rId14"/>
          <w:footerReference w:type="even" r:id="rId15"/>
          <w:footerReference w:type="default" r:id="rId16"/>
          <w:headerReference w:type="first" r:id="rId17"/>
          <w:pgSz w:w="16840" w:h="11907" w:orient="landscape" w:code="9"/>
          <w:pgMar w:top="1814" w:right="1985" w:bottom="1304" w:left="1418" w:header="1701" w:footer="567" w:gutter="0"/>
          <w:pgNumType w:chapSep="period"/>
          <w:cols w:space="720"/>
        </w:sectPr>
      </w:pPr>
    </w:p>
    <w:p w:rsidR="002221AB" w:rsidRPr="00D46D99" w:rsidRDefault="002221AB" w:rsidP="007B4926">
      <w:pPr>
        <w:pStyle w:val="Heading3"/>
        <w:spacing w:before="120"/>
      </w:pPr>
      <w:r w:rsidRPr="00D46D99">
        <w:lastRenderedPageBreak/>
        <w:t>Users of Manufacturing</w:t>
      </w:r>
    </w:p>
    <w:p w:rsidR="002221AB" w:rsidRPr="00D46D99" w:rsidRDefault="002221AB" w:rsidP="001218CF">
      <w:pPr>
        <w:pStyle w:val="BodyText"/>
      </w:pPr>
      <w:r w:rsidRPr="00D46D99">
        <w:t xml:space="preserve">Table </w:t>
      </w:r>
      <w:bookmarkStart w:id="8" w:name="OLE_LINK2"/>
      <w:proofErr w:type="spellStart"/>
      <w:r w:rsidR="007667D4">
        <w:t>B.3</w:t>
      </w:r>
      <w:bookmarkEnd w:id="8"/>
      <w:proofErr w:type="spellEnd"/>
      <w:r w:rsidR="003502F9" w:rsidRPr="00D46D99">
        <w:t xml:space="preserve"> </w:t>
      </w:r>
      <w:r w:rsidRPr="00D46D99">
        <w:t xml:space="preserve">shows the change in the relationships between Manufacturing and its users over time. It shows the direct requirement coefficients for Manufacturing, which is the same information in the row for Manufacturing in table </w:t>
      </w:r>
      <w:proofErr w:type="spellStart"/>
      <w:r w:rsidR="002A7C6E" w:rsidRPr="00D46D99">
        <w:t>B.1</w:t>
      </w:r>
      <w:proofErr w:type="spellEnd"/>
      <w:r w:rsidRPr="00D46D99">
        <w:t xml:space="preserve">, expressed as the contribution of intermediate inputs from Manufacturing for every $100 of output produced by sectors in the economy for three selected years. </w:t>
      </w:r>
    </w:p>
    <w:p w:rsidR="002221AB" w:rsidRPr="00D46D99" w:rsidRDefault="002221AB" w:rsidP="002221AB">
      <w:pPr>
        <w:pStyle w:val="TableTitle"/>
        <w:spacing w:line="240" w:lineRule="auto"/>
      </w:pPr>
      <w:r w:rsidRPr="00D46D99">
        <w:rPr>
          <w:b w:val="0"/>
        </w:rPr>
        <w:t xml:space="preserve">Table </w:t>
      </w:r>
      <w:bookmarkStart w:id="9" w:name="OLE_LINK3"/>
      <w:proofErr w:type="spellStart"/>
      <w:r w:rsidR="007667D4">
        <w:rPr>
          <w:b w:val="0"/>
        </w:rPr>
        <w:t>B.</w:t>
      </w:r>
      <w:r w:rsidR="007667D4">
        <w:rPr>
          <w:b w:val="0"/>
          <w:noProof/>
        </w:rPr>
        <w:t>3</w:t>
      </w:r>
      <w:bookmarkEnd w:id="9"/>
      <w:proofErr w:type="spellEnd"/>
      <w:r w:rsidRPr="00D46D99">
        <w:tab/>
        <w:t>Supply of Manufacturing intermediate inputs to industry</w:t>
      </w:r>
      <w:r w:rsidR="00D260AE">
        <w:t xml:space="preserve"> sector</w:t>
      </w:r>
      <w:r w:rsidRPr="00D46D99">
        <w:rPr>
          <w:rStyle w:val="NoteLabel"/>
          <w:b/>
        </w:rPr>
        <w:t>a</w:t>
      </w:r>
    </w:p>
    <w:p w:rsidR="002221AB" w:rsidRPr="00D46D99" w:rsidRDefault="002221AB" w:rsidP="002221AB">
      <w:pPr>
        <w:pStyle w:val="Subtitle"/>
        <w:spacing w:line="240" w:lineRule="auto"/>
      </w:pPr>
      <w:r w:rsidRPr="00D46D99">
        <w:t>Value of Australian Manufacturing intermediate inputs required for every $100 of industry output, basic prices</w:t>
      </w:r>
    </w:p>
    <w:tbl>
      <w:tblPr>
        <w:tblW w:w="5000" w:type="pct"/>
        <w:tblCellMar>
          <w:left w:w="0" w:type="dxa"/>
          <w:right w:w="0" w:type="dxa"/>
        </w:tblCellMar>
        <w:tblLook w:val="0000" w:firstRow="0" w:lastRow="0" w:firstColumn="0" w:lastColumn="0" w:noHBand="0" w:noVBand="0"/>
      </w:tblPr>
      <w:tblGrid>
        <w:gridCol w:w="2201"/>
        <w:gridCol w:w="2197"/>
        <w:gridCol w:w="2197"/>
        <w:gridCol w:w="2194"/>
      </w:tblGrid>
      <w:tr w:rsidR="002221AB" w:rsidRPr="00D46D99" w:rsidTr="002A7C6E">
        <w:tc>
          <w:tcPr>
            <w:tcW w:w="1252" w:type="pct"/>
            <w:tcBorders>
              <w:top w:val="single" w:sz="6" w:space="0" w:color="auto"/>
              <w:bottom w:val="single" w:sz="6" w:space="0" w:color="auto"/>
            </w:tcBorders>
            <w:shd w:val="clear" w:color="auto" w:fill="auto"/>
            <w:vAlign w:val="bottom"/>
          </w:tcPr>
          <w:p w:rsidR="002221AB" w:rsidRPr="00D46D99" w:rsidRDefault="002221AB" w:rsidP="008E0289">
            <w:pPr>
              <w:pStyle w:val="TableColumnHeading"/>
              <w:spacing w:line="240" w:lineRule="auto"/>
              <w:jc w:val="left"/>
            </w:pPr>
          </w:p>
        </w:tc>
        <w:tc>
          <w:tcPr>
            <w:tcW w:w="1250" w:type="pct"/>
            <w:tcBorders>
              <w:top w:val="single" w:sz="6" w:space="0" w:color="auto"/>
              <w:bottom w:val="single" w:sz="6" w:space="0" w:color="auto"/>
            </w:tcBorders>
            <w:vAlign w:val="bottom"/>
          </w:tcPr>
          <w:p w:rsidR="002221AB" w:rsidRPr="00D46D99" w:rsidRDefault="002221AB" w:rsidP="002A7C6E">
            <w:pPr>
              <w:pStyle w:val="TableColumnHeading"/>
              <w:spacing w:line="240" w:lineRule="auto"/>
            </w:pPr>
            <w:r w:rsidRPr="00D46D99">
              <w:t>1994-95</w:t>
            </w:r>
          </w:p>
        </w:tc>
        <w:tc>
          <w:tcPr>
            <w:tcW w:w="1250" w:type="pct"/>
            <w:tcBorders>
              <w:top w:val="single" w:sz="6" w:space="0" w:color="auto"/>
              <w:bottom w:val="single" w:sz="6" w:space="0" w:color="auto"/>
            </w:tcBorders>
            <w:shd w:val="clear" w:color="auto" w:fill="auto"/>
            <w:vAlign w:val="bottom"/>
          </w:tcPr>
          <w:p w:rsidR="002221AB" w:rsidRPr="00D46D99" w:rsidRDefault="002221AB" w:rsidP="002A7C6E">
            <w:pPr>
              <w:pStyle w:val="TableColumnHeading"/>
              <w:spacing w:line="240" w:lineRule="auto"/>
            </w:pPr>
            <w:r w:rsidRPr="00D46D99">
              <w:t>2001-02</w:t>
            </w:r>
          </w:p>
        </w:tc>
        <w:tc>
          <w:tcPr>
            <w:tcW w:w="1248" w:type="pct"/>
            <w:tcBorders>
              <w:top w:val="single" w:sz="6" w:space="0" w:color="auto"/>
              <w:bottom w:val="single" w:sz="6" w:space="0" w:color="auto"/>
            </w:tcBorders>
            <w:shd w:val="clear" w:color="auto" w:fill="auto"/>
            <w:vAlign w:val="bottom"/>
          </w:tcPr>
          <w:p w:rsidR="002221AB" w:rsidRPr="00D46D99" w:rsidRDefault="004F788F" w:rsidP="004F788F">
            <w:pPr>
              <w:pStyle w:val="TableColumnHeading"/>
              <w:spacing w:line="240" w:lineRule="auto"/>
            </w:pPr>
            <w:r w:rsidRPr="00D46D99">
              <w:t>2008</w:t>
            </w:r>
            <w:r w:rsidR="002221AB" w:rsidRPr="00D46D99">
              <w:t>-0</w:t>
            </w:r>
            <w:r w:rsidRPr="00D46D99">
              <w:t>9</w:t>
            </w:r>
          </w:p>
        </w:tc>
      </w:tr>
      <w:tr w:rsidR="002221AB" w:rsidRPr="00421ADC" w:rsidTr="002A7C6E">
        <w:tc>
          <w:tcPr>
            <w:tcW w:w="1252" w:type="pct"/>
            <w:tcBorders>
              <w:top w:val="single" w:sz="6" w:space="0" w:color="auto"/>
            </w:tcBorders>
            <w:vAlign w:val="bottom"/>
          </w:tcPr>
          <w:p w:rsidR="002221AB" w:rsidRPr="00421ADC" w:rsidRDefault="002221AB" w:rsidP="00421ADC">
            <w:pPr>
              <w:pStyle w:val="TableUnitsRow"/>
            </w:pPr>
          </w:p>
        </w:tc>
        <w:tc>
          <w:tcPr>
            <w:tcW w:w="1250" w:type="pct"/>
            <w:tcBorders>
              <w:top w:val="single" w:sz="6" w:space="0" w:color="auto"/>
            </w:tcBorders>
            <w:vAlign w:val="bottom"/>
          </w:tcPr>
          <w:p w:rsidR="002221AB" w:rsidRPr="00421ADC" w:rsidRDefault="002221AB" w:rsidP="00421ADC">
            <w:pPr>
              <w:pStyle w:val="TableUnitsRow"/>
            </w:pPr>
            <w:r w:rsidRPr="00421ADC">
              <w:t>$</w:t>
            </w:r>
          </w:p>
        </w:tc>
        <w:tc>
          <w:tcPr>
            <w:tcW w:w="1250" w:type="pct"/>
            <w:tcBorders>
              <w:top w:val="single" w:sz="6" w:space="0" w:color="auto"/>
            </w:tcBorders>
            <w:vAlign w:val="bottom"/>
          </w:tcPr>
          <w:p w:rsidR="002221AB" w:rsidRPr="00421ADC" w:rsidRDefault="002221AB" w:rsidP="00421ADC">
            <w:pPr>
              <w:pStyle w:val="TableUnitsRow"/>
            </w:pPr>
            <w:r w:rsidRPr="00421ADC">
              <w:t>$</w:t>
            </w:r>
          </w:p>
        </w:tc>
        <w:tc>
          <w:tcPr>
            <w:tcW w:w="1248" w:type="pct"/>
            <w:tcBorders>
              <w:top w:val="single" w:sz="6" w:space="0" w:color="auto"/>
            </w:tcBorders>
            <w:vAlign w:val="bottom"/>
          </w:tcPr>
          <w:p w:rsidR="002221AB" w:rsidRPr="00421ADC" w:rsidRDefault="002221AB" w:rsidP="00421ADC">
            <w:pPr>
              <w:pStyle w:val="TableUnitsRow"/>
            </w:pPr>
            <w:r w:rsidRPr="00421ADC">
              <w:t>$</w:t>
            </w:r>
          </w:p>
        </w:tc>
      </w:tr>
      <w:tr w:rsidR="00AA1874" w:rsidRPr="00D46D99" w:rsidTr="00421ADC">
        <w:tc>
          <w:tcPr>
            <w:tcW w:w="1252" w:type="pct"/>
            <w:shd w:val="clear" w:color="auto" w:fill="D9D9D9" w:themeFill="background1" w:themeFillShade="D9"/>
            <w:vAlign w:val="bottom"/>
          </w:tcPr>
          <w:p w:rsidR="00AA1874" w:rsidRPr="00D46D99" w:rsidRDefault="00AA1874" w:rsidP="008E0289">
            <w:pPr>
              <w:pStyle w:val="TableBodyText"/>
              <w:spacing w:line="240" w:lineRule="auto"/>
              <w:jc w:val="left"/>
            </w:pPr>
            <w:r w:rsidRPr="00D46D99">
              <w:t>Agriculture</w:t>
            </w:r>
          </w:p>
        </w:tc>
        <w:tc>
          <w:tcPr>
            <w:tcW w:w="1250" w:type="pct"/>
            <w:shd w:val="clear" w:color="auto" w:fill="D9D9D9" w:themeFill="background1" w:themeFillShade="D9"/>
            <w:vAlign w:val="bottom"/>
          </w:tcPr>
          <w:p w:rsidR="00AA1874" w:rsidRPr="00D46D99" w:rsidRDefault="00AA1874" w:rsidP="002A7C6E">
            <w:pPr>
              <w:pStyle w:val="TableBodyText"/>
            </w:pPr>
            <w:r w:rsidRPr="00D46D99">
              <w:t>12.70</w:t>
            </w:r>
          </w:p>
        </w:tc>
        <w:tc>
          <w:tcPr>
            <w:tcW w:w="1250" w:type="pct"/>
            <w:shd w:val="clear" w:color="auto" w:fill="D9D9D9" w:themeFill="background1" w:themeFillShade="D9"/>
            <w:vAlign w:val="bottom"/>
          </w:tcPr>
          <w:p w:rsidR="00AA1874" w:rsidRPr="00D46D99" w:rsidRDefault="00AA1874" w:rsidP="002A7C6E">
            <w:pPr>
              <w:pStyle w:val="TableBodyText"/>
            </w:pPr>
            <w:r w:rsidRPr="00D46D99">
              <w:t>8.30</w:t>
            </w:r>
          </w:p>
        </w:tc>
        <w:tc>
          <w:tcPr>
            <w:tcW w:w="1248" w:type="pct"/>
            <w:shd w:val="clear" w:color="auto" w:fill="D9D9D9" w:themeFill="background1" w:themeFillShade="D9"/>
            <w:vAlign w:val="bottom"/>
          </w:tcPr>
          <w:p w:rsidR="00AA1874" w:rsidRPr="00D46D99" w:rsidRDefault="00AA1874" w:rsidP="00AA1874">
            <w:pPr>
              <w:pStyle w:val="TableBodyText"/>
            </w:pPr>
            <w:r w:rsidRPr="00D46D99">
              <w:t>8.30</w:t>
            </w:r>
          </w:p>
        </w:tc>
      </w:tr>
      <w:tr w:rsidR="00AA1874" w:rsidRPr="00D46D99" w:rsidTr="002A7C6E">
        <w:tc>
          <w:tcPr>
            <w:tcW w:w="1252" w:type="pct"/>
            <w:shd w:val="clear" w:color="auto" w:fill="auto"/>
            <w:vAlign w:val="bottom"/>
          </w:tcPr>
          <w:p w:rsidR="00AA1874" w:rsidRPr="00D46D99" w:rsidRDefault="00AA1874" w:rsidP="008E0289">
            <w:pPr>
              <w:pStyle w:val="TableBodyText"/>
              <w:spacing w:line="240" w:lineRule="auto"/>
              <w:jc w:val="left"/>
            </w:pPr>
            <w:r w:rsidRPr="00D46D99">
              <w:t>Mining</w:t>
            </w:r>
          </w:p>
        </w:tc>
        <w:tc>
          <w:tcPr>
            <w:tcW w:w="1250" w:type="pct"/>
            <w:vAlign w:val="bottom"/>
          </w:tcPr>
          <w:p w:rsidR="00AA1874" w:rsidRPr="00D46D99" w:rsidRDefault="00AA1874" w:rsidP="002A7C6E">
            <w:pPr>
              <w:pStyle w:val="TableBodyText"/>
            </w:pPr>
            <w:r w:rsidRPr="00D46D99">
              <w:t>7.20</w:t>
            </w:r>
          </w:p>
        </w:tc>
        <w:tc>
          <w:tcPr>
            <w:tcW w:w="1250" w:type="pct"/>
            <w:shd w:val="clear" w:color="auto" w:fill="auto"/>
            <w:vAlign w:val="bottom"/>
          </w:tcPr>
          <w:p w:rsidR="00AA1874" w:rsidRPr="00D46D99" w:rsidRDefault="00AA1874" w:rsidP="002A7C6E">
            <w:pPr>
              <w:pStyle w:val="TableBodyText"/>
            </w:pPr>
            <w:r w:rsidRPr="00D46D99">
              <w:t>7.40</w:t>
            </w:r>
          </w:p>
        </w:tc>
        <w:tc>
          <w:tcPr>
            <w:tcW w:w="1248" w:type="pct"/>
            <w:shd w:val="clear" w:color="auto" w:fill="auto"/>
            <w:vAlign w:val="bottom"/>
          </w:tcPr>
          <w:p w:rsidR="00AA1874" w:rsidRPr="00D46D99" w:rsidRDefault="00AA1874" w:rsidP="00AA1874">
            <w:pPr>
              <w:pStyle w:val="TableBodyText"/>
            </w:pPr>
            <w:r w:rsidRPr="00D46D99">
              <w:t>5.10</w:t>
            </w:r>
          </w:p>
        </w:tc>
      </w:tr>
      <w:tr w:rsidR="00AA1874" w:rsidRPr="00D46D99" w:rsidTr="00421ADC">
        <w:tc>
          <w:tcPr>
            <w:tcW w:w="1252" w:type="pct"/>
            <w:shd w:val="clear" w:color="auto" w:fill="D9D9D9" w:themeFill="background1" w:themeFillShade="D9"/>
            <w:vAlign w:val="bottom"/>
          </w:tcPr>
          <w:p w:rsidR="00AA1874" w:rsidRPr="00D46D99" w:rsidRDefault="00AA1874" w:rsidP="008E0289">
            <w:pPr>
              <w:pStyle w:val="TableBodyText"/>
              <w:spacing w:line="240" w:lineRule="auto"/>
              <w:jc w:val="left"/>
            </w:pPr>
            <w:r w:rsidRPr="00D46D99">
              <w:t>Manufacturing</w:t>
            </w:r>
          </w:p>
        </w:tc>
        <w:tc>
          <w:tcPr>
            <w:tcW w:w="1250" w:type="pct"/>
            <w:shd w:val="clear" w:color="auto" w:fill="D9D9D9" w:themeFill="background1" w:themeFillShade="D9"/>
            <w:vAlign w:val="bottom"/>
          </w:tcPr>
          <w:p w:rsidR="00AA1874" w:rsidRPr="00D46D99" w:rsidRDefault="00AA1874" w:rsidP="002A7C6E">
            <w:pPr>
              <w:pStyle w:val="TableBodyText"/>
            </w:pPr>
            <w:r w:rsidRPr="00D46D99">
              <w:t>23.70</w:t>
            </w:r>
          </w:p>
        </w:tc>
        <w:tc>
          <w:tcPr>
            <w:tcW w:w="1250" w:type="pct"/>
            <w:shd w:val="clear" w:color="auto" w:fill="D9D9D9" w:themeFill="background1" w:themeFillShade="D9"/>
            <w:vAlign w:val="bottom"/>
          </w:tcPr>
          <w:p w:rsidR="00AA1874" w:rsidRPr="00D46D99" w:rsidRDefault="00AA1874" w:rsidP="002A7C6E">
            <w:pPr>
              <w:pStyle w:val="TableBodyText"/>
            </w:pPr>
            <w:r w:rsidRPr="00D46D99">
              <w:t>20.40</w:t>
            </w:r>
          </w:p>
        </w:tc>
        <w:tc>
          <w:tcPr>
            <w:tcW w:w="1248" w:type="pct"/>
            <w:shd w:val="clear" w:color="auto" w:fill="D9D9D9" w:themeFill="background1" w:themeFillShade="D9"/>
            <w:vAlign w:val="bottom"/>
          </w:tcPr>
          <w:p w:rsidR="00AA1874" w:rsidRPr="00D46D99" w:rsidRDefault="00344680" w:rsidP="00AA1874">
            <w:pPr>
              <w:pStyle w:val="TableBodyText"/>
            </w:pPr>
            <w:r>
              <w:t>20.50</w:t>
            </w:r>
          </w:p>
        </w:tc>
      </w:tr>
      <w:tr w:rsidR="00AA1874" w:rsidRPr="00D46D99" w:rsidTr="002A7C6E">
        <w:tc>
          <w:tcPr>
            <w:tcW w:w="1252" w:type="pct"/>
            <w:tcBorders>
              <w:bottom w:val="single" w:sz="6" w:space="0" w:color="auto"/>
            </w:tcBorders>
            <w:shd w:val="clear" w:color="auto" w:fill="auto"/>
            <w:vAlign w:val="bottom"/>
          </w:tcPr>
          <w:p w:rsidR="00AA1874" w:rsidRPr="00D46D99" w:rsidRDefault="00AA1874" w:rsidP="008E0289">
            <w:pPr>
              <w:pStyle w:val="TableBodyText"/>
              <w:spacing w:line="240" w:lineRule="auto"/>
              <w:jc w:val="left"/>
            </w:pPr>
            <w:r w:rsidRPr="00D46D99">
              <w:t>All services</w:t>
            </w:r>
          </w:p>
        </w:tc>
        <w:tc>
          <w:tcPr>
            <w:tcW w:w="1250" w:type="pct"/>
            <w:tcBorders>
              <w:bottom w:val="single" w:sz="6" w:space="0" w:color="auto"/>
            </w:tcBorders>
            <w:vAlign w:val="bottom"/>
          </w:tcPr>
          <w:p w:rsidR="00AA1874" w:rsidRPr="00D46D99" w:rsidRDefault="00AA1874" w:rsidP="002A7C6E">
            <w:pPr>
              <w:pStyle w:val="TableBodyText"/>
            </w:pPr>
            <w:r w:rsidRPr="00D46D99">
              <w:t>8.30</w:t>
            </w:r>
          </w:p>
        </w:tc>
        <w:tc>
          <w:tcPr>
            <w:tcW w:w="1250" w:type="pct"/>
            <w:tcBorders>
              <w:bottom w:val="single" w:sz="6" w:space="0" w:color="auto"/>
            </w:tcBorders>
            <w:shd w:val="clear" w:color="auto" w:fill="auto"/>
            <w:vAlign w:val="bottom"/>
          </w:tcPr>
          <w:p w:rsidR="00AA1874" w:rsidRPr="00D46D99" w:rsidRDefault="00AA1874" w:rsidP="002A7C6E">
            <w:pPr>
              <w:pStyle w:val="TableBodyText"/>
            </w:pPr>
            <w:r w:rsidRPr="00D46D99">
              <w:t>7.50</w:t>
            </w:r>
          </w:p>
        </w:tc>
        <w:tc>
          <w:tcPr>
            <w:tcW w:w="1248" w:type="pct"/>
            <w:tcBorders>
              <w:bottom w:val="single" w:sz="6" w:space="0" w:color="auto"/>
            </w:tcBorders>
            <w:shd w:val="clear" w:color="auto" w:fill="auto"/>
            <w:vAlign w:val="bottom"/>
          </w:tcPr>
          <w:p w:rsidR="00AA1874" w:rsidRPr="00D46D99" w:rsidRDefault="00AA1874" w:rsidP="00AA1874">
            <w:pPr>
              <w:pStyle w:val="TableBodyText"/>
            </w:pPr>
            <w:r w:rsidRPr="00D46D99">
              <w:t>6.70</w:t>
            </w:r>
          </w:p>
        </w:tc>
      </w:tr>
    </w:tbl>
    <w:p w:rsidR="002221AB" w:rsidRPr="00474904" w:rsidRDefault="00246FE9" w:rsidP="00474904">
      <w:pPr>
        <w:pStyle w:val="Note"/>
      </w:pPr>
      <w:r w:rsidRPr="00474904">
        <w:rPr>
          <w:rStyle w:val="NoteLabel"/>
        </w:rPr>
        <w:t>a</w:t>
      </w:r>
      <w:r w:rsidRPr="00474904">
        <w:t> </w:t>
      </w:r>
      <w:r w:rsidR="002221AB" w:rsidRPr="00474904">
        <w:t xml:space="preserve">Adjustments have been made, to the extent </w:t>
      </w:r>
      <w:r w:rsidR="008E0289" w:rsidRPr="00474904">
        <w:t>practicable</w:t>
      </w:r>
      <w:r w:rsidR="002221AB" w:rsidRPr="00474904">
        <w:t xml:space="preserve">, to </w:t>
      </w:r>
      <w:r w:rsidR="008E0289" w:rsidRPr="00474904">
        <w:t xml:space="preserve">broadly </w:t>
      </w:r>
      <w:r w:rsidR="00AD4A00">
        <w:t xml:space="preserve">match </w:t>
      </w:r>
      <w:proofErr w:type="spellStart"/>
      <w:r w:rsidR="002221AB" w:rsidRPr="00474904">
        <w:t>IOIGs</w:t>
      </w:r>
      <w:proofErr w:type="spellEnd"/>
      <w:r w:rsidR="002221AB" w:rsidRPr="00474904">
        <w:t xml:space="preserve"> for 1994-95 based on the </w:t>
      </w:r>
      <w:proofErr w:type="spellStart"/>
      <w:r w:rsidR="002221AB" w:rsidRPr="00474904">
        <w:t>ANZSIC</w:t>
      </w:r>
      <w:proofErr w:type="spellEnd"/>
      <w:r w:rsidR="002221AB" w:rsidRPr="00474904">
        <w:t xml:space="preserve"> 1993 with the </w:t>
      </w:r>
      <w:proofErr w:type="spellStart"/>
      <w:r w:rsidR="002221AB" w:rsidRPr="00474904">
        <w:t>IOIGs</w:t>
      </w:r>
      <w:proofErr w:type="spellEnd"/>
      <w:r w:rsidR="002221AB" w:rsidRPr="00474904">
        <w:t xml:space="preserve"> for 2001-02 and </w:t>
      </w:r>
      <w:r w:rsidR="00AA1874" w:rsidRPr="00474904">
        <w:t>2008-09</w:t>
      </w:r>
      <w:r w:rsidR="002221AB" w:rsidRPr="00474904">
        <w:t xml:space="preserve"> based on </w:t>
      </w:r>
      <w:proofErr w:type="spellStart"/>
      <w:r w:rsidR="002221AB" w:rsidRPr="00474904">
        <w:t>ANZSIC</w:t>
      </w:r>
      <w:proofErr w:type="spellEnd"/>
      <w:r w:rsidR="002221AB" w:rsidRPr="00474904">
        <w:t xml:space="preserve"> 2006. In 1994-95 and 2001-02 </w:t>
      </w:r>
      <w:proofErr w:type="spellStart"/>
      <w:r w:rsidR="002221AB" w:rsidRPr="00474904">
        <w:t>IOIG</w:t>
      </w:r>
      <w:proofErr w:type="spellEnd"/>
      <w:r w:rsidR="002221AB" w:rsidRPr="00474904">
        <w:t xml:space="preserve"> 2402 Publishing; recorded media and publishing is treated as part of ‘All services’ rather than Manufacturing.</w:t>
      </w:r>
    </w:p>
    <w:p w:rsidR="002221AB" w:rsidRPr="00D46D99" w:rsidRDefault="002221AB" w:rsidP="002221AB">
      <w:pPr>
        <w:pStyle w:val="Source"/>
        <w:spacing w:line="240" w:lineRule="auto"/>
      </w:pPr>
      <w:r w:rsidRPr="00D46D99">
        <w:rPr>
          <w:i/>
        </w:rPr>
        <w:t>Source</w:t>
      </w:r>
      <w:r w:rsidRPr="00D46D99">
        <w:t>: ABS (</w:t>
      </w:r>
      <w:r w:rsidRPr="00D46D99">
        <w:rPr>
          <w:i/>
        </w:rPr>
        <w:t>Australian National Accounts: Input-</w:t>
      </w:r>
      <w:r w:rsidR="00A0540E">
        <w:rPr>
          <w:i/>
        </w:rPr>
        <w:t>O</w:t>
      </w:r>
      <w:r w:rsidRPr="00D46D99">
        <w:rPr>
          <w:i/>
        </w:rPr>
        <w:t xml:space="preserve">utput Tables, </w:t>
      </w:r>
      <w:r w:rsidR="00A0540E" w:rsidRPr="00A0540E">
        <w:t>1994-95, 2001-02 and 2008-09 issues</w:t>
      </w:r>
      <w:r w:rsidR="00A0540E">
        <w:rPr>
          <w:i/>
        </w:rPr>
        <w:t xml:space="preserve">, </w:t>
      </w:r>
      <w:r w:rsidRPr="00D46D99">
        <w:t>Cat.</w:t>
      </w:r>
      <w:r w:rsidR="00A0540E">
        <w:t> </w:t>
      </w:r>
      <w:r w:rsidRPr="00D46D99">
        <w:t>no. 5209.0.55.001, Table 5)</w:t>
      </w:r>
      <w:r w:rsidR="008E0289" w:rsidRPr="00D46D99">
        <w:t>.</w:t>
      </w:r>
    </w:p>
    <w:p w:rsidR="002221AB" w:rsidRPr="00D46D99" w:rsidRDefault="00AC3C5C" w:rsidP="001218CF">
      <w:pPr>
        <w:pStyle w:val="BodyText"/>
      </w:pPr>
      <w:r>
        <w:t>As discussed, m</w:t>
      </w:r>
      <w:r w:rsidR="002221AB" w:rsidRPr="00D46D99">
        <w:t xml:space="preserve">ovements in the coefficients across different years need to be interpreted with care since the IO tables do not distinguish price and volume effects. The falling coefficients could represent a fall in the relative price of manufactured products used as intermediate goods: for example, price rises in intermediate inputs from other supplying industries, or price rises in the goods produced by the use industries may outpace price rises in the intermediate inputs from </w:t>
      </w:r>
      <w:r w:rsidR="00A83C0F">
        <w:t>Manufacturing</w:t>
      </w:r>
      <w:r w:rsidR="002221AB" w:rsidRPr="00D46D99">
        <w:t xml:space="preserve">. </w:t>
      </w:r>
    </w:p>
    <w:p w:rsidR="002221AB" w:rsidRPr="00D46D99" w:rsidRDefault="002221AB" w:rsidP="001218CF">
      <w:pPr>
        <w:pStyle w:val="BodyText"/>
      </w:pPr>
      <w:r w:rsidRPr="00D46D99">
        <w:t xml:space="preserve">A change in relative price may in itself produce volume changes by signalling firms and final users to seek cheaper substitutes where these are available. Since table </w:t>
      </w:r>
      <w:proofErr w:type="spellStart"/>
      <w:r w:rsidR="00015228">
        <w:t>B.3</w:t>
      </w:r>
      <w:proofErr w:type="spellEnd"/>
      <w:r w:rsidR="00015228">
        <w:t xml:space="preserve"> </w:t>
      </w:r>
      <w:r w:rsidRPr="00D46D99">
        <w:t xml:space="preserve">is based on an IO table with direct allocation of imports, all the coefficients show the amount of domestically produced intermediate goods from Manufacturing used to produce $100 of goods in the row industries. </w:t>
      </w:r>
    </w:p>
    <w:p w:rsidR="002221AB" w:rsidRPr="00D46D99" w:rsidRDefault="002221AB" w:rsidP="001218CF">
      <w:pPr>
        <w:pStyle w:val="BodyText"/>
      </w:pPr>
      <w:r w:rsidRPr="00D46D99">
        <w:t xml:space="preserve">A decline in the coefficients may also be brought about by the use industries changing their own output mix (in response to changing consumer tastes, or to drought conditions, for instance) in favour of those goods or services which require less intermediate inputs from Manufacturing. </w:t>
      </w:r>
      <w:r w:rsidR="00AC3C5C">
        <w:t>It should be noted that</w:t>
      </w:r>
      <w:r w:rsidRPr="00D46D99">
        <w:t xml:space="preserve"> coefficients from </w:t>
      </w:r>
      <w:r w:rsidR="001954EC">
        <w:t>IO</w:t>
      </w:r>
      <w:r w:rsidRPr="00D46D99">
        <w:t xml:space="preserve"> tables do not fully capture the effect of </w:t>
      </w:r>
      <w:r w:rsidR="00AC3C5C">
        <w:t xml:space="preserve">these sources of </w:t>
      </w:r>
      <w:r w:rsidRPr="00D46D99">
        <w:t xml:space="preserve">structural change. </w:t>
      </w:r>
    </w:p>
    <w:p w:rsidR="00BB063A" w:rsidRDefault="00BB063A">
      <w:pPr>
        <w:rPr>
          <w:rFonts w:ascii="Arial" w:hAnsi="Arial"/>
          <w:b/>
        </w:rPr>
      </w:pPr>
      <w:r>
        <w:br w:type="page"/>
      </w:r>
    </w:p>
    <w:p w:rsidR="002221AB" w:rsidRPr="00D46D99" w:rsidRDefault="002221AB" w:rsidP="001218CF">
      <w:pPr>
        <w:pStyle w:val="Heading3"/>
      </w:pPr>
      <w:r w:rsidRPr="00D46D99">
        <w:lastRenderedPageBreak/>
        <w:t>Intermediate and final usage of Manufacturing</w:t>
      </w:r>
    </w:p>
    <w:p w:rsidR="002221AB" w:rsidRPr="00D46D99" w:rsidRDefault="002221AB" w:rsidP="001218CF">
      <w:pPr>
        <w:pStyle w:val="BodyText"/>
      </w:pPr>
      <w:r w:rsidRPr="00D46D99">
        <w:t>As well as providing information on the intermediate use of goods from supplying industries, the IO tables also provide information on final demand, which includes final consumption by households and government, private and public gross fixed capital formation, change in inventories</w:t>
      </w:r>
      <w:r w:rsidR="000C4F40">
        <w:t>,</w:t>
      </w:r>
      <w:r w:rsidRPr="00D46D99">
        <w:t xml:space="preserve"> and exports. </w:t>
      </w:r>
    </w:p>
    <w:p w:rsidR="002221AB" w:rsidRPr="00D46D99" w:rsidRDefault="002221AB" w:rsidP="002221AB">
      <w:pPr>
        <w:pStyle w:val="TableTitle"/>
        <w:spacing w:line="240" w:lineRule="auto"/>
      </w:pPr>
      <w:r w:rsidRPr="00D46D99">
        <w:rPr>
          <w:b w:val="0"/>
        </w:rPr>
        <w:t xml:space="preserve">Table </w:t>
      </w:r>
      <w:bookmarkStart w:id="10" w:name="OLE_LINK6"/>
      <w:proofErr w:type="spellStart"/>
      <w:r w:rsidR="00015228">
        <w:rPr>
          <w:b w:val="0"/>
        </w:rPr>
        <w:t>B.</w:t>
      </w:r>
      <w:r w:rsidR="00015228">
        <w:rPr>
          <w:b w:val="0"/>
          <w:noProof/>
        </w:rPr>
        <w:t>4</w:t>
      </w:r>
      <w:bookmarkEnd w:id="10"/>
      <w:proofErr w:type="spellEnd"/>
      <w:r w:rsidR="00480AA6">
        <w:tab/>
        <w:t>Break</w:t>
      </w:r>
      <w:r w:rsidRPr="00D46D99">
        <w:t xml:space="preserve">down of </w:t>
      </w:r>
      <w:r w:rsidR="005C5735">
        <w:t>M</w:t>
      </w:r>
      <w:r w:rsidRPr="00D46D99">
        <w:t xml:space="preserve">anufacturing </w:t>
      </w:r>
      <w:r w:rsidR="00F84F50" w:rsidRPr="00D46D99">
        <w:t>sub</w:t>
      </w:r>
      <w:r w:rsidR="00F84F50">
        <w:t>sector</w:t>
      </w:r>
      <w:r w:rsidR="00F84F50" w:rsidRPr="00F84F50">
        <w:rPr>
          <w:rStyle w:val="NoteLabel"/>
          <w:b/>
        </w:rPr>
        <w:t>a</w:t>
      </w:r>
      <w:r w:rsidR="00F84F50">
        <w:t xml:space="preserve"> </w:t>
      </w:r>
      <w:r w:rsidRPr="00D46D99">
        <w:t>output into</w:t>
      </w:r>
      <w:r w:rsidR="008D5710" w:rsidRPr="00D46D99">
        <w:t xml:space="preserve"> industry and</w:t>
      </w:r>
      <w:r w:rsidRPr="00D46D99">
        <w:t xml:space="preserve"> final use categories</w:t>
      </w:r>
      <w:r w:rsidR="005C5735">
        <w:t>, 2001-02 and 2008-09</w:t>
      </w:r>
    </w:p>
    <w:p w:rsidR="002221AB" w:rsidRPr="00D46D99" w:rsidRDefault="005C5735" w:rsidP="002221AB">
      <w:pPr>
        <w:pStyle w:val="Subtitle"/>
        <w:spacing w:line="240" w:lineRule="auto"/>
      </w:pPr>
      <w:r>
        <w:t>P</w:t>
      </w:r>
      <w:r w:rsidR="00D02759" w:rsidRPr="00D46D99">
        <w:t>ercentage</w:t>
      </w:r>
      <w:r w:rsidR="002221AB" w:rsidRPr="00D46D99">
        <w:t xml:space="preserve"> of total supply</w:t>
      </w:r>
    </w:p>
    <w:tbl>
      <w:tblPr>
        <w:tblW w:w="5000" w:type="pct"/>
        <w:tblLayout w:type="fixed"/>
        <w:tblCellMar>
          <w:left w:w="0" w:type="dxa"/>
          <w:right w:w="0" w:type="dxa"/>
        </w:tblCellMar>
        <w:tblLook w:val="0000" w:firstRow="0" w:lastRow="0" w:firstColumn="0" w:lastColumn="0" w:noHBand="0" w:noVBand="0"/>
      </w:tblPr>
      <w:tblGrid>
        <w:gridCol w:w="1875"/>
        <w:gridCol w:w="769"/>
        <w:gridCol w:w="769"/>
        <w:gridCol w:w="768"/>
        <w:gridCol w:w="768"/>
        <w:gridCol w:w="768"/>
        <w:gridCol w:w="768"/>
        <w:gridCol w:w="768"/>
        <w:gridCol w:w="768"/>
        <w:gridCol w:w="768"/>
      </w:tblGrid>
      <w:tr w:rsidR="00BA1D31" w:rsidRPr="00D46D99" w:rsidTr="00F84F50">
        <w:tc>
          <w:tcPr>
            <w:tcW w:w="1066" w:type="pct"/>
            <w:tcBorders>
              <w:top w:val="single" w:sz="6" w:space="0" w:color="auto"/>
              <w:bottom w:val="single" w:sz="6" w:space="0" w:color="auto"/>
            </w:tcBorders>
            <w:shd w:val="clear" w:color="auto" w:fill="auto"/>
          </w:tcPr>
          <w:p w:rsidR="00BA1D31" w:rsidRPr="00D46D99" w:rsidRDefault="00BA1D31" w:rsidP="002A7C6E">
            <w:pPr>
              <w:pStyle w:val="TableColumnHeading"/>
              <w:spacing w:line="240" w:lineRule="auto"/>
              <w:jc w:val="left"/>
            </w:pPr>
          </w:p>
        </w:tc>
        <w:tc>
          <w:tcPr>
            <w:tcW w:w="437" w:type="pct"/>
            <w:tcBorders>
              <w:top w:val="single" w:sz="6" w:space="0" w:color="auto"/>
              <w:bottom w:val="single" w:sz="6" w:space="0" w:color="auto"/>
            </w:tcBorders>
            <w:shd w:val="clear" w:color="auto" w:fill="auto"/>
            <w:vAlign w:val="bottom"/>
          </w:tcPr>
          <w:p w:rsidR="00BA1D31" w:rsidRPr="00D46D99" w:rsidRDefault="00BA1D31" w:rsidP="00474904">
            <w:pPr>
              <w:pStyle w:val="TableColumnHeading"/>
              <w:spacing w:line="240" w:lineRule="auto"/>
            </w:pPr>
            <w:proofErr w:type="spellStart"/>
            <w:r w:rsidRPr="00D46D99">
              <w:t>FBT</w:t>
            </w:r>
            <w:proofErr w:type="spellEnd"/>
            <w:r w:rsidRPr="00474904">
              <w:t xml:space="preserve"> </w:t>
            </w:r>
          </w:p>
        </w:tc>
        <w:tc>
          <w:tcPr>
            <w:tcW w:w="437" w:type="pct"/>
            <w:tcBorders>
              <w:top w:val="single" w:sz="6" w:space="0" w:color="auto"/>
              <w:bottom w:val="single" w:sz="6" w:space="0" w:color="auto"/>
            </w:tcBorders>
            <w:shd w:val="clear" w:color="auto" w:fill="auto"/>
            <w:vAlign w:val="bottom"/>
          </w:tcPr>
          <w:p w:rsidR="00BA1D31" w:rsidRPr="00D46D99" w:rsidRDefault="00BA1D31" w:rsidP="00DD36FC">
            <w:pPr>
              <w:pStyle w:val="TableColumnHeading"/>
              <w:spacing w:line="240" w:lineRule="auto"/>
            </w:pPr>
            <w:proofErr w:type="spellStart"/>
            <w:r w:rsidRPr="00D46D99">
              <w:t>TC</w:t>
            </w:r>
            <w:r w:rsidR="00DD36FC">
              <w:t>O</w:t>
            </w:r>
            <w:proofErr w:type="spellEnd"/>
          </w:p>
        </w:tc>
        <w:tc>
          <w:tcPr>
            <w:tcW w:w="437" w:type="pct"/>
            <w:tcBorders>
              <w:top w:val="single" w:sz="6" w:space="0" w:color="auto"/>
              <w:bottom w:val="single" w:sz="6" w:space="0" w:color="auto"/>
            </w:tcBorders>
            <w:shd w:val="clear" w:color="auto" w:fill="auto"/>
            <w:vAlign w:val="bottom"/>
          </w:tcPr>
          <w:p w:rsidR="00BA1D31" w:rsidRPr="00D46D99" w:rsidRDefault="00BA1D31" w:rsidP="002A7C6E">
            <w:pPr>
              <w:pStyle w:val="TableColumnHeading"/>
              <w:spacing w:line="240" w:lineRule="auto"/>
            </w:pPr>
            <w:r w:rsidRPr="00D46D99">
              <w:t>WP</w:t>
            </w:r>
          </w:p>
        </w:tc>
        <w:tc>
          <w:tcPr>
            <w:tcW w:w="437" w:type="pct"/>
            <w:tcBorders>
              <w:top w:val="single" w:sz="6" w:space="0" w:color="auto"/>
              <w:bottom w:val="single" w:sz="6" w:space="0" w:color="auto"/>
            </w:tcBorders>
            <w:shd w:val="clear" w:color="auto" w:fill="auto"/>
            <w:vAlign w:val="bottom"/>
          </w:tcPr>
          <w:p w:rsidR="00BA1D31" w:rsidRPr="00D46D99" w:rsidRDefault="00BA1D31" w:rsidP="002A7C6E">
            <w:pPr>
              <w:pStyle w:val="TableColumnHeading"/>
              <w:spacing w:line="240" w:lineRule="auto"/>
            </w:pPr>
            <w:proofErr w:type="spellStart"/>
            <w:r w:rsidRPr="00D46D99">
              <w:t>PRM</w:t>
            </w:r>
            <w:proofErr w:type="spellEnd"/>
            <w:r w:rsidRPr="00D46D99">
              <w:rPr>
                <w:rStyle w:val="NoteLabel"/>
                <w:i w:val="0"/>
              </w:rPr>
              <w:t>b</w:t>
            </w:r>
          </w:p>
        </w:tc>
        <w:tc>
          <w:tcPr>
            <w:tcW w:w="437" w:type="pct"/>
            <w:tcBorders>
              <w:top w:val="single" w:sz="6" w:space="0" w:color="auto"/>
              <w:bottom w:val="single" w:sz="6" w:space="0" w:color="auto"/>
            </w:tcBorders>
            <w:shd w:val="clear" w:color="auto" w:fill="auto"/>
            <w:vAlign w:val="bottom"/>
          </w:tcPr>
          <w:p w:rsidR="00BA1D31" w:rsidRPr="00D46D99" w:rsidRDefault="00BA1D31" w:rsidP="002A7C6E">
            <w:pPr>
              <w:pStyle w:val="TableColumnHeading"/>
              <w:spacing w:line="240" w:lineRule="auto"/>
            </w:pPr>
            <w:proofErr w:type="spellStart"/>
            <w:r w:rsidRPr="00D46D99">
              <w:t>PCCR</w:t>
            </w:r>
            <w:proofErr w:type="spellEnd"/>
          </w:p>
        </w:tc>
        <w:tc>
          <w:tcPr>
            <w:tcW w:w="437" w:type="pct"/>
            <w:tcBorders>
              <w:top w:val="single" w:sz="6" w:space="0" w:color="auto"/>
              <w:bottom w:val="single" w:sz="6" w:space="0" w:color="auto"/>
            </w:tcBorders>
            <w:shd w:val="clear" w:color="auto" w:fill="auto"/>
            <w:vAlign w:val="bottom"/>
          </w:tcPr>
          <w:p w:rsidR="00BA1D31" w:rsidRPr="00D46D99" w:rsidRDefault="00BA1D31" w:rsidP="00D37D94">
            <w:pPr>
              <w:pStyle w:val="TableColumnHeading"/>
              <w:spacing w:line="240" w:lineRule="auto"/>
            </w:pPr>
            <w:r w:rsidRPr="00D46D99">
              <w:t>NM</w:t>
            </w:r>
          </w:p>
        </w:tc>
        <w:tc>
          <w:tcPr>
            <w:tcW w:w="437" w:type="pct"/>
            <w:tcBorders>
              <w:top w:val="single" w:sz="6" w:space="0" w:color="auto"/>
              <w:bottom w:val="single" w:sz="6" w:space="0" w:color="auto"/>
            </w:tcBorders>
            <w:shd w:val="clear" w:color="auto" w:fill="auto"/>
            <w:vAlign w:val="bottom"/>
          </w:tcPr>
          <w:p w:rsidR="00BA1D31" w:rsidRPr="00D46D99" w:rsidRDefault="00BA1D31" w:rsidP="002A7C6E">
            <w:pPr>
              <w:pStyle w:val="TableColumnHeading"/>
              <w:spacing w:line="240" w:lineRule="auto"/>
            </w:pPr>
            <w:r w:rsidRPr="00D46D99">
              <w:t>MP</w:t>
            </w:r>
          </w:p>
        </w:tc>
        <w:tc>
          <w:tcPr>
            <w:tcW w:w="437" w:type="pct"/>
            <w:tcBorders>
              <w:top w:val="single" w:sz="6" w:space="0" w:color="auto"/>
              <w:bottom w:val="single" w:sz="6" w:space="0" w:color="auto"/>
            </w:tcBorders>
            <w:shd w:val="clear" w:color="auto" w:fill="auto"/>
            <w:vAlign w:val="bottom"/>
          </w:tcPr>
          <w:p w:rsidR="00BA1D31" w:rsidRPr="00D46D99" w:rsidRDefault="00BA1D31" w:rsidP="00D37D94">
            <w:pPr>
              <w:pStyle w:val="TableColumnHeading"/>
              <w:spacing w:line="240" w:lineRule="auto"/>
            </w:pPr>
            <w:r w:rsidRPr="00D46D99">
              <w:t>ME</w:t>
            </w:r>
          </w:p>
        </w:tc>
        <w:tc>
          <w:tcPr>
            <w:tcW w:w="437" w:type="pct"/>
            <w:tcBorders>
              <w:top w:val="single" w:sz="6" w:space="0" w:color="auto"/>
              <w:bottom w:val="single" w:sz="6" w:space="0" w:color="auto"/>
            </w:tcBorders>
            <w:shd w:val="clear" w:color="auto" w:fill="auto"/>
            <w:vAlign w:val="bottom"/>
          </w:tcPr>
          <w:p w:rsidR="00BA1D31" w:rsidRPr="00D46D99" w:rsidRDefault="00BA1D31" w:rsidP="002A7C6E">
            <w:pPr>
              <w:pStyle w:val="TableColumnHeading"/>
              <w:spacing w:line="240" w:lineRule="auto"/>
            </w:pPr>
            <w:r w:rsidRPr="00D46D99">
              <w:t xml:space="preserve">Total </w:t>
            </w:r>
            <w:proofErr w:type="spellStart"/>
            <w:r w:rsidRPr="00D46D99">
              <w:t>Mfg</w:t>
            </w:r>
            <w:proofErr w:type="spellEnd"/>
          </w:p>
        </w:tc>
      </w:tr>
      <w:tr w:rsidR="00BA1D31" w:rsidRPr="008B424C" w:rsidTr="008B424C">
        <w:trPr>
          <w:trHeight w:val="435"/>
        </w:trPr>
        <w:tc>
          <w:tcPr>
            <w:tcW w:w="1066" w:type="pct"/>
            <w:vAlign w:val="bottom"/>
          </w:tcPr>
          <w:p w:rsidR="00BA1D31" w:rsidRPr="008B424C" w:rsidRDefault="00BA1D31" w:rsidP="008B424C">
            <w:pPr>
              <w:pStyle w:val="TableUnitsRow"/>
              <w:spacing w:after="40"/>
              <w:jc w:val="left"/>
              <w:rPr>
                <w:b/>
                <w:i/>
              </w:rPr>
            </w:pPr>
            <w:r w:rsidRPr="008B424C">
              <w:rPr>
                <w:b/>
                <w:i/>
              </w:rPr>
              <w:t>2001-02</w:t>
            </w:r>
          </w:p>
        </w:tc>
        <w:tc>
          <w:tcPr>
            <w:tcW w:w="437" w:type="pct"/>
            <w:vAlign w:val="bottom"/>
          </w:tcPr>
          <w:p w:rsidR="00BA1D31" w:rsidRPr="008B424C" w:rsidRDefault="00BA1D31" w:rsidP="008B424C">
            <w:pPr>
              <w:pStyle w:val="TableUnitsRow"/>
              <w:spacing w:after="40"/>
              <w:jc w:val="left"/>
              <w:rPr>
                <w:i/>
              </w:rPr>
            </w:pPr>
          </w:p>
        </w:tc>
        <w:tc>
          <w:tcPr>
            <w:tcW w:w="437" w:type="pct"/>
            <w:vAlign w:val="bottom"/>
          </w:tcPr>
          <w:p w:rsidR="00BA1D31" w:rsidRPr="008B424C" w:rsidRDefault="00BA1D31" w:rsidP="008B424C">
            <w:pPr>
              <w:pStyle w:val="TableUnitsRow"/>
              <w:spacing w:after="40"/>
              <w:jc w:val="left"/>
              <w:rPr>
                <w:i/>
              </w:rPr>
            </w:pPr>
          </w:p>
        </w:tc>
        <w:tc>
          <w:tcPr>
            <w:tcW w:w="437" w:type="pct"/>
            <w:vAlign w:val="bottom"/>
          </w:tcPr>
          <w:p w:rsidR="00BA1D31" w:rsidRPr="008B424C" w:rsidRDefault="00BA1D31" w:rsidP="008B424C">
            <w:pPr>
              <w:pStyle w:val="TableUnitsRow"/>
              <w:spacing w:after="40"/>
              <w:jc w:val="left"/>
              <w:rPr>
                <w:i/>
              </w:rPr>
            </w:pPr>
          </w:p>
        </w:tc>
        <w:tc>
          <w:tcPr>
            <w:tcW w:w="437" w:type="pct"/>
            <w:vAlign w:val="bottom"/>
          </w:tcPr>
          <w:p w:rsidR="00BA1D31" w:rsidRPr="008B424C" w:rsidRDefault="00BA1D31" w:rsidP="008B424C">
            <w:pPr>
              <w:pStyle w:val="TableUnitsRow"/>
              <w:spacing w:after="40"/>
              <w:jc w:val="left"/>
              <w:rPr>
                <w:i/>
              </w:rPr>
            </w:pPr>
          </w:p>
        </w:tc>
        <w:tc>
          <w:tcPr>
            <w:tcW w:w="437" w:type="pct"/>
            <w:vAlign w:val="bottom"/>
          </w:tcPr>
          <w:p w:rsidR="00BA1D31" w:rsidRPr="008B424C" w:rsidRDefault="00BA1D31" w:rsidP="008B424C">
            <w:pPr>
              <w:pStyle w:val="TableUnitsRow"/>
              <w:spacing w:after="40"/>
              <w:jc w:val="left"/>
              <w:rPr>
                <w:i/>
              </w:rPr>
            </w:pPr>
          </w:p>
        </w:tc>
        <w:tc>
          <w:tcPr>
            <w:tcW w:w="437" w:type="pct"/>
            <w:vAlign w:val="bottom"/>
          </w:tcPr>
          <w:p w:rsidR="00BA1D31" w:rsidRPr="008B424C" w:rsidRDefault="00BA1D31" w:rsidP="008B424C">
            <w:pPr>
              <w:pStyle w:val="TableUnitsRow"/>
              <w:spacing w:after="40"/>
              <w:jc w:val="left"/>
              <w:rPr>
                <w:i/>
              </w:rPr>
            </w:pPr>
          </w:p>
        </w:tc>
        <w:tc>
          <w:tcPr>
            <w:tcW w:w="437" w:type="pct"/>
            <w:vAlign w:val="bottom"/>
          </w:tcPr>
          <w:p w:rsidR="00BA1D31" w:rsidRPr="008B424C" w:rsidRDefault="00BA1D31" w:rsidP="008B424C">
            <w:pPr>
              <w:pStyle w:val="TableUnitsRow"/>
              <w:spacing w:after="40"/>
              <w:jc w:val="left"/>
              <w:rPr>
                <w:i/>
              </w:rPr>
            </w:pPr>
          </w:p>
        </w:tc>
        <w:tc>
          <w:tcPr>
            <w:tcW w:w="437" w:type="pct"/>
            <w:vAlign w:val="bottom"/>
          </w:tcPr>
          <w:p w:rsidR="00BA1D31" w:rsidRPr="008B424C" w:rsidRDefault="00BA1D31" w:rsidP="008B424C">
            <w:pPr>
              <w:pStyle w:val="TableUnitsRow"/>
              <w:spacing w:after="40"/>
              <w:jc w:val="left"/>
              <w:rPr>
                <w:i/>
              </w:rPr>
            </w:pPr>
          </w:p>
        </w:tc>
        <w:tc>
          <w:tcPr>
            <w:tcW w:w="437" w:type="pct"/>
            <w:vAlign w:val="bottom"/>
          </w:tcPr>
          <w:p w:rsidR="00BA1D31" w:rsidRPr="008B424C" w:rsidRDefault="00BA1D31" w:rsidP="008B424C">
            <w:pPr>
              <w:pStyle w:val="TableUnitsRow"/>
              <w:spacing w:after="40"/>
              <w:jc w:val="left"/>
              <w:rPr>
                <w:i/>
              </w:rPr>
            </w:pPr>
          </w:p>
        </w:tc>
      </w:tr>
      <w:tr w:rsidR="00BA1D31" w:rsidRPr="008B424C" w:rsidTr="008B424C">
        <w:tc>
          <w:tcPr>
            <w:tcW w:w="1066" w:type="pct"/>
            <w:shd w:val="clear" w:color="auto" w:fill="D9D9D9" w:themeFill="background1" w:themeFillShade="D9"/>
            <w:vAlign w:val="bottom"/>
          </w:tcPr>
          <w:p w:rsidR="00BA1D31" w:rsidRPr="008B424C" w:rsidRDefault="00841F7A" w:rsidP="008B424C">
            <w:pPr>
              <w:spacing w:after="40"/>
              <w:rPr>
                <w:rFonts w:ascii="Arial" w:hAnsi="Arial" w:cs="Arial"/>
                <w:i/>
                <w:color w:val="000000"/>
                <w:sz w:val="20"/>
                <w:szCs w:val="20"/>
              </w:rPr>
            </w:pPr>
            <w:r w:rsidRPr="008B424C">
              <w:rPr>
                <w:rFonts w:ascii="Arial" w:hAnsi="Arial" w:cs="Arial"/>
                <w:i/>
                <w:color w:val="000000"/>
                <w:sz w:val="20"/>
                <w:szCs w:val="20"/>
              </w:rPr>
              <w:t xml:space="preserve">Industry </w:t>
            </w:r>
            <w:r w:rsidR="00BA1D31" w:rsidRPr="008B424C">
              <w:rPr>
                <w:rFonts w:ascii="Arial" w:hAnsi="Arial" w:cs="Arial"/>
                <w:i/>
                <w:color w:val="000000"/>
                <w:sz w:val="20"/>
                <w:szCs w:val="20"/>
              </w:rPr>
              <w:t>use</w:t>
            </w:r>
          </w:p>
        </w:tc>
        <w:tc>
          <w:tcPr>
            <w:tcW w:w="437" w:type="pct"/>
            <w:shd w:val="clear" w:color="auto" w:fill="D9D9D9" w:themeFill="background1" w:themeFillShade="D9"/>
            <w:vAlign w:val="bottom"/>
          </w:tcPr>
          <w:p w:rsidR="00BA1D31" w:rsidRPr="008B424C" w:rsidRDefault="00BA1D31" w:rsidP="008B424C">
            <w:pPr>
              <w:pStyle w:val="TableBodyText"/>
              <w:rPr>
                <w:i/>
              </w:rPr>
            </w:pPr>
            <w:r w:rsidRPr="008B424C">
              <w:rPr>
                <w:i/>
              </w:rPr>
              <w:t>32.7</w:t>
            </w:r>
          </w:p>
        </w:tc>
        <w:tc>
          <w:tcPr>
            <w:tcW w:w="437" w:type="pct"/>
            <w:shd w:val="clear" w:color="auto" w:fill="D9D9D9" w:themeFill="background1" w:themeFillShade="D9"/>
            <w:vAlign w:val="bottom"/>
          </w:tcPr>
          <w:p w:rsidR="00BA1D31" w:rsidRPr="008B424C" w:rsidRDefault="00BA1D31" w:rsidP="008B424C">
            <w:pPr>
              <w:pStyle w:val="TableBodyText"/>
              <w:rPr>
                <w:i/>
              </w:rPr>
            </w:pPr>
            <w:r w:rsidRPr="008B424C">
              <w:rPr>
                <w:i/>
              </w:rPr>
              <w:t>34.3</w:t>
            </w:r>
          </w:p>
        </w:tc>
        <w:tc>
          <w:tcPr>
            <w:tcW w:w="437" w:type="pct"/>
            <w:shd w:val="clear" w:color="auto" w:fill="D9D9D9" w:themeFill="background1" w:themeFillShade="D9"/>
            <w:vAlign w:val="bottom"/>
          </w:tcPr>
          <w:p w:rsidR="00BA1D31" w:rsidRPr="008B424C" w:rsidRDefault="00BA1D31" w:rsidP="008B424C">
            <w:pPr>
              <w:pStyle w:val="TableBodyText"/>
              <w:rPr>
                <w:i/>
              </w:rPr>
            </w:pPr>
            <w:r w:rsidRPr="008B424C">
              <w:rPr>
                <w:i/>
              </w:rPr>
              <w:t>83.1</w:t>
            </w:r>
          </w:p>
        </w:tc>
        <w:tc>
          <w:tcPr>
            <w:tcW w:w="437" w:type="pct"/>
            <w:shd w:val="clear" w:color="auto" w:fill="D9D9D9" w:themeFill="background1" w:themeFillShade="D9"/>
            <w:vAlign w:val="bottom"/>
          </w:tcPr>
          <w:p w:rsidR="00BA1D31" w:rsidRPr="008B424C" w:rsidRDefault="00BA1D31" w:rsidP="008B424C">
            <w:pPr>
              <w:pStyle w:val="TableBodyText"/>
              <w:rPr>
                <w:i/>
              </w:rPr>
            </w:pPr>
            <w:r w:rsidRPr="008B424C">
              <w:rPr>
                <w:i/>
              </w:rPr>
              <w:t>86.8</w:t>
            </w:r>
          </w:p>
        </w:tc>
        <w:tc>
          <w:tcPr>
            <w:tcW w:w="437" w:type="pct"/>
            <w:shd w:val="clear" w:color="auto" w:fill="D9D9D9" w:themeFill="background1" w:themeFillShade="D9"/>
            <w:vAlign w:val="bottom"/>
          </w:tcPr>
          <w:p w:rsidR="00BA1D31" w:rsidRPr="008B424C" w:rsidRDefault="00BA1D31" w:rsidP="008B424C">
            <w:pPr>
              <w:pStyle w:val="TableBodyText"/>
              <w:rPr>
                <w:i/>
              </w:rPr>
            </w:pPr>
            <w:r w:rsidRPr="008B424C">
              <w:rPr>
                <w:i/>
              </w:rPr>
              <w:t>66.9</w:t>
            </w:r>
          </w:p>
        </w:tc>
        <w:tc>
          <w:tcPr>
            <w:tcW w:w="437" w:type="pct"/>
            <w:shd w:val="clear" w:color="auto" w:fill="D9D9D9" w:themeFill="background1" w:themeFillShade="D9"/>
            <w:vAlign w:val="bottom"/>
          </w:tcPr>
          <w:p w:rsidR="00BA1D31" w:rsidRPr="008B424C" w:rsidRDefault="00BA1D31" w:rsidP="008B424C">
            <w:pPr>
              <w:pStyle w:val="TableBodyText"/>
              <w:rPr>
                <w:i/>
              </w:rPr>
            </w:pPr>
            <w:r w:rsidRPr="008B424C">
              <w:rPr>
                <w:i/>
              </w:rPr>
              <w:t>96.7</w:t>
            </w:r>
          </w:p>
        </w:tc>
        <w:tc>
          <w:tcPr>
            <w:tcW w:w="437" w:type="pct"/>
            <w:shd w:val="clear" w:color="auto" w:fill="D9D9D9" w:themeFill="background1" w:themeFillShade="D9"/>
            <w:vAlign w:val="bottom"/>
          </w:tcPr>
          <w:p w:rsidR="00BA1D31" w:rsidRPr="008B424C" w:rsidRDefault="00BA1D31" w:rsidP="008B424C">
            <w:pPr>
              <w:pStyle w:val="TableBodyText"/>
              <w:rPr>
                <w:i/>
              </w:rPr>
            </w:pPr>
            <w:r w:rsidRPr="008B424C">
              <w:rPr>
                <w:i/>
              </w:rPr>
              <w:t>57.5</w:t>
            </w:r>
          </w:p>
        </w:tc>
        <w:tc>
          <w:tcPr>
            <w:tcW w:w="437" w:type="pct"/>
            <w:shd w:val="clear" w:color="auto" w:fill="D9D9D9" w:themeFill="background1" w:themeFillShade="D9"/>
            <w:vAlign w:val="bottom"/>
          </w:tcPr>
          <w:p w:rsidR="00BA1D31" w:rsidRPr="008B424C" w:rsidRDefault="00BA1D31" w:rsidP="008B424C">
            <w:pPr>
              <w:pStyle w:val="TableBodyText"/>
              <w:rPr>
                <w:i/>
              </w:rPr>
            </w:pPr>
            <w:r w:rsidRPr="008B424C">
              <w:rPr>
                <w:i/>
              </w:rPr>
              <w:t>46.4</w:t>
            </w:r>
          </w:p>
        </w:tc>
        <w:tc>
          <w:tcPr>
            <w:tcW w:w="437" w:type="pct"/>
            <w:shd w:val="clear" w:color="auto" w:fill="D9D9D9" w:themeFill="background1" w:themeFillShade="D9"/>
            <w:vAlign w:val="bottom"/>
          </w:tcPr>
          <w:p w:rsidR="00BA1D31" w:rsidRPr="008B424C" w:rsidRDefault="00BA1D31" w:rsidP="008B424C">
            <w:pPr>
              <w:pStyle w:val="TableBodyText"/>
              <w:rPr>
                <w:i/>
              </w:rPr>
            </w:pPr>
            <w:r w:rsidRPr="008B424C">
              <w:rPr>
                <w:i/>
              </w:rPr>
              <w:t>53.1</w:t>
            </w:r>
          </w:p>
        </w:tc>
      </w:tr>
      <w:tr w:rsidR="00421ADC" w:rsidRPr="00421ADC" w:rsidTr="008B424C">
        <w:trPr>
          <w:trHeight w:val="303"/>
        </w:trPr>
        <w:tc>
          <w:tcPr>
            <w:tcW w:w="1066" w:type="pct"/>
            <w:vAlign w:val="bottom"/>
          </w:tcPr>
          <w:p w:rsidR="00421ADC" w:rsidRPr="008B424C" w:rsidRDefault="00421ADC" w:rsidP="008B424C">
            <w:pPr>
              <w:pStyle w:val="TableBodyText"/>
              <w:jc w:val="left"/>
              <w:rPr>
                <w:i/>
              </w:rPr>
            </w:pPr>
            <w:r w:rsidRPr="008B424C">
              <w:rPr>
                <w:i/>
              </w:rPr>
              <w:t xml:space="preserve">Final </w:t>
            </w:r>
            <w:r w:rsidR="008B424C" w:rsidRPr="008B424C">
              <w:rPr>
                <w:i/>
              </w:rPr>
              <w:t>u</w:t>
            </w:r>
            <w:r w:rsidRPr="008B424C">
              <w:rPr>
                <w:i/>
              </w:rPr>
              <w:t>se</w:t>
            </w: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r>
      <w:tr w:rsidR="00BA1D31" w:rsidRPr="00D46D99" w:rsidTr="008B424C">
        <w:tc>
          <w:tcPr>
            <w:tcW w:w="1066" w:type="pct"/>
            <w:shd w:val="clear" w:color="auto" w:fill="D9D9D9" w:themeFill="background1" w:themeFillShade="D9"/>
            <w:vAlign w:val="bottom"/>
          </w:tcPr>
          <w:p w:rsidR="00BA1D31" w:rsidRPr="00D46D99" w:rsidRDefault="00137BC6" w:rsidP="008B424C">
            <w:pPr>
              <w:spacing w:after="40"/>
              <w:ind w:right="-112"/>
              <w:rPr>
                <w:rFonts w:ascii="Arial" w:hAnsi="Arial" w:cs="Arial"/>
                <w:color w:val="000000"/>
                <w:sz w:val="20"/>
                <w:szCs w:val="20"/>
              </w:rPr>
            </w:pPr>
            <w:r>
              <w:rPr>
                <w:rFonts w:ascii="Arial" w:hAnsi="Arial" w:cs="Arial"/>
                <w:color w:val="000000"/>
                <w:sz w:val="20"/>
                <w:szCs w:val="20"/>
              </w:rPr>
              <w:t xml:space="preserve">   </w:t>
            </w:r>
            <w:r w:rsidR="00BA1D31" w:rsidRPr="00D46D99">
              <w:rPr>
                <w:rFonts w:ascii="Arial" w:hAnsi="Arial" w:cs="Arial"/>
                <w:color w:val="000000"/>
                <w:sz w:val="20"/>
                <w:szCs w:val="20"/>
              </w:rPr>
              <w:t>Final consumption</w:t>
            </w:r>
          </w:p>
        </w:tc>
        <w:tc>
          <w:tcPr>
            <w:tcW w:w="437" w:type="pct"/>
            <w:shd w:val="clear" w:color="auto" w:fill="D9D9D9" w:themeFill="background1" w:themeFillShade="D9"/>
            <w:vAlign w:val="bottom"/>
          </w:tcPr>
          <w:p w:rsidR="00BA1D31" w:rsidRPr="00D46D99" w:rsidRDefault="00BA1D31" w:rsidP="008B424C">
            <w:pPr>
              <w:pStyle w:val="TableBodyText"/>
            </w:pPr>
            <w:r w:rsidRPr="00D46D99">
              <w:t>40.1</w:t>
            </w:r>
          </w:p>
        </w:tc>
        <w:tc>
          <w:tcPr>
            <w:tcW w:w="437" w:type="pct"/>
            <w:shd w:val="clear" w:color="auto" w:fill="D9D9D9" w:themeFill="background1" w:themeFillShade="D9"/>
            <w:vAlign w:val="bottom"/>
          </w:tcPr>
          <w:p w:rsidR="00BA1D31" w:rsidRPr="00D46D99" w:rsidRDefault="00BA1D31" w:rsidP="008B424C">
            <w:pPr>
              <w:pStyle w:val="TableBodyText"/>
            </w:pPr>
            <w:r w:rsidRPr="00D46D99">
              <w:t>31.4</w:t>
            </w:r>
          </w:p>
        </w:tc>
        <w:tc>
          <w:tcPr>
            <w:tcW w:w="437" w:type="pct"/>
            <w:shd w:val="clear" w:color="auto" w:fill="D9D9D9" w:themeFill="background1" w:themeFillShade="D9"/>
            <w:vAlign w:val="bottom"/>
          </w:tcPr>
          <w:p w:rsidR="00BA1D31" w:rsidRPr="00D46D99" w:rsidRDefault="00BA1D31" w:rsidP="008B424C">
            <w:pPr>
              <w:pStyle w:val="TableBodyText"/>
            </w:pPr>
            <w:r w:rsidRPr="00D46D99">
              <w:t>7.3</w:t>
            </w:r>
          </w:p>
        </w:tc>
        <w:tc>
          <w:tcPr>
            <w:tcW w:w="437" w:type="pct"/>
            <w:shd w:val="clear" w:color="auto" w:fill="D9D9D9" w:themeFill="background1" w:themeFillShade="D9"/>
            <w:vAlign w:val="bottom"/>
          </w:tcPr>
          <w:p w:rsidR="00BA1D31" w:rsidRPr="00D46D99" w:rsidRDefault="00BA1D31" w:rsidP="008B424C">
            <w:pPr>
              <w:pStyle w:val="TableBodyText"/>
            </w:pPr>
            <w:r w:rsidRPr="00D46D99">
              <w:t>7.7</w:t>
            </w:r>
          </w:p>
        </w:tc>
        <w:tc>
          <w:tcPr>
            <w:tcW w:w="437" w:type="pct"/>
            <w:shd w:val="clear" w:color="auto" w:fill="D9D9D9" w:themeFill="background1" w:themeFillShade="D9"/>
            <w:vAlign w:val="bottom"/>
          </w:tcPr>
          <w:p w:rsidR="00BA1D31" w:rsidRPr="00D46D99" w:rsidRDefault="00BA1D31" w:rsidP="008B424C">
            <w:pPr>
              <w:pStyle w:val="TableBodyText"/>
            </w:pPr>
            <w:r w:rsidRPr="00D46D99">
              <w:t>17.4</w:t>
            </w:r>
          </w:p>
        </w:tc>
        <w:tc>
          <w:tcPr>
            <w:tcW w:w="437" w:type="pct"/>
            <w:shd w:val="clear" w:color="auto" w:fill="D9D9D9" w:themeFill="background1" w:themeFillShade="D9"/>
            <w:vAlign w:val="bottom"/>
          </w:tcPr>
          <w:p w:rsidR="00BA1D31" w:rsidRPr="00D46D99" w:rsidRDefault="00BA1D31" w:rsidP="008B424C">
            <w:pPr>
              <w:pStyle w:val="TableBodyText"/>
            </w:pPr>
            <w:r w:rsidRPr="00D46D99">
              <w:t>1.9</w:t>
            </w:r>
          </w:p>
        </w:tc>
        <w:tc>
          <w:tcPr>
            <w:tcW w:w="437" w:type="pct"/>
            <w:shd w:val="clear" w:color="auto" w:fill="D9D9D9" w:themeFill="background1" w:themeFillShade="D9"/>
            <w:vAlign w:val="bottom"/>
          </w:tcPr>
          <w:p w:rsidR="00BA1D31" w:rsidRPr="00D46D99" w:rsidRDefault="00BA1D31" w:rsidP="008B424C">
            <w:pPr>
              <w:pStyle w:val="TableBodyText"/>
            </w:pPr>
            <w:r w:rsidRPr="00D46D99">
              <w:t>1.5</w:t>
            </w:r>
          </w:p>
        </w:tc>
        <w:tc>
          <w:tcPr>
            <w:tcW w:w="437" w:type="pct"/>
            <w:shd w:val="clear" w:color="auto" w:fill="D9D9D9" w:themeFill="background1" w:themeFillShade="D9"/>
            <w:vAlign w:val="bottom"/>
          </w:tcPr>
          <w:p w:rsidR="00BA1D31" w:rsidRPr="00D46D99" w:rsidRDefault="00BA1D31" w:rsidP="008B424C">
            <w:pPr>
              <w:pStyle w:val="TableBodyText"/>
            </w:pPr>
            <w:r w:rsidRPr="00D46D99">
              <w:t>23.1</w:t>
            </w:r>
          </w:p>
        </w:tc>
        <w:tc>
          <w:tcPr>
            <w:tcW w:w="437" w:type="pct"/>
            <w:shd w:val="clear" w:color="auto" w:fill="D9D9D9" w:themeFill="background1" w:themeFillShade="D9"/>
            <w:vAlign w:val="bottom"/>
          </w:tcPr>
          <w:p w:rsidR="00BA1D31" w:rsidRPr="00D46D99" w:rsidRDefault="00BA1D31" w:rsidP="008B424C">
            <w:pPr>
              <w:pStyle w:val="TableBodyText"/>
            </w:pPr>
            <w:r w:rsidRPr="00D46D99">
              <w:t>20.3</w:t>
            </w:r>
          </w:p>
        </w:tc>
      </w:tr>
      <w:tr w:rsidR="00BA1D31" w:rsidRPr="00D46D99" w:rsidTr="008B424C">
        <w:tc>
          <w:tcPr>
            <w:tcW w:w="1066" w:type="pct"/>
            <w:vAlign w:val="bottom"/>
          </w:tcPr>
          <w:p w:rsidR="00BA1D31" w:rsidRPr="00D46D99" w:rsidRDefault="00137BC6" w:rsidP="008B424C">
            <w:pPr>
              <w:spacing w:after="40"/>
              <w:ind w:right="-112"/>
              <w:rPr>
                <w:rFonts w:ascii="Arial" w:hAnsi="Arial" w:cs="Arial"/>
                <w:color w:val="000000"/>
                <w:sz w:val="20"/>
                <w:szCs w:val="20"/>
              </w:rPr>
            </w:pPr>
            <w:r>
              <w:rPr>
                <w:rFonts w:ascii="Arial" w:hAnsi="Arial" w:cs="Arial"/>
                <w:color w:val="000000"/>
                <w:sz w:val="20"/>
                <w:szCs w:val="20"/>
              </w:rPr>
              <w:t xml:space="preserve">   </w:t>
            </w:r>
            <w:r w:rsidR="00BA1D31" w:rsidRPr="00D46D99">
              <w:rPr>
                <w:rFonts w:ascii="Arial" w:hAnsi="Arial" w:cs="Arial"/>
                <w:color w:val="000000"/>
                <w:sz w:val="20"/>
                <w:szCs w:val="20"/>
              </w:rPr>
              <w:t>Exports</w:t>
            </w:r>
          </w:p>
        </w:tc>
        <w:tc>
          <w:tcPr>
            <w:tcW w:w="437" w:type="pct"/>
            <w:vAlign w:val="bottom"/>
          </w:tcPr>
          <w:p w:rsidR="00BA1D31" w:rsidRPr="00D46D99" w:rsidRDefault="00BA1D31" w:rsidP="008B424C">
            <w:pPr>
              <w:pStyle w:val="TableBodyText"/>
            </w:pPr>
            <w:r w:rsidRPr="00D46D99">
              <w:t>24.6</w:t>
            </w:r>
          </w:p>
        </w:tc>
        <w:tc>
          <w:tcPr>
            <w:tcW w:w="437" w:type="pct"/>
            <w:vAlign w:val="bottom"/>
          </w:tcPr>
          <w:p w:rsidR="00BA1D31" w:rsidRPr="00D46D99" w:rsidRDefault="00BA1D31" w:rsidP="008B424C">
            <w:pPr>
              <w:pStyle w:val="TableBodyText"/>
            </w:pPr>
            <w:r w:rsidRPr="00D46D99">
              <w:t>20.0</w:t>
            </w:r>
          </w:p>
        </w:tc>
        <w:tc>
          <w:tcPr>
            <w:tcW w:w="437" w:type="pct"/>
            <w:vAlign w:val="bottom"/>
          </w:tcPr>
          <w:p w:rsidR="00BA1D31" w:rsidRPr="00D46D99" w:rsidRDefault="00BA1D31" w:rsidP="008B424C">
            <w:pPr>
              <w:pStyle w:val="TableBodyText"/>
            </w:pPr>
            <w:r w:rsidRPr="00D46D99">
              <w:t>10.9</w:t>
            </w:r>
          </w:p>
        </w:tc>
        <w:tc>
          <w:tcPr>
            <w:tcW w:w="437" w:type="pct"/>
            <w:vAlign w:val="bottom"/>
          </w:tcPr>
          <w:p w:rsidR="00BA1D31" w:rsidRPr="00D46D99" w:rsidRDefault="00BA1D31" w:rsidP="008B424C">
            <w:pPr>
              <w:pStyle w:val="TableBodyText"/>
            </w:pPr>
            <w:r w:rsidRPr="00D46D99">
              <w:t>2.7</w:t>
            </w:r>
          </w:p>
        </w:tc>
        <w:tc>
          <w:tcPr>
            <w:tcW w:w="437" w:type="pct"/>
            <w:vAlign w:val="bottom"/>
          </w:tcPr>
          <w:p w:rsidR="00BA1D31" w:rsidRPr="00D46D99" w:rsidRDefault="00BA1D31" w:rsidP="008B424C">
            <w:pPr>
              <w:pStyle w:val="TableBodyText"/>
            </w:pPr>
            <w:r w:rsidRPr="00D46D99">
              <w:t>13.1</w:t>
            </w:r>
          </w:p>
        </w:tc>
        <w:tc>
          <w:tcPr>
            <w:tcW w:w="437" w:type="pct"/>
            <w:vAlign w:val="bottom"/>
          </w:tcPr>
          <w:p w:rsidR="00BA1D31" w:rsidRPr="00D46D99" w:rsidRDefault="00BA1D31" w:rsidP="008B424C">
            <w:pPr>
              <w:pStyle w:val="TableBodyText"/>
            </w:pPr>
            <w:r w:rsidRPr="00D46D99">
              <w:t>4.0</w:t>
            </w:r>
          </w:p>
        </w:tc>
        <w:tc>
          <w:tcPr>
            <w:tcW w:w="437" w:type="pct"/>
            <w:vAlign w:val="bottom"/>
          </w:tcPr>
          <w:p w:rsidR="00BA1D31" w:rsidRPr="00D46D99" w:rsidRDefault="00BA1D31" w:rsidP="008B424C">
            <w:pPr>
              <w:pStyle w:val="TableBodyText"/>
            </w:pPr>
            <w:r w:rsidRPr="00D46D99">
              <w:t>38.8</w:t>
            </w:r>
          </w:p>
        </w:tc>
        <w:tc>
          <w:tcPr>
            <w:tcW w:w="437" w:type="pct"/>
            <w:vAlign w:val="bottom"/>
          </w:tcPr>
          <w:p w:rsidR="00BA1D31" w:rsidRPr="00D46D99" w:rsidRDefault="00BA1D31" w:rsidP="008B424C">
            <w:pPr>
              <w:pStyle w:val="TableBodyText"/>
            </w:pPr>
            <w:r w:rsidRPr="00D46D99">
              <w:t>17.4</w:t>
            </w:r>
          </w:p>
        </w:tc>
        <w:tc>
          <w:tcPr>
            <w:tcW w:w="437" w:type="pct"/>
            <w:vAlign w:val="bottom"/>
          </w:tcPr>
          <w:p w:rsidR="00BA1D31" w:rsidRPr="00D46D99" w:rsidRDefault="00BA1D31" w:rsidP="008B424C">
            <w:pPr>
              <w:pStyle w:val="TableBodyText"/>
            </w:pPr>
            <w:r w:rsidRPr="00D46D99">
              <w:t>21.5</w:t>
            </w:r>
          </w:p>
        </w:tc>
      </w:tr>
      <w:tr w:rsidR="00BA1D31" w:rsidRPr="00D46D99" w:rsidTr="004F4AB6">
        <w:trPr>
          <w:trHeight w:val="227"/>
        </w:trPr>
        <w:tc>
          <w:tcPr>
            <w:tcW w:w="1066" w:type="pct"/>
            <w:shd w:val="clear" w:color="auto" w:fill="D9D9D9" w:themeFill="background1" w:themeFillShade="D9"/>
            <w:vAlign w:val="bottom"/>
          </w:tcPr>
          <w:p w:rsidR="00BA1D31" w:rsidRPr="00D46D99" w:rsidRDefault="00137BC6" w:rsidP="008B424C">
            <w:pPr>
              <w:spacing w:after="40"/>
              <w:ind w:right="-112"/>
              <w:rPr>
                <w:rFonts w:ascii="Arial" w:hAnsi="Arial" w:cs="Arial"/>
                <w:color w:val="000000"/>
                <w:sz w:val="20"/>
                <w:szCs w:val="20"/>
              </w:rPr>
            </w:pPr>
            <w:r>
              <w:rPr>
                <w:rFonts w:ascii="Arial" w:hAnsi="Arial" w:cs="Arial"/>
                <w:color w:val="000000"/>
                <w:sz w:val="20"/>
                <w:szCs w:val="20"/>
              </w:rPr>
              <w:t xml:space="preserve">   </w:t>
            </w:r>
            <w:proofErr w:type="spellStart"/>
            <w:r w:rsidR="004B7F5A" w:rsidRPr="00D46D99">
              <w:rPr>
                <w:rFonts w:ascii="Arial" w:hAnsi="Arial" w:cs="Arial"/>
                <w:color w:val="000000"/>
                <w:sz w:val="20"/>
                <w:szCs w:val="20"/>
              </w:rPr>
              <w:t>GFCF</w:t>
            </w:r>
            <w:proofErr w:type="spellEnd"/>
            <w:r w:rsidR="004B7F5A">
              <w:rPr>
                <w:rStyle w:val="NoteLabel"/>
                <w:rFonts w:cs="Arial"/>
                <w:sz w:val="20"/>
                <w:szCs w:val="20"/>
              </w:rPr>
              <w:t>c</w:t>
            </w:r>
          </w:p>
        </w:tc>
        <w:tc>
          <w:tcPr>
            <w:tcW w:w="437" w:type="pct"/>
            <w:shd w:val="clear" w:color="auto" w:fill="D9D9D9" w:themeFill="background1" w:themeFillShade="D9"/>
            <w:vAlign w:val="bottom"/>
          </w:tcPr>
          <w:p w:rsidR="00BA1D31" w:rsidRPr="00D46D99" w:rsidRDefault="00BA1D31" w:rsidP="008B424C">
            <w:pPr>
              <w:pStyle w:val="TableBodyText"/>
            </w:pPr>
            <w:r w:rsidRPr="00D46D99">
              <w:t>2.6</w:t>
            </w:r>
          </w:p>
        </w:tc>
        <w:tc>
          <w:tcPr>
            <w:tcW w:w="437" w:type="pct"/>
            <w:shd w:val="clear" w:color="auto" w:fill="D9D9D9" w:themeFill="background1" w:themeFillShade="D9"/>
            <w:vAlign w:val="bottom"/>
          </w:tcPr>
          <w:p w:rsidR="00BA1D31" w:rsidRPr="00D46D99" w:rsidRDefault="00BA1D31" w:rsidP="008B424C">
            <w:pPr>
              <w:pStyle w:val="TableBodyText"/>
            </w:pPr>
            <w:r w:rsidRPr="00D46D99">
              <w:t>14.3</w:t>
            </w:r>
          </w:p>
        </w:tc>
        <w:tc>
          <w:tcPr>
            <w:tcW w:w="437" w:type="pct"/>
            <w:shd w:val="clear" w:color="auto" w:fill="D9D9D9" w:themeFill="background1" w:themeFillShade="D9"/>
            <w:vAlign w:val="bottom"/>
          </w:tcPr>
          <w:p w:rsidR="00BA1D31" w:rsidRPr="00D46D99" w:rsidRDefault="00BA1D31" w:rsidP="008B424C">
            <w:pPr>
              <w:pStyle w:val="TableBodyText"/>
            </w:pPr>
            <w:r w:rsidRPr="00D46D99">
              <w:t>-1.4</w:t>
            </w:r>
          </w:p>
        </w:tc>
        <w:tc>
          <w:tcPr>
            <w:tcW w:w="437" w:type="pct"/>
            <w:shd w:val="clear" w:color="auto" w:fill="D9D9D9" w:themeFill="background1" w:themeFillShade="D9"/>
            <w:vAlign w:val="bottom"/>
          </w:tcPr>
          <w:p w:rsidR="00BA1D31" w:rsidRPr="00D46D99" w:rsidRDefault="00BA1D31" w:rsidP="008B424C">
            <w:pPr>
              <w:pStyle w:val="TableBodyText"/>
            </w:pPr>
            <w:r w:rsidRPr="00D46D99">
              <w:t>2.7</w:t>
            </w:r>
          </w:p>
        </w:tc>
        <w:tc>
          <w:tcPr>
            <w:tcW w:w="437" w:type="pct"/>
            <w:shd w:val="clear" w:color="auto" w:fill="D9D9D9" w:themeFill="background1" w:themeFillShade="D9"/>
            <w:vAlign w:val="bottom"/>
          </w:tcPr>
          <w:p w:rsidR="00BA1D31" w:rsidRPr="00D46D99" w:rsidRDefault="00BA1D31" w:rsidP="008B424C">
            <w:pPr>
              <w:pStyle w:val="TableBodyText"/>
            </w:pPr>
            <w:r w:rsidRPr="00D46D99">
              <w:t>2.7</w:t>
            </w:r>
          </w:p>
        </w:tc>
        <w:tc>
          <w:tcPr>
            <w:tcW w:w="437" w:type="pct"/>
            <w:shd w:val="clear" w:color="auto" w:fill="D9D9D9" w:themeFill="background1" w:themeFillShade="D9"/>
            <w:vAlign w:val="bottom"/>
          </w:tcPr>
          <w:p w:rsidR="00BA1D31" w:rsidRPr="00D46D99" w:rsidRDefault="00BA1D31" w:rsidP="008B424C">
            <w:pPr>
              <w:pStyle w:val="TableBodyText"/>
            </w:pPr>
            <w:r w:rsidRPr="00D46D99">
              <w:t>-2.6</w:t>
            </w:r>
          </w:p>
        </w:tc>
        <w:tc>
          <w:tcPr>
            <w:tcW w:w="437" w:type="pct"/>
            <w:shd w:val="clear" w:color="auto" w:fill="D9D9D9" w:themeFill="background1" w:themeFillShade="D9"/>
            <w:vAlign w:val="bottom"/>
          </w:tcPr>
          <w:p w:rsidR="00BA1D31" w:rsidRPr="00D46D99" w:rsidRDefault="00BA1D31" w:rsidP="008B424C">
            <w:pPr>
              <w:pStyle w:val="TableBodyText"/>
            </w:pPr>
            <w:r w:rsidRPr="00D46D99">
              <w:t>2.3</w:t>
            </w:r>
          </w:p>
        </w:tc>
        <w:tc>
          <w:tcPr>
            <w:tcW w:w="437" w:type="pct"/>
            <w:shd w:val="clear" w:color="auto" w:fill="D9D9D9" w:themeFill="background1" w:themeFillShade="D9"/>
            <w:vAlign w:val="bottom"/>
          </w:tcPr>
          <w:p w:rsidR="00BA1D31" w:rsidRPr="00D46D99" w:rsidRDefault="00BA1D31" w:rsidP="008B424C">
            <w:pPr>
              <w:pStyle w:val="TableBodyText"/>
            </w:pPr>
            <w:r w:rsidRPr="00D46D99">
              <w:t>13.2</w:t>
            </w:r>
          </w:p>
        </w:tc>
        <w:tc>
          <w:tcPr>
            <w:tcW w:w="437" w:type="pct"/>
            <w:shd w:val="clear" w:color="auto" w:fill="D9D9D9" w:themeFill="background1" w:themeFillShade="D9"/>
            <w:vAlign w:val="bottom"/>
          </w:tcPr>
          <w:p w:rsidR="00BA1D31" w:rsidRPr="00D46D99" w:rsidRDefault="00BA1D31" w:rsidP="008B424C">
            <w:pPr>
              <w:pStyle w:val="TableBodyText"/>
            </w:pPr>
            <w:r w:rsidRPr="00D46D99">
              <w:t>5.1</w:t>
            </w:r>
          </w:p>
        </w:tc>
      </w:tr>
      <w:tr w:rsidR="00BA1D31" w:rsidRPr="00D46D99" w:rsidTr="008B424C">
        <w:tc>
          <w:tcPr>
            <w:tcW w:w="1066" w:type="pct"/>
            <w:tcBorders>
              <w:bottom w:val="dotted" w:sz="4" w:space="0" w:color="auto"/>
            </w:tcBorders>
            <w:vAlign w:val="bottom"/>
          </w:tcPr>
          <w:p w:rsidR="00BA1D31" w:rsidRPr="00D46D99" w:rsidRDefault="00BA1D31" w:rsidP="008B424C">
            <w:pPr>
              <w:spacing w:after="40"/>
              <w:rPr>
                <w:rFonts w:ascii="Arial" w:hAnsi="Arial" w:cs="Arial"/>
                <w:b/>
                <w:color w:val="000000"/>
                <w:sz w:val="20"/>
                <w:szCs w:val="20"/>
              </w:rPr>
            </w:pPr>
            <w:r w:rsidRPr="00D46D99">
              <w:rPr>
                <w:rFonts w:ascii="Arial" w:hAnsi="Arial" w:cs="Arial"/>
                <w:b/>
                <w:color w:val="000000"/>
                <w:sz w:val="20"/>
                <w:szCs w:val="20"/>
              </w:rPr>
              <w:t>Total</w:t>
            </w:r>
          </w:p>
        </w:tc>
        <w:tc>
          <w:tcPr>
            <w:tcW w:w="437" w:type="pct"/>
            <w:tcBorders>
              <w:bottom w:val="dotted" w:sz="4" w:space="0" w:color="auto"/>
            </w:tcBorders>
            <w:vAlign w:val="bottom"/>
          </w:tcPr>
          <w:p w:rsidR="00BA1D31" w:rsidRPr="00D46D99" w:rsidRDefault="00BA1D31" w:rsidP="008B424C">
            <w:pPr>
              <w:pStyle w:val="TableBodyText"/>
              <w:rPr>
                <w:b/>
              </w:rPr>
            </w:pPr>
            <w:r w:rsidRPr="00D46D99">
              <w:rPr>
                <w:b/>
              </w:rPr>
              <w:t>100</w:t>
            </w:r>
          </w:p>
        </w:tc>
        <w:tc>
          <w:tcPr>
            <w:tcW w:w="437" w:type="pct"/>
            <w:tcBorders>
              <w:bottom w:val="dotted" w:sz="4" w:space="0" w:color="auto"/>
            </w:tcBorders>
            <w:vAlign w:val="bottom"/>
          </w:tcPr>
          <w:p w:rsidR="00BA1D31" w:rsidRPr="00D46D99" w:rsidRDefault="00BA1D31" w:rsidP="008B424C">
            <w:pPr>
              <w:pStyle w:val="TableBodyText"/>
              <w:rPr>
                <w:b/>
              </w:rPr>
            </w:pPr>
            <w:r w:rsidRPr="00D46D99">
              <w:rPr>
                <w:b/>
              </w:rPr>
              <w:t>100</w:t>
            </w:r>
          </w:p>
        </w:tc>
        <w:tc>
          <w:tcPr>
            <w:tcW w:w="437" w:type="pct"/>
            <w:tcBorders>
              <w:bottom w:val="dotted" w:sz="4" w:space="0" w:color="auto"/>
            </w:tcBorders>
            <w:vAlign w:val="bottom"/>
          </w:tcPr>
          <w:p w:rsidR="00BA1D31" w:rsidRPr="00D46D99" w:rsidRDefault="00BA1D31" w:rsidP="008B424C">
            <w:pPr>
              <w:pStyle w:val="TableBodyText"/>
              <w:rPr>
                <w:b/>
              </w:rPr>
            </w:pPr>
            <w:r w:rsidRPr="00D46D99">
              <w:rPr>
                <w:b/>
              </w:rPr>
              <w:t>100</w:t>
            </w:r>
          </w:p>
        </w:tc>
        <w:tc>
          <w:tcPr>
            <w:tcW w:w="437" w:type="pct"/>
            <w:tcBorders>
              <w:bottom w:val="dotted" w:sz="4" w:space="0" w:color="auto"/>
            </w:tcBorders>
            <w:vAlign w:val="bottom"/>
          </w:tcPr>
          <w:p w:rsidR="00BA1D31" w:rsidRPr="00D46D99" w:rsidRDefault="00BA1D31" w:rsidP="008B424C">
            <w:pPr>
              <w:pStyle w:val="TableBodyText"/>
              <w:rPr>
                <w:b/>
              </w:rPr>
            </w:pPr>
            <w:r w:rsidRPr="00D46D99">
              <w:rPr>
                <w:b/>
              </w:rPr>
              <w:t>100</w:t>
            </w:r>
          </w:p>
        </w:tc>
        <w:tc>
          <w:tcPr>
            <w:tcW w:w="437" w:type="pct"/>
            <w:tcBorders>
              <w:bottom w:val="dotted" w:sz="4" w:space="0" w:color="auto"/>
            </w:tcBorders>
            <w:vAlign w:val="bottom"/>
          </w:tcPr>
          <w:p w:rsidR="00BA1D31" w:rsidRPr="00D46D99" w:rsidRDefault="00BA1D31" w:rsidP="008B424C">
            <w:pPr>
              <w:pStyle w:val="TableBodyText"/>
              <w:rPr>
                <w:b/>
              </w:rPr>
            </w:pPr>
            <w:r w:rsidRPr="00D46D99">
              <w:rPr>
                <w:b/>
              </w:rPr>
              <w:t>100</w:t>
            </w:r>
          </w:p>
        </w:tc>
        <w:tc>
          <w:tcPr>
            <w:tcW w:w="437" w:type="pct"/>
            <w:tcBorders>
              <w:bottom w:val="dotted" w:sz="4" w:space="0" w:color="auto"/>
            </w:tcBorders>
            <w:vAlign w:val="bottom"/>
          </w:tcPr>
          <w:p w:rsidR="00BA1D31" w:rsidRPr="00D46D99" w:rsidRDefault="00BA1D31" w:rsidP="008B424C">
            <w:pPr>
              <w:pStyle w:val="TableBodyText"/>
              <w:rPr>
                <w:b/>
              </w:rPr>
            </w:pPr>
            <w:r w:rsidRPr="00D46D99">
              <w:rPr>
                <w:b/>
              </w:rPr>
              <w:t>100</w:t>
            </w:r>
          </w:p>
        </w:tc>
        <w:tc>
          <w:tcPr>
            <w:tcW w:w="437" w:type="pct"/>
            <w:tcBorders>
              <w:bottom w:val="dotted" w:sz="4" w:space="0" w:color="auto"/>
            </w:tcBorders>
            <w:vAlign w:val="bottom"/>
          </w:tcPr>
          <w:p w:rsidR="00BA1D31" w:rsidRPr="00D46D99" w:rsidRDefault="00BA1D31" w:rsidP="008B424C">
            <w:pPr>
              <w:pStyle w:val="TableBodyText"/>
              <w:rPr>
                <w:b/>
              </w:rPr>
            </w:pPr>
            <w:r w:rsidRPr="00D46D99">
              <w:rPr>
                <w:b/>
              </w:rPr>
              <w:t>100</w:t>
            </w:r>
          </w:p>
        </w:tc>
        <w:tc>
          <w:tcPr>
            <w:tcW w:w="437" w:type="pct"/>
            <w:tcBorders>
              <w:bottom w:val="dotted" w:sz="4" w:space="0" w:color="auto"/>
            </w:tcBorders>
            <w:vAlign w:val="bottom"/>
          </w:tcPr>
          <w:p w:rsidR="00BA1D31" w:rsidRPr="00D46D99" w:rsidRDefault="00BA1D31" w:rsidP="008B424C">
            <w:pPr>
              <w:pStyle w:val="TableBodyText"/>
              <w:rPr>
                <w:b/>
              </w:rPr>
            </w:pPr>
            <w:r w:rsidRPr="00D46D99">
              <w:rPr>
                <w:b/>
              </w:rPr>
              <w:t>100</w:t>
            </w:r>
          </w:p>
        </w:tc>
        <w:tc>
          <w:tcPr>
            <w:tcW w:w="437" w:type="pct"/>
            <w:tcBorders>
              <w:bottom w:val="dotted" w:sz="4" w:space="0" w:color="auto"/>
            </w:tcBorders>
            <w:vAlign w:val="bottom"/>
          </w:tcPr>
          <w:p w:rsidR="00BA1D31" w:rsidRPr="00D46D99" w:rsidRDefault="00BA1D31" w:rsidP="008B424C">
            <w:pPr>
              <w:pStyle w:val="TableBodyText"/>
              <w:rPr>
                <w:b/>
              </w:rPr>
            </w:pPr>
            <w:r w:rsidRPr="00D46D99">
              <w:rPr>
                <w:b/>
              </w:rPr>
              <w:t>100</w:t>
            </w:r>
          </w:p>
        </w:tc>
      </w:tr>
      <w:tr w:rsidR="00BA1D31" w:rsidRPr="008B424C" w:rsidTr="008B424C">
        <w:trPr>
          <w:trHeight w:val="415"/>
        </w:trPr>
        <w:tc>
          <w:tcPr>
            <w:tcW w:w="1066" w:type="pct"/>
            <w:tcBorders>
              <w:top w:val="dotted" w:sz="4" w:space="0" w:color="auto"/>
            </w:tcBorders>
            <w:vAlign w:val="bottom"/>
          </w:tcPr>
          <w:p w:rsidR="00BA1D31" w:rsidRPr="008B424C" w:rsidRDefault="00BA1D31" w:rsidP="008B424C">
            <w:pPr>
              <w:pStyle w:val="TableUnitsRow"/>
              <w:spacing w:after="40"/>
              <w:jc w:val="left"/>
              <w:rPr>
                <w:b/>
                <w:i/>
              </w:rPr>
            </w:pPr>
            <w:r w:rsidRPr="008B424C">
              <w:rPr>
                <w:b/>
                <w:i/>
              </w:rPr>
              <w:t>2008-09</w:t>
            </w:r>
          </w:p>
        </w:tc>
        <w:tc>
          <w:tcPr>
            <w:tcW w:w="437" w:type="pct"/>
            <w:tcBorders>
              <w:top w:val="dotted" w:sz="4" w:space="0" w:color="auto"/>
            </w:tcBorders>
            <w:vAlign w:val="bottom"/>
          </w:tcPr>
          <w:p w:rsidR="00BA1D31" w:rsidRPr="008B424C" w:rsidRDefault="00BA1D31" w:rsidP="008B424C">
            <w:pPr>
              <w:pStyle w:val="TableUnitsRow"/>
              <w:spacing w:after="40"/>
              <w:rPr>
                <w:i/>
              </w:rPr>
            </w:pPr>
          </w:p>
        </w:tc>
        <w:tc>
          <w:tcPr>
            <w:tcW w:w="437" w:type="pct"/>
            <w:tcBorders>
              <w:top w:val="dotted" w:sz="4" w:space="0" w:color="auto"/>
            </w:tcBorders>
            <w:vAlign w:val="bottom"/>
          </w:tcPr>
          <w:p w:rsidR="00BA1D31" w:rsidRPr="008B424C" w:rsidRDefault="00BA1D31" w:rsidP="008B424C">
            <w:pPr>
              <w:pStyle w:val="TableUnitsRow"/>
              <w:spacing w:after="40"/>
              <w:rPr>
                <w:i/>
              </w:rPr>
            </w:pPr>
          </w:p>
        </w:tc>
        <w:tc>
          <w:tcPr>
            <w:tcW w:w="437" w:type="pct"/>
            <w:tcBorders>
              <w:top w:val="dotted" w:sz="4" w:space="0" w:color="auto"/>
            </w:tcBorders>
            <w:vAlign w:val="bottom"/>
          </w:tcPr>
          <w:p w:rsidR="00BA1D31" w:rsidRPr="008B424C" w:rsidRDefault="00BA1D31" w:rsidP="008B424C">
            <w:pPr>
              <w:pStyle w:val="TableUnitsRow"/>
              <w:spacing w:after="40"/>
              <w:rPr>
                <w:i/>
              </w:rPr>
            </w:pPr>
          </w:p>
        </w:tc>
        <w:tc>
          <w:tcPr>
            <w:tcW w:w="437" w:type="pct"/>
            <w:tcBorders>
              <w:top w:val="dotted" w:sz="4" w:space="0" w:color="auto"/>
            </w:tcBorders>
            <w:vAlign w:val="bottom"/>
          </w:tcPr>
          <w:p w:rsidR="00BA1D31" w:rsidRPr="008B424C" w:rsidRDefault="00BA1D31" w:rsidP="008B424C">
            <w:pPr>
              <w:pStyle w:val="TableUnitsRow"/>
              <w:spacing w:after="40"/>
              <w:rPr>
                <w:i/>
              </w:rPr>
            </w:pPr>
          </w:p>
        </w:tc>
        <w:tc>
          <w:tcPr>
            <w:tcW w:w="437" w:type="pct"/>
            <w:tcBorders>
              <w:top w:val="dotted" w:sz="4" w:space="0" w:color="auto"/>
            </w:tcBorders>
            <w:vAlign w:val="bottom"/>
          </w:tcPr>
          <w:p w:rsidR="00BA1D31" w:rsidRPr="008B424C" w:rsidRDefault="00BA1D31" w:rsidP="008B424C">
            <w:pPr>
              <w:pStyle w:val="TableUnitsRow"/>
              <w:spacing w:after="40"/>
              <w:rPr>
                <w:i/>
              </w:rPr>
            </w:pPr>
          </w:p>
        </w:tc>
        <w:tc>
          <w:tcPr>
            <w:tcW w:w="437" w:type="pct"/>
            <w:tcBorders>
              <w:top w:val="dotted" w:sz="4" w:space="0" w:color="auto"/>
            </w:tcBorders>
            <w:vAlign w:val="bottom"/>
          </w:tcPr>
          <w:p w:rsidR="00BA1D31" w:rsidRPr="008B424C" w:rsidRDefault="00BA1D31" w:rsidP="008B424C">
            <w:pPr>
              <w:pStyle w:val="TableUnitsRow"/>
              <w:spacing w:after="40"/>
              <w:rPr>
                <w:i/>
              </w:rPr>
            </w:pPr>
          </w:p>
        </w:tc>
        <w:tc>
          <w:tcPr>
            <w:tcW w:w="437" w:type="pct"/>
            <w:tcBorders>
              <w:top w:val="dotted" w:sz="4" w:space="0" w:color="auto"/>
            </w:tcBorders>
            <w:vAlign w:val="bottom"/>
          </w:tcPr>
          <w:p w:rsidR="00BA1D31" w:rsidRPr="008B424C" w:rsidRDefault="00BA1D31" w:rsidP="008B424C">
            <w:pPr>
              <w:pStyle w:val="TableUnitsRow"/>
              <w:spacing w:after="40"/>
              <w:rPr>
                <w:i/>
              </w:rPr>
            </w:pPr>
          </w:p>
        </w:tc>
        <w:tc>
          <w:tcPr>
            <w:tcW w:w="437" w:type="pct"/>
            <w:tcBorders>
              <w:top w:val="dotted" w:sz="4" w:space="0" w:color="auto"/>
            </w:tcBorders>
            <w:vAlign w:val="bottom"/>
          </w:tcPr>
          <w:p w:rsidR="00BA1D31" w:rsidRPr="008B424C" w:rsidRDefault="00BA1D31" w:rsidP="008B424C">
            <w:pPr>
              <w:pStyle w:val="TableUnitsRow"/>
              <w:spacing w:after="40"/>
              <w:rPr>
                <w:i/>
              </w:rPr>
            </w:pPr>
          </w:p>
        </w:tc>
        <w:tc>
          <w:tcPr>
            <w:tcW w:w="437" w:type="pct"/>
            <w:tcBorders>
              <w:top w:val="dotted" w:sz="4" w:space="0" w:color="auto"/>
            </w:tcBorders>
            <w:vAlign w:val="bottom"/>
          </w:tcPr>
          <w:p w:rsidR="00BA1D31" w:rsidRPr="008B424C" w:rsidRDefault="00BA1D31" w:rsidP="008B424C">
            <w:pPr>
              <w:pStyle w:val="TableUnitsRow"/>
              <w:spacing w:after="40"/>
              <w:rPr>
                <w:i/>
              </w:rPr>
            </w:pPr>
          </w:p>
        </w:tc>
      </w:tr>
      <w:tr w:rsidR="00B75C9E" w:rsidRPr="008B424C" w:rsidTr="008B424C">
        <w:tc>
          <w:tcPr>
            <w:tcW w:w="1066" w:type="pct"/>
            <w:shd w:val="clear" w:color="auto" w:fill="D9D9D9" w:themeFill="background1" w:themeFillShade="D9"/>
            <w:vAlign w:val="bottom"/>
          </w:tcPr>
          <w:p w:rsidR="00B75C9E" w:rsidRPr="008B424C" w:rsidRDefault="00841F7A" w:rsidP="008B424C">
            <w:pPr>
              <w:spacing w:after="40"/>
              <w:rPr>
                <w:rFonts w:ascii="Arial" w:hAnsi="Arial" w:cs="Arial"/>
                <w:i/>
                <w:color w:val="000000"/>
                <w:sz w:val="20"/>
                <w:szCs w:val="20"/>
              </w:rPr>
            </w:pPr>
            <w:r w:rsidRPr="008B424C">
              <w:rPr>
                <w:rFonts w:ascii="Arial" w:hAnsi="Arial" w:cs="Arial"/>
                <w:i/>
                <w:color w:val="000000"/>
                <w:sz w:val="20"/>
                <w:szCs w:val="20"/>
              </w:rPr>
              <w:t xml:space="preserve">Industry </w:t>
            </w:r>
            <w:r w:rsidR="00B75C9E" w:rsidRPr="008B424C">
              <w:rPr>
                <w:rFonts w:ascii="Arial" w:hAnsi="Arial" w:cs="Arial"/>
                <w:i/>
                <w:color w:val="000000"/>
                <w:sz w:val="20"/>
                <w:szCs w:val="20"/>
              </w:rPr>
              <w:t>us</w:t>
            </w:r>
            <w:r w:rsidRPr="008B424C">
              <w:rPr>
                <w:rFonts w:ascii="Arial" w:hAnsi="Arial" w:cs="Arial"/>
                <w:i/>
                <w:color w:val="000000"/>
                <w:sz w:val="20"/>
                <w:szCs w:val="20"/>
              </w:rPr>
              <w:t>e</w:t>
            </w:r>
          </w:p>
        </w:tc>
        <w:tc>
          <w:tcPr>
            <w:tcW w:w="437" w:type="pct"/>
            <w:shd w:val="clear" w:color="auto" w:fill="D9D9D9" w:themeFill="background1" w:themeFillShade="D9"/>
            <w:vAlign w:val="bottom"/>
          </w:tcPr>
          <w:p w:rsidR="00B75C9E" w:rsidRPr="008B424C" w:rsidRDefault="00B75C9E" w:rsidP="008B424C">
            <w:pPr>
              <w:pStyle w:val="TableBodyText"/>
              <w:rPr>
                <w:i/>
              </w:rPr>
            </w:pPr>
            <w:r w:rsidRPr="008B424C">
              <w:rPr>
                <w:i/>
              </w:rPr>
              <w:t>40.5</w:t>
            </w:r>
          </w:p>
        </w:tc>
        <w:tc>
          <w:tcPr>
            <w:tcW w:w="437" w:type="pct"/>
            <w:shd w:val="clear" w:color="auto" w:fill="D9D9D9" w:themeFill="background1" w:themeFillShade="D9"/>
            <w:vAlign w:val="bottom"/>
          </w:tcPr>
          <w:p w:rsidR="00B75C9E" w:rsidRPr="008B424C" w:rsidRDefault="00B75C9E" w:rsidP="008B424C">
            <w:pPr>
              <w:pStyle w:val="TableBodyText"/>
              <w:rPr>
                <w:i/>
              </w:rPr>
            </w:pPr>
            <w:r w:rsidRPr="008B424C">
              <w:rPr>
                <w:i/>
              </w:rPr>
              <w:t>30.3</w:t>
            </w:r>
          </w:p>
        </w:tc>
        <w:tc>
          <w:tcPr>
            <w:tcW w:w="437" w:type="pct"/>
            <w:shd w:val="clear" w:color="auto" w:fill="D9D9D9" w:themeFill="background1" w:themeFillShade="D9"/>
            <w:vAlign w:val="bottom"/>
          </w:tcPr>
          <w:p w:rsidR="00B75C9E" w:rsidRPr="008B424C" w:rsidRDefault="00B75C9E" w:rsidP="008B424C">
            <w:pPr>
              <w:pStyle w:val="TableBodyText"/>
              <w:rPr>
                <w:i/>
              </w:rPr>
            </w:pPr>
            <w:r w:rsidRPr="008B424C">
              <w:rPr>
                <w:i/>
              </w:rPr>
              <w:t>81.2</w:t>
            </w:r>
          </w:p>
        </w:tc>
        <w:tc>
          <w:tcPr>
            <w:tcW w:w="437" w:type="pct"/>
            <w:shd w:val="clear" w:color="auto" w:fill="D9D9D9" w:themeFill="background1" w:themeFillShade="D9"/>
            <w:vAlign w:val="bottom"/>
          </w:tcPr>
          <w:p w:rsidR="00B75C9E" w:rsidRPr="008B424C" w:rsidRDefault="00B75C9E" w:rsidP="008B424C">
            <w:pPr>
              <w:pStyle w:val="TableBodyText"/>
              <w:rPr>
                <w:i/>
              </w:rPr>
            </w:pPr>
            <w:r w:rsidRPr="008B424C">
              <w:rPr>
                <w:i/>
              </w:rPr>
              <w:t>98.3</w:t>
            </w:r>
          </w:p>
        </w:tc>
        <w:tc>
          <w:tcPr>
            <w:tcW w:w="437" w:type="pct"/>
            <w:shd w:val="clear" w:color="auto" w:fill="D9D9D9" w:themeFill="background1" w:themeFillShade="D9"/>
            <w:vAlign w:val="bottom"/>
          </w:tcPr>
          <w:p w:rsidR="00B75C9E" w:rsidRPr="008B424C" w:rsidRDefault="00B75C9E" w:rsidP="008B424C">
            <w:pPr>
              <w:pStyle w:val="TableBodyText"/>
              <w:rPr>
                <w:i/>
              </w:rPr>
            </w:pPr>
            <w:r w:rsidRPr="008B424C">
              <w:rPr>
                <w:i/>
              </w:rPr>
              <w:t>60.1</w:t>
            </w:r>
          </w:p>
        </w:tc>
        <w:tc>
          <w:tcPr>
            <w:tcW w:w="437" w:type="pct"/>
            <w:shd w:val="clear" w:color="auto" w:fill="D9D9D9" w:themeFill="background1" w:themeFillShade="D9"/>
            <w:vAlign w:val="bottom"/>
          </w:tcPr>
          <w:p w:rsidR="00B75C9E" w:rsidRPr="008B424C" w:rsidRDefault="00B75C9E" w:rsidP="008B424C">
            <w:pPr>
              <w:pStyle w:val="TableBodyText"/>
              <w:rPr>
                <w:i/>
              </w:rPr>
            </w:pPr>
            <w:r w:rsidRPr="008B424C">
              <w:rPr>
                <w:i/>
              </w:rPr>
              <w:t>94.7</w:t>
            </w:r>
          </w:p>
        </w:tc>
        <w:tc>
          <w:tcPr>
            <w:tcW w:w="437" w:type="pct"/>
            <w:shd w:val="clear" w:color="auto" w:fill="D9D9D9" w:themeFill="background1" w:themeFillShade="D9"/>
            <w:vAlign w:val="bottom"/>
          </w:tcPr>
          <w:p w:rsidR="00B75C9E" w:rsidRPr="008B424C" w:rsidRDefault="00B75C9E" w:rsidP="008B424C">
            <w:pPr>
              <w:pStyle w:val="TableBodyText"/>
              <w:rPr>
                <w:i/>
              </w:rPr>
            </w:pPr>
            <w:r w:rsidRPr="008B424C">
              <w:rPr>
                <w:i/>
              </w:rPr>
              <w:t>59.2</w:t>
            </w:r>
          </w:p>
        </w:tc>
        <w:tc>
          <w:tcPr>
            <w:tcW w:w="437" w:type="pct"/>
            <w:shd w:val="clear" w:color="auto" w:fill="D9D9D9" w:themeFill="background1" w:themeFillShade="D9"/>
            <w:vAlign w:val="bottom"/>
          </w:tcPr>
          <w:p w:rsidR="00B75C9E" w:rsidRPr="008B424C" w:rsidRDefault="00B75C9E" w:rsidP="008B424C">
            <w:pPr>
              <w:pStyle w:val="TableBodyText"/>
              <w:rPr>
                <w:i/>
              </w:rPr>
            </w:pPr>
            <w:r w:rsidRPr="008B424C">
              <w:rPr>
                <w:i/>
              </w:rPr>
              <w:t>34.9</w:t>
            </w:r>
          </w:p>
        </w:tc>
        <w:tc>
          <w:tcPr>
            <w:tcW w:w="437" w:type="pct"/>
            <w:shd w:val="clear" w:color="auto" w:fill="D9D9D9" w:themeFill="background1" w:themeFillShade="D9"/>
            <w:vAlign w:val="bottom"/>
          </w:tcPr>
          <w:p w:rsidR="00B75C9E" w:rsidRPr="008B424C" w:rsidRDefault="00B75C9E" w:rsidP="008B424C">
            <w:pPr>
              <w:pStyle w:val="TableBodyText"/>
              <w:rPr>
                <w:i/>
              </w:rPr>
            </w:pPr>
            <w:r w:rsidRPr="008B424C">
              <w:rPr>
                <w:i/>
              </w:rPr>
              <w:t>53.6</w:t>
            </w:r>
          </w:p>
        </w:tc>
      </w:tr>
      <w:tr w:rsidR="00421ADC" w:rsidRPr="00421ADC" w:rsidTr="008B424C">
        <w:trPr>
          <w:trHeight w:val="319"/>
        </w:trPr>
        <w:tc>
          <w:tcPr>
            <w:tcW w:w="1066" w:type="pct"/>
            <w:vAlign w:val="bottom"/>
          </w:tcPr>
          <w:p w:rsidR="00421ADC" w:rsidRPr="008B424C" w:rsidRDefault="00421ADC" w:rsidP="008B424C">
            <w:pPr>
              <w:pStyle w:val="TableBodyText"/>
              <w:jc w:val="left"/>
              <w:rPr>
                <w:i/>
              </w:rPr>
            </w:pPr>
            <w:r w:rsidRPr="008B424C">
              <w:rPr>
                <w:i/>
              </w:rPr>
              <w:t xml:space="preserve">Final </w:t>
            </w:r>
            <w:r w:rsidR="008B424C" w:rsidRPr="008B424C">
              <w:rPr>
                <w:i/>
              </w:rPr>
              <w:t>u</w:t>
            </w:r>
            <w:r w:rsidRPr="008B424C">
              <w:rPr>
                <w:i/>
              </w:rPr>
              <w:t>se</w:t>
            </w: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c>
          <w:tcPr>
            <w:tcW w:w="437" w:type="pct"/>
            <w:vAlign w:val="bottom"/>
          </w:tcPr>
          <w:p w:rsidR="00421ADC" w:rsidRPr="00421ADC" w:rsidRDefault="00421ADC" w:rsidP="008B424C">
            <w:pPr>
              <w:pStyle w:val="TableBodyText"/>
              <w:rPr>
                <w:i/>
              </w:rPr>
            </w:pPr>
          </w:p>
        </w:tc>
      </w:tr>
      <w:tr w:rsidR="00B75C9E" w:rsidRPr="00D46D99" w:rsidTr="008B424C">
        <w:tc>
          <w:tcPr>
            <w:tcW w:w="1066" w:type="pct"/>
            <w:shd w:val="clear" w:color="auto" w:fill="D9D9D9" w:themeFill="background1" w:themeFillShade="D9"/>
            <w:vAlign w:val="bottom"/>
          </w:tcPr>
          <w:p w:rsidR="00B75C9E" w:rsidRPr="00D46D99" w:rsidRDefault="00137BC6" w:rsidP="008B424C">
            <w:pPr>
              <w:spacing w:after="40"/>
              <w:rPr>
                <w:rFonts w:ascii="Arial" w:hAnsi="Arial" w:cs="Arial"/>
                <w:color w:val="000000"/>
                <w:sz w:val="20"/>
                <w:szCs w:val="20"/>
              </w:rPr>
            </w:pPr>
            <w:r>
              <w:rPr>
                <w:rFonts w:ascii="Arial" w:hAnsi="Arial" w:cs="Arial"/>
                <w:color w:val="000000"/>
                <w:sz w:val="20"/>
                <w:szCs w:val="20"/>
              </w:rPr>
              <w:t xml:space="preserve">   </w:t>
            </w:r>
            <w:r w:rsidR="00B75C9E" w:rsidRPr="00D46D99">
              <w:rPr>
                <w:rFonts w:ascii="Arial" w:hAnsi="Arial" w:cs="Arial"/>
                <w:color w:val="000000"/>
                <w:sz w:val="20"/>
                <w:szCs w:val="20"/>
              </w:rPr>
              <w:t>Final consumption</w:t>
            </w:r>
          </w:p>
        </w:tc>
        <w:tc>
          <w:tcPr>
            <w:tcW w:w="437" w:type="pct"/>
            <w:shd w:val="clear" w:color="auto" w:fill="D9D9D9" w:themeFill="background1" w:themeFillShade="D9"/>
            <w:vAlign w:val="bottom"/>
          </w:tcPr>
          <w:p w:rsidR="00B75C9E" w:rsidRPr="00D46D99" w:rsidRDefault="00B75C9E" w:rsidP="008B424C">
            <w:pPr>
              <w:pStyle w:val="TableBodyText"/>
            </w:pPr>
            <w:r w:rsidRPr="00D46D99">
              <w:t>36.8</w:t>
            </w:r>
          </w:p>
        </w:tc>
        <w:tc>
          <w:tcPr>
            <w:tcW w:w="437" w:type="pct"/>
            <w:shd w:val="clear" w:color="auto" w:fill="D9D9D9" w:themeFill="background1" w:themeFillShade="D9"/>
            <w:vAlign w:val="bottom"/>
          </w:tcPr>
          <w:p w:rsidR="00B75C9E" w:rsidRPr="00D46D99" w:rsidRDefault="00B75C9E" w:rsidP="008B424C">
            <w:pPr>
              <w:pStyle w:val="TableBodyText"/>
            </w:pPr>
            <w:r w:rsidRPr="00D46D99">
              <w:t>34.3</w:t>
            </w:r>
          </w:p>
        </w:tc>
        <w:tc>
          <w:tcPr>
            <w:tcW w:w="437" w:type="pct"/>
            <w:shd w:val="clear" w:color="auto" w:fill="D9D9D9" w:themeFill="background1" w:themeFillShade="D9"/>
            <w:vAlign w:val="bottom"/>
          </w:tcPr>
          <w:p w:rsidR="00B75C9E" w:rsidRPr="00D46D99" w:rsidRDefault="00B75C9E" w:rsidP="008B424C">
            <w:pPr>
              <w:pStyle w:val="TableBodyText"/>
            </w:pPr>
            <w:r w:rsidRPr="00D46D99">
              <w:t>8.3</w:t>
            </w:r>
          </w:p>
        </w:tc>
        <w:tc>
          <w:tcPr>
            <w:tcW w:w="437" w:type="pct"/>
            <w:shd w:val="clear" w:color="auto" w:fill="D9D9D9" w:themeFill="background1" w:themeFillShade="D9"/>
            <w:vAlign w:val="bottom"/>
          </w:tcPr>
          <w:p w:rsidR="00B75C9E" w:rsidRPr="00D46D99" w:rsidRDefault="00B75C9E" w:rsidP="008B424C">
            <w:pPr>
              <w:pStyle w:val="TableBodyText"/>
            </w:pPr>
            <w:r w:rsidRPr="00D46D99">
              <w:t>0.9</w:t>
            </w:r>
          </w:p>
        </w:tc>
        <w:tc>
          <w:tcPr>
            <w:tcW w:w="437" w:type="pct"/>
            <w:shd w:val="clear" w:color="auto" w:fill="D9D9D9" w:themeFill="background1" w:themeFillShade="D9"/>
            <w:vAlign w:val="bottom"/>
          </w:tcPr>
          <w:p w:rsidR="00B75C9E" w:rsidRPr="00D46D99" w:rsidRDefault="00B75C9E" w:rsidP="008B424C">
            <w:pPr>
              <w:pStyle w:val="TableBodyText"/>
            </w:pPr>
            <w:r w:rsidRPr="00D46D99">
              <w:t>20.3</w:t>
            </w:r>
          </w:p>
        </w:tc>
        <w:tc>
          <w:tcPr>
            <w:tcW w:w="437" w:type="pct"/>
            <w:shd w:val="clear" w:color="auto" w:fill="D9D9D9" w:themeFill="background1" w:themeFillShade="D9"/>
            <w:vAlign w:val="bottom"/>
          </w:tcPr>
          <w:p w:rsidR="00B75C9E" w:rsidRPr="00D46D99" w:rsidRDefault="00B75C9E" w:rsidP="008B424C">
            <w:pPr>
              <w:pStyle w:val="TableBodyText"/>
            </w:pPr>
            <w:r w:rsidRPr="00D46D99">
              <w:t>2.8</w:t>
            </w:r>
          </w:p>
        </w:tc>
        <w:tc>
          <w:tcPr>
            <w:tcW w:w="437" w:type="pct"/>
            <w:shd w:val="clear" w:color="auto" w:fill="D9D9D9" w:themeFill="background1" w:themeFillShade="D9"/>
            <w:vAlign w:val="bottom"/>
          </w:tcPr>
          <w:p w:rsidR="00B75C9E" w:rsidRPr="00D46D99" w:rsidRDefault="00B75C9E" w:rsidP="008B424C">
            <w:pPr>
              <w:pStyle w:val="TableBodyText"/>
            </w:pPr>
            <w:r w:rsidRPr="00D46D99">
              <w:t>0.9</w:t>
            </w:r>
          </w:p>
        </w:tc>
        <w:tc>
          <w:tcPr>
            <w:tcW w:w="437" w:type="pct"/>
            <w:shd w:val="clear" w:color="auto" w:fill="D9D9D9" w:themeFill="background1" w:themeFillShade="D9"/>
            <w:vAlign w:val="bottom"/>
          </w:tcPr>
          <w:p w:rsidR="00B75C9E" w:rsidRPr="00D46D99" w:rsidRDefault="00B75C9E" w:rsidP="008B424C">
            <w:pPr>
              <w:pStyle w:val="TableBodyText"/>
            </w:pPr>
            <w:r w:rsidRPr="00D46D99">
              <w:t>17.6</w:t>
            </w:r>
          </w:p>
        </w:tc>
        <w:tc>
          <w:tcPr>
            <w:tcW w:w="437" w:type="pct"/>
            <w:shd w:val="clear" w:color="auto" w:fill="D9D9D9" w:themeFill="background1" w:themeFillShade="D9"/>
            <w:vAlign w:val="bottom"/>
          </w:tcPr>
          <w:p w:rsidR="00B75C9E" w:rsidRPr="00D46D99" w:rsidRDefault="00B75C9E" w:rsidP="008B424C">
            <w:pPr>
              <w:pStyle w:val="TableBodyText"/>
            </w:pPr>
            <w:r w:rsidRPr="00D46D99">
              <w:t>17.0</w:t>
            </w:r>
          </w:p>
        </w:tc>
      </w:tr>
      <w:tr w:rsidR="00B75C9E" w:rsidRPr="00D46D99" w:rsidTr="008B424C">
        <w:tc>
          <w:tcPr>
            <w:tcW w:w="1066" w:type="pct"/>
            <w:vAlign w:val="bottom"/>
          </w:tcPr>
          <w:p w:rsidR="00B75C9E" w:rsidRPr="00D46D99" w:rsidRDefault="00137BC6" w:rsidP="008B424C">
            <w:pPr>
              <w:spacing w:after="40"/>
              <w:rPr>
                <w:rFonts w:ascii="Arial" w:hAnsi="Arial" w:cs="Arial"/>
                <w:color w:val="000000"/>
                <w:sz w:val="20"/>
                <w:szCs w:val="20"/>
              </w:rPr>
            </w:pPr>
            <w:r>
              <w:rPr>
                <w:rFonts w:ascii="Arial" w:hAnsi="Arial" w:cs="Arial"/>
                <w:color w:val="000000"/>
                <w:sz w:val="20"/>
                <w:szCs w:val="20"/>
              </w:rPr>
              <w:t xml:space="preserve">   </w:t>
            </w:r>
            <w:r w:rsidR="00B75C9E" w:rsidRPr="00D46D99">
              <w:rPr>
                <w:rFonts w:ascii="Arial" w:hAnsi="Arial" w:cs="Arial"/>
                <w:color w:val="000000"/>
                <w:sz w:val="20"/>
                <w:szCs w:val="20"/>
              </w:rPr>
              <w:t>Exports</w:t>
            </w:r>
          </w:p>
        </w:tc>
        <w:tc>
          <w:tcPr>
            <w:tcW w:w="437" w:type="pct"/>
            <w:vAlign w:val="bottom"/>
          </w:tcPr>
          <w:p w:rsidR="00B75C9E" w:rsidRPr="00D46D99" w:rsidRDefault="00B75C9E" w:rsidP="008B424C">
            <w:pPr>
              <w:pStyle w:val="TableBodyText"/>
            </w:pPr>
            <w:r w:rsidRPr="00D46D99">
              <w:t>21.8</w:t>
            </w:r>
          </w:p>
        </w:tc>
        <w:tc>
          <w:tcPr>
            <w:tcW w:w="437" w:type="pct"/>
            <w:vAlign w:val="bottom"/>
          </w:tcPr>
          <w:p w:rsidR="00B75C9E" w:rsidRPr="00D46D99" w:rsidRDefault="00B75C9E" w:rsidP="008B424C">
            <w:pPr>
              <w:pStyle w:val="TableBodyText"/>
            </w:pPr>
            <w:r w:rsidRPr="00D46D99">
              <w:t>18.8</w:t>
            </w:r>
          </w:p>
        </w:tc>
        <w:tc>
          <w:tcPr>
            <w:tcW w:w="437" w:type="pct"/>
            <w:vAlign w:val="bottom"/>
          </w:tcPr>
          <w:p w:rsidR="00B75C9E" w:rsidRPr="00D46D99" w:rsidRDefault="00B75C9E" w:rsidP="008B424C">
            <w:pPr>
              <w:pStyle w:val="TableBodyText"/>
            </w:pPr>
            <w:r w:rsidRPr="00D46D99">
              <w:t>9.7</w:t>
            </w:r>
          </w:p>
        </w:tc>
        <w:tc>
          <w:tcPr>
            <w:tcW w:w="437" w:type="pct"/>
            <w:vAlign w:val="bottom"/>
          </w:tcPr>
          <w:p w:rsidR="00B75C9E" w:rsidRPr="00D46D99" w:rsidRDefault="00B75C9E" w:rsidP="008B424C">
            <w:pPr>
              <w:pStyle w:val="TableBodyText"/>
            </w:pPr>
            <w:r w:rsidRPr="00D46D99">
              <w:t>1.7</w:t>
            </w:r>
          </w:p>
        </w:tc>
        <w:tc>
          <w:tcPr>
            <w:tcW w:w="437" w:type="pct"/>
            <w:vAlign w:val="bottom"/>
          </w:tcPr>
          <w:p w:rsidR="00B75C9E" w:rsidRPr="00D46D99" w:rsidRDefault="00B75C9E" w:rsidP="008B424C">
            <w:pPr>
              <w:pStyle w:val="TableBodyText"/>
            </w:pPr>
            <w:r w:rsidRPr="00D46D99">
              <w:t>16.7</w:t>
            </w:r>
          </w:p>
        </w:tc>
        <w:tc>
          <w:tcPr>
            <w:tcW w:w="437" w:type="pct"/>
            <w:vAlign w:val="bottom"/>
          </w:tcPr>
          <w:p w:rsidR="00B75C9E" w:rsidRPr="00D46D99" w:rsidRDefault="00B75C9E" w:rsidP="008B424C">
            <w:pPr>
              <w:pStyle w:val="TableBodyText"/>
            </w:pPr>
            <w:r w:rsidRPr="00D46D99">
              <w:t>2.4</w:t>
            </w:r>
          </w:p>
        </w:tc>
        <w:tc>
          <w:tcPr>
            <w:tcW w:w="437" w:type="pct"/>
            <w:vAlign w:val="bottom"/>
          </w:tcPr>
          <w:p w:rsidR="00B75C9E" w:rsidRPr="00D46D99" w:rsidRDefault="00B75C9E" w:rsidP="008B424C">
            <w:pPr>
              <w:pStyle w:val="TableBodyText"/>
            </w:pPr>
            <w:r w:rsidRPr="00D46D99">
              <w:t>36.2</w:t>
            </w:r>
          </w:p>
        </w:tc>
        <w:tc>
          <w:tcPr>
            <w:tcW w:w="437" w:type="pct"/>
            <w:vAlign w:val="bottom"/>
          </w:tcPr>
          <w:p w:rsidR="00B75C9E" w:rsidRPr="00D46D99" w:rsidRDefault="00B75C9E" w:rsidP="008B424C">
            <w:pPr>
              <w:pStyle w:val="TableBodyText"/>
            </w:pPr>
            <w:r w:rsidRPr="00D46D99">
              <w:t>17.1</w:t>
            </w:r>
          </w:p>
        </w:tc>
        <w:tc>
          <w:tcPr>
            <w:tcW w:w="437" w:type="pct"/>
            <w:vAlign w:val="bottom"/>
          </w:tcPr>
          <w:p w:rsidR="00B75C9E" w:rsidRPr="00D46D99" w:rsidRDefault="00B75C9E" w:rsidP="008B424C">
            <w:pPr>
              <w:pStyle w:val="TableBodyText"/>
            </w:pPr>
            <w:r w:rsidRPr="00D46D99">
              <w:t>21.9</w:t>
            </w:r>
          </w:p>
        </w:tc>
      </w:tr>
      <w:tr w:rsidR="00B75C9E" w:rsidRPr="00D46D99" w:rsidTr="008B424C">
        <w:tc>
          <w:tcPr>
            <w:tcW w:w="1066" w:type="pct"/>
            <w:shd w:val="clear" w:color="auto" w:fill="D9D9D9" w:themeFill="background1" w:themeFillShade="D9"/>
            <w:vAlign w:val="bottom"/>
          </w:tcPr>
          <w:p w:rsidR="00B75C9E" w:rsidRPr="00D46D99" w:rsidRDefault="00137BC6" w:rsidP="008B424C">
            <w:pPr>
              <w:spacing w:after="40"/>
              <w:rPr>
                <w:rFonts w:ascii="Arial" w:hAnsi="Arial" w:cs="Arial"/>
                <w:color w:val="000000"/>
                <w:sz w:val="20"/>
                <w:szCs w:val="20"/>
              </w:rPr>
            </w:pPr>
            <w:r>
              <w:rPr>
                <w:rFonts w:ascii="Arial" w:hAnsi="Arial" w:cs="Arial"/>
                <w:color w:val="000000"/>
                <w:sz w:val="20"/>
                <w:szCs w:val="20"/>
              </w:rPr>
              <w:t xml:space="preserve">   </w:t>
            </w:r>
            <w:proofErr w:type="spellStart"/>
            <w:r w:rsidR="004B7F5A" w:rsidRPr="00D46D99">
              <w:rPr>
                <w:rFonts w:ascii="Arial" w:hAnsi="Arial" w:cs="Arial"/>
                <w:color w:val="000000"/>
                <w:sz w:val="20"/>
                <w:szCs w:val="20"/>
              </w:rPr>
              <w:t>GFCF</w:t>
            </w:r>
            <w:proofErr w:type="spellEnd"/>
            <w:r w:rsidR="004B7F5A">
              <w:rPr>
                <w:rStyle w:val="NoteLabel"/>
                <w:rFonts w:cs="Arial"/>
                <w:sz w:val="20"/>
                <w:szCs w:val="20"/>
              </w:rPr>
              <w:t>c</w:t>
            </w:r>
          </w:p>
        </w:tc>
        <w:tc>
          <w:tcPr>
            <w:tcW w:w="437" w:type="pct"/>
            <w:shd w:val="clear" w:color="auto" w:fill="D9D9D9" w:themeFill="background1" w:themeFillShade="D9"/>
            <w:vAlign w:val="bottom"/>
          </w:tcPr>
          <w:p w:rsidR="00B75C9E" w:rsidRPr="00D46D99" w:rsidRDefault="00B75C9E" w:rsidP="008B424C">
            <w:pPr>
              <w:pStyle w:val="TableBodyText"/>
            </w:pPr>
            <w:r w:rsidRPr="00D46D99">
              <w:t>0.9</w:t>
            </w:r>
          </w:p>
        </w:tc>
        <w:tc>
          <w:tcPr>
            <w:tcW w:w="437" w:type="pct"/>
            <w:shd w:val="clear" w:color="auto" w:fill="D9D9D9" w:themeFill="background1" w:themeFillShade="D9"/>
            <w:vAlign w:val="bottom"/>
          </w:tcPr>
          <w:p w:rsidR="00B75C9E" w:rsidRPr="00D46D99" w:rsidRDefault="00B75C9E" w:rsidP="008B424C">
            <w:pPr>
              <w:pStyle w:val="TableBodyText"/>
            </w:pPr>
            <w:r w:rsidRPr="00D46D99">
              <w:t>16.6</w:t>
            </w:r>
          </w:p>
        </w:tc>
        <w:tc>
          <w:tcPr>
            <w:tcW w:w="437" w:type="pct"/>
            <w:shd w:val="clear" w:color="auto" w:fill="D9D9D9" w:themeFill="background1" w:themeFillShade="D9"/>
            <w:vAlign w:val="bottom"/>
          </w:tcPr>
          <w:p w:rsidR="00B75C9E" w:rsidRPr="00D46D99" w:rsidRDefault="00B75C9E" w:rsidP="008B424C">
            <w:pPr>
              <w:pStyle w:val="TableBodyText"/>
            </w:pPr>
            <w:r w:rsidRPr="00D46D99">
              <w:t>0.7</w:t>
            </w:r>
          </w:p>
        </w:tc>
        <w:tc>
          <w:tcPr>
            <w:tcW w:w="437" w:type="pct"/>
            <w:shd w:val="clear" w:color="auto" w:fill="D9D9D9" w:themeFill="background1" w:themeFillShade="D9"/>
            <w:vAlign w:val="bottom"/>
          </w:tcPr>
          <w:p w:rsidR="00B75C9E" w:rsidRPr="00D46D99" w:rsidRDefault="00B75C9E" w:rsidP="008B424C">
            <w:pPr>
              <w:pStyle w:val="TableBodyText"/>
            </w:pPr>
            <w:r w:rsidRPr="00D46D99">
              <w:t>-0.9</w:t>
            </w:r>
          </w:p>
        </w:tc>
        <w:tc>
          <w:tcPr>
            <w:tcW w:w="437" w:type="pct"/>
            <w:shd w:val="clear" w:color="auto" w:fill="D9D9D9" w:themeFill="background1" w:themeFillShade="D9"/>
            <w:vAlign w:val="bottom"/>
          </w:tcPr>
          <w:p w:rsidR="00B75C9E" w:rsidRPr="00D46D99" w:rsidRDefault="00B75C9E" w:rsidP="008B424C">
            <w:pPr>
              <w:pStyle w:val="TableBodyText"/>
            </w:pPr>
            <w:r w:rsidRPr="00D46D99">
              <w:t>2.9</w:t>
            </w:r>
          </w:p>
        </w:tc>
        <w:tc>
          <w:tcPr>
            <w:tcW w:w="437" w:type="pct"/>
            <w:shd w:val="clear" w:color="auto" w:fill="D9D9D9" w:themeFill="background1" w:themeFillShade="D9"/>
            <w:vAlign w:val="bottom"/>
          </w:tcPr>
          <w:p w:rsidR="00B75C9E" w:rsidRPr="00D46D99" w:rsidRDefault="00B75C9E" w:rsidP="008B424C">
            <w:pPr>
              <w:pStyle w:val="TableBodyText"/>
            </w:pPr>
            <w:r w:rsidRPr="00D46D99">
              <w:t>0.2</w:t>
            </w:r>
          </w:p>
        </w:tc>
        <w:tc>
          <w:tcPr>
            <w:tcW w:w="437" w:type="pct"/>
            <w:shd w:val="clear" w:color="auto" w:fill="D9D9D9" w:themeFill="background1" w:themeFillShade="D9"/>
            <w:vAlign w:val="bottom"/>
          </w:tcPr>
          <w:p w:rsidR="00B75C9E" w:rsidRPr="00D46D99" w:rsidRDefault="00B75C9E" w:rsidP="008B424C">
            <w:pPr>
              <w:pStyle w:val="TableBodyText"/>
            </w:pPr>
            <w:r w:rsidRPr="00D46D99">
              <w:t>3.7</w:t>
            </w:r>
          </w:p>
        </w:tc>
        <w:tc>
          <w:tcPr>
            <w:tcW w:w="437" w:type="pct"/>
            <w:shd w:val="clear" w:color="auto" w:fill="D9D9D9" w:themeFill="background1" w:themeFillShade="D9"/>
            <w:vAlign w:val="bottom"/>
          </w:tcPr>
          <w:p w:rsidR="00B75C9E" w:rsidRPr="00D46D99" w:rsidRDefault="00B75C9E" w:rsidP="008B424C">
            <w:pPr>
              <w:pStyle w:val="TableBodyText"/>
            </w:pPr>
            <w:r w:rsidRPr="00D46D99">
              <w:t>30.4</w:t>
            </w:r>
          </w:p>
        </w:tc>
        <w:tc>
          <w:tcPr>
            <w:tcW w:w="437" w:type="pct"/>
            <w:shd w:val="clear" w:color="auto" w:fill="D9D9D9" w:themeFill="background1" w:themeFillShade="D9"/>
            <w:vAlign w:val="bottom"/>
          </w:tcPr>
          <w:p w:rsidR="00B75C9E" w:rsidRPr="00D46D99" w:rsidRDefault="00B75C9E" w:rsidP="008B424C">
            <w:pPr>
              <w:pStyle w:val="TableBodyText"/>
            </w:pPr>
            <w:r w:rsidRPr="00D46D99">
              <w:t>7.5</w:t>
            </w:r>
          </w:p>
        </w:tc>
      </w:tr>
      <w:tr w:rsidR="00B75C9E" w:rsidRPr="00D46D99" w:rsidTr="008B424C">
        <w:tc>
          <w:tcPr>
            <w:tcW w:w="1066" w:type="pct"/>
            <w:tcBorders>
              <w:bottom w:val="single" w:sz="6" w:space="0" w:color="auto"/>
            </w:tcBorders>
            <w:shd w:val="clear" w:color="auto" w:fill="auto"/>
            <w:vAlign w:val="bottom"/>
          </w:tcPr>
          <w:p w:rsidR="00B75C9E" w:rsidRPr="00D46D99" w:rsidRDefault="00B75C9E" w:rsidP="008B424C">
            <w:pPr>
              <w:spacing w:after="40"/>
              <w:rPr>
                <w:rFonts w:ascii="Arial" w:hAnsi="Arial" w:cs="Arial"/>
                <w:b/>
                <w:color w:val="000000"/>
                <w:sz w:val="20"/>
                <w:szCs w:val="20"/>
              </w:rPr>
            </w:pPr>
            <w:r w:rsidRPr="00D46D99">
              <w:rPr>
                <w:rFonts w:ascii="Arial" w:hAnsi="Arial" w:cs="Arial"/>
                <w:b/>
                <w:color w:val="000000"/>
                <w:sz w:val="20"/>
                <w:szCs w:val="20"/>
              </w:rPr>
              <w:t>Total</w:t>
            </w:r>
          </w:p>
        </w:tc>
        <w:tc>
          <w:tcPr>
            <w:tcW w:w="437" w:type="pct"/>
            <w:tcBorders>
              <w:bottom w:val="single" w:sz="6" w:space="0" w:color="auto"/>
            </w:tcBorders>
            <w:shd w:val="clear" w:color="auto" w:fill="auto"/>
            <w:vAlign w:val="bottom"/>
          </w:tcPr>
          <w:p w:rsidR="00B75C9E" w:rsidRPr="00D46D99" w:rsidRDefault="00B75C9E" w:rsidP="008B424C">
            <w:pPr>
              <w:pStyle w:val="TableBodyText"/>
              <w:rPr>
                <w:b/>
              </w:rPr>
            </w:pPr>
            <w:r w:rsidRPr="00D46D99">
              <w:rPr>
                <w:b/>
              </w:rPr>
              <w:t>100</w:t>
            </w:r>
          </w:p>
        </w:tc>
        <w:tc>
          <w:tcPr>
            <w:tcW w:w="437" w:type="pct"/>
            <w:tcBorders>
              <w:bottom w:val="single" w:sz="6" w:space="0" w:color="auto"/>
            </w:tcBorders>
            <w:shd w:val="clear" w:color="auto" w:fill="auto"/>
            <w:vAlign w:val="bottom"/>
          </w:tcPr>
          <w:p w:rsidR="00B75C9E" w:rsidRPr="00D46D99" w:rsidRDefault="00B75C9E" w:rsidP="008B424C">
            <w:pPr>
              <w:pStyle w:val="TableBodyText"/>
              <w:rPr>
                <w:b/>
              </w:rPr>
            </w:pPr>
            <w:r w:rsidRPr="00D46D99">
              <w:rPr>
                <w:b/>
              </w:rPr>
              <w:t>100</w:t>
            </w:r>
          </w:p>
        </w:tc>
        <w:tc>
          <w:tcPr>
            <w:tcW w:w="437" w:type="pct"/>
            <w:tcBorders>
              <w:bottom w:val="single" w:sz="6" w:space="0" w:color="auto"/>
            </w:tcBorders>
            <w:shd w:val="clear" w:color="auto" w:fill="auto"/>
            <w:vAlign w:val="bottom"/>
          </w:tcPr>
          <w:p w:rsidR="00B75C9E" w:rsidRPr="00D46D99" w:rsidRDefault="00B75C9E" w:rsidP="008B424C">
            <w:pPr>
              <w:pStyle w:val="TableBodyText"/>
              <w:rPr>
                <w:b/>
              </w:rPr>
            </w:pPr>
            <w:r w:rsidRPr="00D46D99">
              <w:rPr>
                <w:b/>
              </w:rPr>
              <w:t>100</w:t>
            </w:r>
          </w:p>
        </w:tc>
        <w:tc>
          <w:tcPr>
            <w:tcW w:w="437" w:type="pct"/>
            <w:tcBorders>
              <w:bottom w:val="single" w:sz="6" w:space="0" w:color="auto"/>
            </w:tcBorders>
            <w:shd w:val="clear" w:color="auto" w:fill="auto"/>
            <w:vAlign w:val="bottom"/>
          </w:tcPr>
          <w:p w:rsidR="00B75C9E" w:rsidRPr="00D46D99" w:rsidRDefault="00B75C9E" w:rsidP="008B424C">
            <w:pPr>
              <w:pStyle w:val="TableBodyText"/>
              <w:rPr>
                <w:b/>
              </w:rPr>
            </w:pPr>
            <w:r w:rsidRPr="00D46D99">
              <w:rPr>
                <w:b/>
              </w:rPr>
              <w:t>100</w:t>
            </w:r>
          </w:p>
        </w:tc>
        <w:tc>
          <w:tcPr>
            <w:tcW w:w="437" w:type="pct"/>
            <w:tcBorders>
              <w:bottom w:val="single" w:sz="6" w:space="0" w:color="auto"/>
            </w:tcBorders>
            <w:shd w:val="clear" w:color="auto" w:fill="auto"/>
            <w:vAlign w:val="bottom"/>
          </w:tcPr>
          <w:p w:rsidR="00B75C9E" w:rsidRPr="00D46D99" w:rsidRDefault="00B75C9E" w:rsidP="008B424C">
            <w:pPr>
              <w:pStyle w:val="TableBodyText"/>
              <w:rPr>
                <w:b/>
              </w:rPr>
            </w:pPr>
            <w:r w:rsidRPr="00D46D99">
              <w:rPr>
                <w:b/>
              </w:rPr>
              <w:t>100</w:t>
            </w:r>
          </w:p>
        </w:tc>
        <w:tc>
          <w:tcPr>
            <w:tcW w:w="437" w:type="pct"/>
            <w:tcBorders>
              <w:bottom w:val="single" w:sz="6" w:space="0" w:color="auto"/>
            </w:tcBorders>
            <w:shd w:val="clear" w:color="auto" w:fill="auto"/>
            <w:vAlign w:val="bottom"/>
          </w:tcPr>
          <w:p w:rsidR="00B75C9E" w:rsidRPr="00D46D99" w:rsidRDefault="00B75C9E" w:rsidP="008B424C">
            <w:pPr>
              <w:pStyle w:val="TableBodyText"/>
              <w:rPr>
                <w:b/>
              </w:rPr>
            </w:pPr>
            <w:r w:rsidRPr="00D46D99">
              <w:rPr>
                <w:b/>
              </w:rPr>
              <w:t>100</w:t>
            </w:r>
          </w:p>
        </w:tc>
        <w:tc>
          <w:tcPr>
            <w:tcW w:w="437" w:type="pct"/>
            <w:tcBorders>
              <w:bottom w:val="single" w:sz="6" w:space="0" w:color="auto"/>
            </w:tcBorders>
            <w:shd w:val="clear" w:color="auto" w:fill="auto"/>
            <w:vAlign w:val="bottom"/>
          </w:tcPr>
          <w:p w:rsidR="00B75C9E" w:rsidRPr="00D46D99" w:rsidRDefault="00B75C9E" w:rsidP="008B424C">
            <w:pPr>
              <w:pStyle w:val="TableBodyText"/>
              <w:rPr>
                <w:b/>
              </w:rPr>
            </w:pPr>
            <w:r w:rsidRPr="00D46D99">
              <w:rPr>
                <w:b/>
              </w:rPr>
              <w:t>100</w:t>
            </w:r>
          </w:p>
        </w:tc>
        <w:tc>
          <w:tcPr>
            <w:tcW w:w="437" w:type="pct"/>
            <w:tcBorders>
              <w:bottom w:val="single" w:sz="6" w:space="0" w:color="auto"/>
            </w:tcBorders>
            <w:shd w:val="clear" w:color="auto" w:fill="auto"/>
            <w:vAlign w:val="bottom"/>
          </w:tcPr>
          <w:p w:rsidR="00B75C9E" w:rsidRPr="00D46D99" w:rsidRDefault="00B75C9E" w:rsidP="008B424C">
            <w:pPr>
              <w:pStyle w:val="TableBodyText"/>
              <w:rPr>
                <w:b/>
              </w:rPr>
            </w:pPr>
            <w:r w:rsidRPr="00D46D99">
              <w:rPr>
                <w:b/>
              </w:rPr>
              <w:t>100</w:t>
            </w:r>
          </w:p>
        </w:tc>
        <w:tc>
          <w:tcPr>
            <w:tcW w:w="437" w:type="pct"/>
            <w:tcBorders>
              <w:bottom w:val="single" w:sz="6" w:space="0" w:color="auto"/>
            </w:tcBorders>
            <w:shd w:val="clear" w:color="auto" w:fill="auto"/>
            <w:vAlign w:val="bottom"/>
          </w:tcPr>
          <w:p w:rsidR="00B75C9E" w:rsidRPr="00D46D99" w:rsidRDefault="00B75C9E" w:rsidP="008B424C">
            <w:pPr>
              <w:pStyle w:val="TableBodyText"/>
              <w:rPr>
                <w:b/>
              </w:rPr>
            </w:pPr>
            <w:r w:rsidRPr="00D46D99">
              <w:rPr>
                <w:b/>
              </w:rPr>
              <w:t>100</w:t>
            </w:r>
          </w:p>
        </w:tc>
      </w:tr>
    </w:tbl>
    <w:p w:rsidR="002221AB" w:rsidRPr="009D71B1" w:rsidRDefault="00F84F50" w:rsidP="009D71B1">
      <w:pPr>
        <w:pStyle w:val="Note"/>
      </w:pPr>
      <w:r w:rsidRPr="009D71B1">
        <w:rPr>
          <w:rStyle w:val="NoteLabel"/>
        </w:rPr>
        <w:t>a</w:t>
      </w:r>
      <w:r w:rsidRPr="009D71B1" w:rsidDel="004B7F5A">
        <w:rPr>
          <w:rStyle w:val="NoteLabel"/>
          <w:b w:val="0"/>
          <w:position w:val="0"/>
        </w:rPr>
        <w:t xml:space="preserve"> </w:t>
      </w:r>
      <w:r w:rsidRPr="009D71B1">
        <w:t xml:space="preserve">For full subsector names see table </w:t>
      </w:r>
      <w:proofErr w:type="spellStart"/>
      <w:r w:rsidRPr="009D71B1">
        <w:t>B.2</w:t>
      </w:r>
      <w:proofErr w:type="spellEnd"/>
      <w:r w:rsidRPr="009D71B1">
        <w:t xml:space="preserve">. </w:t>
      </w:r>
      <w:r w:rsidR="002221AB" w:rsidRPr="009D71B1">
        <w:rPr>
          <w:rStyle w:val="NoteLabel"/>
        </w:rPr>
        <w:t>b</w:t>
      </w:r>
      <w:r w:rsidR="002221AB" w:rsidRPr="009D71B1">
        <w:t xml:space="preserve"> </w:t>
      </w:r>
      <w:r w:rsidR="00AF2645" w:rsidRPr="009D71B1">
        <w:t xml:space="preserve">There are some concordance issues between </w:t>
      </w:r>
      <w:r w:rsidR="00A83C0F" w:rsidRPr="009D71B1">
        <w:t>Manufacturing</w:t>
      </w:r>
      <w:r w:rsidR="00AF2645" w:rsidRPr="009D71B1">
        <w:t xml:space="preserve"> subsectors from </w:t>
      </w:r>
      <w:proofErr w:type="spellStart"/>
      <w:r w:rsidR="00AF2645" w:rsidRPr="009D71B1">
        <w:t>ANZSIC93</w:t>
      </w:r>
      <w:proofErr w:type="spellEnd"/>
      <w:r w:rsidR="00AF2645" w:rsidRPr="009D71B1">
        <w:t xml:space="preserve"> t</w:t>
      </w:r>
      <w:r w:rsidR="000F1FA4" w:rsidRPr="009D71B1">
        <w:t>o</w:t>
      </w:r>
      <w:r w:rsidR="00AF2645" w:rsidRPr="009D71B1">
        <w:t xml:space="preserve"> </w:t>
      </w:r>
      <w:proofErr w:type="spellStart"/>
      <w:r w:rsidR="00AF2645" w:rsidRPr="009D71B1">
        <w:t>ANZSIC</w:t>
      </w:r>
      <w:proofErr w:type="spellEnd"/>
      <w:r w:rsidR="00AF2645" w:rsidRPr="009D71B1">
        <w:t xml:space="preserve"> 06. </w:t>
      </w:r>
      <w:r w:rsidR="002221AB" w:rsidRPr="009D71B1">
        <w:t xml:space="preserve">For 2001-02, Printing includes </w:t>
      </w:r>
      <w:proofErr w:type="spellStart"/>
      <w:r w:rsidR="002221AB" w:rsidRPr="009D71B1">
        <w:t>IOIG</w:t>
      </w:r>
      <w:proofErr w:type="spellEnd"/>
      <w:r w:rsidR="002221AB" w:rsidRPr="009D71B1">
        <w:t xml:space="preserve"> 2401 ‘Printing and services to printing’; so as to best concord with </w:t>
      </w:r>
      <w:proofErr w:type="spellStart"/>
      <w:r w:rsidR="002221AB" w:rsidRPr="009D71B1">
        <w:t>ANZSIC06</w:t>
      </w:r>
      <w:proofErr w:type="spellEnd"/>
      <w:r w:rsidR="002221AB" w:rsidRPr="009D71B1">
        <w:t xml:space="preserve">, </w:t>
      </w:r>
      <w:proofErr w:type="spellStart"/>
      <w:r w:rsidR="002221AB" w:rsidRPr="009D71B1">
        <w:t>IOIG</w:t>
      </w:r>
      <w:proofErr w:type="spellEnd"/>
      <w:r w:rsidR="002221AB" w:rsidRPr="009D71B1">
        <w:t xml:space="preserve"> 2402 ‘Publishing; recorded media and publishing’ is not considered as Manufacturing and is therefore not included in either ‘Printing’ or in ‘Total </w:t>
      </w:r>
      <w:proofErr w:type="spellStart"/>
      <w:r w:rsidR="002221AB" w:rsidRPr="009D71B1">
        <w:t>Mfg</w:t>
      </w:r>
      <w:proofErr w:type="spellEnd"/>
      <w:r w:rsidR="002221AB" w:rsidRPr="009D71B1">
        <w:t xml:space="preserve">’. </w:t>
      </w:r>
      <w:r w:rsidRPr="009D71B1">
        <w:rPr>
          <w:rStyle w:val="NoteLabel"/>
        </w:rPr>
        <w:t>c</w:t>
      </w:r>
      <w:r w:rsidRPr="009D71B1">
        <w:t xml:space="preserve"> In this table, change in inventories is included in </w:t>
      </w:r>
      <w:proofErr w:type="spellStart"/>
      <w:r w:rsidRPr="009D71B1">
        <w:t>GFCF</w:t>
      </w:r>
      <w:proofErr w:type="spellEnd"/>
      <w:r w:rsidRPr="009D71B1">
        <w:t xml:space="preserve"> so it can therefore be negative.</w:t>
      </w:r>
    </w:p>
    <w:p w:rsidR="002221AB" w:rsidRPr="00D46D99" w:rsidRDefault="002221AB" w:rsidP="002221AB">
      <w:pPr>
        <w:pStyle w:val="Source"/>
        <w:spacing w:line="240" w:lineRule="auto"/>
      </w:pPr>
      <w:r w:rsidRPr="00D46D99">
        <w:rPr>
          <w:i/>
        </w:rPr>
        <w:t>Source</w:t>
      </w:r>
      <w:r w:rsidRPr="00D46D99">
        <w:t>: ABS (</w:t>
      </w:r>
      <w:r w:rsidRPr="00D46D99">
        <w:rPr>
          <w:i/>
        </w:rPr>
        <w:t>Australian National Accounts: Input-</w:t>
      </w:r>
      <w:r w:rsidR="00A0540E">
        <w:rPr>
          <w:i/>
        </w:rPr>
        <w:t>O</w:t>
      </w:r>
      <w:r w:rsidRPr="00D46D99">
        <w:rPr>
          <w:i/>
        </w:rPr>
        <w:t xml:space="preserve">utput Tables, </w:t>
      </w:r>
      <w:r w:rsidR="00A0540E" w:rsidRPr="00A0540E">
        <w:t>2001-02 and 2008-09 issues,</w:t>
      </w:r>
      <w:r w:rsidR="00A0540E">
        <w:rPr>
          <w:i/>
        </w:rPr>
        <w:t xml:space="preserve"> </w:t>
      </w:r>
      <w:r w:rsidRPr="00D46D99">
        <w:t>Cat.</w:t>
      </w:r>
      <w:r w:rsidR="008B424C">
        <w:t> </w:t>
      </w:r>
      <w:r w:rsidRPr="00D46D99">
        <w:t>no.</w:t>
      </w:r>
      <w:r w:rsidR="008B424C">
        <w:t> </w:t>
      </w:r>
      <w:r w:rsidRPr="00D46D99">
        <w:t>5209.0.55.001, Table 5)</w:t>
      </w:r>
      <w:r w:rsidR="003F69D2" w:rsidRPr="00D46D99">
        <w:t>.</w:t>
      </w:r>
    </w:p>
    <w:p w:rsidR="00F14D23" w:rsidRPr="00D46D99" w:rsidRDefault="00F14D23" w:rsidP="00F14D23">
      <w:pPr>
        <w:pStyle w:val="BodyText"/>
      </w:pPr>
      <w:r w:rsidRPr="00D46D99">
        <w:t xml:space="preserve">Manufacturing is an important supplier of goods for intermediate </w:t>
      </w:r>
      <w:r w:rsidR="000C4F40" w:rsidRPr="00D46D99">
        <w:t>us</w:t>
      </w:r>
      <w:r w:rsidR="000C4F40">
        <w:t>e</w:t>
      </w:r>
      <w:r w:rsidR="000C4F40" w:rsidRPr="00D46D99">
        <w:t xml:space="preserve"> </w:t>
      </w:r>
      <w:r w:rsidRPr="00D46D99">
        <w:t xml:space="preserve">both within the Manufacturing sector itself and to other sectors. This can be seen in table </w:t>
      </w:r>
      <w:proofErr w:type="spellStart"/>
      <w:r w:rsidR="00015228">
        <w:t>B.4</w:t>
      </w:r>
      <w:proofErr w:type="spellEnd"/>
      <w:r w:rsidR="007D6B4B">
        <w:t xml:space="preserve"> which shows a break</w:t>
      </w:r>
      <w:r w:rsidRPr="00D46D99">
        <w:t xml:space="preserve">down of intermediate and final demand for </w:t>
      </w:r>
      <w:r w:rsidR="00A83C0F">
        <w:t>Manufacturing</w:t>
      </w:r>
      <w:r w:rsidRPr="00D46D99">
        <w:t xml:space="preserve">. Well over a half of Australia’s </w:t>
      </w:r>
      <w:r w:rsidR="00A83C0F">
        <w:t>Manufacturing</w:t>
      </w:r>
      <w:r w:rsidRPr="00D46D99">
        <w:t xml:space="preserve"> output is supplied for domestic intermediate </w:t>
      </w:r>
      <w:r w:rsidR="000C4F40" w:rsidRPr="00D46D99">
        <w:t>us</w:t>
      </w:r>
      <w:r w:rsidR="000C4F40">
        <w:t>e</w:t>
      </w:r>
      <w:r w:rsidR="000C4F40" w:rsidRPr="00D46D99">
        <w:t xml:space="preserve"> </w:t>
      </w:r>
      <w:r w:rsidRPr="00D46D99">
        <w:t>and while this has remained largely unchanged over the last one and a half decades</w:t>
      </w:r>
      <w:r w:rsidRPr="00D46D99">
        <w:rPr>
          <w:rStyle w:val="FootnoteReference"/>
        </w:rPr>
        <w:footnoteReference w:id="2"/>
      </w:r>
      <w:r w:rsidR="000C4F40">
        <w:t xml:space="preserve"> at an aggregate level</w:t>
      </w:r>
      <w:r w:rsidRPr="00D46D99">
        <w:t xml:space="preserve">, there are disparate trends across the subsectors. </w:t>
      </w:r>
    </w:p>
    <w:p w:rsidR="002221AB" w:rsidRDefault="00F14D23" w:rsidP="001218CF">
      <w:pPr>
        <w:pStyle w:val="BodyText"/>
      </w:pPr>
      <w:r w:rsidRPr="00D46D99">
        <w:lastRenderedPageBreak/>
        <w:t xml:space="preserve">The majority of the output of Wood </w:t>
      </w:r>
      <w:r w:rsidR="00F4385D">
        <w:t>and</w:t>
      </w:r>
      <w:r w:rsidRPr="00D46D99">
        <w:t xml:space="preserve"> paper products (WP), </w:t>
      </w:r>
      <w:proofErr w:type="spellStart"/>
      <w:r w:rsidRPr="00D46D99">
        <w:t>PRM</w:t>
      </w:r>
      <w:proofErr w:type="spellEnd"/>
      <w:r w:rsidRPr="00D46D99">
        <w:t xml:space="preserve"> and NM goes to downstream intermediate users. These subsectors are therefore particularly affected by cyclical or structural fluctuations in their downstream use industries. WP, MP and NM are particularly reliant on domestic downstream intermediate users in Manufacturing (</w:t>
      </w:r>
      <w:r w:rsidR="00E637D6" w:rsidRPr="00D46D99">
        <w:t xml:space="preserve">table </w:t>
      </w:r>
      <w:proofErr w:type="spellStart"/>
      <w:r w:rsidR="00015228">
        <w:t>B.4</w:t>
      </w:r>
      <w:proofErr w:type="spellEnd"/>
      <w:r w:rsidR="00015228">
        <w:t>)</w:t>
      </w:r>
      <w:r w:rsidRPr="00D46D99">
        <w:t>. Other subsectors have a higher proportion of their output going to final consumption and exports.</w:t>
      </w:r>
      <w:r w:rsidR="00F05C4A">
        <w:t xml:space="preserve"> </w:t>
      </w:r>
      <w:r w:rsidR="002221AB" w:rsidRPr="00D46D99">
        <w:t xml:space="preserve">While in table </w:t>
      </w:r>
      <w:proofErr w:type="spellStart"/>
      <w:r w:rsidR="00015228">
        <w:t>B.4</w:t>
      </w:r>
      <w:proofErr w:type="spellEnd"/>
      <w:r w:rsidR="002221AB" w:rsidRPr="00D46D99">
        <w:t xml:space="preserve"> </w:t>
      </w:r>
      <w:proofErr w:type="spellStart"/>
      <w:r w:rsidR="001516C0" w:rsidRPr="00D46D99">
        <w:t>PRM</w:t>
      </w:r>
      <w:proofErr w:type="spellEnd"/>
      <w:r w:rsidR="002221AB" w:rsidRPr="00D46D99">
        <w:t xml:space="preserve"> has shown an increase in share of total supply going to intermediate use, the concordance problems associated with the introduction of the ANZSIC06 means that no clear conclusions can</w:t>
      </w:r>
      <w:r w:rsidR="00E637D6" w:rsidRPr="00D46D99">
        <w:t xml:space="preserve"> be drawn about this subsector.</w:t>
      </w:r>
    </w:p>
    <w:p w:rsidR="003955E1" w:rsidRDefault="003955E1" w:rsidP="001218CF">
      <w:pPr>
        <w:pStyle w:val="BodyText"/>
        <w:sectPr w:rsidR="003955E1" w:rsidSect="00D37D94">
          <w:headerReference w:type="even" r:id="rId18"/>
          <w:headerReference w:type="default" r:id="rId19"/>
          <w:footerReference w:type="even" r:id="rId20"/>
          <w:footerReference w:type="default" r:id="rId21"/>
          <w:headerReference w:type="first" r:id="rId22"/>
          <w:pgSz w:w="11907" w:h="16840" w:code="9"/>
          <w:pgMar w:top="1985" w:right="1304" w:bottom="1418" w:left="1814" w:header="1701" w:footer="567" w:gutter="0"/>
          <w:pgNumType w:chapStyle="1" w:chapSep="period"/>
          <w:cols w:space="720"/>
        </w:sectPr>
      </w:pPr>
    </w:p>
    <w:p w:rsidR="003955E1" w:rsidRPr="00D46D99" w:rsidRDefault="003955E1" w:rsidP="001218CF">
      <w:pPr>
        <w:pStyle w:val="BodyText"/>
      </w:pPr>
    </w:p>
    <w:sectPr w:rsidR="003955E1" w:rsidRPr="00D46D99" w:rsidSect="003955E1">
      <w:headerReference w:type="even" r:id="rId23"/>
      <w:footerReference w:type="even" r:id="rId24"/>
      <w:type w:val="evenPage"/>
      <w:pgSz w:w="11907" w:h="16840" w:code="9"/>
      <w:pgMar w:top="1985" w:right="1304" w:bottom="1418" w:left="1814" w:header="1701" w:footer="567" w:gutter="0"/>
      <w:pgNumType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4EC" w:rsidRDefault="001954EC">
      <w:r>
        <w:separator/>
      </w:r>
    </w:p>
  </w:endnote>
  <w:endnote w:type="continuationSeparator" w:id="0">
    <w:p w:rsidR="001954EC" w:rsidRDefault="00195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954EC">
      <w:trPr>
        <w:trHeight w:hRule="exact" w:val="740"/>
      </w:trPr>
      <w:tc>
        <w:tcPr>
          <w:tcW w:w="510" w:type="dxa"/>
          <w:tcBorders>
            <w:top w:val="single" w:sz="6" w:space="0" w:color="auto"/>
          </w:tcBorders>
        </w:tcPr>
        <w:p w:rsidR="001954EC" w:rsidRDefault="001954EC">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D5729">
            <w:rPr>
              <w:rStyle w:val="PageNumber"/>
              <w:noProof/>
            </w:rPr>
            <w:t>220</w:t>
          </w:r>
          <w:r>
            <w:rPr>
              <w:rStyle w:val="PageNumber"/>
            </w:rPr>
            <w:fldChar w:fldCharType="end"/>
          </w:r>
        </w:p>
      </w:tc>
      <w:tc>
        <w:tcPr>
          <w:tcW w:w="1644" w:type="dxa"/>
          <w:tcBorders>
            <w:top w:val="single" w:sz="6" w:space="0" w:color="auto"/>
          </w:tcBorders>
        </w:tcPr>
        <w:p w:rsidR="001954EC" w:rsidRDefault="005444B4">
          <w:pPr>
            <w:pStyle w:val="Footer"/>
          </w:pPr>
          <w:fldSimple w:instr=" SUBJECT  \* MERGEFORMAT ">
            <w:r>
              <w:t>Productivity in Manufacturing</w:t>
            </w:r>
          </w:fldSimple>
        </w:p>
      </w:tc>
      <w:tc>
        <w:tcPr>
          <w:tcW w:w="6634" w:type="dxa"/>
        </w:tcPr>
        <w:p w:rsidR="001954EC" w:rsidRDefault="001954EC">
          <w:pPr>
            <w:pStyle w:val="Footer"/>
          </w:pPr>
        </w:p>
      </w:tc>
    </w:tr>
  </w:tbl>
  <w:p w:rsidR="001954EC" w:rsidRDefault="001954E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954EC">
      <w:trPr>
        <w:trHeight w:hRule="exact" w:val="740"/>
      </w:trPr>
      <w:tc>
        <w:tcPr>
          <w:tcW w:w="6634" w:type="dxa"/>
        </w:tcPr>
        <w:p w:rsidR="001954EC" w:rsidRDefault="001954EC">
          <w:pPr>
            <w:pStyle w:val="Footer"/>
            <w:ind w:right="360" w:firstLine="360"/>
          </w:pPr>
        </w:p>
      </w:tc>
      <w:tc>
        <w:tcPr>
          <w:tcW w:w="1644" w:type="dxa"/>
          <w:tcBorders>
            <w:top w:val="single" w:sz="6" w:space="0" w:color="auto"/>
          </w:tcBorders>
        </w:tcPr>
        <w:p w:rsidR="001954EC" w:rsidRDefault="005444B4">
          <w:pPr>
            <w:pStyle w:val="Footer"/>
          </w:pPr>
          <w:fldSimple w:instr=" TITLE  \* MERGEFORMAT ">
            <w:r>
              <w:t>Manufacturing's input-output linkages</w:t>
            </w:r>
          </w:fldSimple>
        </w:p>
      </w:tc>
      <w:tc>
        <w:tcPr>
          <w:tcW w:w="510" w:type="dxa"/>
          <w:tcBorders>
            <w:top w:val="single" w:sz="6" w:space="0" w:color="auto"/>
          </w:tcBorders>
        </w:tcPr>
        <w:p w:rsidR="001954EC" w:rsidRDefault="001954EC">
          <w:pPr>
            <w:pStyle w:val="Footer"/>
            <w:jc w:val="right"/>
          </w:pPr>
          <w:r>
            <w:rPr>
              <w:rStyle w:val="PageNumber"/>
            </w:rPr>
            <w:fldChar w:fldCharType="begin"/>
          </w:r>
          <w:r>
            <w:rPr>
              <w:rStyle w:val="PageNumber"/>
            </w:rPr>
            <w:instrText xml:space="preserve">PAGE  </w:instrText>
          </w:r>
          <w:r>
            <w:rPr>
              <w:rStyle w:val="PageNumber"/>
            </w:rPr>
            <w:fldChar w:fldCharType="separate"/>
          </w:r>
          <w:r w:rsidR="000D5729">
            <w:rPr>
              <w:rStyle w:val="PageNumber"/>
              <w:noProof/>
            </w:rPr>
            <w:t>217</w:t>
          </w:r>
          <w:r>
            <w:rPr>
              <w:rStyle w:val="PageNumber"/>
            </w:rPr>
            <w:fldChar w:fldCharType="end"/>
          </w:r>
        </w:p>
      </w:tc>
    </w:tr>
  </w:tbl>
  <w:p w:rsidR="001954EC" w:rsidRDefault="001954E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4EC" w:rsidRDefault="001954EC">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0D5729">
      <w:rPr>
        <w:rStyle w:val="PageNumber"/>
        <w:noProof/>
      </w:rPr>
      <w:t>222</w:t>
    </w:r>
    <w:r>
      <w:rPr>
        <w:rStyle w:val="PageNumber"/>
      </w:rPr>
      <w:fldChar w:fldCharType="end"/>
    </w:r>
  </w:p>
  <w:p w:rsidR="001954EC" w:rsidRDefault="001954EC">
    <w:pPr>
      <w:pStyle w:val="FooterEnd"/>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4EC" w:rsidRDefault="001954EC">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7B4926">
      <w:rPr>
        <w:rStyle w:val="PageNumber"/>
        <w:noProof/>
      </w:rPr>
      <w:t>223</w:t>
    </w:r>
    <w:r>
      <w:rPr>
        <w:rStyle w:val="PageNumber"/>
      </w:rPr>
      <w:fldChar w:fldCharType="end"/>
    </w:r>
  </w:p>
  <w:p w:rsidR="001954EC" w:rsidRDefault="001954EC">
    <w:pPr>
      <w:pStyle w:val="Footer"/>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954EC">
      <w:trPr>
        <w:trHeight w:hRule="exact" w:val="740"/>
      </w:trPr>
      <w:tc>
        <w:tcPr>
          <w:tcW w:w="510" w:type="dxa"/>
          <w:tcBorders>
            <w:top w:val="single" w:sz="6" w:space="0" w:color="auto"/>
          </w:tcBorders>
        </w:tcPr>
        <w:p w:rsidR="001954EC" w:rsidRDefault="001954E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D5729">
            <w:rPr>
              <w:rStyle w:val="PageNumber"/>
              <w:noProof/>
            </w:rPr>
            <w:t>224</w:t>
          </w:r>
          <w:r>
            <w:rPr>
              <w:rStyle w:val="PageNumber"/>
            </w:rPr>
            <w:fldChar w:fldCharType="end"/>
          </w:r>
        </w:p>
      </w:tc>
      <w:tc>
        <w:tcPr>
          <w:tcW w:w="1644" w:type="dxa"/>
          <w:tcBorders>
            <w:top w:val="single" w:sz="6" w:space="0" w:color="auto"/>
          </w:tcBorders>
        </w:tcPr>
        <w:p w:rsidR="001954EC" w:rsidRDefault="005444B4" w:rsidP="0019293B">
          <w:pPr>
            <w:pStyle w:val="Footer"/>
          </w:pPr>
          <w:fldSimple w:instr=" SUBJECT  \* MERGEFORMAT ">
            <w:r>
              <w:t>Productivity in Manufacturing</w:t>
            </w:r>
          </w:fldSimple>
        </w:p>
      </w:tc>
      <w:tc>
        <w:tcPr>
          <w:tcW w:w="6634" w:type="dxa"/>
        </w:tcPr>
        <w:p w:rsidR="001954EC" w:rsidRDefault="001954EC" w:rsidP="0019293B">
          <w:pPr>
            <w:pStyle w:val="Footer"/>
          </w:pPr>
        </w:p>
      </w:tc>
    </w:tr>
  </w:tbl>
  <w:p w:rsidR="001954EC" w:rsidRDefault="001954EC" w:rsidP="0019293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954EC">
      <w:trPr>
        <w:trHeight w:hRule="exact" w:val="740"/>
      </w:trPr>
      <w:tc>
        <w:tcPr>
          <w:tcW w:w="6634" w:type="dxa"/>
        </w:tcPr>
        <w:p w:rsidR="001954EC" w:rsidRDefault="001954EC">
          <w:pPr>
            <w:pStyle w:val="Footer"/>
            <w:ind w:right="360" w:firstLine="360"/>
          </w:pPr>
        </w:p>
      </w:tc>
      <w:tc>
        <w:tcPr>
          <w:tcW w:w="1644" w:type="dxa"/>
          <w:tcBorders>
            <w:top w:val="single" w:sz="6" w:space="0" w:color="auto"/>
          </w:tcBorders>
        </w:tcPr>
        <w:p w:rsidR="001954EC" w:rsidRDefault="005444B4">
          <w:pPr>
            <w:pStyle w:val="Footer"/>
          </w:pPr>
          <w:fldSimple w:instr=" TITLE  \* MERGEFORMAT ">
            <w:r>
              <w:t>Manufacturing's input-output linkages</w:t>
            </w:r>
          </w:fldSimple>
        </w:p>
      </w:tc>
      <w:tc>
        <w:tcPr>
          <w:tcW w:w="510" w:type="dxa"/>
          <w:tcBorders>
            <w:top w:val="single" w:sz="6" w:space="0" w:color="auto"/>
          </w:tcBorders>
        </w:tcPr>
        <w:p w:rsidR="001954EC" w:rsidRDefault="001954EC">
          <w:pPr>
            <w:pStyle w:val="Footer"/>
            <w:jc w:val="right"/>
          </w:pPr>
          <w:r>
            <w:rPr>
              <w:rStyle w:val="PageNumber"/>
            </w:rPr>
            <w:fldChar w:fldCharType="begin"/>
          </w:r>
          <w:r>
            <w:rPr>
              <w:rStyle w:val="PageNumber"/>
            </w:rPr>
            <w:instrText xml:space="preserve">PAGE  </w:instrText>
          </w:r>
          <w:r>
            <w:rPr>
              <w:rStyle w:val="PageNumber"/>
            </w:rPr>
            <w:fldChar w:fldCharType="separate"/>
          </w:r>
          <w:r w:rsidR="000D5729">
            <w:rPr>
              <w:rStyle w:val="PageNumber"/>
              <w:noProof/>
            </w:rPr>
            <w:t>225</w:t>
          </w:r>
          <w:r>
            <w:rPr>
              <w:rStyle w:val="PageNumber"/>
            </w:rPr>
            <w:fldChar w:fldCharType="end"/>
          </w:r>
        </w:p>
      </w:tc>
    </w:tr>
  </w:tbl>
  <w:p w:rsidR="001954EC" w:rsidRDefault="001954EC">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955E1">
      <w:trPr>
        <w:trHeight w:hRule="exact" w:val="740"/>
      </w:trPr>
      <w:tc>
        <w:tcPr>
          <w:tcW w:w="510" w:type="dxa"/>
          <w:tcBorders>
            <w:top w:val="single" w:sz="6" w:space="0" w:color="auto"/>
          </w:tcBorders>
        </w:tcPr>
        <w:p w:rsidR="003955E1" w:rsidRDefault="003955E1"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85026">
            <w:rPr>
              <w:rStyle w:val="PageNumber"/>
              <w:noProof/>
            </w:rPr>
            <w:t>226</w:t>
          </w:r>
          <w:r>
            <w:rPr>
              <w:rStyle w:val="PageNumber"/>
            </w:rPr>
            <w:fldChar w:fldCharType="end"/>
          </w:r>
        </w:p>
      </w:tc>
      <w:tc>
        <w:tcPr>
          <w:tcW w:w="1644" w:type="dxa"/>
          <w:tcBorders>
            <w:top w:val="single" w:sz="6" w:space="0" w:color="auto"/>
          </w:tcBorders>
        </w:tcPr>
        <w:p w:rsidR="003955E1" w:rsidRDefault="000D5729" w:rsidP="0019293B">
          <w:pPr>
            <w:pStyle w:val="Footer"/>
          </w:pPr>
          <w:r>
            <w:fldChar w:fldCharType="begin"/>
          </w:r>
          <w:r>
            <w:instrText xml:space="preserve"> SUBJECT  \* MERGEFORMAT </w:instrText>
          </w:r>
          <w:r>
            <w:fldChar w:fldCharType="separate"/>
          </w:r>
          <w:r w:rsidR="005444B4">
            <w:t>Productivity in Manufacturing</w:t>
          </w:r>
          <w:r>
            <w:fldChar w:fldCharType="end"/>
          </w:r>
        </w:p>
      </w:tc>
      <w:tc>
        <w:tcPr>
          <w:tcW w:w="6634" w:type="dxa"/>
        </w:tcPr>
        <w:p w:rsidR="003955E1" w:rsidRDefault="003955E1" w:rsidP="0019293B">
          <w:pPr>
            <w:pStyle w:val="Footer"/>
          </w:pPr>
        </w:p>
      </w:tc>
    </w:tr>
  </w:tbl>
  <w:p w:rsidR="003955E1" w:rsidRDefault="003955E1" w:rsidP="0019293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4EC" w:rsidRDefault="001954EC">
      <w:r>
        <w:separator/>
      </w:r>
    </w:p>
  </w:footnote>
  <w:footnote w:type="continuationSeparator" w:id="0">
    <w:p w:rsidR="001954EC" w:rsidRDefault="001954EC">
      <w:r>
        <w:continuationSeparator/>
      </w:r>
    </w:p>
  </w:footnote>
  <w:footnote w:id="1">
    <w:p w:rsidR="001954EC" w:rsidRDefault="001954EC" w:rsidP="00227B2A">
      <w:pPr>
        <w:pStyle w:val="FootnoteText"/>
      </w:pPr>
      <w:r>
        <w:rPr>
          <w:rStyle w:val="FootnoteReference"/>
        </w:rPr>
        <w:footnoteRef/>
      </w:r>
      <w:r>
        <w:t xml:space="preserve"> </w:t>
      </w:r>
      <w:r>
        <w:tab/>
        <w:t xml:space="preserve">The ABS </w:t>
      </w:r>
      <w:r w:rsidRPr="00703500">
        <w:rPr>
          <w:i/>
        </w:rPr>
        <w:t>Australian and New Zealand Standard Industrial Classification</w:t>
      </w:r>
      <w:r>
        <w:rPr>
          <w:i/>
        </w:rPr>
        <w:t xml:space="preserve"> </w:t>
      </w:r>
      <w:r w:rsidRPr="00703500">
        <w:t>(</w:t>
      </w:r>
      <w:r w:rsidRPr="00BB1763">
        <w:t xml:space="preserve">ABS </w:t>
      </w:r>
      <w:proofErr w:type="spellStart"/>
      <w:r w:rsidRPr="00BB1763">
        <w:t>2006</w:t>
      </w:r>
      <w:r w:rsidR="004B2861">
        <w:t>b</w:t>
      </w:r>
      <w:proofErr w:type="spellEnd"/>
      <w:r w:rsidRPr="00703500">
        <w:t>)</w:t>
      </w:r>
      <w:r>
        <w:t>.</w:t>
      </w:r>
    </w:p>
  </w:footnote>
  <w:footnote w:id="2">
    <w:p w:rsidR="001954EC" w:rsidRDefault="001954EC" w:rsidP="00F14D23">
      <w:pPr>
        <w:pStyle w:val="FootnoteText"/>
      </w:pPr>
      <w:r>
        <w:rPr>
          <w:rStyle w:val="FootnoteReference"/>
        </w:rPr>
        <w:footnoteRef/>
      </w:r>
      <w:r>
        <w:t xml:space="preserve"> </w:t>
      </w:r>
      <w:r>
        <w:tab/>
        <w:t>This is based on a comparison with 1994-95 IO tables.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954EC">
      <w:tc>
        <w:tcPr>
          <w:tcW w:w="2155" w:type="dxa"/>
          <w:tcBorders>
            <w:top w:val="single" w:sz="24" w:space="0" w:color="auto"/>
          </w:tcBorders>
        </w:tcPr>
        <w:p w:rsidR="001954EC" w:rsidRDefault="001954EC">
          <w:pPr>
            <w:pStyle w:val="HeaderEven"/>
          </w:pPr>
        </w:p>
      </w:tc>
      <w:tc>
        <w:tcPr>
          <w:tcW w:w="6634" w:type="dxa"/>
          <w:tcBorders>
            <w:top w:val="single" w:sz="6" w:space="0" w:color="auto"/>
          </w:tcBorders>
        </w:tcPr>
        <w:p w:rsidR="001954EC" w:rsidRDefault="001954EC">
          <w:pPr>
            <w:pStyle w:val="HeaderEven"/>
          </w:pPr>
        </w:p>
      </w:tc>
    </w:tr>
  </w:tbl>
  <w:p w:rsidR="001954EC" w:rsidRDefault="001954E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954EC">
      <w:tc>
        <w:tcPr>
          <w:tcW w:w="6634" w:type="dxa"/>
          <w:tcBorders>
            <w:top w:val="single" w:sz="6" w:space="0" w:color="auto"/>
          </w:tcBorders>
        </w:tcPr>
        <w:p w:rsidR="001954EC" w:rsidRDefault="001954EC">
          <w:pPr>
            <w:pStyle w:val="HeaderOdd"/>
          </w:pPr>
        </w:p>
      </w:tc>
      <w:tc>
        <w:tcPr>
          <w:tcW w:w="2155" w:type="dxa"/>
          <w:tcBorders>
            <w:top w:val="single" w:sz="24" w:space="0" w:color="auto"/>
          </w:tcBorders>
        </w:tcPr>
        <w:p w:rsidR="001954EC" w:rsidRDefault="001954EC">
          <w:pPr>
            <w:pStyle w:val="HeaderOdd"/>
          </w:pPr>
        </w:p>
      </w:tc>
    </w:tr>
  </w:tbl>
  <w:p w:rsidR="001954EC" w:rsidRDefault="001954E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4EC" w:rsidRDefault="001954E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4EC" w:rsidRDefault="001954EC">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4EC" w:rsidRDefault="001954E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954EC">
      <w:tc>
        <w:tcPr>
          <w:tcW w:w="2155" w:type="dxa"/>
          <w:tcBorders>
            <w:top w:val="single" w:sz="24" w:space="0" w:color="auto"/>
          </w:tcBorders>
        </w:tcPr>
        <w:p w:rsidR="001954EC" w:rsidRDefault="001954EC" w:rsidP="0019293B">
          <w:pPr>
            <w:pStyle w:val="HeaderEven"/>
          </w:pPr>
        </w:p>
      </w:tc>
      <w:tc>
        <w:tcPr>
          <w:tcW w:w="6634" w:type="dxa"/>
          <w:tcBorders>
            <w:top w:val="single" w:sz="6" w:space="0" w:color="auto"/>
          </w:tcBorders>
        </w:tcPr>
        <w:p w:rsidR="001954EC" w:rsidRDefault="001954EC" w:rsidP="0019293B">
          <w:pPr>
            <w:pStyle w:val="HeaderEven"/>
          </w:pPr>
        </w:p>
      </w:tc>
    </w:tr>
  </w:tbl>
  <w:p w:rsidR="001954EC" w:rsidRDefault="001954EC" w:rsidP="0019293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954EC">
      <w:tc>
        <w:tcPr>
          <w:tcW w:w="6634" w:type="dxa"/>
          <w:tcBorders>
            <w:top w:val="single" w:sz="6" w:space="0" w:color="auto"/>
          </w:tcBorders>
        </w:tcPr>
        <w:p w:rsidR="001954EC" w:rsidRDefault="001954EC" w:rsidP="00E669E2">
          <w:pPr>
            <w:pStyle w:val="HeaderOdd"/>
          </w:pPr>
        </w:p>
      </w:tc>
      <w:tc>
        <w:tcPr>
          <w:tcW w:w="2155" w:type="dxa"/>
          <w:tcBorders>
            <w:top w:val="single" w:sz="24" w:space="0" w:color="auto"/>
          </w:tcBorders>
        </w:tcPr>
        <w:p w:rsidR="001954EC" w:rsidRDefault="001954EC" w:rsidP="00E669E2">
          <w:pPr>
            <w:pStyle w:val="HeaderOdd"/>
          </w:pPr>
        </w:p>
      </w:tc>
    </w:tr>
  </w:tbl>
  <w:p w:rsidR="001954EC" w:rsidRDefault="001954EC" w:rsidP="00E669E2">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4EC" w:rsidRDefault="001954E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E1" w:rsidRDefault="003955E1" w:rsidP="0019293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249C18"/>
    <w:lvl w:ilvl="0">
      <w:start w:val="1"/>
      <w:numFmt w:val="decimal"/>
      <w:lvlText w:val="%1."/>
      <w:lvlJc w:val="left"/>
      <w:pPr>
        <w:tabs>
          <w:tab w:val="num" w:pos="1492"/>
        </w:tabs>
        <w:ind w:left="1492" w:hanging="360"/>
      </w:pPr>
    </w:lvl>
  </w:abstractNum>
  <w:abstractNum w:abstractNumId="1">
    <w:nsid w:val="FFFFFF7D"/>
    <w:multiLevelType w:val="singleLevel"/>
    <w:tmpl w:val="B03A185C"/>
    <w:lvl w:ilvl="0">
      <w:start w:val="1"/>
      <w:numFmt w:val="decimal"/>
      <w:lvlText w:val="%1."/>
      <w:lvlJc w:val="left"/>
      <w:pPr>
        <w:tabs>
          <w:tab w:val="num" w:pos="1209"/>
        </w:tabs>
        <w:ind w:left="1209" w:hanging="360"/>
      </w:pPr>
    </w:lvl>
  </w:abstractNum>
  <w:abstractNum w:abstractNumId="2">
    <w:nsid w:val="FFFFFF80"/>
    <w:multiLevelType w:val="singleLevel"/>
    <w:tmpl w:val="5F40A6E8"/>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51488DB8"/>
    <w:lvl w:ilvl="0">
      <w:start w:val="1"/>
      <w:numFmt w:val="bullet"/>
      <w:lvlText w:val=""/>
      <w:lvlJc w:val="left"/>
      <w:pPr>
        <w:tabs>
          <w:tab w:val="num" w:pos="1209"/>
        </w:tabs>
        <w:ind w:left="1209" w:hanging="360"/>
      </w:pPr>
      <w:rPr>
        <w:rFonts w:ascii="Symbol" w:hAnsi="Symbol" w:hint="default"/>
      </w:rPr>
    </w:lvl>
  </w:abstractNum>
  <w:abstractNum w:abstractNumId="4">
    <w:nsid w:val="FFFFFFFE"/>
    <w:multiLevelType w:val="singleLevel"/>
    <w:tmpl w:val="FFFFFFFF"/>
    <w:lvl w:ilvl="0">
      <w:numFmt w:val="decimal"/>
      <w:lvlText w:val="*"/>
      <w:lvlJc w:val="left"/>
    </w:lvl>
  </w:abstractNum>
  <w:abstractNum w:abstractNumId="5">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7">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8">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20"/>
  </w:num>
  <w:num w:numId="3">
    <w:abstractNumId w:val="5"/>
  </w:num>
  <w:num w:numId="4">
    <w:abstractNumId w:val="15"/>
  </w:num>
  <w:num w:numId="5">
    <w:abstractNumId w:val="6"/>
  </w:num>
  <w:num w:numId="6">
    <w:abstractNumId w:val="19"/>
  </w:num>
  <w:num w:numId="7">
    <w:abstractNumId w:val="17"/>
  </w:num>
  <w:num w:numId="8">
    <w:abstractNumId w:val="21"/>
  </w:num>
  <w:num w:numId="9">
    <w:abstractNumId w:val="10"/>
  </w:num>
  <w:num w:numId="10">
    <w:abstractNumId w:val="16"/>
  </w:num>
  <w:num w:numId="11">
    <w:abstractNumId w:val="9"/>
  </w:num>
  <w:num w:numId="12">
    <w:abstractNumId w:val="8"/>
  </w:num>
  <w:num w:numId="13">
    <w:abstractNumId w:val="11"/>
  </w:num>
  <w:num w:numId="14">
    <w:abstractNumId w:val="12"/>
  </w:num>
  <w:num w:numId="15">
    <w:abstractNumId w:val="14"/>
  </w:num>
  <w:num w:numId="16">
    <w:abstractNumId w:val="7"/>
  </w:num>
  <w:num w:numId="17">
    <w:abstractNumId w:val="18"/>
  </w:num>
  <w:num w:numId="18">
    <w:abstractNumId w:val="3"/>
  </w:num>
  <w:num w:numId="19">
    <w:abstractNumId w:val="2"/>
  </w:num>
  <w:num w:numId="20">
    <w:abstractNumId w:val="1"/>
  </w:num>
  <w:num w:numId="21">
    <w:abstractNumId w:val="0"/>
  </w:num>
  <w:num w:numId="22">
    <w:abstractNumId w:val="4"/>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Manufacturing's input-output linkages"/>
    <w:docVar w:name="ShortReportTitle" w:val="Productivity in Manufacturing"/>
  </w:docVars>
  <w:rsids>
    <w:rsidRoot w:val="00BF54AE"/>
    <w:rsid w:val="00006649"/>
    <w:rsid w:val="00015228"/>
    <w:rsid w:val="00016F14"/>
    <w:rsid w:val="000227D5"/>
    <w:rsid w:val="000245AA"/>
    <w:rsid w:val="00024F32"/>
    <w:rsid w:val="0002587B"/>
    <w:rsid w:val="0003664B"/>
    <w:rsid w:val="00037D3B"/>
    <w:rsid w:val="0004111F"/>
    <w:rsid w:val="0005140D"/>
    <w:rsid w:val="000565B3"/>
    <w:rsid w:val="0007150B"/>
    <w:rsid w:val="00077574"/>
    <w:rsid w:val="00081742"/>
    <w:rsid w:val="00085026"/>
    <w:rsid w:val="00087317"/>
    <w:rsid w:val="00087992"/>
    <w:rsid w:val="000938F5"/>
    <w:rsid w:val="00096E55"/>
    <w:rsid w:val="000B4C42"/>
    <w:rsid w:val="000B601B"/>
    <w:rsid w:val="000B6145"/>
    <w:rsid w:val="000C207E"/>
    <w:rsid w:val="000C453D"/>
    <w:rsid w:val="000C49C4"/>
    <w:rsid w:val="000C4F40"/>
    <w:rsid w:val="000C54D9"/>
    <w:rsid w:val="000D5729"/>
    <w:rsid w:val="000D7B92"/>
    <w:rsid w:val="000E090B"/>
    <w:rsid w:val="000E7F52"/>
    <w:rsid w:val="000F0035"/>
    <w:rsid w:val="000F1FA4"/>
    <w:rsid w:val="000F420B"/>
    <w:rsid w:val="0010703C"/>
    <w:rsid w:val="00110116"/>
    <w:rsid w:val="00110A53"/>
    <w:rsid w:val="0011257A"/>
    <w:rsid w:val="00120072"/>
    <w:rsid w:val="001218CF"/>
    <w:rsid w:val="00124777"/>
    <w:rsid w:val="00126EB8"/>
    <w:rsid w:val="001274D4"/>
    <w:rsid w:val="001363AA"/>
    <w:rsid w:val="001368F8"/>
    <w:rsid w:val="00137BC6"/>
    <w:rsid w:val="00144A81"/>
    <w:rsid w:val="001516C0"/>
    <w:rsid w:val="0015427B"/>
    <w:rsid w:val="00171E81"/>
    <w:rsid w:val="00177F42"/>
    <w:rsid w:val="00183BD5"/>
    <w:rsid w:val="00183E82"/>
    <w:rsid w:val="001878BB"/>
    <w:rsid w:val="00191AE0"/>
    <w:rsid w:val="0019293B"/>
    <w:rsid w:val="00194728"/>
    <w:rsid w:val="001954EC"/>
    <w:rsid w:val="001A70AA"/>
    <w:rsid w:val="001C0865"/>
    <w:rsid w:val="001C3ABA"/>
    <w:rsid w:val="001D48B4"/>
    <w:rsid w:val="001E16CB"/>
    <w:rsid w:val="001E7BE8"/>
    <w:rsid w:val="001F0248"/>
    <w:rsid w:val="001F3EB3"/>
    <w:rsid w:val="001F4F86"/>
    <w:rsid w:val="001F73B7"/>
    <w:rsid w:val="00202C2C"/>
    <w:rsid w:val="00210945"/>
    <w:rsid w:val="0021231B"/>
    <w:rsid w:val="002135AB"/>
    <w:rsid w:val="002144BE"/>
    <w:rsid w:val="002221AB"/>
    <w:rsid w:val="00227B2A"/>
    <w:rsid w:val="0024215C"/>
    <w:rsid w:val="00242279"/>
    <w:rsid w:val="002448A1"/>
    <w:rsid w:val="00245C82"/>
    <w:rsid w:val="00246FE9"/>
    <w:rsid w:val="00274FD3"/>
    <w:rsid w:val="00281B7D"/>
    <w:rsid w:val="00291B40"/>
    <w:rsid w:val="002A7C6E"/>
    <w:rsid w:val="002B4008"/>
    <w:rsid w:val="002C28C2"/>
    <w:rsid w:val="002C3FE0"/>
    <w:rsid w:val="002C6B1D"/>
    <w:rsid w:val="002D0355"/>
    <w:rsid w:val="002D0E8E"/>
    <w:rsid w:val="002D3E57"/>
    <w:rsid w:val="002D6708"/>
    <w:rsid w:val="002E429A"/>
    <w:rsid w:val="002F1FBC"/>
    <w:rsid w:val="002F4435"/>
    <w:rsid w:val="002F6D4B"/>
    <w:rsid w:val="00301189"/>
    <w:rsid w:val="00323E09"/>
    <w:rsid w:val="00333932"/>
    <w:rsid w:val="00344680"/>
    <w:rsid w:val="003502F9"/>
    <w:rsid w:val="003518AA"/>
    <w:rsid w:val="00352165"/>
    <w:rsid w:val="00353182"/>
    <w:rsid w:val="003565D9"/>
    <w:rsid w:val="003602E1"/>
    <w:rsid w:val="00365DEE"/>
    <w:rsid w:val="0037026F"/>
    <w:rsid w:val="00371240"/>
    <w:rsid w:val="00374731"/>
    <w:rsid w:val="00376E59"/>
    <w:rsid w:val="0038430F"/>
    <w:rsid w:val="003919F9"/>
    <w:rsid w:val="00391BF0"/>
    <w:rsid w:val="0039310C"/>
    <w:rsid w:val="003955E1"/>
    <w:rsid w:val="003B0660"/>
    <w:rsid w:val="003C38B5"/>
    <w:rsid w:val="003C5D99"/>
    <w:rsid w:val="003D1496"/>
    <w:rsid w:val="003E2F59"/>
    <w:rsid w:val="003E468A"/>
    <w:rsid w:val="003E749C"/>
    <w:rsid w:val="003F0789"/>
    <w:rsid w:val="003F12D6"/>
    <w:rsid w:val="003F529F"/>
    <w:rsid w:val="003F69D2"/>
    <w:rsid w:val="00401882"/>
    <w:rsid w:val="00403C38"/>
    <w:rsid w:val="00406838"/>
    <w:rsid w:val="004100C8"/>
    <w:rsid w:val="00411DBD"/>
    <w:rsid w:val="00412ACE"/>
    <w:rsid w:val="00421ADC"/>
    <w:rsid w:val="00431249"/>
    <w:rsid w:val="00434C19"/>
    <w:rsid w:val="0043644C"/>
    <w:rsid w:val="00446B64"/>
    <w:rsid w:val="00450810"/>
    <w:rsid w:val="00466044"/>
    <w:rsid w:val="00474904"/>
    <w:rsid w:val="00477144"/>
    <w:rsid w:val="00480AA6"/>
    <w:rsid w:val="00486C36"/>
    <w:rsid w:val="00491380"/>
    <w:rsid w:val="0049459F"/>
    <w:rsid w:val="004A38DD"/>
    <w:rsid w:val="004A42ED"/>
    <w:rsid w:val="004B2861"/>
    <w:rsid w:val="004B2AF4"/>
    <w:rsid w:val="004B43AE"/>
    <w:rsid w:val="004B699F"/>
    <w:rsid w:val="004B728C"/>
    <w:rsid w:val="004B7F5A"/>
    <w:rsid w:val="004C12BF"/>
    <w:rsid w:val="004C30ED"/>
    <w:rsid w:val="004D5675"/>
    <w:rsid w:val="004F4AB6"/>
    <w:rsid w:val="004F4ED8"/>
    <w:rsid w:val="004F788F"/>
    <w:rsid w:val="00514504"/>
    <w:rsid w:val="0052085B"/>
    <w:rsid w:val="00523639"/>
    <w:rsid w:val="00525E6F"/>
    <w:rsid w:val="00531FE5"/>
    <w:rsid w:val="00533221"/>
    <w:rsid w:val="005402FA"/>
    <w:rsid w:val="00541686"/>
    <w:rsid w:val="005444B4"/>
    <w:rsid w:val="00562628"/>
    <w:rsid w:val="0056445E"/>
    <w:rsid w:val="005713E4"/>
    <w:rsid w:val="00582B5B"/>
    <w:rsid w:val="00583C39"/>
    <w:rsid w:val="00587F28"/>
    <w:rsid w:val="005909CF"/>
    <w:rsid w:val="00591E71"/>
    <w:rsid w:val="005A0D41"/>
    <w:rsid w:val="005B5006"/>
    <w:rsid w:val="005C1531"/>
    <w:rsid w:val="005C5735"/>
    <w:rsid w:val="005D78E5"/>
    <w:rsid w:val="005E14EC"/>
    <w:rsid w:val="005E3F73"/>
    <w:rsid w:val="005E5D51"/>
    <w:rsid w:val="005E68E7"/>
    <w:rsid w:val="005F45F3"/>
    <w:rsid w:val="005F6943"/>
    <w:rsid w:val="00601BA9"/>
    <w:rsid w:val="00607BF1"/>
    <w:rsid w:val="00610DD3"/>
    <w:rsid w:val="00630D4D"/>
    <w:rsid w:val="00632A74"/>
    <w:rsid w:val="006418C9"/>
    <w:rsid w:val="006472E3"/>
    <w:rsid w:val="0066398B"/>
    <w:rsid w:val="006836D7"/>
    <w:rsid w:val="006A2B77"/>
    <w:rsid w:val="006A3AF3"/>
    <w:rsid w:val="006A4655"/>
    <w:rsid w:val="006B2B3C"/>
    <w:rsid w:val="006B2DFC"/>
    <w:rsid w:val="006B3194"/>
    <w:rsid w:val="006B5014"/>
    <w:rsid w:val="006C1D81"/>
    <w:rsid w:val="006C7038"/>
    <w:rsid w:val="006D6D07"/>
    <w:rsid w:val="006E05D8"/>
    <w:rsid w:val="006E73EF"/>
    <w:rsid w:val="006F0891"/>
    <w:rsid w:val="006F0B3F"/>
    <w:rsid w:val="00703500"/>
    <w:rsid w:val="00714A0D"/>
    <w:rsid w:val="00714D4D"/>
    <w:rsid w:val="0071671A"/>
    <w:rsid w:val="00726289"/>
    <w:rsid w:val="007604BB"/>
    <w:rsid w:val="0076256B"/>
    <w:rsid w:val="007667D4"/>
    <w:rsid w:val="00785232"/>
    <w:rsid w:val="007931C4"/>
    <w:rsid w:val="007A0244"/>
    <w:rsid w:val="007A21EB"/>
    <w:rsid w:val="007B1A93"/>
    <w:rsid w:val="007B4926"/>
    <w:rsid w:val="007C36C9"/>
    <w:rsid w:val="007D6401"/>
    <w:rsid w:val="007D6B4B"/>
    <w:rsid w:val="007E01E4"/>
    <w:rsid w:val="007F09D9"/>
    <w:rsid w:val="007F7107"/>
    <w:rsid w:val="00800D4C"/>
    <w:rsid w:val="0081030F"/>
    <w:rsid w:val="0082087D"/>
    <w:rsid w:val="00820ED7"/>
    <w:rsid w:val="00826769"/>
    <w:rsid w:val="008353DF"/>
    <w:rsid w:val="00835771"/>
    <w:rsid w:val="00836522"/>
    <w:rsid w:val="00841F7A"/>
    <w:rsid w:val="00842933"/>
    <w:rsid w:val="00846830"/>
    <w:rsid w:val="00847B80"/>
    <w:rsid w:val="00855DE5"/>
    <w:rsid w:val="0086082C"/>
    <w:rsid w:val="00864ADC"/>
    <w:rsid w:val="00880153"/>
    <w:rsid w:val="00880A64"/>
    <w:rsid w:val="00880F97"/>
    <w:rsid w:val="0088133A"/>
    <w:rsid w:val="0089285E"/>
    <w:rsid w:val="0089436C"/>
    <w:rsid w:val="008B424C"/>
    <w:rsid w:val="008B715B"/>
    <w:rsid w:val="008C31F8"/>
    <w:rsid w:val="008C3BC4"/>
    <w:rsid w:val="008D365C"/>
    <w:rsid w:val="008D5710"/>
    <w:rsid w:val="008E0289"/>
    <w:rsid w:val="008E1E4C"/>
    <w:rsid w:val="008E35B8"/>
    <w:rsid w:val="008F5DB6"/>
    <w:rsid w:val="009030BF"/>
    <w:rsid w:val="0091032F"/>
    <w:rsid w:val="00914368"/>
    <w:rsid w:val="009174A6"/>
    <w:rsid w:val="00931076"/>
    <w:rsid w:val="009345D9"/>
    <w:rsid w:val="00934B15"/>
    <w:rsid w:val="00940C87"/>
    <w:rsid w:val="00942B62"/>
    <w:rsid w:val="0095323B"/>
    <w:rsid w:val="00956A0C"/>
    <w:rsid w:val="00956BD9"/>
    <w:rsid w:val="00962489"/>
    <w:rsid w:val="00972B6F"/>
    <w:rsid w:val="0098404E"/>
    <w:rsid w:val="00986DCF"/>
    <w:rsid w:val="00990C2C"/>
    <w:rsid w:val="009A2A3A"/>
    <w:rsid w:val="009A3830"/>
    <w:rsid w:val="009A3BF1"/>
    <w:rsid w:val="009A625A"/>
    <w:rsid w:val="009B0E0E"/>
    <w:rsid w:val="009D29A0"/>
    <w:rsid w:val="009D71B1"/>
    <w:rsid w:val="009E1844"/>
    <w:rsid w:val="009F0D1B"/>
    <w:rsid w:val="009F12C9"/>
    <w:rsid w:val="009F1D48"/>
    <w:rsid w:val="009F696D"/>
    <w:rsid w:val="009F6BC6"/>
    <w:rsid w:val="00A0540E"/>
    <w:rsid w:val="00A07E21"/>
    <w:rsid w:val="00A113CE"/>
    <w:rsid w:val="00A1593C"/>
    <w:rsid w:val="00A17328"/>
    <w:rsid w:val="00A21242"/>
    <w:rsid w:val="00A21562"/>
    <w:rsid w:val="00A23A20"/>
    <w:rsid w:val="00A26365"/>
    <w:rsid w:val="00A268B9"/>
    <w:rsid w:val="00A2703A"/>
    <w:rsid w:val="00A31873"/>
    <w:rsid w:val="00A33DFF"/>
    <w:rsid w:val="00A34541"/>
    <w:rsid w:val="00A35115"/>
    <w:rsid w:val="00A36D9A"/>
    <w:rsid w:val="00A40CFF"/>
    <w:rsid w:val="00A548C6"/>
    <w:rsid w:val="00A554AB"/>
    <w:rsid w:val="00A57062"/>
    <w:rsid w:val="00A71D5A"/>
    <w:rsid w:val="00A8193F"/>
    <w:rsid w:val="00A82816"/>
    <w:rsid w:val="00A83C0F"/>
    <w:rsid w:val="00A92B53"/>
    <w:rsid w:val="00A94FA6"/>
    <w:rsid w:val="00AA1874"/>
    <w:rsid w:val="00AA49A0"/>
    <w:rsid w:val="00AA6710"/>
    <w:rsid w:val="00AB0681"/>
    <w:rsid w:val="00AB6BB9"/>
    <w:rsid w:val="00AC24DB"/>
    <w:rsid w:val="00AC3C5C"/>
    <w:rsid w:val="00AC3D69"/>
    <w:rsid w:val="00AD3D65"/>
    <w:rsid w:val="00AD4A00"/>
    <w:rsid w:val="00AD520B"/>
    <w:rsid w:val="00AE0B18"/>
    <w:rsid w:val="00AF2645"/>
    <w:rsid w:val="00B05CE2"/>
    <w:rsid w:val="00B0609A"/>
    <w:rsid w:val="00B071F2"/>
    <w:rsid w:val="00B215D7"/>
    <w:rsid w:val="00B425C3"/>
    <w:rsid w:val="00B4338B"/>
    <w:rsid w:val="00B440AD"/>
    <w:rsid w:val="00B44C6C"/>
    <w:rsid w:val="00B53E7E"/>
    <w:rsid w:val="00B53F5D"/>
    <w:rsid w:val="00B6342E"/>
    <w:rsid w:val="00B673F9"/>
    <w:rsid w:val="00B7113F"/>
    <w:rsid w:val="00B75C9E"/>
    <w:rsid w:val="00B858E5"/>
    <w:rsid w:val="00BA0864"/>
    <w:rsid w:val="00BA1D31"/>
    <w:rsid w:val="00BA20E3"/>
    <w:rsid w:val="00BA73B6"/>
    <w:rsid w:val="00BA7E27"/>
    <w:rsid w:val="00BB063A"/>
    <w:rsid w:val="00BB1763"/>
    <w:rsid w:val="00BB2603"/>
    <w:rsid w:val="00BB4FCD"/>
    <w:rsid w:val="00BB7209"/>
    <w:rsid w:val="00BC04E9"/>
    <w:rsid w:val="00BC36E3"/>
    <w:rsid w:val="00BC6CBF"/>
    <w:rsid w:val="00BD13EA"/>
    <w:rsid w:val="00BE277E"/>
    <w:rsid w:val="00BE3808"/>
    <w:rsid w:val="00BF3314"/>
    <w:rsid w:val="00BF54AE"/>
    <w:rsid w:val="00C062E9"/>
    <w:rsid w:val="00C07B64"/>
    <w:rsid w:val="00C13721"/>
    <w:rsid w:val="00C14FE4"/>
    <w:rsid w:val="00C3066D"/>
    <w:rsid w:val="00C327F9"/>
    <w:rsid w:val="00C33C55"/>
    <w:rsid w:val="00C45701"/>
    <w:rsid w:val="00C52194"/>
    <w:rsid w:val="00C52416"/>
    <w:rsid w:val="00C543F4"/>
    <w:rsid w:val="00C57E58"/>
    <w:rsid w:val="00C61BBE"/>
    <w:rsid w:val="00C6291C"/>
    <w:rsid w:val="00C633CB"/>
    <w:rsid w:val="00C6607F"/>
    <w:rsid w:val="00C66806"/>
    <w:rsid w:val="00C736B7"/>
    <w:rsid w:val="00C7527E"/>
    <w:rsid w:val="00C81D4A"/>
    <w:rsid w:val="00C8762C"/>
    <w:rsid w:val="00CA00F9"/>
    <w:rsid w:val="00CA2961"/>
    <w:rsid w:val="00CB50D7"/>
    <w:rsid w:val="00CB7177"/>
    <w:rsid w:val="00CC1998"/>
    <w:rsid w:val="00CC4946"/>
    <w:rsid w:val="00CC52A8"/>
    <w:rsid w:val="00CE045A"/>
    <w:rsid w:val="00CE06DC"/>
    <w:rsid w:val="00CE1770"/>
    <w:rsid w:val="00CE579E"/>
    <w:rsid w:val="00CF4BB1"/>
    <w:rsid w:val="00D02759"/>
    <w:rsid w:val="00D03CA7"/>
    <w:rsid w:val="00D06DF2"/>
    <w:rsid w:val="00D17185"/>
    <w:rsid w:val="00D260AE"/>
    <w:rsid w:val="00D270A4"/>
    <w:rsid w:val="00D31FE9"/>
    <w:rsid w:val="00D34E1B"/>
    <w:rsid w:val="00D376BA"/>
    <w:rsid w:val="00D37D94"/>
    <w:rsid w:val="00D45634"/>
    <w:rsid w:val="00D46D99"/>
    <w:rsid w:val="00D5568A"/>
    <w:rsid w:val="00D63D73"/>
    <w:rsid w:val="00D64452"/>
    <w:rsid w:val="00D66E1E"/>
    <w:rsid w:val="00D74B5D"/>
    <w:rsid w:val="00D75722"/>
    <w:rsid w:val="00D80CF5"/>
    <w:rsid w:val="00DA5BBA"/>
    <w:rsid w:val="00DB0684"/>
    <w:rsid w:val="00DB26D2"/>
    <w:rsid w:val="00DB67C9"/>
    <w:rsid w:val="00DC0A20"/>
    <w:rsid w:val="00DC0C95"/>
    <w:rsid w:val="00DD36FC"/>
    <w:rsid w:val="00DD6580"/>
    <w:rsid w:val="00DE5EE4"/>
    <w:rsid w:val="00DE605D"/>
    <w:rsid w:val="00DF0502"/>
    <w:rsid w:val="00E17C72"/>
    <w:rsid w:val="00E21FC6"/>
    <w:rsid w:val="00E2360E"/>
    <w:rsid w:val="00E2641C"/>
    <w:rsid w:val="00E27614"/>
    <w:rsid w:val="00E431A9"/>
    <w:rsid w:val="00E477E9"/>
    <w:rsid w:val="00E513DA"/>
    <w:rsid w:val="00E52009"/>
    <w:rsid w:val="00E637D6"/>
    <w:rsid w:val="00E638BB"/>
    <w:rsid w:val="00E669E2"/>
    <w:rsid w:val="00E70C3B"/>
    <w:rsid w:val="00E73CC9"/>
    <w:rsid w:val="00E76135"/>
    <w:rsid w:val="00E82F4F"/>
    <w:rsid w:val="00E91877"/>
    <w:rsid w:val="00EC2844"/>
    <w:rsid w:val="00EC5500"/>
    <w:rsid w:val="00ED1135"/>
    <w:rsid w:val="00ED2EEB"/>
    <w:rsid w:val="00EE5406"/>
    <w:rsid w:val="00EF1FAC"/>
    <w:rsid w:val="00EF5941"/>
    <w:rsid w:val="00EF6C6C"/>
    <w:rsid w:val="00F01F29"/>
    <w:rsid w:val="00F056FC"/>
    <w:rsid w:val="00F05C4A"/>
    <w:rsid w:val="00F10476"/>
    <w:rsid w:val="00F122F3"/>
    <w:rsid w:val="00F135D8"/>
    <w:rsid w:val="00F13C52"/>
    <w:rsid w:val="00F14D23"/>
    <w:rsid w:val="00F17368"/>
    <w:rsid w:val="00F17B00"/>
    <w:rsid w:val="00F31299"/>
    <w:rsid w:val="00F3534A"/>
    <w:rsid w:val="00F4385D"/>
    <w:rsid w:val="00F51609"/>
    <w:rsid w:val="00F5416A"/>
    <w:rsid w:val="00F779D6"/>
    <w:rsid w:val="00F81006"/>
    <w:rsid w:val="00F84F50"/>
    <w:rsid w:val="00F85325"/>
    <w:rsid w:val="00FA092F"/>
    <w:rsid w:val="00FB0D7B"/>
    <w:rsid w:val="00FC5430"/>
    <w:rsid w:val="00FD22B1"/>
    <w:rsid w:val="00FE0FEE"/>
    <w:rsid w:val="00FE45BC"/>
    <w:rsid w:val="00FE5397"/>
    <w:rsid w:val="00FF33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06DF2"/>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locked/>
    <w:rsid w:val="00D06DF2"/>
    <w:rPr>
      <w:sz w:val="26"/>
    </w:rPr>
  </w:style>
  <w:style w:type="character" w:customStyle="1" w:styleId="FooterChar">
    <w:name w:val="Footer Char"/>
    <w:basedOn w:val="DefaultParagraphFont"/>
    <w:link w:val="Footer"/>
    <w:rsid w:val="00D06DF2"/>
    <w:rPr>
      <w:caps/>
      <w:spacing w:val="-4"/>
      <w:sz w:val="16"/>
    </w:rPr>
  </w:style>
  <w:style w:type="character" w:styleId="Hyperlink">
    <w:name w:val="Hyperlink"/>
    <w:basedOn w:val="DefaultParagraphFont"/>
    <w:rsid w:val="00D06DF2"/>
    <w:rPr>
      <w:color w:val="0000FF" w:themeColor="hyperlink"/>
      <w:u w:val="single"/>
    </w:rPr>
  </w:style>
  <w:style w:type="paragraph" w:customStyle="1" w:styleId="BoxSpace">
    <w:name w:val="Box Space"/>
    <w:basedOn w:val="BodyText"/>
    <w:rsid w:val="002221AB"/>
    <w:pPr>
      <w:keepNext/>
      <w:spacing w:before="360" w:line="80" w:lineRule="exact"/>
      <w:jc w:val="left"/>
    </w:pPr>
  </w:style>
  <w:style w:type="paragraph" w:styleId="EndnoteText">
    <w:name w:val="endnote text"/>
    <w:basedOn w:val="Normal"/>
    <w:link w:val="EndnoteTextChar"/>
    <w:rsid w:val="002221AB"/>
    <w:rPr>
      <w:sz w:val="20"/>
      <w:szCs w:val="20"/>
    </w:rPr>
  </w:style>
  <w:style w:type="character" w:customStyle="1" w:styleId="EndnoteTextChar">
    <w:name w:val="Endnote Text Char"/>
    <w:basedOn w:val="DefaultParagraphFont"/>
    <w:link w:val="EndnoteText"/>
    <w:rsid w:val="002221AB"/>
  </w:style>
  <w:style w:type="character" w:styleId="EndnoteReference">
    <w:name w:val="endnote reference"/>
    <w:basedOn w:val="DefaultParagraphFont"/>
    <w:rsid w:val="002221AB"/>
    <w:rPr>
      <w:vertAlign w:val="superscript"/>
    </w:rPr>
  </w:style>
  <w:style w:type="character" w:styleId="FollowedHyperlink">
    <w:name w:val="FollowedHyperlink"/>
    <w:basedOn w:val="DefaultParagraphFont"/>
    <w:rsid w:val="002221AB"/>
    <w:rPr>
      <w:color w:val="800080" w:themeColor="followedHyperlink"/>
      <w:u w:val="single"/>
    </w:rPr>
  </w:style>
  <w:style w:type="character" w:customStyle="1" w:styleId="CommentTextChar">
    <w:name w:val="Comment Text Char"/>
    <w:basedOn w:val="DefaultParagraphFont"/>
    <w:link w:val="CommentText"/>
    <w:semiHidden/>
    <w:rsid w:val="001218CF"/>
    <w:rPr>
      <w:szCs w:val="24"/>
    </w:rPr>
  </w:style>
  <w:style w:type="paragraph" w:styleId="CommentSubject">
    <w:name w:val="annotation subject"/>
    <w:basedOn w:val="CommentText"/>
    <w:next w:val="CommentText"/>
    <w:link w:val="CommentSubjectChar"/>
    <w:rsid w:val="00AB6BB9"/>
    <w:pPr>
      <w:spacing w:before="0" w:line="240" w:lineRule="auto"/>
      <w:ind w:left="0" w:firstLine="0"/>
    </w:pPr>
    <w:rPr>
      <w:b/>
      <w:bCs/>
      <w:szCs w:val="20"/>
    </w:rPr>
  </w:style>
  <w:style w:type="character" w:customStyle="1" w:styleId="CommentSubjectChar">
    <w:name w:val="Comment Subject Char"/>
    <w:basedOn w:val="CommentTextChar"/>
    <w:link w:val="CommentSubject"/>
    <w:rsid w:val="00AB6BB9"/>
    <w:rPr>
      <w:b/>
      <w:bCs/>
      <w:szCs w:val="24"/>
    </w:rPr>
  </w:style>
  <w:style w:type="character" w:customStyle="1" w:styleId="ReferenceChar">
    <w:name w:val="Reference Char"/>
    <w:link w:val="Reference"/>
    <w:rsid w:val="00D02759"/>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06DF2"/>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locked/>
    <w:rsid w:val="00D06DF2"/>
    <w:rPr>
      <w:sz w:val="26"/>
    </w:rPr>
  </w:style>
  <w:style w:type="character" w:customStyle="1" w:styleId="FooterChar">
    <w:name w:val="Footer Char"/>
    <w:basedOn w:val="DefaultParagraphFont"/>
    <w:link w:val="Footer"/>
    <w:rsid w:val="00D06DF2"/>
    <w:rPr>
      <w:caps/>
      <w:spacing w:val="-4"/>
      <w:sz w:val="16"/>
    </w:rPr>
  </w:style>
  <w:style w:type="character" w:styleId="Hyperlink">
    <w:name w:val="Hyperlink"/>
    <w:basedOn w:val="DefaultParagraphFont"/>
    <w:rsid w:val="00D06DF2"/>
    <w:rPr>
      <w:color w:val="0000FF" w:themeColor="hyperlink"/>
      <w:u w:val="single"/>
    </w:rPr>
  </w:style>
  <w:style w:type="paragraph" w:customStyle="1" w:styleId="BoxSpace">
    <w:name w:val="Box Space"/>
    <w:basedOn w:val="BodyText"/>
    <w:rsid w:val="002221AB"/>
    <w:pPr>
      <w:keepNext/>
      <w:spacing w:before="360" w:line="80" w:lineRule="exact"/>
      <w:jc w:val="left"/>
    </w:pPr>
  </w:style>
  <w:style w:type="paragraph" w:styleId="EndnoteText">
    <w:name w:val="endnote text"/>
    <w:basedOn w:val="Normal"/>
    <w:link w:val="EndnoteTextChar"/>
    <w:rsid w:val="002221AB"/>
    <w:rPr>
      <w:sz w:val="20"/>
      <w:szCs w:val="20"/>
    </w:rPr>
  </w:style>
  <w:style w:type="character" w:customStyle="1" w:styleId="EndnoteTextChar">
    <w:name w:val="Endnote Text Char"/>
    <w:basedOn w:val="DefaultParagraphFont"/>
    <w:link w:val="EndnoteText"/>
    <w:rsid w:val="002221AB"/>
  </w:style>
  <w:style w:type="character" w:styleId="EndnoteReference">
    <w:name w:val="endnote reference"/>
    <w:basedOn w:val="DefaultParagraphFont"/>
    <w:rsid w:val="002221AB"/>
    <w:rPr>
      <w:vertAlign w:val="superscript"/>
    </w:rPr>
  </w:style>
  <w:style w:type="character" w:styleId="FollowedHyperlink">
    <w:name w:val="FollowedHyperlink"/>
    <w:basedOn w:val="DefaultParagraphFont"/>
    <w:rsid w:val="002221AB"/>
    <w:rPr>
      <w:color w:val="800080" w:themeColor="followedHyperlink"/>
      <w:u w:val="single"/>
    </w:rPr>
  </w:style>
  <w:style w:type="character" w:customStyle="1" w:styleId="CommentTextChar">
    <w:name w:val="Comment Text Char"/>
    <w:basedOn w:val="DefaultParagraphFont"/>
    <w:link w:val="CommentText"/>
    <w:semiHidden/>
    <w:rsid w:val="001218CF"/>
    <w:rPr>
      <w:szCs w:val="24"/>
    </w:rPr>
  </w:style>
  <w:style w:type="paragraph" w:styleId="CommentSubject">
    <w:name w:val="annotation subject"/>
    <w:basedOn w:val="CommentText"/>
    <w:next w:val="CommentText"/>
    <w:link w:val="CommentSubjectChar"/>
    <w:rsid w:val="00AB6BB9"/>
    <w:pPr>
      <w:spacing w:before="0" w:line="240" w:lineRule="auto"/>
      <w:ind w:left="0" w:firstLine="0"/>
    </w:pPr>
    <w:rPr>
      <w:b/>
      <w:bCs/>
      <w:szCs w:val="20"/>
    </w:rPr>
  </w:style>
  <w:style w:type="character" w:customStyle="1" w:styleId="CommentSubjectChar">
    <w:name w:val="Comment Subject Char"/>
    <w:basedOn w:val="CommentTextChar"/>
    <w:link w:val="CommentSubject"/>
    <w:rsid w:val="00AB6BB9"/>
    <w:rPr>
      <w:b/>
      <w:bCs/>
      <w:szCs w:val="24"/>
    </w:rPr>
  </w:style>
  <w:style w:type="character" w:customStyle="1" w:styleId="ReferenceChar">
    <w:name w:val="Reference Char"/>
    <w:link w:val="Reference"/>
    <w:rsid w:val="00D02759"/>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D4791-FEC9-4821-A30B-C91487659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10</Pages>
  <Words>3178</Words>
  <Characters>17192</Characters>
  <Application>Microsoft Office Word</Application>
  <DocSecurity>0</DocSecurity>
  <Lines>818</Lines>
  <Paragraphs>599</Paragraphs>
  <ScaleCrop>false</ScaleCrop>
  <HeadingPairs>
    <vt:vector size="2" baseType="variant">
      <vt:variant>
        <vt:lpstr>Title</vt:lpstr>
      </vt:variant>
      <vt:variant>
        <vt:i4>1</vt:i4>
      </vt:variant>
    </vt:vector>
  </HeadingPairs>
  <TitlesOfParts>
    <vt:vector size="1" baseType="lpstr">
      <vt:lpstr>Manufacturing's input-output linkages</vt:lpstr>
    </vt:vector>
  </TitlesOfParts>
  <Company>Productivity Commission</Company>
  <LinksUpToDate>false</LinksUpToDate>
  <CharactersWithSpaces>19771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Manufacturing's input-output linkages</dc:title>
  <dc:subject>Productivity in Manufacturing</dc:subject>
  <dc:creator>Productivity Commission</dc:creator>
  <dc:description>B.</dc:description>
  <cp:lastModifiedBy>Productivity Commission</cp:lastModifiedBy>
  <cp:revision>2</cp:revision>
  <cp:lastPrinted>2013-11-27T23:52:00Z</cp:lastPrinted>
  <dcterms:created xsi:type="dcterms:W3CDTF">2013-12-03T23:37:00Z</dcterms:created>
  <dcterms:modified xsi:type="dcterms:W3CDTF">2013-12-03T23:37:00Z</dcterms:modified>
</cp:coreProperties>
</file>