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B14C5" w:rsidP="005B14C5">
      <w:pPr>
        <w:pStyle w:val="Chapter"/>
        <w:ind w:left="907" w:hanging="907"/>
      </w:pPr>
      <w:bookmarkStart w:id="0" w:name="_AppendixNotByChapter"/>
      <w:bookmarkStart w:id="1" w:name="ChapterNumber"/>
      <w:bookmarkStart w:id="2" w:name="_GoBack"/>
      <w:bookmarkEnd w:id="0"/>
      <w:bookmarkEnd w:id="2"/>
      <w:r>
        <w:t>C</w:t>
      </w:r>
      <w:bookmarkEnd w:id="1"/>
      <w:r>
        <w:tab/>
      </w:r>
      <w:bookmarkStart w:id="3" w:name="ChapterTitle"/>
      <w:r>
        <w:t>MFP growth cycles for Manufacturing subsectors</w:t>
      </w:r>
      <w:bookmarkEnd w:id="3"/>
    </w:p>
    <w:p w:rsidR="00245C82" w:rsidRPr="00574690" w:rsidRDefault="00E60E99" w:rsidP="00A35115">
      <w:pPr>
        <w:pStyle w:val="BodyText"/>
      </w:pPr>
      <w:bookmarkStart w:id="4" w:name="begin"/>
      <w:bookmarkEnd w:id="4"/>
      <w:r>
        <w:t xml:space="preserve">Using the method outlined in Barnes (2011), </w:t>
      </w:r>
      <w:r w:rsidR="00682D82">
        <w:t>multifactor productivity (</w:t>
      </w:r>
      <w:r>
        <w:t>MFP</w:t>
      </w:r>
      <w:r w:rsidR="00682D82">
        <w:t>)</w:t>
      </w:r>
      <w:r>
        <w:t xml:space="preserve"> growth cycles were identified for </w:t>
      </w:r>
      <w:r w:rsidR="00216651">
        <w:t>all</w:t>
      </w:r>
      <w:r>
        <w:t xml:space="preserve"> eight subsectors of </w:t>
      </w:r>
      <w:r w:rsidR="00C92E0A">
        <w:t>Manufacturing</w:t>
      </w:r>
      <w:r>
        <w:t xml:space="preserve"> examined in this paper. </w:t>
      </w:r>
      <w:r w:rsidR="00574690">
        <w:t xml:space="preserve">It should be noted that </w:t>
      </w:r>
      <w:r w:rsidRPr="00574690">
        <w:t>the underlying data were not subjected to the tests (outlined in that paper) for suitability for cycle identification method to be applied</w:t>
      </w:r>
      <w:r w:rsidR="00574690">
        <w:t xml:space="preserve">. </w:t>
      </w:r>
    </w:p>
    <w:p w:rsidR="00E60E99" w:rsidRDefault="00EE2278" w:rsidP="00A35115">
      <w:pPr>
        <w:pStyle w:val="BodyText"/>
      </w:pPr>
      <w:r>
        <w:t>Subsector</w:t>
      </w:r>
      <w:r w:rsidR="00E60E99">
        <w:t xml:space="preserve"> MFP growth cycles are periods over which it is best to examine growth </w:t>
      </w:r>
      <w:r w:rsidR="00E60E99" w:rsidRPr="00EE2278">
        <w:rPr>
          <w:i/>
        </w:rPr>
        <w:t>within</w:t>
      </w:r>
      <w:r w:rsidR="00E60E99">
        <w:t xml:space="preserve"> a subsector over time</w:t>
      </w:r>
      <w:r w:rsidR="00CC2A6C">
        <w:t xml:space="preserve">. These are </w:t>
      </w:r>
      <w:r w:rsidR="00CC2A6C" w:rsidRPr="00240299">
        <w:t xml:space="preserve">cycles that start and end at </w:t>
      </w:r>
      <w:r w:rsidR="00CC2A6C">
        <w:t xml:space="preserve">subsector </w:t>
      </w:r>
      <w:r w:rsidR="00CC2A6C" w:rsidRPr="00240299">
        <w:t>productivity peaks that are less likely to be affected by temporary influences</w:t>
      </w:r>
      <w:r w:rsidR="007775C8">
        <w:t xml:space="preserve"> (see</w:t>
      </w:r>
      <w:r w:rsidR="00C543CF">
        <w:t> </w:t>
      </w:r>
      <w:r w:rsidR="007775C8">
        <w:t>Barnes 2011 for further details).</w:t>
      </w:r>
      <w:r w:rsidR="00E60E99">
        <w:t xml:space="preserve"> </w:t>
      </w:r>
      <w:r w:rsidR="00682D82">
        <w:t xml:space="preserve">This can be useful in identifying factors that may be specific to utilisation rates in a subsector. While these </w:t>
      </w:r>
      <w:r w:rsidR="00E33D6F">
        <w:t xml:space="preserve">subsector </w:t>
      </w:r>
      <w:r w:rsidR="00682D82">
        <w:t>cycles can differ from</w:t>
      </w:r>
      <w:r w:rsidR="00E33D6F">
        <w:t xml:space="preserve"> those for</w:t>
      </w:r>
      <w:r w:rsidR="00682D82">
        <w:t xml:space="preserve"> Manufacturing as a whole</w:t>
      </w:r>
      <w:r w:rsidR="005674CC">
        <w:t xml:space="preserve">, it is appropriate to examine subsector growth over </w:t>
      </w:r>
      <w:r w:rsidR="00E60E99">
        <w:t xml:space="preserve">cycles </w:t>
      </w:r>
      <w:r w:rsidR="00E60E99" w:rsidRPr="005674CC">
        <w:rPr>
          <w:i/>
        </w:rPr>
        <w:t xml:space="preserve">for </w:t>
      </w:r>
      <w:r w:rsidR="00C92E0A">
        <w:rPr>
          <w:i/>
        </w:rPr>
        <w:t>Manufacturing</w:t>
      </w:r>
      <w:r w:rsidR="00E60E99">
        <w:t xml:space="preserve"> </w:t>
      </w:r>
      <w:r w:rsidR="005674CC">
        <w:t xml:space="preserve">when identifying </w:t>
      </w:r>
      <w:r w:rsidR="00E60E99">
        <w:t xml:space="preserve">the contribution of subsectors to changes in total </w:t>
      </w:r>
      <w:r w:rsidR="00C92E0A">
        <w:t>Manufacturing</w:t>
      </w:r>
      <w:r w:rsidR="00E60E99">
        <w:t xml:space="preserve"> productivity performance</w:t>
      </w:r>
      <w:r w:rsidR="00596F99">
        <w:t xml:space="preserve"> over those periods</w:t>
      </w:r>
      <w:r w:rsidR="00E60E99">
        <w:t xml:space="preserve">. </w:t>
      </w:r>
    </w:p>
    <w:p w:rsidR="00C4117A" w:rsidRDefault="00C4117A" w:rsidP="00A35115">
      <w:pPr>
        <w:pStyle w:val="BodyText"/>
      </w:pPr>
      <w:r>
        <w:t xml:space="preserve">Table </w:t>
      </w:r>
      <w:proofErr w:type="spellStart"/>
      <w:r w:rsidR="005B14C5">
        <w:t>C.1</w:t>
      </w:r>
      <w:proofErr w:type="spellEnd"/>
      <w:r w:rsidR="00E93896">
        <w:t xml:space="preserve"> </w:t>
      </w:r>
      <w:r w:rsidR="00596F99">
        <w:t xml:space="preserve">presents the peaks identified as the start/end years of MFP growth cycles for the </w:t>
      </w:r>
      <w:r w:rsidR="00C92E0A">
        <w:t>Manufacturing</w:t>
      </w:r>
      <w:r w:rsidR="00596F99">
        <w:t xml:space="preserve"> subsectors and total </w:t>
      </w:r>
      <w:r w:rsidR="00C92E0A">
        <w:t>Manufacturing</w:t>
      </w:r>
      <w:r w:rsidR="00596F99">
        <w:t xml:space="preserve">. While there is some variation across subsectors, for three of the five peaks for total </w:t>
      </w:r>
      <w:r w:rsidR="00C92E0A">
        <w:t>Manufacturing</w:t>
      </w:r>
      <w:r w:rsidR="00596F99">
        <w:t xml:space="preserve"> at least half of the subsectors have coinciding peaks. There are also several peaks for subsectors in years that are adjacent to the peaks for total </w:t>
      </w:r>
      <w:r w:rsidR="00C92E0A">
        <w:t>Manufacturing</w:t>
      </w:r>
      <w:r w:rsidR="00596F99">
        <w:t xml:space="preserve">. </w:t>
      </w:r>
    </w:p>
    <w:p w:rsidR="00381184" w:rsidRDefault="00381184" w:rsidP="00381184">
      <w:pPr>
        <w:pStyle w:val="BodyText"/>
      </w:pPr>
      <w:r>
        <w:t xml:space="preserve">Table </w:t>
      </w:r>
      <w:proofErr w:type="spellStart"/>
      <w:r w:rsidR="005B14C5">
        <w:t>C.2</w:t>
      </w:r>
      <w:proofErr w:type="spellEnd"/>
      <w:r>
        <w:t xml:space="preserve"> compares average annual MFP growth for each subsector calculated over subsector-specific MFP growth cycles compared with subsector growth calculated over the MFP growth cycle periods for total </w:t>
      </w:r>
      <w:r w:rsidR="00C92E0A">
        <w:t>Manufacturing</w:t>
      </w:r>
      <w:r>
        <w:t xml:space="preserve">. The subsector cycles that are underlined are those that coincide with those for </w:t>
      </w:r>
      <w:r w:rsidR="00C92E0A">
        <w:t>Manufacturing</w:t>
      </w:r>
      <w:r>
        <w:t xml:space="preserve"> in total — </w:t>
      </w:r>
      <w:r w:rsidR="00C92E0A">
        <w:t xml:space="preserve">Machinery and equipment </w:t>
      </w:r>
      <w:r>
        <w:t xml:space="preserve">has three in common with total </w:t>
      </w:r>
      <w:r w:rsidR="00C92E0A">
        <w:t>Manufacturing</w:t>
      </w:r>
      <w:r>
        <w:t xml:space="preserve">, while </w:t>
      </w:r>
      <w:r w:rsidR="00C543CF">
        <w:t>Metal products</w:t>
      </w:r>
      <w:r>
        <w:t xml:space="preserve">, </w:t>
      </w:r>
      <w:r w:rsidR="00C92E0A">
        <w:t>Non-metallic mineral products</w:t>
      </w:r>
      <w:r>
        <w:t xml:space="preserve"> and </w:t>
      </w:r>
      <w:r w:rsidR="00C543CF">
        <w:t>Printing and recorded media</w:t>
      </w:r>
      <w:r>
        <w:t xml:space="preserve"> have one each. The remaining three subsector</w:t>
      </w:r>
      <w:r w:rsidR="00A82CD7">
        <w:t>s</w:t>
      </w:r>
      <w:r>
        <w:t xml:space="preserve"> have no cycles in common with total </w:t>
      </w:r>
      <w:r w:rsidR="00C92E0A">
        <w:t>Manufacturing</w:t>
      </w:r>
      <w:r>
        <w:t>.</w:t>
      </w:r>
    </w:p>
    <w:p w:rsidR="00596F99" w:rsidRDefault="00596F99" w:rsidP="00A35115">
      <w:pPr>
        <w:pStyle w:val="BodyText"/>
      </w:pPr>
    </w:p>
    <w:p w:rsidR="00F86FA6" w:rsidRDefault="00F86FA6">
      <w:pPr>
        <w:rPr>
          <w:rFonts w:ascii="Arial" w:hAnsi="Arial"/>
        </w:rPr>
      </w:pPr>
      <w:r>
        <w:rPr>
          <w:b/>
        </w:rPr>
        <w:br w:type="page"/>
      </w:r>
    </w:p>
    <w:p w:rsidR="004922C0" w:rsidRDefault="004922C0" w:rsidP="004922C0">
      <w:pPr>
        <w:pStyle w:val="TableTitle"/>
      </w:pPr>
      <w:r>
        <w:rPr>
          <w:b w:val="0"/>
        </w:rPr>
        <w:lastRenderedPageBreak/>
        <w:t xml:space="preserve">Table </w:t>
      </w:r>
      <w:proofErr w:type="spellStart"/>
      <w:r w:rsidR="005B14C5">
        <w:rPr>
          <w:b w:val="0"/>
        </w:rPr>
        <w:t>C.</w:t>
      </w:r>
      <w:r w:rsidR="000E2673">
        <w:rPr>
          <w:b w:val="0"/>
          <w:noProof/>
        </w:rPr>
        <w:t>1</w:t>
      </w:r>
      <w:proofErr w:type="spellEnd"/>
      <w:r>
        <w:tab/>
        <w:t>Peaks identified for use in subsector-specific MFP growth cycles</w:t>
      </w:r>
      <w:r w:rsidRPr="004922C0">
        <w:rPr>
          <w:rStyle w:val="NoteLabel"/>
          <w:b/>
        </w:rPr>
        <w:t>a</w:t>
      </w:r>
    </w:p>
    <w:p w:rsidR="004922C0" w:rsidRDefault="004922C0" w:rsidP="004922C0">
      <w:pPr>
        <w:pStyle w:val="Subtitle"/>
      </w:pPr>
      <w:r>
        <w:t xml:space="preserve">Shaded rows are total </w:t>
      </w:r>
      <w:r w:rsidR="00C92E0A">
        <w:t>Manufacturing</w:t>
      </w:r>
      <w:r>
        <w:t xml:space="preserve"> peak years</w:t>
      </w:r>
    </w:p>
    <w:tbl>
      <w:tblPr>
        <w:tblW w:w="5000" w:type="pct"/>
        <w:tblLayout w:type="fixed"/>
        <w:tblCellMar>
          <w:left w:w="0" w:type="dxa"/>
          <w:right w:w="0" w:type="dxa"/>
        </w:tblCellMar>
        <w:tblLook w:val="0000" w:firstRow="0" w:lastRow="0" w:firstColumn="0" w:lastColumn="0" w:noHBand="0" w:noVBand="0"/>
      </w:tblPr>
      <w:tblGrid>
        <w:gridCol w:w="993"/>
        <w:gridCol w:w="866"/>
        <w:gridCol w:w="866"/>
        <w:gridCol w:w="866"/>
        <w:gridCol w:w="866"/>
        <w:gridCol w:w="867"/>
        <w:gridCol w:w="866"/>
        <w:gridCol w:w="866"/>
        <w:gridCol w:w="866"/>
        <w:gridCol w:w="867"/>
      </w:tblGrid>
      <w:tr w:rsidR="00614224" w:rsidTr="008569D5">
        <w:tc>
          <w:tcPr>
            <w:tcW w:w="993" w:type="dxa"/>
            <w:tcBorders>
              <w:top w:val="single" w:sz="4" w:space="0" w:color="auto"/>
            </w:tcBorders>
            <w:shd w:val="clear" w:color="auto" w:fill="auto"/>
            <w:vAlign w:val="bottom"/>
          </w:tcPr>
          <w:p w:rsidR="00614224" w:rsidRDefault="00614224" w:rsidP="008569D5">
            <w:pPr>
              <w:pStyle w:val="TableColumnHeading"/>
              <w:jc w:val="left"/>
            </w:pPr>
          </w:p>
        </w:tc>
        <w:tc>
          <w:tcPr>
            <w:tcW w:w="6929" w:type="dxa"/>
            <w:gridSpan w:val="8"/>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jc w:val="center"/>
            </w:pPr>
            <w:r>
              <w:t>Subsector</w:t>
            </w:r>
            <w:r w:rsidRPr="00216651">
              <w:rPr>
                <w:rStyle w:val="NoteLabel"/>
                <w:i w:val="0"/>
              </w:rPr>
              <w:t>b</w:t>
            </w:r>
          </w:p>
        </w:tc>
        <w:tc>
          <w:tcPr>
            <w:tcW w:w="867" w:type="dxa"/>
            <w:tcBorders>
              <w:top w:val="single" w:sz="4" w:space="0" w:color="auto"/>
            </w:tcBorders>
            <w:shd w:val="clear" w:color="auto" w:fill="auto"/>
          </w:tcPr>
          <w:p w:rsidR="00614224" w:rsidRDefault="00614224" w:rsidP="008569D5">
            <w:pPr>
              <w:pStyle w:val="TableColumnHeading"/>
              <w:ind w:right="0"/>
            </w:pPr>
          </w:p>
        </w:tc>
      </w:tr>
      <w:tr w:rsidR="00614224" w:rsidTr="008569D5">
        <w:tc>
          <w:tcPr>
            <w:tcW w:w="993" w:type="dxa"/>
            <w:tcBorders>
              <w:bottom w:val="single" w:sz="6" w:space="0" w:color="auto"/>
            </w:tcBorders>
            <w:shd w:val="clear" w:color="auto" w:fill="auto"/>
            <w:vAlign w:val="bottom"/>
          </w:tcPr>
          <w:p w:rsidR="00614224" w:rsidRDefault="00614224" w:rsidP="008569D5">
            <w:pPr>
              <w:pStyle w:val="TableColumnHeading"/>
              <w:jc w:val="left"/>
            </w:pPr>
          </w:p>
        </w:tc>
        <w:tc>
          <w:tcPr>
            <w:tcW w:w="866"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proofErr w:type="spellStart"/>
            <w:r w:rsidRPr="00596F99">
              <w:t>FBT</w:t>
            </w:r>
            <w:proofErr w:type="spellEnd"/>
          </w:p>
        </w:tc>
        <w:tc>
          <w:tcPr>
            <w:tcW w:w="866"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proofErr w:type="spellStart"/>
            <w:r w:rsidRPr="00596F99">
              <w:t>TC</w:t>
            </w:r>
            <w:r>
              <w:t>O</w:t>
            </w:r>
            <w:proofErr w:type="spellEnd"/>
          </w:p>
        </w:tc>
        <w:tc>
          <w:tcPr>
            <w:tcW w:w="866"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r w:rsidRPr="00596F99">
              <w:t>WP</w:t>
            </w:r>
          </w:p>
        </w:tc>
        <w:tc>
          <w:tcPr>
            <w:tcW w:w="866"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proofErr w:type="spellStart"/>
            <w:r w:rsidRPr="00596F99">
              <w:t>PRM</w:t>
            </w:r>
            <w:proofErr w:type="spellEnd"/>
          </w:p>
        </w:tc>
        <w:tc>
          <w:tcPr>
            <w:tcW w:w="867"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proofErr w:type="spellStart"/>
            <w:r w:rsidRPr="00596F99">
              <w:t>PCCR</w:t>
            </w:r>
            <w:proofErr w:type="spellEnd"/>
          </w:p>
        </w:tc>
        <w:tc>
          <w:tcPr>
            <w:tcW w:w="866"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r w:rsidRPr="00596F99">
              <w:t>NM</w:t>
            </w:r>
          </w:p>
        </w:tc>
        <w:tc>
          <w:tcPr>
            <w:tcW w:w="866"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r w:rsidRPr="00596F99">
              <w:t>MP</w:t>
            </w:r>
          </w:p>
        </w:tc>
        <w:tc>
          <w:tcPr>
            <w:tcW w:w="866"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r w:rsidRPr="00596F99">
              <w:t>ME</w:t>
            </w:r>
          </w:p>
        </w:tc>
        <w:tc>
          <w:tcPr>
            <w:tcW w:w="867" w:type="dxa"/>
            <w:tcBorders>
              <w:bottom w:val="single" w:sz="6" w:space="0" w:color="auto"/>
            </w:tcBorders>
            <w:shd w:val="clear" w:color="auto" w:fill="auto"/>
          </w:tcPr>
          <w:p w:rsidR="00614224" w:rsidRDefault="00614224" w:rsidP="008569D5">
            <w:pPr>
              <w:pStyle w:val="TableColumnHeading"/>
              <w:ind w:right="0"/>
            </w:pPr>
            <w:r>
              <w:t>Peaks per year</w:t>
            </w:r>
          </w:p>
        </w:tc>
      </w:tr>
      <w:tr w:rsidR="00614224" w:rsidTr="008569D5">
        <w:tc>
          <w:tcPr>
            <w:tcW w:w="993" w:type="dxa"/>
            <w:tcBorders>
              <w:top w:val="single" w:sz="6" w:space="0" w:color="auto"/>
            </w:tcBorders>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1985-86</w:t>
            </w:r>
          </w:p>
        </w:tc>
        <w:tc>
          <w:tcPr>
            <w:tcW w:w="866"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tcBorders>
              <w:top w:val="single" w:sz="6" w:space="0" w:color="auto"/>
            </w:tcBorders>
            <w:vAlign w:val="bottom"/>
          </w:tcPr>
          <w:p w:rsidR="00614224" w:rsidRPr="00EA0D60" w:rsidRDefault="00614224" w:rsidP="008569D5">
            <w:pPr>
              <w:jc w:val="right"/>
              <w:rPr>
                <w:rFonts w:ascii="Arial" w:hAnsi="Arial" w:cs="Arial"/>
                <w:sz w:val="20"/>
                <w:szCs w:val="20"/>
              </w:rPr>
            </w:pPr>
            <w:r w:rsidRPr="00EA0D60">
              <w:rPr>
                <w:rStyle w:val="NoteLabel"/>
                <w:sz w:val="20"/>
                <w:szCs w:val="20"/>
              </w:rPr>
              <w:t>c</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1986-87</w:t>
            </w:r>
          </w:p>
        </w:tc>
        <w:tc>
          <w:tcPr>
            <w:tcW w:w="866" w:type="dxa"/>
            <w:vAlign w:val="bottom"/>
          </w:tcPr>
          <w:p w:rsidR="00614224" w:rsidRDefault="00614224" w:rsidP="008569D5">
            <w:pPr>
              <w:pStyle w:val="Note"/>
              <w:spacing w:before="0" w:line="240" w:lineRule="auto"/>
              <w:jc w:val="right"/>
              <w:rPr>
                <w:rFonts w:cs="Arial"/>
                <w:sz w:val="20"/>
              </w:rPr>
            </w:pPr>
            <w:r w:rsidRPr="00295844">
              <w:rPr>
                <w:rFonts w:ascii="Wingdings" w:hAnsi="Wingdings"/>
                <w:sz w:val="22"/>
                <w:szCs w:val="28"/>
              </w:rPr>
              <w:sym w:font="Wingdings" w:char="00FC"/>
            </w:r>
            <w:proofErr w:type="spellStart"/>
            <w:r w:rsidRPr="00D7725C">
              <w:rPr>
                <w:rStyle w:val="NoteLabel"/>
                <w:b w:val="0"/>
              </w:rPr>
              <w:t>s</w:t>
            </w:r>
            <w:r>
              <w:rPr>
                <w:rStyle w:val="NoteLabel"/>
                <w:b w:val="0"/>
              </w:rPr>
              <w:t>w</w:t>
            </w:r>
            <w:proofErr w:type="spellEnd"/>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1</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1987-88</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pPr>
          </w:p>
        </w:tc>
        <w:tc>
          <w:tcPr>
            <w:tcW w:w="867" w:type="dxa"/>
            <w:vAlign w:val="bottom"/>
          </w:tcPr>
          <w:p w:rsidR="00614224" w:rsidRDefault="00614224" w:rsidP="008569D5">
            <w:pPr>
              <w:jc w:val="right"/>
            </w:pPr>
            <w:r w:rsidRPr="00295844">
              <w:rPr>
                <w:rFonts w:ascii="Wingdings" w:hAnsi="Wingdings"/>
                <w:sz w:val="22"/>
                <w:szCs w:val="28"/>
              </w:rPr>
              <w:sym w:font="Wingdings" w:char="00FC"/>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3</w:t>
            </w:r>
          </w:p>
        </w:tc>
      </w:tr>
      <w:tr w:rsidR="00614224" w:rsidTr="008569D5">
        <w:trPr>
          <w:trHeight w:val="310"/>
        </w:trPr>
        <w:tc>
          <w:tcPr>
            <w:tcW w:w="993" w:type="dxa"/>
            <w:shd w:val="pct25" w:color="auto" w:fill="auto"/>
            <w:vAlign w:val="bottom"/>
          </w:tcPr>
          <w:p w:rsidR="00614224" w:rsidRPr="00F86FA6" w:rsidRDefault="00614224" w:rsidP="008569D5">
            <w:pPr>
              <w:rPr>
                <w:rFonts w:ascii="Arial" w:hAnsi="Arial" w:cs="Arial"/>
                <w:color w:val="000000"/>
                <w:sz w:val="20"/>
                <w:szCs w:val="20"/>
              </w:rPr>
            </w:pPr>
            <w:r w:rsidRPr="00F86FA6">
              <w:rPr>
                <w:rFonts w:ascii="Arial" w:hAnsi="Arial" w:cs="Arial"/>
                <w:color w:val="000000"/>
                <w:sz w:val="20"/>
                <w:szCs w:val="20"/>
              </w:rPr>
              <w:t>1988-89</w:t>
            </w:r>
          </w:p>
        </w:tc>
        <w:tc>
          <w:tcPr>
            <w:tcW w:w="866" w:type="dxa"/>
            <w:shd w:val="pct25" w:color="auto" w:fill="auto"/>
            <w:vAlign w:val="bottom"/>
          </w:tcPr>
          <w:p w:rsidR="00614224" w:rsidRPr="00F86FA6" w:rsidRDefault="00614224" w:rsidP="008569D5">
            <w:pPr>
              <w:jc w:val="right"/>
              <w:rPr>
                <w:rFonts w:ascii="Arial" w:hAnsi="Arial" w:cs="Arial"/>
                <w:sz w:val="20"/>
                <w:szCs w:val="20"/>
              </w:rPr>
            </w:pPr>
          </w:p>
        </w:tc>
        <w:tc>
          <w:tcPr>
            <w:tcW w:w="866" w:type="dxa"/>
            <w:shd w:val="pct25" w:color="auto" w:fill="auto"/>
            <w:vAlign w:val="bottom"/>
          </w:tcPr>
          <w:p w:rsidR="00614224" w:rsidRPr="00F86FA6" w:rsidRDefault="00614224" w:rsidP="008569D5">
            <w:pPr>
              <w:jc w:val="right"/>
              <w:rPr>
                <w:rFonts w:ascii="Arial" w:hAnsi="Arial" w:cs="Arial"/>
                <w:sz w:val="20"/>
                <w:szCs w:val="20"/>
              </w:rPr>
            </w:pPr>
            <w:r w:rsidRPr="00F86FA6">
              <w:rPr>
                <w:rFonts w:ascii="Arial" w:hAnsi="Arial" w:cs="Arial"/>
                <w:sz w:val="20"/>
                <w:szCs w:val="20"/>
              </w:rPr>
              <w:t xml:space="preserve"> </w:t>
            </w:r>
          </w:p>
        </w:tc>
        <w:tc>
          <w:tcPr>
            <w:tcW w:w="866" w:type="dxa"/>
            <w:shd w:val="pct25" w:color="auto" w:fill="auto"/>
            <w:vAlign w:val="bottom"/>
          </w:tcPr>
          <w:p w:rsidR="00614224" w:rsidRPr="00F86FA6"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shd w:val="pct25" w:color="auto" w:fill="auto"/>
            <w:vAlign w:val="bottom"/>
          </w:tcPr>
          <w:p w:rsidR="00614224" w:rsidRPr="00F86FA6" w:rsidRDefault="00614224" w:rsidP="008569D5">
            <w:pPr>
              <w:jc w:val="right"/>
              <w:rPr>
                <w:rFonts w:ascii="Arial" w:hAnsi="Arial" w:cs="Arial"/>
                <w:sz w:val="20"/>
                <w:szCs w:val="20"/>
              </w:rPr>
            </w:pPr>
            <w:r w:rsidRPr="00F86FA6">
              <w:rPr>
                <w:rFonts w:ascii="Arial" w:hAnsi="Arial" w:cs="Arial"/>
                <w:sz w:val="20"/>
                <w:szCs w:val="20"/>
              </w:rPr>
              <w:t xml:space="preserve"> </w:t>
            </w:r>
          </w:p>
        </w:tc>
        <w:tc>
          <w:tcPr>
            <w:tcW w:w="867" w:type="dxa"/>
            <w:shd w:val="pct25" w:color="auto" w:fill="auto"/>
            <w:vAlign w:val="bottom"/>
          </w:tcPr>
          <w:p w:rsidR="00614224" w:rsidRPr="00F86FA6" w:rsidRDefault="00614224" w:rsidP="008569D5">
            <w:pPr>
              <w:jc w:val="right"/>
              <w:rPr>
                <w:rFonts w:ascii="Arial" w:hAnsi="Arial" w:cs="Arial"/>
                <w:sz w:val="20"/>
                <w:szCs w:val="20"/>
              </w:rPr>
            </w:pPr>
            <w:r w:rsidRPr="00F86FA6">
              <w:rPr>
                <w:rFonts w:ascii="Arial" w:hAnsi="Arial" w:cs="Arial"/>
                <w:sz w:val="20"/>
                <w:szCs w:val="20"/>
              </w:rPr>
              <w:t xml:space="preserve"> </w:t>
            </w:r>
          </w:p>
        </w:tc>
        <w:tc>
          <w:tcPr>
            <w:tcW w:w="866" w:type="dxa"/>
            <w:shd w:val="pct25" w:color="auto" w:fill="auto"/>
            <w:vAlign w:val="bottom"/>
          </w:tcPr>
          <w:p w:rsidR="00614224" w:rsidRPr="00F86FA6"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shd w:val="pct25" w:color="auto" w:fill="auto"/>
            <w:vAlign w:val="bottom"/>
          </w:tcPr>
          <w:p w:rsidR="00614224" w:rsidRPr="00F86FA6" w:rsidRDefault="00614224" w:rsidP="008569D5">
            <w:pPr>
              <w:jc w:val="right"/>
              <w:rPr>
                <w:rFonts w:ascii="Arial" w:hAnsi="Arial" w:cs="Arial"/>
                <w:sz w:val="20"/>
                <w:szCs w:val="20"/>
              </w:rPr>
            </w:pPr>
            <w:r w:rsidRPr="00F86FA6">
              <w:rPr>
                <w:rFonts w:ascii="Arial" w:hAnsi="Arial" w:cs="Arial"/>
                <w:sz w:val="20"/>
                <w:szCs w:val="20"/>
              </w:rPr>
              <w:t xml:space="preserve"> </w:t>
            </w:r>
          </w:p>
        </w:tc>
        <w:tc>
          <w:tcPr>
            <w:tcW w:w="866" w:type="dxa"/>
            <w:shd w:val="pct25" w:color="auto" w:fill="auto"/>
            <w:vAlign w:val="bottom"/>
          </w:tcPr>
          <w:p w:rsidR="00614224" w:rsidRPr="00F86FA6"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7" w:type="dxa"/>
            <w:shd w:val="pct25" w:color="auto" w:fill="auto"/>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3</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1989-90</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roofErr w:type="spellStart"/>
            <w:r w:rsidRPr="00D7725C">
              <w:rPr>
                <w:rStyle w:val="NoteLabel"/>
                <w:b w:val="0"/>
              </w:rPr>
              <w:t>s</w:t>
            </w:r>
            <w:r>
              <w:rPr>
                <w:rStyle w:val="NoteLabel"/>
                <w:b w:val="0"/>
              </w:rPr>
              <w:t>2</w:t>
            </w:r>
            <w:proofErr w:type="spellEnd"/>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1</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1990-91</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roofErr w:type="spellStart"/>
            <w:r w:rsidRPr="00D7725C">
              <w:rPr>
                <w:rStyle w:val="NoteLabel"/>
                <w:b w:val="0"/>
              </w:rPr>
              <w:t>s</w:t>
            </w:r>
            <w:r>
              <w:rPr>
                <w:rStyle w:val="NoteLabel"/>
                <w:b w:val="0"/>
              </w:rPr>
              <w:t>2</w:t>
            </w:r>
            <w:proofErr w:type="spellEnd"/>
            <w:r>
              <w:rPr>
                <w:rStyle w:val="NoteLabel"/>
                <w:b w:val="0"/>
              </w:rPr>
              <w:t>*</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3</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1991-92</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0</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1992-93</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1</w:t>
            </w:r>
          </w:p>
        </w:tc>
      </w:tr>
      <w:tr w:rsidR="00614224" w:rsidTr="008569D5">
        <w:trPr>
          <w:trHeight w:val="310"/>
        </w:trPr>
        <w:tc>
          <w:tcPr>
            <w:tcW w:w="99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1993-94</w:t>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Pr>
                <w:rStyle w:val="NoteLabel"/>
                <w:b w:val="0"/>
              </w:rPr>
              <w:t>2</w:t>
            </w:r>
          </w:p>
        </w:tc>
        <w:tc>
          <w:tcPr>
            <w:tcW w:w="867"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pPr>
            <w:r w:rsidRPr="00295844">
              <w:rPr>
                <w:rFonts w:ascii="Wingdings" w:hAnsi="Wingdings"/>
                <w:sz w:val="22"/>
                <w:szCs w:val="28"/>
              </w:rPr>
              <w:sym w:font="Wingdings" w:char="00FC"/>
            </w:r>
          </w:p>
        </w:tc>
        <w:tc>
          <w:tcPr>
            <w:tcW w:w="866" w:type="dxa"/>
            <w:shd w:val="pct25" w:color="auto" w:fill="auto"/>
            <w:vAlign w:val="bottom"/>
          </w:tcPr>
          <w:p w:rsidR="00614224" w:rsidRDefault="00614224" w:rsidP="008569D5">
            <w:pPr>
              <w:jc w:val="right"/>
            </w:pPr>
            <w:r w:rsidRPr="00295844">
              <w:rPr>
                <w:rFonts w:ascii="Wingdings" w:hAnsi="Wingdings"/>
                <w:sz w:val="22"/>
                <w:szCs w:val="28"/>
              </w:rPr>
              <w:sym w:font="Wingdings" w:char="00FC"/>
            </w:r>
            <w:r w:rsidRPr="00D7725C">
              <w:rPr>
                <w:rStyle w:val="NoteLabel"/>
                <w:b w:val="0"/>
              </w:rPr>
              <w:t>s</w:t>
            </w:r>
          </w:p>
        </w:tc>
        <w:tc>
          <w:tcPr>
            <w:tcW w:w="866" w:type="dxa"/>
            <w:shd w:val="pct25" w:color="auto" w:fill="auto"/>
            <w:vAlign w:val="bottom"/>
          </w:tcPr>
          <w:p w:rsidR="00614224" w:rsidRDefault="00614224" w:rsidP="008569D5">
            <w:pPr>
              <w:jc w:val="right"/>
            </w:pPr>
            <w:r w:rsidRPr="00295844">
              <w:rPr>
                <w:rFonts w:ascii="Wingdings" w:hAnsi="Wingdings"/>
                <w:sz w:val="22"/>
                <w:szCs w:val="28"/>
              </w:rPr>
              <w:sym w:font="Wingdings" w:char="00FC"/>
            </w:r>
          </w:p>
        </w:tc>
        <w:tc>
          <w:tcPr>
            <w:tcW w:w="867" w:type="dxa"/>
            <w:shd w:val="pct25" w:color="auto" w:fill="auto"/>
            <w:vAlign w:val="bottom"/>
          </w:tcPr>
          <w:p w:rsidR="00614224" w:rsidRPr="00EA0D60" w:rsidRDefault="00614224" w:rsidP="008569D5">
            <w:pPr>
              <w:jc w:val="right"/>
              <w:rPr>
                <w:rFonts w:ascii="Arial" w:hAnsi="Arial" w:cs="Arial"/>
                <w:bCs/>
                <w:sz w:val="20"/>
                <w:szCs w:val="20"/>
              </w:rPr>
            </w:pPr>
            <w:r w:rsidRPr="00EA0D60">
              <w:rPr>
                <w:rFonts w:ascii="Arial" w:hAnsi="Arial" w:cs="Arial"/>
                <w:bCs/>
                <w:sz w:val="20"/>
                <w:szCs w:val="20"/>
              </w:rPr>
              <w:t>5</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1994-95</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0</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1995-96</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Pr>
                <w:rStyle w:val="NoteLabel"/>
                <w:b w:val="0"/>
              </w:rPr>
              <w:t>2</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2</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1996-97</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roofErr w:type="spellStart"/>
            <w:r w:rsidRPr="00D7725C">
              <w:rPr>
                <w:rStyle w:val="NoteLabel"/>
                <w:b w:val="0"/>
              </w:rPr>
              <w:t>s</w:t>
            </w:r>
            <w:r>
              <w:rPr>
                <w:rStyle w:val="NoteLabel"/>
                <w:b w:val="0"/>
              </w:rPr>
              <w:t>w</w:t>
            </w:r>
            <w:proofErr w:type="spellEnd"/>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1</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1997-98</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1</w:t>
            </w:r>
          </w:p>
        </w:tc>
      </w:tr>
      <w:tr w:rsidR="00614224" w:rsidTr="008569D5">
        <w:trPr>
          <w:trHeight w:val="310"/>
        </w:trPr>
        <w:tc>
          <w:tcPr>
            <w:tcW w:w="99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1998-99</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pPr>
            <w:r w:rsidRPr="00295844">
              <w:rPr>
                <w:rFonts w:ascii="Wingdings" w:hAnsi="Wingdings"/>
                <w:sz w:val="22"/>
                <w:szCs w:val="28"/>
              </w:rPr>
              <w:sym w:font="Wingdings" w:char="00FC"/>
            </w:r>
          </w:p>
        </w:tc>
        <w:tc>
          <w:tcPr>
            <w:tcW w:w="866" w:type="dxa"/>
            <w:shd w:val="pct25" w:color="auto" w:fill="auto"/>
            <w:vAlign w:val="bottom"/>
          </w:tcPr>
          <w:p w:rsidR="00614224" w:rsidRDefault="00614224" w:rsidP="008569D5">
            <w:pPr>
              <w:jc w:val="right"/>
            </w:pPr>
            <w:r w:rsidRPr="00295844">
              <w:rPr>
                <w:rFonts w:ascii="Wingdings" w:hAnsi="Wingdings"/>
                <w:sz w:val="22"/>
                <w:szCs w:val="28"/>
              </w:rPr>
              <w:sym w:font="Wingdings" w:char="00FC"/>
            </w:r>
            <w:r>
              <w:rPr>
                <w:rStyle w:val="NoteLabel"/>
                <w:b w:val="0"/>
              </w:rPr>
              <w:t>2</w:t>
            </w:r>
          </w:p>
        </w:tc>
        <w:tc>
          <w:tcPr>
            <w:tcW w:w="867" w:type="dxa"/>
            <w:shd w:val="pct25" w:color="auto" w:fill="auto"/>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2</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1999-00</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0</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2000-01</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roofErr w:type="spellStart"/>
            <w:r w:rsidRPr="00D7725C">
              <w:rPr>
                <w:rStyle w:val="NoteLabel"/>
                <w:b w:val="0"/>
              </w:rPr>
              <w:t>s</w:t>
            </w:r>
            <w:r>
              <w:rPr>
                <w:rStyle w:val="NoteLabel"/>
                <w:b w:val="0"/>
              </w:rPr>
              <w:t>2</w:t>
            </w:r>
            <w:proofErr w:type="spellEnd"/>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1</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2001-02</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Pr>
                <w:rStyle w:val="NoteLabel"/>
                <w:b w:val="0"/>
              </w:rPr>
              <w:t>2</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pPr>
            <w:r w:rsidRPr="00295844">
              <w:rPr>
                <w:rFonts w:ascii="Wingdings" w:hAnsi="Wingdings"/>
                <w:sz w:val="22"/>
                <w:szCs w:val="28"/>
              </w:rPr>
              <w:sym w:font="Wingdings" w:char="00FC"/>
            </w:r>
            <w:r w:rsidRPr="00D7725C">
              <w:rPr>
                <w:rStyle w:val="NoteLabel"/>
                <w:b w:val="0"/>
              </w:rPr>
              <w:t>s</w:t>
            </w:r>
          </w:p>
        </w:tc>
        <w:tc>
          <w:tcPr>
            <w:tcW w:w="866" w:type="dxa"/>
            <w:vAlign w:val="bottom"/>
          </w:tcPr>
          <w:p w:rsidR="00614224" w:rsidRDefault="00614224" w:rsidP="008569D5">
            <w:pPr>
              <w:jc w:val="right"/>
            </w:pPr>
            <w:r w:rsidRPr="00295844">
              <w:rPr>
                <w:rFonts w:ascii="Wingdings" w:hAnsi="Wingdings"/>
                <w:sz w:val="22"/>
                <w:szCs w:val="28"/>
              </w:rPr>
              <w:sym w:font="Wingdings" w:char="00FC"/>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3</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2002-03</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1</w:t>
            </w:r>
          </w:p>
        </w:tc>
      </w:tr>
      <w:tr w:rsidR="00614224" w:rsidTr="008569D5">
        <w:trPr>
          <w:trHeight w:val="310"/>
        </w:trPr>
        <w:tc>
          <w:tcPr>
            <w:tcW w:w="99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2003-04</w:t>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Pr>
                <w:rStyle w:val="NoteLabel"/>
                <w:b w:val="0"/>
              </w:rPr>
              <w:t>2</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7"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Pr>
                <w:rStyle w:val="NoteLabel"/>
                <w:b w:val="0"/>
              </w:rPr>
              <w:t>2</w:t>
            </w:r>
          </w:p>
        </w:tc>
        <w:tc>
          <w:tcPr>
            <w:tcW w:w="867" w:type="dxa"/>
            <w:shd w:val="pct25" w:color="auto" w:fill="auto"/>
            <w:vAlign w:val="bottom"/>
          </w:tcPr>
          <w:p w:rsidR="00614224" w:rsidRPr="00EA0D60" w:rsidRDefault="00614224" w:rsidP="008569D5">
            <w:pPr>
              <w:jc w:val="right"/>
              <w:rPr>
                <w:rFonts w:ascii="Arial" w:hAnsi="Arial" w:cs="Arial"/>
                <w:bCs/>
                <w:sz w:val="20"/>
                <w:szCs w:val="20"/>
              </w:rPr>
            </w:pPr>
            <w:r w:rsidRPr="00EA0D60">
              <w:rPr>
                <w:rFonts w:ascii="Arial" w:hAnsi="Arial" w:cs="Arial"/>
                <w:bCs/>
                <w:sz w:val="20"/>
                <w:szCs w:val="20"/>
              </w:rPr>
              <w:t>4</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2004-05</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1</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2005-06</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0</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2006-07</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2</w:t>
            </w:r>
          </w:p>
        </w:tc>
      </w:tr>
      <w:tr w:rsidR="00614224" w:rsidTr="008569D5">
        <w:trPr>
          <w:trHeight w:val="310"/>
        </w:trPr>
        <w:tc>
          <w:tcPr>
            <w:tcW w:w="99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2007-08</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roofErr w:type="spellStart"/>
            <w:r w:rsidRPr="00D7725C">
              <w:rPr>
                <w:rStyle w:val="NoteLabel"/>
                <w:b w:val="0"/>
              </w:rPr>
              <w:t>s</w:t>
            </w:r>
            <w:r>
              <w:rPr>
                <w:rStyle w:val="NoteLabel"/>
                <w:b w:val="0"/>
              </w:rPr>
              <w:t>w</w:t>
            </w:r>
            <w:proofErr w:type="spellEnd"/>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7"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shd w:val="pct25" w:color="auto" w:fill="auto"/>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
        </w:tc>
        <w:tc>
          <w:tcPr>
            <w:tcW w:w="866"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shd w:val="pct25" w:color="auto" w:fill="auto"/>
            <w:vAlign w:val="bottom"/>
          </w:tcPr>
          <w:p w:rsidR="00614224" w:rsidRPr="00EA0D60" w:rsidRDefault="00614224" w:rsidP="008569D5">
            <w:pPr>
              <w:jc w:val="right"/>
              <w:rPr>
                <w:rFonts w:ascii="Arial" w:hAnsi="Arial" w:cs="Arial"/>
                <w:bCs/>
                <w:sz w:val="20"/>
                <w:szCs w:val="20"/>
              </w:rPr>
            </w:pPr>
            <w:r w:rsidRPr="00EA0D60">
              <w:rPr>
                <w:rFonts w:ascii="Arial" w:hAnsi="Arial" w:cs="Arial"/>
                <w:bCs/>
                <w:sz w:val="20"/>
                <w:szCs w:val="20"/>
              </w:rPr>
              <w:t>4</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2008-09</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0</w:t>
            </w:r>
          </w:p>
        </w:tc>
      </w:tr>
      <w:tr w:rsidR="00614224" w:rsidTr="008569D5">
        <w:trPr>
          <w:trHeight w:val="310"/>
        </w:trPr>
        <w:tc>
          <w:tcPr>
            <w:tcW w:w="993"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2009-10</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r>
              <w:rPr>
                <w:rStyle w:val="NoteLabel"/>
                <w:b w:val="0"/>
              </w:rPr>
              <w:t>w</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7"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roofErr w:type="spellStart"/>
            <w:r w:rsidRPr="00D7725C">
              <w:rPr>
                <w:rStyle w:val="NoteLabel"/>
                <w:b w:val="0"/>
              </w:rPr>
              <w:t>s</w:t>
            </w:r>
            <w:r>
              <w:rPr>
                <w:rStyle w:val="NoteLabel"/>
                <w:b w:val="0"/>
              </w:rPr>
              <w:t>w</w:t>
            </w:r>
            <w:proofErr w:type="spellEnd"/>
          </w:p>
        </w:tc>
        <w:tc>
          <w:tcPr>
            <w:tcW w:w="866"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866" w:type="dxa"/>
            <w:vAlign w:val="bottom"/>
          </w:tcPr>
          <w:p w:rsidR="00614224" w:rsidRDefault="00614224" w:rsidP="008569D5">
            <w:pPr>
              <w:jc w:val="right"/>
              <w:rPr>
                <w:rFonts w:ascii="Arial" w:hAnsi="Arial" w:cs="Arial"/>
                <w:sz w:val="20"/>
                <w:szCs w:val="20"/>
              </w:rPr>
            </w:pPr>
            <w:r w:rsidRPr="00295844">
              <w:rPr>
                <w:rFonts w:ascii="Wingdings" w:hAnsi="Wingdings"/>
                <w:sz w:val="22"/>
                <w:szCs w:val="28"/>
              </w:rPr>
              <w:sym w:font="Wingdings" w:char="00FC"/>
            </w:r>
            <w:proofErr w:type="spellStart"/>
            <w:r>
              <w:rPr>
                <w:rStyle w:val="NoteLabel"/>
                <w:b w:val="0"/>
              </w:rPr>
              <w:t>w2</w:t>
            </w:r>
            <w:proofErr w:type="spellEnd"/>
            <w:r>
              <w:rPr>
                <w:rStyle w:val="NoteLabel"/>
                <w:b w:val="0"/>
              </w:rPr>
              <w:t>*</w:t>
            </w:r>
          </w:p>
        </w:tc>
        <w:tc>
          <w:tcPr>
            <w:tcW w:w="867" w:type="dxa"/>
            <w:vAlign w:val="bottom"/>
          </w:tcPr>
          <w:p w:rsidR="00614224" w:rsidRPr="00EA0D60" w:rsidRDefault="00614224" w:rsidP="008569D5">
            <w:pPr>
              <w:jc w:val="right"/>
              <w:rPr>
                <w:rFonts w:ascii="Arial" w:hAnsi="Arial" w:cs="Arial"/>
                <w:sz w:val="20"/>
                <w:szCs w:val="20"/>
              </w:rPr>
            </w:pPr>
            <w:r w:rsidRPr="00EA0D60">
              <w:rPr>
                <w:rFonts w:ascii="Arial" w:hAnsi="Arial" w:cs="Arial"/>
                <w:sz w:val="20"/>
                <w:szCs w:val="20"/>
              </w:rPr>
              <w:t>3</w:t>
            </w:r>
          </w:p>
        </w:tc>
      </w:tr>
      <w:tr w:rsidR="00614224" w:rsidTr="008569D5">
        <w:trPr>
          <w:trHeight w:val="310"/>
        </w:trPr>
        <w:tc>
          <w:tcPr>
            <w:tcW w:w="993" w:type="dxa"/>
            <w:vAlign w:val="bottom"/>
          </w:tcPr>
          <w:p w:rsidR="00614224" w:rsidRPr="004922C0" w:rsidRDefault="00614224" w:rsidP="008569D5">
            <w:pPr>
              <w:rPr>
                <w:rFonts w:ascii="Arial" w:hAnsi="Arial" w:cs="Arial"/>
                <w:color w:val="000000"/>
                <w:sz w:val="20"/>
                <w:szCs w:val="20"/>
              </w:rPr>
            </w:pPr>
            <w:r w:rsidRPr="004922C0">
              <w:rPr>
                <w:rFonts w:ascii="Arial" w:hAnsi="Arial" w:cs="Arial"/>
                <w:color w:val="000000"/>
                <w:sz w:val="20"/>
                <w:szCs w:val="20"/>
              </w:rPr>
              <w:t>2010-11</w:t>
            </w:r>
          </w:p>
        </w:tc>
        <w:tc>
          <w:tcPr>
            <w:tcW w:w="866" w:type="dxa"/>
            <w:vAlign w:val="bottom"/>
          </w:tcPr>
          <w:p w:rsidR="00614224" w:rsidRDefault="00614224" w:rsidP="008569D5">
            <w:pPr>
              <w:pStyle w:val="TableBodyText"/>
              <w:keepNext w:val="0"/>
              <w:keepLines w:val="0"/>
              <w:spacing w:after="0" w:line="240" w:lineRule="auto"/>
              <w:ind w:left="0" w:right="0"/>
            </w:pPr>
          </w:p>
        </w:tc>
        <w:tc>
          <w:tcPr>
            <w:tcW w:w="866" w:type="dxa"/>
            <w:vAlign w:val="bottom"/>
          </w:tcPr>
          <w:p w:rsidR="00614224" w:rsidRDefault="00614224" w:rsidP="008569D5">
            <w:pPr>
              <w:pStyle w:val="TableBodyText"/>
              <w:keepNext w:val="0"/>
              <w:keepLines w:val="0"/>
              <w:spacing w:after="0" w:line="240" w:lineRule="auto"/>
              <w:ind w:left="0" w:right="0"/>
            </w:pPr>
          </w:p>
        </w:tc>
        <w:tc>
          <w:tcPr>
            <w:tcW w:w="866" w:type="dxa"/>
            <w:vAlign w:val="bottom"/>
          </w:tcPr>
          <w:p w:rsidR="00614224" w:rsidRDefault="00614224" w:rsidP="008569D5">
            <w:pPr>
              <w:pStyle w:val="TableBodyText"/>
              <w:keepNext w:val="0"/>
              <w:keepLines w:val="0"/>
              <w:spacing w:after="0" w:line="240" w:lineRule="auto"/>
              <w:ind w:left="0" w:right="0"/>
            </w:pPr>
          </w:p>
        </w:tc>
        <w:tc>
          <w:tcPr>
            <w:tcW w:w="866" w:type="dxa"/>
            <w:vAlign w:val="bottom"/>
          </w:tcPr>
          <w:p w:rsidR="00614224" w:rsidRDefault="00614224" w:rsidP="008569D5">
            <w:pPr>
              <w:pStyle w:val="TableBodyText"/>
              <w:keepNext w:val="0"/>
              <w:keepLines w:val="0"/>
              <w:spacing w:after="0" w:line="240" w:lineRule="auto"/>
              <w:ind w:left="0" w:right="0"/>
            </w:pPr>
          </w:p>
        </w:tc>
        <w:tc>
          <w:tcPr>
            <w:tcW w:w="867" w:type="dxa"/>
            <w:vAlign w:val="bottom"/>
          </w:tcPr>
          <w:p w:rsidR="00614224" w:rsidRDefault="00614224" w:rsidP="008569D5">
            <w:pPr>
              <w:pStyle w:val="TableBodyText"/>
              <w:keepNext w:val="0"/>
              <w:keepLines w:val="0"/>
              <w:spacing w:after="0" w:line="240" w:lineRule="auto"/>
              <w:ind w:left="0" w:right="0"/>
            </w:pPr>
          </w:p>
        </w:tc>
        <w:tc>
          <w:tcPr>
            <w:tcW w:w="866" w:type="dxa"/>
            <w:vAlign w:val="bottom"/>
          </w:tcPr>
          <w:p w:rsidR="00614224" w:rsidRDefault="00614224" w:rsidP="008569D5">
            <w:pPr>
              <w:pStyle w:val="TableBodyText"/>
              <w:keepNext w:val="0"/>
              <w:keepLines w:val="0"/>
              <w:spacing w:after="0" w:line="240" w:lineRule="auto"/>
              <w:ind w:left="0" w:right="0"/>
            </w:pPr>
          </w:p>
        </w:tc>
        <w:tc>
          <w:tcPr>
            <w:tcW w:w="866" w:type="dxa"/>
            <w:vAlign w:val="bottom"/>
          </w:tcPr>
          <w:p w:rsidR="00614224" w:rsidRDefault="00614224" w:rsidP="008569D5">
            <w:pPr>
              <w:pStyle w:val="TableBodyText"/>
              <w:keepNext w:val="0"/>
              <w:keepLines w:val="0"/>
              <w:spacing w:after="0" w:line="240" w:lineRule="auto"/>
              <w:ind w:left="0" w:right="0"/>
            </w:pPr>
          </w:p>
        </w:tc>
        <w:tc>
          <w:tcPr>
            <w:tcW w:w="866" w:type="dxa"/>
            <w:vAlign w:val="bottom"/>
          </w:tcPr>
          <w:p w:rsidR="00614224" w:rsidRDefault="00614224" w:rsidP="008569D5">
            <w:pPr>
              <w:pStyle w:val="TableBodyText"/>
              <w:keepNext w:val="0"/>
              <w:keepLines w:val="0"/>
              <w:spacing w:after="0" w:line="240" w:lineRule="auto"/>
              <w:ind w:left="0" w:right="0"/>
            </w:pPr>
          </w:p>
        </w:tc>
        <w:tc>
          <w:tcPr>
            <w:tcW w:w="867" w:type="dxa"/>
            <w:vAlign w:val="bottom"/>
          </w:tcPr>
          <w:p w:rsidR="00614224" w:rsidRPr="00EA0D60" w:rsidRDefault="00614224" w:rsidP="008569D5">
            <w:pPr>
              <w:pStyle w:val="TableBodyText"/>
              <w:keepNext w:val="0"/>
              <w:keepLines w:val="0"/>
              <w:spacing w:after="0" w:line="240" w:lineRule="auto"/>
              <w:ind w:left="0" w:right="0"/>
            </w:pPr>
            <w:r w:rsidRPr="00EA0D60">
              <w:rPr>
                <w:rStyle w:val="NoteLabel"/>
                <w:sz w:val="20"/>
              </w:rPr>
              <w:t>c</w:t>
            </w:r>
          </w:p>
        </w:tc>
      </w:tr>
      <w:tr w:rsidR="00614224" w:rsidTr="008569D5">
        <w:tc>
          <w:tcPr>
            <w:tcW w:w="993" w:type="dxa"/>
            <w:tcBorders>
              <w:bottom w:val="single" w:sz="6" w:space="0" w:color="auto"/>
            </w:tcBorders>
            <w:shd w:val="clear" w:color="auto" w:fill="auto"/>
            <w:vAlign w:val="bottom"/>
          </w:tcPr>
          <w:p w:rsidR="00614224" w:rsidRDefault="00B778D8" w:rsidP="00B778D8">
            <w:pPr>
              <w:rPr>
                <w:rFonts w:ascii="Arial" w:hAnsi="Arial" w:cs="Arial"/>
                <w:color w:val="000000"/>
                <w:sz w:val="20"/>
                <w:szCs w:val="20"/>
              </w:rPr>
            </w:pPr>
            <w:r>
              <w:rPr>
                <w:rFonts w:ascii="Arial" w:hAnsi="Arial" w:cs="Arial"/>
                <w:color w:val="000000"/>
                <w:sz w:val="20"/>
                <w:szCs w:val="20"/>
              </w:rPr>
              <w:t>Number of p</w:t>
            </w:r>
            <w:r w:rsidR="00614224">
              <w:rPr>
                <w:rFonts w:ascii="Arial" w:hAnsi="Arial" w:cs="Arial"/>
                <w:color w:val="000000"/>
                <w:sz w:val="20"/>
                <w:szCs w:val="20"/>
              </w:rPr>
              <w:t>eaks</w:t>
            </w:r>
          </w:p>
        </w:tc>
        <w:tc>
          <w:tcPr>
            <w:tcW w:w="866"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7</w:t>
            </w:r>
          </w:p>
        </w:tc>
        <w:tc>
          <w:tcPr>
            <w:tcW w:w="866"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5</w:t>
            </w:r>
          </w:p>
        </w:tc>
        <w:tc>
          <w:tcPr>
            <w:tcW w:w="866"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6</w:t>
            </w:r>
          </w:p>
        </w:tc>
        <w:tc>
          <w:tcPr>
            <w:tcW w:w="866"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5</w:t>
            </w:r>
          </w:p>
        </w:tc>
        <w:tc>
          <w:tcPr>
            <w:tcW w:w="867"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4</w:t>
            </w:r>
          </w:p>
        </w:tc>
        <w:tc>
          <w:tcPr>
            <w:tcW w:w="866"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5</w:t>
            </w:r>
          </w:p>
        </w:tc>
        <w:tc>
          <w:tcPr>
            <w:tcW w:w="866"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5</w:t>
            </w:r>
          </w:p>
        </w:tc>
        <w:tc>
          <w:tcPr>
            <w:tcW w:w="866"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5</w:t>
            </w:r>
          </w:p>
        </w:tc>
        <w:tc>
          <w:tcPr>
            <w:tcW w:w="867" w:type="dxa"/>
            <w:tcBorders>
              <w:bottom w:val="single" w:sz="6" w:space="0" w:color="auto"/>
            </w:tcBorders>
            <w:shd w:val="clear" w:color="auto" w:fill="auto"/>
            <w:vAlign w:val="bottom"/>
          </w:tcPr>
          <w:p w:rsidR="00614224" w:rsidRPr="00F86FA6" w:rsidRDefault="00614224" w:rsidP="008569D5">
            <w:pPr>
              <w:jc w:val="right"/>
              <w:rPr>
                <w:rFonts w:ascii="Arial" w:hAnsi="Arial" w:cs="Arial"/>
                <w:b/>
                <w:sz w:val="20"/>
                <w:szCs w:val="20"/>
              </w:rPr>
            </w:pPr>
            <w:r w:rsidRPr="00F86FA6">
              <w:rPr>
                <w:rFonts w:ascii="Arial" w:hAnsi="Arial" w:cs="Arial"/>
                <w:b/>
                <w:sz w:val="20"/>
                <w:szCs w:val="20"/>
              </w:rPr>
              <w:t>42</w:t>
            </w:r>
          </w:p>
        </w:tc>
      </w:tr>
    </w:tbl>
    <w:p w:rsidR="004922C0" w:rsidRDefault="004922C0" w:rsidP="004922C0">
      <w:pPr>
        <w:pStyle w:val="Source"/>
      </w:pPr>
      <w:r>
        <w:rPr>
          <w:rStyle w:val="NoteLabel"/>
        </w:rPr>
        <w:t xml:space="preserve">a </w:t>
      </w:r>
      <w:r>
        <w:t xml:space="preserve">Revisions by the ABS to its official industry MFP time series, as well as additional years of data, may also lead to revisions to the industry cycles identified and average annual growth rates over these cycles. </w:t>
      </w:r>
      <w:r>
        <w:rPr>
          <w:rStyle w:val="NoteLabel"/>
        </w:rPr>
        <w:t>b</w:t>
      </w:r>
      <w:r>
        <w:rPr>
          <w:rFonts w:cs="Arial"/>
        </w:rPr>
        <w:t> </w:t>
      </w:r>
      <w:r w:rsidR="00216651">
        <w:t>Subsector</w:t>
      </w:r>
      <w:r>
        <w:t xml:space="preserve"> labels: </w:t>
      </w:r>
      <w:proofErr w:type="spellStart"/>
      <w:r w:rsidR="00D7725C">
        <w:t>FBT</w:t>
      </w:r>
      <w:proofErr w:type="spellEnd"/>
      <w:r>
        <w:t xml:space="preserve"> is </w:t>
      </w:r>
      <w:r w:rsidR="00D7725C">
        <w:t>Food, beverage &amp; tobacco</w:t>
      </w:r>
      <w:r w:rsidR="001D1358">
        <w:t xml:space="preserve"> products; </w:t>
      </w:r>
      <w:proofErr w:type="spellStart"/>
      <w:r w:rsidR="001D1358">
        <w:t>TC</w:t>
      </w:r>
      <w:r w:rsidR="00D7725C">
        <w:t>O</w:t>
      </w:r>
      <w:proofErr w:type="spellEnd"/>
      <w:r w:rsidR="00D7725C">
        <w:t xml:space="preserve"> is Textile, clothing &amp; other manufacturing; WP is Wood &amp; paper products; </w:t>
      </w:r>
      <w:proofErr w:type="spellStart"/>
      <w:r w:rsidR="00D7725C">
        <w:t>PRM</w:t>
      </w:r>
      <w:proofErr w:type="spellEnd"/>
      <w:r w:rsidR="00D7725C">
        <w:t xml:space="preserve"> is Printing &amp; recorded media; </w:t>
      </w:r>
      <w:proofErr w:type="spellStart"/>
      <w:r w:rsidR="00D7725C">
        <w:t>P</w:t>
      </w:r>
      <w:r w:rsidR="005B3884">
        <w:t>C</w:t>
      </w:r>
      <w:r w:rsidR="00D7725C">
        <w:t>CR</w:t>
      </w:r>
      <w:proofErr w:type="spellEnd"/>
      <w:r w:rsidR="00D7725C">
        <w:t xml:space="preserve"> is Petroleum, coal, chemical &amp; rubber products; NM is Non-metallic mineral products; MP is Metal products; and ME is Machinery &amp; equipment manufacturing. </w:t>
      </w:r>
      <w:r>
        <w:rPr>
          <w:rStyle w:val="NoteLabel"/>
        </w:rPr>
        <w:t>c</w:t>
      </w:r>
      <w:r>
        <w:rPr>
          <w:rFonts w:cs="Arial"/>
        </w:rPr>
        <w:t xml:space="preserve"> </w:t>
      </w:r>
      <w:r>
        <w:t xml:space="preserve">Insufficient observations are available to identify peaks in these years. </w:t>
      </w:r>
      <w:r>
        <w:rPr>
          <w:b/>
        </w:rPr>
        <w:t>w</w:t>
      </w:r>
      <w:r>
        <w:t xml:space="preserve"> indicates weakly robust. </w:t>
      </w:r>
      <w:r w:rsidRPr="00135383">
        <w:rPr>
          <w:b/>
        </w:rPr>
        <w:t>s</w:t>
      </w:r>
      <w:r>
        <w:t xml:space="preserve"> indicates a small deviation. </w:t>
      </w:r>
      <w:r w:rsidRPr="00135383">
        <w:rPr>
          <w:b/>
        </w:rPr>
        <w:t>2</w:t>
      </w:r>
      <w:r>
        <w:t> indicates a peak selected from a pair of close together peaks.</w:t>
      </w:r>
      <w:r w:rsidR="00523875">
        <w:t xml:space="preserve"> </w:t>
      </w:r>
      <w:r w:rsidR="00523875" w:rsidRPr="000426BF">
        <w:rPr>
          <w:b/>
        </w:rPr>
        <w:t>*</w:t>
      </w:r>
      <w:r w:rsidR="00523875">
        <w:t xml:space="preserve"> </w:t>
      </w:r>
      <w:r w:rsidR="005B3884">
        <w:t>judgment</w:t>
      </w:r>
      <w:r w:rsidR="00523875">
        <w:t xml:space="preserve"> exercise</w:t>
      </w:r>
      <w:r w:rsidR="000426BF">
        <w:t>d</w:t>
      </w:r>
      <w:r w:rsidR="00523875">
        <w:t xml:space="preserve"> to select between consecutive sets of close together peaks </w:t>
      </w:r>
      <w:r w:rsidR="00E51639">
        <w:t xml:space="preserve">— largest </w:t>
      </w:r>
      <w:proofErr w:type="spellStart"/>
      <w:r w:rsidR="00E51639">
        <w:t>H11</w:t>
      </w:r>
      <w:proofErr w:type="spellEnd"/>
      <w:r w:rsidR="00E51639">
        <w:t xml:space="preserve"> peak year selected.</w:t>
      </w:r>
      <w:r w:rsidR="00523875">
        <w:t xml:space="preserve"> </w:t>
      </w:r>
    </w:p>
    <w:p w:rsidR="004922C0" w:rsidRPr="00C4117A" w:rsidRDefault="004922C0" w:rsidP="004922C0">
      <w:pPr>
        <w:pStyle w:val="Source"/>
        <w:rPr>
          <w:i/>
        </w:rPr>
      </w:pPr>
      <w:r w:rsidRPr="00C4117A">
        <w:rPr>
          <w:i/>
        </w:rPr>
        <w:t>Source</w:t>
      </w:r>
      <w:r w:rsidRPr="00DC1210">
        <w:t>:</w:t>
      </w:r>
      <w:r w:rsidR="00B23DB3">
        <w:rPr>
          <w:i/>
        </w:rPr>
        <w:t xml:space="preserve"> </w:t>
      </w:r>
      <w:r w:rsidR="00B23DB3" w:rsidRPr="00B23DB3">
        <w:t>Authors’</w:t>
      </w:r>
      <w:r w:rsidR="00B23DB3">
        <w:t xml:space="preserve"> estimates based on methodology in Barnes (2011).</w:t>
      </w:r>
      <w:r w:rsidR="003E2B0A">
        <w:t xml:space="preserve"> </w:t>
      </w:r>
    </w:p>
    <w:p w:rsidR="00E10385" w:rsidRDefault="00E10385" w:rsidP="00E10385">
      <w:pPr>
        <w:pStyle w:val="TableTitle"/>
      </w:pPr>
      <w:r>
        <w:rPr>
          <w:b w:val="0"/>
        </w:rPr>
        <w:lastRenderedPageBreak/>
        <w:t xml:space="preserve">Table </w:t>
      </w:r>
      <w:bookmarkStart w:id="5" w:name="OLE_LINK1"/>
      <w:proofErr w:type="spellStart"/>
      <w:r w:rsidR="005B14C5">
        <w:rPr>
          <w:b w:val="0"/>
        </w:rPr>
        <w:t>C.</w:t>
      </w:r>
      <w:r w:rsidR="000E2673">
        <w:rPr>
          <w:b w:val="0"/>
          <w:noProof/>
        </w:rPr>
        <w:t>2</w:t>
      </w:r>
      <w:bookmarkEnd w:id="5"/>
      <w:proofErr w:type="spellEnd"/>
      <w:r>
        <w:tab/>
        <w:t>MFP growth over subsector</w:t>
      </w:r>
      <w:r w:rsidR="00BD21C8">
        <w:t>-specific</w:t>
      </w:r>
      <w:r>
        <w:t xml:space="preserve"> cycles compared with over total </w:t>
      </w:r>
      <w:r w:rsidR="00C92E0A">
        <w:t>Manufacturing</w:t>
      </w:r>
      <w:r>
        <w:t xml:space="preserve"> cycles</w:t>
      </w:r>
      <w:r w:rsidR="008642A2" w:rsidRPr="008642A2">
        <w:rPr>
          <w:rStyle w:val="NoteLabel"/>
          <w:b/>
        </w:rPr>
        <w:t>a</w:t>
      </w:r>
    </w:p>
    <w:p w:rsidR="00E10385" w:rsidRDefault="00893FB4" w:rsidP="00E10385">
      <w:pPr>
        <w:pStyle w:val="Subtitle"/>
      </w:pPr>
      <w:r>
        <w:t>Average annual growth rate (per cent)</w:t>
      </w:r>
    </w:p>
    <w:tbl>
      <w:tblPr>
        <w:tblW w:w="5000" w:type="pct"/>
        <w:tblCellMar>
          <w:left w:w="0" w:type="dxa"/>
          <w:right w:w="0" w:type="dxa"/>
        </w:tblCellMar>
        <w:tblLook w:val="0000" w:firstRow="0" w:lastRow="0" w:firstColumn="0" w:lastColumn="0" w:noHBand="0" w:noVBand="0"/>
      </w:tblPr>
      <w:tblGrid>
        <w:gridCol w:w="3402"/>
        <w:gridCol w:w="1844"/>
        <w:gridCol w:w="708"/>
        <w:gridCol w:w="283"/>
        <w:gridCol w:w="1844"/>
        <w:gridCol w:w="708"/>
      </w:tblGrid>
      <w:tr w:rsidR="00E10385" w:rsidTr="000E2478">
        <w:tc>
          <w:tcPr>
            <w:tcW w:w="1935" w:type="pct"/>
            <w:tcBorders>
              <w:top w:val="single" w:sz="6" w:space="0" w:color="auto"/>
              <w:bottom w:val="single" w:sz="6" w:space="0" w:color="auto"/>
            </w:tcBorders>
            <w:shd w:val="clear" w:color="auto" w:fill="auto"/>
            <w:vAlign w:val="bottom"/>
          </w:tcPr>
          <w:p w:rsidR="00E10385" w:rsidRDefault="00E10385" w:rsidP="00B53BEA">
            <w:pPr>
              <w:pStyle w:val="TableColumnHeading"/>
              <w:jc w:val="center"/>
            </w:pPr>
          </w:p>
        </w:tc>
        <w:tc>
          <w:tcPr>
            <w:tcW w:w="1452" w:type="pct"/>
            <w:gridSpan w:val="2"/>
            <w:tcBorders>
              <w:top w:val="single" w:sz="6" w:space="0" w:color="auto"/>
              <w:bottom w:val="single" w:sz="6" w:space="0" w:color="auto"/>
            </w:tcBorders>
            <w:shd w:val="clear" w:color="auto" w:fill="auto"/>
            <w:vAlign w:val="bottom"/>
          </w:tcPr>
          <w:p w:rsidR="00E10385" w:rsidRDefault="00E10385" w:rsidP="00B778D8">
            <w:pPr>
              <w:pStyle w:val="TableColumnHeading"/>
              <w:jc w:val="left"/>
            </w:pPr>
            <w:r>
              <w:t>Subsector-specific cycles</w:t>
            </w:r>
          </w:p>
        </w:tc>
        <w:tc>
          <w:tcPr>
            <w:tcW w:w="161" w:type="pct"/>
            <w:tcBorders>
              <w:top w:val="single" w:sz="6" w:space="0" w:color="auto"/>
              <w:bottom w:val="single" w:sz="6" w:space="0" w:color="auto"/>
            </w:tcBorders>
            <w:shd w:val="clear" w:color="auto" w:fill="auto"/>
            <w:vAlign w:val="bottom"/>
          </w:tcPr>
          <w:p w:rsidR="00E10385" w:rsidRDefault="00E10385" w:rsidP="00B53BEA">
            <w:pPr>
              <w:pStyle w:val="TableColumnHeading"/>
              <w:jc w:val="center"/>
            </w:pPr>
          </w:p>
        </w:tc>
        <w:tc>
          <w:tcPr>
            <w:tcW w:w="1452" w:type="pct"/>
            <w:gridSpan w:val="2"/>
            <w:tcBorders>
              <w:top w:val="single" w:sz="6" w:space="0" w:color="auto"/>
              <w:bottom w:val="single" w:sz="6" w:space="0" w:color="auto"/>
            </w:tcBorders>
            <w:shd w:val="clear" w:color="auto" w:fill="auto"/>
            <w:vAlign w:val="bottom"/>
          </w:tcPr>
          <w:p w:rsidR="00E10385" w:rsidRDefault="00E10385" w:rsidP="00B778D8">
            <w:pPr>
              <w:pStyle w:val="TableColumnHeading"/>
              <w:ind w:right="28"/>
              <w:jc w:val="left"/>
            </w:pPr>
            <w:r>
              <w:t xml:space="preserve">Total </w:t>
            </w:r>
            <w:proofErr w:type="spellStart"/>
            <w:r>
              <w:t>mfg</w:t>
            </w:r>
            <w:proofErr w:type="spellEnd"/>
            <w:r>
              <w:t xml:space="preserve"> cycles</w:t>
            </w:r>
          </w:p>
        </w:tc>
      </w:tr>
      <w:tr w:rsidR="00E10385" w:rsidTr="000E2478">
        <w:tc>
          <w:tcPr>
            <w:tcW w:w="1935" w:type="pct"/>
            <w:tcBorders>
              <w:top w:val="single" w:sz="6" w:space="0" w:color="auto"/>
            </w:tcBorders>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 xml:space="preserve">Food, beverage &amp; tobacco </w:t>
            </w:r>
          </w:p>
        </w:tc>
        <w:tc>
          <w:tcPr>
            <w:tcW w:w="1049" w:type="pct"/>
            <w:tcBorders>
              <w:top w:val="single" w:sz="6" w:space="0" w:color="auto"/>
            </w:tcBorders>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1986-87 to 1990-91</w:t>
            </w:r>
          </w:p>
        </w:tc>
        <w:tc>
          <w:tcPr>
            <w:tcW w:w="403" w:type="pct"/>
            <w:tcBorders>
              <w:top w:val="single" w:sz="6" w:space="0" w:color="auto"/>
            </w:tcBorders>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1.2</w:t>
            </w:r>
          </w:p>
        </w:tc>
        <w:tc>
          <w:tcPr>
            <w:tcW w:w="161" w:type="pct"/>
            <w:tcBorders>
              <w:top w:val="single" w:sz="6" w:space="0" w:color="auto"/>
            </w:tcBorders>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tcBorders>
              <w:top w:val="single" w:sz="6" w:space="0" w:color="auto"/>
            </w:tcBorders>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1993-94</w:t>
            </w:r>
          </w:p>
        </w:tc>
        <w:tc>
          <w:tcPr>
            <w:tcW w:w="403" w:type="pct"/>
            <w:tcBorders>
              <w:top w:val="single" w:sz="6" w:space="0" w:color="auto"/>
            </w:tcBorders>
            <w:shd w:val="clear" w:color="auto" w:fill="D9D9D9" w:themeFill="background1" w:themeFillShade="D9"/>
            <w:vAlign w:val="bottom"/>
          </w:tcPr>
          <w:p w:rsidR="00E10385" w:rsidRDefault="00E10385" w:rsidP="002A5225">
            <w:pPr>
              <w:jc w:val="right"/>
              <w:rPr>
                <w:rFonts w:ascii="Arial" w:hAnsi="Arial" w:cs="Arial"/>
                <w:color w:val="000000"/>
                <w:sz w:val="20"/>
                <w:szCs w:val="20"/>
              </w:rPr>
            </w:pPr>
            <w:r>
              <w:rPr>
                <w:rFonts w:ascii="Arial" w:hAnsi="Arial" w:cs="Arial"/>
                <w:color w:val="000000"/>
                <w:sz w:val="20"/>
                <w:szCs w:val="20"/>
              </w:rPr>
              <w:t>0.</w:t>
            </w:r>
            <w:r w:rsidR="002A5225">
              <w:rPr>
                <w:rFonts w:ascii="Arial" w:hAnsi="Arial" w:cs="Arial"/>
                <w:color w:val="000000"/>
                <w:sz w:val="20"/>
                <w:szCs w:val="20"/>
              </w:rPr>
              <w:t>6</w:t>
            </w:r>
          </w:p>
        </w:tc>
      </w:tr>
      <w:tr w:rsidR="00E10385" w:rsidTr="000E2478">
        <w:tc>
          <w:tcPr>
            <w:tcW w:w="1935" w:type="pct"/>
            <w:shd w:val="clear" w:color="auto" w:fill="D9D9D9" w:themeFill="background1" w:themeFillShade="D9"/>
            <w:vAlign w:val="bottom"/>
          </w:tcPr>
          <w:p w:rsidR="00E10385" w:rsidRDefault="000E2478" w:rsidP="009D7D45">
            <w:pPr>
              <w:rPr>
                <w:rFonts w:ascii="Arial" w:hAnsi="Arial" w:cs="Arial"/>
                <w:color w:val="000000"/>
                <w:sz w:val="20"/>
                <w:szCs w:val="20"/>
              </w:rPr>
            </w:pPr>
            <w:r>
              <w:rPr>
                <w:rFonts w:ascii="Arial" w:hAnsi="Arial" w:cs="Arial"/>
                <w:color w:val="000000"/>
                <w:sz w:val="20"/>
                <w:szCs w:val="20"/>
              </w:rPr>
              <w:t xml:space="preserve">products </w:t>
            </w:r>
            <w:r w:rsidR="00C92E0A">
              <w:rPr>
                <w:rFonts w:ascii="Arial" w:hAnsi="Arial" w:cs="Arial"/>
                <w:color w:val="000000"/>
                <w:sz w:val="20"/>
                <w:szCs w:val="20"/>
              </w:rPr>
              <w:t>(</w:t>
            </w:r>
            <w:proofErr w:type="spellStart"/>
            <w:r w:rsidR="00C92E0A">
              <w:rPr>
                <w:rFonts w:ascii="Arial" w:hAnsi="Arial" w:cs="Arial"/>
                <w:color w:val="000000"/>
                <w:sz w:val="20"/>
                <w:szCs w:val="20"/>
              </w:rPr>
              <w:t>FBT</w:t>
            </w:r>
            <w:proofErr w:type="spellEnd"/>
            <w:r w:rsidR="00C92E0A">
              <w:rPr>
                <w:rFonts w:ascii="Arial" w:hAnsi="Arial" w:cs="Arial"/>
                <w:color w:val="000000"/>
                <w:sz w:val="20"/>
                <w:szCs w:val="20"/>
              </w:rPr>
              <w:t>)</w:t>
            </w: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1990-91 to 1993-94</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-0.4</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2000-01</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0.9</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1998-99</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0.7</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2000-01 to 2003-04</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-1.8</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2003-04</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-0.5</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2006-07</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-3.4</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2007-08</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-4.2</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2006-07 to 2009-10</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-2.1</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r>
      <w:tr w:rsidR="00E10385" w:rsidTr="000E2478">
        <w:tc>
          <w:tcPr>
            <w:tcW w:w="1935" w:type="pct"/>
            <w:vAlign w:val="bottom"/>
          </w:tcPr>
          <w:p w:rsidR="00E10385" w:rsidRDefault="00E10385" w:rsidP="009D7D45">
            <w:pPr>
              <w:rPr>
                <w:rFonts w:ascii="Arial" w:hAnsi="Arial" w:cs="Arial"/>
                <w:sz w:val="20"/>
                <w:szCs w:val="20"/>
              </w:rPr>
            </w:pPr>
            <w:r>
              <w:rPr>
                <w:rFonts w:ascii="Arial" w:hAnsi="Arial" w:cs="Arial"/>
                <w:sz w:val="20"/>
                <w:szCs w:val="20"/>
              </w:rPr>
              <w:t xml:space="preserve">Textile, clothing, &amp; other </w:t>
            </w:r>
            <w:proofErr w:type="spellStart"/>
            <w:r>
              <w:rPr>
                <w:rFonts w:ascii="Arial" w:hAnsi="Arial" w:cs="Arial"/>
                <w:sz w:val="20"/>
                <w:szCs w:val="20"/>
              </w:rPr>
              <w:t>mfg</w:t>
            </w:r>
            <w:proofErr w:type="spellEnd"/>
            <w:r w:rsidR="00C92E0A">
              <w:rPr>
                <w:rFonts w:ascii="Arial" w:hAnsi="Arial" w:cs="Arial"/>
                <w:sz w:val="20"/>
                <w:szCs w:val="20"/>
              </w:rPr>
              <w:t xml:space="preserve"> (</w:t>
            </w:r>
            <w:proofErr w:type="spellStart"/>
            <w:r w:rsidR="00C92E0A">
              <w:rPr>
                <w:rFonts w:ascii="Arial" w:hAnsi="Arial" w:cs="Arial"/>
                <w:sz w:val="20"/>
                <w:szCs w:val="20"/>
              </w:rPr>
              <w:t>TCO</w:t>
            </w:r>
            <w:proofErr w:type="spellEnd"/>
            <w:r w:rsidR="00C92E0A">
              <w:rPr>
                <w:rFonts w:ascii="Arial" w:hAnsi="Arial" w:cs="Arial"/>
                <w:sz w:val="20"/>
                <w:szCs w:val="20"/>
              </w:rPr>
              <w:t>)</w:t>
            </w: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1987-88 to 1990-91</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-2.1</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1993-94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-2.3</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1990-91 to 1997-98</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-0.6</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1998-99</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0.5</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1997-98 to 2003-04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1.9</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2003-04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2.5</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u w:val="single"/>
              </w:rPr>
            </w:pPr>
            <w:r>
              <w:rPr>
                <w:rFonts w:ascii="Arial" w:hAnsi="Arial" w:cs="Arial"/>
                <w:color w:val="000000"/>
                <w:sz w:val="20"/>
                <w:szCs w:val="20"/>
                <w:u w:val="single"/>
              </w:rPr>
              <w:t>2003-04 to 2007-08</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-1.6</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2007-08</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-1.6</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p>
        </w:tc>
        <w:tc>
          <w:tcPr>
            <w:tcW w:w="403" w:type="pct"/>
            <w:vAlign w:val="bottom"/>
          </w:tcPr>
          <w:p w:rsidR="00E10385" w:rsidRDefault="00E10385" w:rsidP="009D7D45">
            <w:pPr>
              <w:rPr>
                <w:rFonts w:ascii="Arial" w:hAnsi="Arial" w:cs="Arial"/>
                <w:color w:val="000000"/>
                <w:sz w:val="20"/>
                <w:szCs w:val="20"/>
              </w:rPr>
            </w:pP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p>
        </w:tc>
        <w:tc>
          <w:tcPr>
            <w:tcW w:w="403" w:type="pct"/>
            <w:vAlign w:val="bottom"/>
          </w:tcPr>
          <w:p w:rsidR="00E10385" w:rsidRDefault="00E10385" w:rsidP="009D7D45">
            <w:pPr>
              <w:rPr>
                <w:rFonts w:ascii="Arial" w:hAnsi="Arial" w:cs="Arial"/>
                <w:color w:val="000000"/>
                <w:sz w:val="20"/>
                <w:szCs w:val="20"/>
              </w:rPr>
            </w:pP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Wood &amp; paper products</w:t>
            </w:r>
            <w:r w:rsidR="00C92E0A">
              <w:rPr>
                <w:rFonts w:ascii="Arial" w:hAnsi="Arial" w:cs="Arial"/>
                <w:color w:val="000000"/>
                <w:sz w:val="20"/>
                <w:szCs w:val="20"/>
              </w:rPr>
              <w:t xml:space="preserve"> (WP)</w:t>
            </w: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1992-93</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-2.8</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1993-94</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-2.5</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1992-93 to 1995-96</w:t>
            </w:r>
          </w:p>
        </w:tc>
        <w:tc>
          <w:tcPr>
            <w:tcW w:w="403" w:type="pct"/>
            <w:shd w:val="clear" w:color="auto" w:fill="D9D9D9" w:themeFill="background1" w:themeFillShade="D9"/>
            <w:vAlign w:val="bottom"/>
          </w:tcPr>
          <w:p w:rsidR="00E10385" w:rsidRDefault="00E10385" w:rsidP="005979E0">
            <w:pPr>
              <w:jc w:val="right"/>
              <w:rPr>
                <w:rFonts w:ascii="Arial" w:hAnsi="Arial" w:cs="Arial"/>
                <w:color w:val="000000"/>
                <w:sz w:val="20"/>
                <w:szCs w:val="20"/>
              </w:rPr>
            </w:pPr>
            <w:r>
              <w:rPr>
                <w:rFonts w:ascii="Arial" w:hAnsi="Arial" w:cs="Arial"/>
                <w:color w:val="000000"/>
                <w:sz w:val="20"/>
                <w:szCs w:val="20"/>
              </w:rPr>
              <w:t>-</w:t>
            </w:r>
            <w:r w:rsidR="005979E0">
              <w:rPr>
                <w:rFonts w:ascii="Arial" w:hAnsi="Arial" w:cs="Arial"/>
                <w:color w:val="000000"/>
                <w:sz w:val="20"/>
                <w:szCs w:val="20"/>
              </w:rPr>
              <w:t>1.2</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1998-99</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-1.0</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1995-96 to 2001-02</w:t>
            </w:r>
          </w:p>
        </w:tc>
        <w:tc>
          <w:tcPr>
            <w:tcW w:w="403" w:type="pct"/>
            <w:shd w:val="clear" w:color="auto" w:fill="D9D9D9" w:themeFill="background1" w:themeFillShade="D9"/>
            <w:vAlign w:val="bottom"/>
          </w:tcPr>
          <w:p w:rsidR="00E10385" w:rsidRDefault="00E10385" w:rsidP="005979E0">
            <w:pPr>
              <w:jc w:val="right"/>
              <w:rPr>
                <w:rFonts w:ascii="Arial" w:hAnsi="Arial" w:cs="Arial"/>
                <w:color w:val="000000"/>
                <w:sz w:val="20"/>
                <w:szCs w:val="20"/>
              </w:rPr>
            </w:pPr>
            <w:r>
              <w:rPr>
                <w:rFonts w:ascii="Arial" w:hAnsi="Arial" w:cs="Arial"/>
                <w:color w:val="000000"/>
                <w:sz w:val="20"/>
                <w:szCs w:val="20"/>
              </w:rPr>
              <w:t>-0.</w:t>
            </w:r>
            <w:r w:rsidR="005979E0">
              <w:rPr>
                <w:rFonts w:ascii="Arial" w:hAnsi="Arial" w:cs="Arial"/>
                <w:color w:val="000000"/>
                <w:sz w:val="20"/>
                <w:szCs w:val="20"/>
              </w:rPr>
              <w:t>9</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2003-04</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-1.1</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2001-02 to 2004-05</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-2.6</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2004-05 to 2007-08</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-2.3</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2007-08</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-1.2</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r>
      <w:tr w:rsidR="00E10385" w:rsidTr="000E2478">
        <w:tc>
          <w:tcPr>
            <w:tcW w:w="1935" w:type="pct"/>
            <w:vAlign w:val="bottom"/>
          </w:tcPr>
          <w:p w:rsidR="00E10385" w:rsidRDefault="00E10385" w:rsidP="009D7D45">
            <w:pPr>
              <w:rPr>
                <w:rFonts w:ascii="Arial" w:hAnsi="Arial" w:cs="Arial"/>
                <w:sz w:val="20"/>
                <w:szCs w:val="20"/>
              </w:rPr>
            </w:pPr>
            <w:r>
              <w:rPr>
                <w:rFonts w:ascii="Arial" w:hAnsi="Arial" w:cs="Arial"/>
                <w:sz w:val="20"/>
                <w:szCs w:val="20"/>
              </w:rPr>
              <w:t>Printing &amp; recorded media</w:t>
            </w:r>
            <w:r w:rsidR="00C92E0A">
              <w:rPr>
                <w:rFonts w:ascii="Arial" w:hAnsi="Arial" w:cs="Arial"/>
                <w:sz w:val="20"/>
                <w:szCs w:val="20"/>
              </w:rPr>
              <w:t xml:space="preserve"> (</w:t>
            </w:r>
            <w:proofErr w:type="spellStart"/>
            <w:r w:rsidR="00C92E0A">
              <w:rPr>
                <w:rFonts w:ascii="Arial" w:hAnsi="Arial" w:cs="Arial"/>
                <w:sz w:val="20"/>
                <w:szCs w:val="20"/>
              </w:rPr>
              <w:t>PRM</w:t>
            </w:r>
            <w:proofErr w:type="spellEnd"/>
            <w:r w:rsidR="00C92E0A">
              <w:rPr>
                <w:rFonts w:ascii="Arial" w:hAnsi="Arial" w:cs="Arial"/>
                <w:sz w:val="20"/>
                <w:szCs w:val="20"/>
              </w:rPr>
              <w:t>)</w:t>
            </w: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1989-90 to 1993-94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-1.9</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1993-94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-1.3</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1996-97</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-3.6</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1998-99</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-1.8</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1996-97 to 2003-04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4.8</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2003-04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6.4</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u w:val="single"/>
              </w:rPr>
            </w:pPr>
            <w:r>
              <w:rPr>
                <w:rFonts w:ascii="Arial" w:hAnsi="Arial" w:cs="Arial"/>
                <w:color w:val="000000"/>
                <w:sz w:val="20"/>
                <w:szCs w:val="20"/>
                <w:u w:val="single"/>
              </w:rPr>
              <w:t>2003-04 to 2007-08</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-2.8</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2007-08</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-2.8</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p>
        </w:tc>
        <w:tc>
          <w:tcPr>
            <w:tcW w:w="403" w:type="pct"/>
            <w:vAlign w:val="bottom"/>
          </w:tcPr>
          <w:p w:rsidR="00E10385" w:rsidRDefault="00E10385" w:rsidP="009D7D45">
            <w:pPr>
              <w:rPr>
                <w:rFonts w:ascii="Arial" w:hAnsi="Arial" w:cs="Arial"/>
                <w:color w:val="000000"/>
                <w:sz w:val="20"/>
                <w:szCs w:val="20"/>
              </w:rPr>
            </w:pP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p>
        </w:tc>
        <w:tc>
          <w:tcPr>
            <w:tcW w:w="403" w:type="pct"/>
            <w:vAlign w:val="bottom"/>
          </w:tcPr>
          <w:p w:rsidR="00E10385" w:rsidRDefault="00E10385" w:rsidP="009D7D45">
            <w:pPr>
              <w:rPr>
                <w:rFonts w:ascii="Arial" w:hAnsi="Arial" w:cs="Arial"/>
                <w:color w:val="000000"/>
                <w:sz w:val="20"/>
                <w:szCs w:val="20"/>
              </w:rPr>
            </w:pPr>
          </w:p>
        </w:tc>
      </w:tr>
      <w:tr w:rsidR="00E10385" w:rsidTr="000E2478">
        <w:tc>
          <w:tcPr>
            <w:tcW w:w="1935" w:type="pct"/>
            <w:shd w:val="clear" w:color="auto" w:fill="D9D9D9" w:themeFill="background1" w:themeFillShade="D9"/>
            <w:vAlign w:val="bottom"/>
          </w:tcPr>
          <w:p w:rsidR="00E10385" w:rsidRDefault="00E10385" w:rsidP="00DD59A0">
            <w:pPr>
              <w:rPr>
                <w:rFonts w:ascii="Arial" w:hAnsi="Arial" w:cs="Arial"/>
                <w:color w:val="000000"/>
                <w:sz w:val="20"/>
                <w:szCs w:val="20"/>
              </w:rPr>
            </w:pPr>
            <w:r>
              <w:rPr>
                <w:rFonts w:ascii="Arial" w:hAnsi="Arial" w:cs="Arial"/>
                <w:color w:val="000000"/>
                <w:sz w:val="20"/>
                <w:szCs w:val="20"/>
              </w:rPr>
              <w:t xml:space="preserve">Petroleum, coal, chemical &amp; rubber </w:t>
            </w: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1987-88 to 1990-91</w:t>
            </w:r>
          </w:p>
        </w:tc>
        <w:tc>
          <w:tcPr>
            <w:tcW w:w="403" w:type="pct"/>
            <w:shd w:val="clear" w:color="auto" w:fill="D9D9D9" w:themeFill="background1" w:themeFillShade="D9"/>
            <w:vAlign w:val="bottom"/>
          </w:tcPr>
          <w:p w:rsidR="00E10385" w:rsidRDefault="00E10385" w:rsidP="005979E0">
            <w:pPr>
              <w:jc w:val="right"/>
              <w:rPr>
                <w:rFonts w:ascii="Arial" w:hAnsi="Arial" w:cs="Arial"/>
                <w:color w:val="000000"/>
                <w:sz w:val="20"/>
                <w:szCs w:val="20"/>
              </w:rPr>
            </w:pPr>
            <w:r>
              <w:rPr>
                <w:rFonts w:ascii="Arial" w:hAnsi="Arial" w:cs="Arial"/>
                <w:color w:val="000000"/>
                <w:sz w:val="20"/>
                <w:szCs w:val="20"/>
              </w:rPr>
              <w:t>-2.</w:t>
            </w:r>
            <w:r w:rsidR="005979E0">
              <w:rPr>
                <w:rFonts w:ascii="Arial" w:hAnsi="Arial" w:cs="Arial"/>
                <w:color w:val="000000"/>
                <w:sz w:val="20"/>
                <w:szCs w:val="20"/>
              </w:rPr>
              <w:t>7</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1993-94</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-2.6</w:t>
            </w:r>
          </w:p>
        </w:tc>
      </w:tr>
      <w:tr w:rsidR="00E10385" w:rsidTr="000E2478">
        <w:tc>
          <w:tcPr>
            <w:tcW w:w="1935" w:type="pct"/>
            <w:shd w:val="clear" w:color="auto" w:fill="D9D9D9" w:themeFill="background1" w:themeFillShade="D9"/>
            <w:vAlign w:val="bottom"/>
          </w:tcPr>
          <w:p w:rsidR="00E10385" w:rsidRDefault="00DD59A0" w:rsidP="009D7D45">
            <w:pPr>
              <w:rPr>
                <w:rFonts w:ascii="Arial" w:hAnsi="Arial" w:cs="Arial"/>
                <w:color w:val="000000"/>
                <w:sz w:val="20"/>
                <w:szCs w:val="20"/>
              </w:rPr>
            </w:pPr>
            <w:r>
              <w:rPr>
                <w:rFonts w:ascii="Arial" w:hAnsi="Arial" w:cs="Arial"/>
                <w:color w:val="000000"/>
                <w:sz w:val="20"/>
                <w:szCs w:val="20"/>
              </w:rPr>
              <w:t>products (</w:t>
            </w:r>
            <w:proofErr w:type="spellStart"/>
            <w:r>
              <w:rPr>
                <w:rFonts w:ascii="Arial" w:hAnsi="Arial" w:cs="Arial"/>
                <w:color w:val="000000"/>
                <w:sz w:val="20"/>
                <w:szCs w:val="20"/>
              </w:rPr>
              <w:t>PCCR</w:t>
            </w:r>
            <w:proofErr w:type="spellEnd"/>
            <w:r>
              <w:rPr>
                <w:rFonts w:ascii="Arial" w:hAnsi="Arial" w:cs="Arial"/>
                <w:color w:val="000000"/>
                <w:sz w:val="20"/>
                <w:szCs w:val="20"/>
              </w:rPr>
              <w:t>)</w:t>
            </w: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1990-91 to 1995-96</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-0.3</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1998-99</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1.1</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1995-96 to 2002-03</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0.5</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2003-04</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0.6</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2007-08</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-4.1</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r>
      <w:tr w:rsidR="00E10385" w:rsidTr="000E2478">
        <w:tc>
          <w:tcPr>
            <w:tcW w:w="1935"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Non-metallic mineral products</w:t>
            </w:r>
            <w:r w:rsidR="00C92E0A">
              <w:rPr>
                <w:rFonts w:ascii="Arial" w:hAnsi="Arial" w:cs="Arial"/>
                <w:color w:val="000000"/>
                <w:sz w:val="20"/>
                <w:szCs w:val="20"/>
              </w:rPr>
              <w:t xml:space="preserve"> (NM)</w:t>
            </w:r>
          </w:p>
        </w:tc>
        <w:tc>
          <w:tcPr>
            <w:tcW w:w="1049" w:type="pct"/>
            <w:vAlign w:val="bottom"/>
          </w:tcPr>
          <w:p w:rsidR="00E10385" w:rsidRDefault="00E10385" w:rsidP="009D7D45">
            <w:pPr>
              <w:rPr>
                <w:rFonts w:ascii="Arial" w:hAnsi="Arial" w:cs="Arial"/>
                <w:color w:val="000000"/>
                <w:sz w:val="20"/>
                <w:szCs w:val="20"/>
                <w:u w:val="single"/>
              </w:rPr>
            </w:pPr>
            <w:r>
              <w:rPr>
                <w:rFonts w:ascii="Arial" w:hAnsi="Arial" w:cs="Arial"/>
                <w:color w:val="000000"/>
                <w:sz w:val="20"/>
                <w:szCs w:val="20"/>
                <w:u w:val="single"/>
              </w:rPr>
              <w:t>1988-89 to 1993-94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-2.5</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1993-94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-2.5</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2001-02</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3.1</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1998-99</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0.3</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2001-02 to 2006-07</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7.4</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2003-04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6.3</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2006-07 to 2009-10</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-1.2</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2007-08</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4.9</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p>
        </w:tc>
        <w:tc>
          <w:tcPr>
            <w:tcW w:w="403" w:type="pct"/>
            <w:vAlign w:val="bottom"/>
          </w:tcPr>
          <w:p w:rsidR="00E10385" w:rsidRDefault="00E10385" w:rsidP="009D7D45">
            <w:pPr>
              <w:rPr>
                <w:rFonts w:ascii="Arial" w:hAnsi="Arial" w:cs="Arial"/>
                <w:color w:val="000000"/>
                <w:sz w:val="20"/>
                <w:szCs w:val="20"/>
              </w:rPr>
            </w:pP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p>
        </w:tc>
        <w:tc>
          <w:tcPr>
            <w:tcW w:w="403" w:type="pct"/>
            <w:vAlign w:val="bottom"/>
          </w:tcPr>
          <w:p w:rsidR="00E10385" w:rsidRDefault="00E10385" w:rsidP="009D7D45">
            <w:pPr>
              <w:rPr>
                <w:rFonts w:ascii="Arial" w:hAnsi="Arial" w:cs="Arial"/>
                <w:color w:val="000000"/>
                <w:sz w:val="20"/>
                <w:szCs w:val="20"/>
              </w:rPr>
            </w:pP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Metal products</w:t>
            </w:r>
            <w:r w:rsidR="00C92E0A">
              <w:rPr>
                <w:rFonts w:ascii="Arial" w:hAnsi="Arial" w:cs="Arial"/>
                <w:color w:val="000000"/>
                <w:sz w:val="20"/>
                <w:szCs w:val="20"/>
              </w:rPr>
              <w:t xml:space="preserve"> (MP)</w:t>
            </w: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1989-90 to 1993-94</w:t>
            </w:r>
          </w:p>
        </w:tc>
        <w:tc>
          <w:tcPr>
            <w:tcW w:w="403" w:type="pct"/>
            <w:shd w:val="clear" w:color="auto" w:fill="D9D9D9" w:themeFill="background1" w:themeFillShade="D9"/>
            <w:vAlign w:val="bottom"/>
          </w:tcPr>
          <w:p w:rsidR="00E10385" w:rsidRDefault="00E10385" w:rsidP="005979E0">
            <w:pPr>
              <w:jc w:val="right"/>
              <w:rPr>
                <w:rFonts w:ascii="Arial" w:hAnsi="Arial" w:cs="Arial"/>
                <w:color w:val="000000"/>
                <w:sz w:val="20"/>
                <w:szCs w:val="20"/>
              </w:rPr>
            </w:pPr>
            <w:r>
              <w:rPr>
                <w:rFonts w:ascii="Arial" w:hAnsi="Arial" w:cs="Arial"/>
                <w:color w:val="000000"/>
                <w:sz w:val="20"/>
                <w:szCs w:val="20"/>
              </w:rPr>
              <w:t>0.</w:t>
            </w:r>
            <w:r w:rsidR="005979E0">
              <w:rPr>
                <w:rFonts w:ascii="Arial" w:hAnsi="Arial" w:cs="Arial"/>
                <w:color w:val="000000"/>
                <w:sz w:val="20"/>
                <w:szCs w:val="20"/>
              </w:rPr>
              <w:t>7</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1993-94</w:t>
            </w:r>
          </w:p>
        </w:tc>
        <w:tc>
          <w:tcPr>
            <w:tcW w:w="403" w:type="pct"/>
            <w:shd w:val="clear" w:color="auto" w:fill="D9D9D9" w:themeFill="background1" w:themeFillShade="D9"/>
            <w:vAlign w:val="bottom"/>
          </w:tcPr>
          <w:p w:rsidR="00E10385" w:rsidRDefault="002A5225" w:rsidP="009D7D45">
            <w:pPr>
              <w:jc w:val="right"/>
              <w:rPr>
                <w:rFonts w:ascii="Arial" w:hAnsi="Arial" w:cs="Arial"/>
                <w:color w:val="000000"/>
                <w:sz w:val="20"/>
                <w:szCs w:val="20"/>
              </w:rPr>
            </w:pPr>
            <w:r>
              <w:rPr>
                <w:rFonts w:ascii="Arial" w:hAnsi="Arial" w:cs="Arial"/>
                <w:color w:val="000000"/>
                <w:sz w:val="20"/>
                <w:szCs w:val="20"/>
              </w:rPr>
              <w:t>1.0</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u w:val="single"/>
              </w:rPr>
            </w:pPr>
            <w:r>
              <w:rPr>
                <w:rFonts w:ascii="Arial" w:hAnsi="Arial" w:cs="Arial"/>
                <w:color w:val="000000"/>
                <w:sz w:val="20"/>
                <w:szCs w:val="20"/>
                <w:u w:val="single"/>
              </w:rPr>
              <w:t>1993-94 to 1998-99</w:t>
            </w:r>
          </w:p>
        </w:tc>
        <w:tc>
          <w:tcPr>
            <w:tcW w:w="403" w:type="pct"/>
            <w:shd w:val="clear" w:color="auto" w:fill="D9D9D9" w:themeFill="background1" w:themeFillShade="D9"/>
            <w:vAlign w:val="bottom"/>
          </w:tcPr>
          <w:p w:rsidR="00E10385" w:rsidRDefault="00E10385" w:rsidP="005979E0">
            <w:pPr>
              <w:jc w:val="right"/>
              <w:rPr>
                <w:rFonts w:ascii="Arial" w:hAnsi="Arial" w:cs="Arial"/>
                <w:color w:val="000000"/>
                <w:sz w:val="20"/>
                <w:szCs w:val="20"/>
              </w:rPr>
            </w:pPr>
            <w:r>
              <w:rPr>
                <w:rFonts w:ascii="Arial" w:hAnsi="Arial" w:cs="Arial"/>
                <w:color w:val="000000"/>
                <w:sz w:val="20"/>
                <w:szCs w:val="20"/>
              </w:rPr>
              <w:t>1.</w:t>
            </w:r>
            <w:r w:rsidR="005979E0">
              <w:rPr>
                <w:rFonts w:ascii="Arial" w:hAnsi="Arial" w:cs="Arial"/>
                <w:color w:val="000000"/>
                <w:sz w:val="20"/>
                <w:szCs w:val="20"/>
              </w:rPr>
              <w:t>1</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1998-99</w:t>
            </w:r>
          </w:p>
        </w:tc>
        <w:tc>
          <w:tcPr>
            <w:tcW w:w="403" w:type="pct"/>
            <w:shd w:val="clear" w:color="auto" w:fill="D9D9D9" w:themeFill="background1" w:themeFillShade="D9"/>
            <w:vAlign w:val="bottom"/>
          </w:tcPr>
          <w:p w:rsidR="00E10385" w:rsidRDefault="00E10385" w:rsidP="002A5225">
            <w:pPr>
              <w:jc w:val="right"/>
              <w:rPr>
                <w:rFonts w:ascii="Arial" w:hAnsi="Arial" w:cs="Arial"/>
                <w:color w:val="000000"/>
                <w:sz w:val="20"/>
                <w:szCs w:val="20"/>
              </w:rPr>
            </w:pPr>
            <w:r>
              <w:rPr>
                <w:rFonts w:ascii="Arial" w:hAnsi="Arial" w:cs="Arial"/>
                <w:color w:val="000000"/>
                <w:sz w:val="20"/>
                <w:szCs w:val="20"/>
              </w:rPr>
              <w:t>1.</w:t>
            </w:r>
            <w:r w:rsidR="002A5225">
              <w:rPr>
                <w:rFonts w:ascii="Arial" w:hAnsi="Arial" w:cs="Arial"/>
                <w:color w:val="000000"/>
                <w:sz w:val="20"/>
                <w:szCs w:val="20"/>
              </w:rPr>
              <w:t>1</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2001-02</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3.8</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2003-04</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1.4</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2001-02 to 2007-08</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-1.2</w:t>
            </w: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2007-08</w:t>
            </w:r>
          </w:p>
        </w:tc>
        <w:tc>
          <w:tcPr>
            <w:tcW w:w="403" w:type="pct"/>
            <w:shd w:val="clear" w:color="auto" w:fill="D9D9D9" w:themeFill="background1" w:themeFillShade="D9"/>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-0.9</w:t>
            </w:r>
          </w:p>
        </w:tc>
      </w:tr>
      <w:tr w:rsidR="00E10385" w:rsidTr="000E2478">
        <w:tc>
          <w:tcPr>
            <w:tcW w:w="1935"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61"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1049"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c>
          <w:tcPr>
            <w:tcW w:w="403" w:type="pct"/>
            <w:shd w:val="clear" w:color="auto" w:fill="D9D9D9" w:themeFill="background1" w:themeFillShade="D9"/>
            <w:vAlign w:val="bottom"/>
          </w:tcPr>
          <w:p w:rsidR="00E10385" w:rsidRDefault="00E10385" w:rsidP="009D7D45">
            <w:pPr>
              <w:rPr>
                <w:rFonts w:ascii="Arial" w:hAnsi="Arial" w:cs="Arial"/>
                <w:color w:val="000000"/>
                <w:sz w:val="20"/>
                <w:szCs w:val="20"/>
              </w:rPr>
            </w:pPr>
          </w:p>
        </w:tc>
      </w:tr>
      <w:tr w:rsidR="00E10385" w:rsidTr="000E2478">
        <w:tc>
          <w:tcPr>
            <w:tcW w:w="1935"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 xml:space="preserve">Machinery &amp; equipment </w:t>
            </w:r>
            <w:proofErr w:type="spellStart"/>
            <w:r>
              <w:rPr>
                <w:rFonts w:ascii="Arial" w:hAnsi="Arial" w:cs="Arial"/>
                <w:color w:val="000000"/>
                <w:sz w:val="20"/>
                <w:szCs w:val="20"/>
              </w:rPr>
              <w:t>mfg</w:t>
            </w:r>
            <w:proofErr w:type="spellEnd"/>
            <w:r w:rsidR="00C92E0A">
              <w:rPr>
                <w:rFonts w:ascii="Arial" w:hAnsi="Arial" w:cs="Arial"/>
                <w:color w:val="000000"/>
                <w:sz w:val="20"/>
                <w:szCs w:val="20"/>
              </w:rPr>
              <w:t xml:space="preserve"> (ME)</w:t>
            </w:r>
          </w:p>
        </w:tc>
        <w:tc>
          <w:tcPr>
            <w:tcW w:w="1049" w:type="pct"/>
            <w:vAlign w:val="bottom"/>
          </w:tcPr>
          <w:p w:rsidR="00E10385" w:rsidRDefault="00E10385" w:rsidP="009D7D45">
            <w:pPr>
              <w:rPr>
                <w:rFonts w:ascii="Arial" w:hAnsi="Arial" w:cs="Arial"/>
                <w:color w:val="000000"/>
                <w:sz w:val="20"/>
                <w:szCs w:val="20"/>
                <w:u w:val="single"/>
              </w:rPr>
            </w:pPr>
            <w:r>
              <w:rPr>
                <w:rFonts w:ascii="Arial" w:hAnsi="Arial" w:cs="Arial"/>
                <w:color w:val="000000"/>
                <w:sz w:val="20"/>
                <w:szCs w:val="20"/>
                <w:u w:val="single"/>
              </w:rPr>
              <w:t>1988-99 to 1993-94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2.0</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1988-89 to 1993-94</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2.0</w:t>
            </w:r>
          </w:p>
        </w:tc>
      </w:tr>
      <w:tr w:rsidR="00E10385" w:rsidTr="000E2478">
        <w:tc>
          <w:tcPr>
            <w:tcW w:w="1935"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u w:val="single"/>
              </w:rPr>
            </w:pPr>
            <w:r>
              <w:rPr>
                <w:rFonts w:ascii="Arial" w:hAnsi="Arial" w:cs="Arial"/>
                <w:color w:val="000000"/>
                <w:sz w:val="20"/>
                <w:szCs w:val="20"/>
                <w:u w:val="single"/>
              </w:rPr>
              <w:t>1993-94 to 1998-99</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2.5</w:t>
            </w:r>
          </w:p>
        </w:tc>
        <w:tc>
          <w:tcPr>
            <w:tcW w:w="161" w:type="pct"/>
            <w:vAlign w:val="bottom"/>
          </w:tcPr>
          <w:p w:rsidR="00E10385" w:rsidRDefault="00E10385" w:rsidP="009D7D45">
            <w:pPr>
              <w:rPr>
                <w:rFonts w:ascii="Arial" w:hAnsi="Arial" w:cs="Arial"/>
                <w:color w:val="000000"/>
                <w:sz w:val="20"/>
                <w:szCs w:val="20"/>
              </w:rPr>
            </w:pPr>
          </w:p>
        </w:tc>
        <w:tc>
          <w:tcPr>
            <w:tcW w:w="1049" w:type="pct"/>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1993-94 to 1998-99</w:t>
            </w:r>
          </w:p>
        </w:tc>
        <w:tc>
          <w:tcPr>
            <w:tcW w:w="403" w:type="pct"/>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2.5</w:t>
            </w:r>
          </w:p>
        </w:tc>
      </w:tr>
      <w:tr w:rsidR="00E10385" w:rsidTr="000E2478">
        <w:tc>
          <w:tcPr>
            <w:tcW w:w="1935" w:type="pct"/>
            <w:shd w:val="clear" w:color="auto" w:fill="auto"/>
            <w:vAlign w:val="bottom"/>
          </w:tcPr>
          <w:p w:rsidR="00E10385" w:rsidRDefault="00E10385" w:rsidP="009D7D45">
            <w:pPr>
              <w:rPr>
                <w:rFonts w:ascii="Arial" w:hAnsi="Arial" w:cs="Arial"/>
                <w:color w:val="000000"/>
                <w:sz w:val="20"/>
                <w:szCs w:val="20"/>
              </w:rPr>
            </w:pPr>
          </w:p>
        </w:tc>
        <w:tc>
          <w:tcPr>
            <w:tcW w:w="1049" w:type="pct"/>
            <w:shd w:val="clear" w:color="auto" w:fill="auto"/>
            <w:vAlign w:val="bottom"/>
          </w:tcPr>
          <w:p w:rsidR="00E10385" w:rsidRDefault="00E10385" w:rsidP="009D7D45">
            <w:pPr>
              <w:rPr>
                <w:rFonts w:ascii="Arial" w:hAnsi="Arial" w:cs="Arial"/>
                <w:color w:val="000000"/>
                <w:sz w:val="20"/>
                <w:szCs w:val="20"/>
                <w:u w:val="single"/>
              </w:rPr>
            </w:pPr>
            <w:r>
              <w:rPr>
                <w:rFonts w:ascii="Arial" w:hAnsi="Arial" w:cs="Arial"/>
                <w:color w:val="000000"/>
                <w:sz w:val="20"/>
                <w:szCs w:val="20"/>
                <w:u w:val="single"/>
              </w:rPr>
              <w:t>1998-99 to 2003-04</w:t>
            </w:r>
          </w:p>
        </w:tc>
        <w:tc>
          <w:tcPr>
            <w:tcW w:w="403" w:type="pct"/>
            <w:shd w:val="clear" w:color="auto" w:fill="auto"/>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1.6</w:t>
            </w:r>
          </w:p>
        </w:tc>
        <w:tc>
          <w:tcPr>
            <w:tcW w:w="161" w:type="pct"/>
            <w:shd w:val="clear" w:color="auto" w:fill="auto"/>
            <w:vAlign w:val="bottom"/>
          </w:tcPr>
          <w:p w:rsidR="00E10385" w:rsidRDefault="00E10385" w:rsidP="009D7D45">
            <w:pPr>
              <w:rPr>
                <w:rFonts w:ascii="Arial" w:hAnsi="Arial" w:cs="Arial"/>
                <w:color w:val="000000"/>
                <w:sz w:val="20"/>
                <w:szCs w:val="20"/>
              </w:rPr>
            </w:pPr>
          </w:p>
        </w:tc>
        <w:tc>
          <w:tcPr>
            <w:tcW w:w="1049" w:type="pct"/>
            <w:shd w:val="clear" w:color="auto" w:fill="auto"/>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1998-99 to 2003-04</w:t>
            </w:r>
          </w:p>
        </w:tc>
        <w:tc>
          <w:tcPr>
            <w:tcW w:w="403" w:type="pct"/>
            <w:shd w:val="clear" w:color="auto" w:fill="auto"/>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1.6</w:t>
            </w:r>
          </w:p>
        </w:tc>
      </w:tr>
      <w:tr w:rsidR="00E10385" w:rsidTr="000E2478">
        <w:tc>
          <w:tcPr>
            <w:tcW w:w="1935" w:type="pct"/>
            <w:tcBorders>
              <w:bottom w:val="single" w:sz="6" w:space="0" w:color="auto"/>
            </w:tcBorders>
            <w:shd w:val="clear" w:color="auto" w:fill="auto"/>
            <w:vAlign w:val="bottom"/>
          </w:tcPr>
          <w:p w:rsidR="00E10385" w:rsidRDefault="00E10385" w:rsidP="009D7D45">
            <w:pPr>
              <w:rPr>
                <w:rFonts w:ascii="Arial" w:hAnsi="Arial" w:cs="Arial"/>
                <w:color w:val="000000"/>
                <w:sz w:val="20"/>
                <w:szCs w:val="20"/>
              </w:rPr>
            </w:pPr>
          </w:p>
        </w:tc>
        <w:tc>
          <w:tcPr>
            <w:tcW w:w="1049" w:type="pct"/>
            <w:tcBorders>
              <w:bottom w:val="single" w:sz="6" w:space="0" w:color="auto"/>
            </w:tcBorders>
            <w:shd w:val="clear" w:color="auto" w:fill="auto"/>
            <w:vAlign w:val="bottom"/>
          </w:tcPr>
          <w:p w:rsidR="00E10385" w:rsidRPr="00C61190" w:rsidRDefault="00E10385" w:rsidP="009D7D45">
            <w:pPr>
              <w:rPr>
                <w:rFonts w:ascii="Arial" w:hAnsi="Arial" w:cs="Arial"/>
                <w:color w:val="000000"/>
                <w:sz w:val="20"/>
                <w:szCs w:val="20"/>
              </w:rPr>
            </w:pPr>
            <w:r w:rsidRPr="00C61190">
              <w:rPr>
                <w:rFonts w:ascii="Arial" w:hAnsi="Arial" w:cs="Arial"/>
                <w:color w:val="000000"/>
                <w:sz w:val="20"/>
                <w:szCs w:val="20"/>
              </w:rPr>
              <w:t>2003-04 to 2009-10</w:t>
            </w:r>
          </w:p>
        </w:tc>
        <w:tc>
          <w:tcPr>
            <w:tcW w:w="403" w:type="pct"/>
            <w:tcBorders>
              <w:bottom w:val="single" w:sz="6" w:space="0" w:color="auto"/>
            </w:tcBorders>
            <w:shd w:val="clear" w:color="auto" w:fill="auto"/>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0.5</w:t>
            </w:r>
          </w:p>
        </w:tc>
        <w:tc>
          <w:tcPr>
            <w:tcW w:w="161" w:type="pct"/>
            <w:tcBorders>
              <w:bottom w:val="single" w:sz="6" w:space="0" w:color="auto"/>
            </w:tcBorders>
            <w:shd w:val="clear" w:color="auto" w:fill="auto"/>
            <w:vAlign w:val="bottom"/>
          </w:tcPr>
          <w:p w:rsidR="00E10385" w:rsidRDefault="00E10385" w:rsidP="009D7D45">
            <w:pPr>
              <w:rPr>
                <w:rFonts w:ascii="Arial" w:hAnsi="Arial" w:cs="Arial"/>
                <w:color w:val="000000"/>
                <w:sz w:val="20"/>
                <w:szCs w:val="20"/>
              </w:rPr>
            </w:pPr>
          </w:p>
        </w:tc>
        <w:tc>
          <w:tcPr>
            <w:tcW w:w="1049" w:type="pct"/>
            <w:tcBorders>
              <w:bottom w:val="single" w:sz="6" w:space="0" w:color="auto"/>
            </w:tcBorders>
            <w:shd w:val="clear" w:color="auto" w:fill="auto"/>
            <w:vAlign w:val="bottom"/>
          </w:tcPr>
          <w:p w:rsidR="00E10385" w:rsidRDefault="00E10385" w:rsidP="009D7D45">
            <w:pPr>
              <w:rPr>
                <w:rFonts w:ascii="Arial" w:hAnsi="Arial" w:cs="Arial"/>
                <w:color w:val="000000"/>
                <w:sz w:val="20"/>
                <w:szCs w:val="20"/>
              </w:rPr>
            </w:pPr>
            <w:r>
              <w:rPr>
                <w:rFonts w:ascii="Arial" w:hAnsi="Arial" w:cs="Arial"/>
                <w:color w:val="000000"/>
                <w:sz w:val="20"/>
                <w:szCs w:val="20"/>
              </w:rPr>
              <w:t>2003-04 to 2007-08</w:t>
            </w:r>
          </w:p>
        </w:tc>
        <w:tc>
          <w:tcPr>
            <w:tcW w:w="403" w:type="pct"/>
            <w:tcBorders>
              <w:bottom w:val="single" w:sz="6" w:space="0" w:color="auto"/>
            </w:tcBorders>
            <w:shd w:val="clear" w:color="auto" w:fill="auto"/>
            <w:vAlign w:val="bottom"/>
          </w:tcPr>
          <w:p w:rsidR="00E10385" w:rsidRDefault="00E10385" w:rsidP="009D7D45">
            <w:pPr>
              <w:jc w:val="right"/>
              <w:rPr>
                <w:rFonts w:ascii="Arial" w:hAnsi="Arial" w:cs="Arial"/>
                <w:color w:val="000000"/>
                <w:sz w:val="20"/>
                <w:szCs w:val="20"/>
              </w:rPr>
            </w:pPr>
            <w:r>
              <w:rPr>
                <w:rFonts w:ascii="Arial" w:hAnsi="Arial" w:cs="Arial"/>
                <w:color w:val="000000"/>
                <w:sz w:val="20"/>
                <w:szCs w:val="20"/>
              </w:rPr>
              <w:t>-0.2</w:t>
            </w:r>
          </w:p>
        </w:tc>
      </w:tr>
    </w:tbl>
    <w:p w:rsidR="00E10385" w:rsidRDefault="00E10385" w:rsidP="00E10385">
      <w:pPr>
        <w:pStyle w:val="Note"/>
      </w:pPr>
      <w:r w:rsidRPr="00E7214D">
        <w:rPr>
          <w:rStyle w:val="NoteLabel"/>
        </w:rPr>
        <w:t>a</w:t>
      </w:r>
      <w:r>
        <w:rPr>
          <w:rFonts w:cs="Arial"/>
        </w:rPr>
        <w:t xml:space="preserve"> </w:t>
      </w:r>
      <w:r w:rsidR="00C92E0A">
        <w:rPr>
          <w:rFonts w:cs="Arial"/>
        </w:rPr>
        <w:t>Underlined subsector-specific cycles coincide with Manufacturing cycles.</w:t>
      </w:r>
    </w:p>
    <w:p w:rsidR="00E10385" w:rsidRPr="00E7214D" w:rsidRDefault="00E10385" w:rsidP="00E10385">
      <w:pPr>
        <w:pStyle w:val="Source"/>
      </w:pPr>
      <w:r>
        <w:rPr>
          <w:i/>
        </w:rPr>
        <w:t>Source</w:t>
      </w:r>
      <w:r>
        <w:t xml:space="preserve">: Authors’ estimates. </w:t>
      </w:r>
    </w:p>
    <w:p w:rsidR="00EB3A56" w:rsidRDefault="00EB3A56">
      <w:pPr>
        <w:rPr>
          <w:szCs w:val="20"/>
        </w:rPr>
      </w:pPr>
      <w:r>
        <w:br w:type="page"/>
      </w:r>
    </w:p>
    <w:p w:rsidR="00E10385" w:rsidRDefault="00E10385" w:rsidP="00E10385">
      <w:pPr>
        <w:pStyle w:val="BodyText"/>
      </w:pPr>
      <w:r>
        <w:lastRenderedPageBreak/>
        <w:t xml:space="preserve">Figure </w:t>
      </w:r>
      <w:proofErr w:type="spellStart"/>
      <w:r w:rsidR="005B14C5">
        <w:t>C.1</w:t>
      </w:r>
      <w:proofErr w:type="spellEnd"/>
      <w:r>
        <w:t xml:space="preserve"> illustrates the differences in subsector MFP growth rates when calculated over subsector-specific cycles compared with over total </w:t>
      </w:r>
      <w:r w:rsidR="00C92E0A">
        <w:t>M</w:t>
      </w:r>
      <w:r>
        <w:t xml:space="preserve">anufacturing cycles. In general, the pattern of increase/decrease from cycle to cycle is not changed, although the magnitudes vary. The main exception is </w:t>
      </w:r>
      <w:r w:rsidR="008642A2">
        <w:t xml:space="preserve">Petroleum, coal, chemicals and rubber products </w:t>
      </w:r>
      <w:r>
        <w:t xml:space="preserve">for which there is a change in the direction of change between the second and third cycles and for which the fourth subsector-specific cycle is yet to be determined. </w:t>
      </w:r>
      <w:r w:rsidR="008E66BF">
        <w:t xml:space="preserve">This is discussed further in chapter </w:t>
      </w:r>
      <w:r w:rsidR="00D77833">
        <w:t>4</w:t>
      </w:r>
      <w:r w:rsidR="008E66BF">
        <w:t xml:space="preserve">. </w:t>
      </w:r>
    </w:p>
    <w:p w:rsidR="00E10385" w:rsidRDefault="00E10385" w:rsidP="00E10385">
      <w:pPr>
        <w:pStyle w:val="FigureTitle"/>
      </w:pPr>
      <w:r>
        <w:rPr>
          <w:b w:val="0"/>
        </w:rPr>
        <w:t xml:space="preserve">Figure </w:t>
      </w:r>
      <w:bookmarkStart w:id="6" w:name="OLE_LINK6"/>
      <w:proofErr w:type="spellStart"/>
      <w:r w:rsidR="005B14C5">
        <w:rPr>
          <w:b w:val="0"/>
        </w:rPr>
        <w:t>C.</w:t>
      </w:r>
      <w:r w:rsidR="000E2673">
        <w:rPr>
          <w:b w:val="0"/>
          <w:noProof/>
        </w:rPr>
        <w:t>1</w:t>
      </w:r>
      <w:bookmarkEnd w:id="6"/>
      <w:proofErr w:type="spellEnd"/>
      <w:r>
        <w:tab/>
        <w:t xml:space="preserve">MFP growth by </w:t>
      </w:r>
      <w:r w:rsidR="00C92E0A">
        <w:t>Manufacturing</w:t>
      </w:r>
      <w:r>
        <w:t xml:space="preserve"> subsector, over subsector-specific cycles compared with over total </w:t>
      </w:r>
      <w:r w:rsidR="00C92E0A">
        <w:t>Manufacturing</w:t>
      </w:r>
      <w:r>
        <w:t xml:space="preserve"> cycles</w:t>
      </w:r>
    </w:p>
    <w:p w:rsidR="00E10385" w:rsidRDefault="00893FB4" w:rsidP="00E10385">
      <w:pPr>
        <w:pStyle w:val="Subtitle"/>
      </w:pPr>
      <w:r>
        <w:t>Average annual growth rate (per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C543CF" w:rsidRPr="00B870AB" w:rsidTr="005647D5">
        <w:trPr>
          <w:trHeight w:val="340"/>
        </w:trPr>
        <w:tc>
          <w:tcPr>
            <w:tcW w:w="4388" w:type="dxa"/>
            <w:vAlign w:val="center"/>
          </w:tcPr>
          <w:p w:rsidR="00C543CF" w:rsidRPr="00B870AB" w:rsidRDefault="00C543CF" w:rsidP="00B870AB">
            <w:pPr>
              <w:pStyle w:val="Figure"/>
              <w:spacing w:after="0"/>
              <w:ind w:left="-96" w:right="-108"/>
              <w:rPr>
                <w:i/>
                <w:noProof/>
                <w:sz w:val="22"/>
                <w:szCs w:val="22"/>
              </w:rPr>
            </w:pPr>
            <w:r w:rsidRPr="00B870AB">
              <w:rPr>
                <w:i/>
                <w:noProof/>
                <w:sz w:val="22"/>
                <w:szCs w:val="22"/>
              </w:rPr>
              <w:t>Subsector-specific cycles</w:t>
            </w:r>
          </w:p>
        </w:tc>
        <w:tc>
          <w:tcPr>
            <w:tcW w:w="4389" w:type="dxa"/>
            <w:vAlign w:val="center"/>
          </w:tcPr>
          <w:p w:rsidR="00C543CF" w:rsidRPr="00B870AB" w:rsidRDefault="00C543CF" w:rsidP="00B870AB">
            <w:pPr>
              <w:pStyle w:val="Figure"/>
              <w:spacing w:after="0"/>
              <w:ind w:left="-96" w:right="-108"/>
              <w:rPr>
                <w:i/>
                <w:noProof/>
                <w:sz w:val="22"/>
                <w:szCs w:val="22"/>
              </w:rPr>
            </w:pPr>
            <w:r w:rsidRPr="00B870AB">
              <w:rPr>
                <w:i/>
                <w:noProof/>
                <w:sz w:val="22"/>
                <w:szCs w:val="22"/>
              </w:rPr>
              <w:t>Manufacturing cycles</w:t>
            </w:r>
          </w:p>
        </w:tc>
      </w:tr>
      <w:tr w:rsidR="00C543CF" w:rsidRPr="00B870AB" w:rsidTr="00C543CF">
        <w:trPr>
          <w:trHeight w:val="340"/>
        </w:trPr>
        <w:tc>
          <w:tcPr>
            <w:tcW w:w="8777" w:type="dxa"/>
            <w:gridSpan w:val="2"/>
            <w:vAlign w:val="center"/>
          </w:tcPr>
          <w:p w:rsidR="00C543CF" w:rsidRPr="00B870AB" w:rsidRDefault="00C543CF" w:rsidP="00B870AB">
            <w:pPr>
              <w:pStyle w:val="Figure"/>
              <w:spacing w:after="100" w:afterAutospacing="1"/>
              <w:ind w:left="-96" w:right="-108"/>
              <w:rPr>
                <w:noProof/>
                <w:sz w:val="22"/>
                <w:szCs w:val="22"/>
              </w:rPr>
            </w:pPr>
            <w:r w:rsidRPr="00B870AB">
              <w:rPr>
                <w:noProof/>
                <w:sz w:val="22"/>
                <w:szCs w:val="22"/>
              </w:rPr>
              <w:t>Food, beverage &amp; tobacco products</w:t>
            </w:r>
          </w:p>
        </w:tc>
      </w:tr>
      <w:tr w:rsidR="00E10385" w:rsidTr="00CC55D0">
        <w:trPr>
          <w:trHeight w:val="3391"/>
        </w:trPr>
        <w:tc>
          <w:tcPr>
            <w:tcW w:w="4388" w:type="dxa"/>
          </w:tcPr>
          <w:p w:rsidR="00E10385" w:rsidRDefault="00F85FE8" w:rsidP="00CC55D0">
            <w:pPr>
              <w:pStyle w:val="Figure"/>
              <w:spacing w:before="0" w:after="0"/>
              <w:ind w:left="-97" w:right="-109"/>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6.7pt">
                  <v:imagedata r:id="rId9" o:title=""/>
                </v:shape>
              </w:pict>
            </w:r>
          </w:p>
        </w:tc>
        <w:tc>
          <w:tcPr>
            <w:tcW w:w="4389" w:type="dxa"/>
          </w:tcPr>
          <w:p w:rsidR="00E10385" w:rsidRDefault="00F85FE8" w:rsidP="00CC55D0">
            <w:pPr>
              <w:pStyle w:val="Figure"/>
              <w:spacing w:before="0" w:after="0"/>
              <w:ind w:left="-97" w:right="-109"/>
              <w:rPr>
                <w:noProof/>
              </w:rPr>
            </w:pPr>
            <w:r>
              <w:rPr>
                <w:noProof/>
              </w:rPr>
              <w:pict>
                <v:shape id="_x0000_i1026"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6.7pt">
                  <v:imagedata r:id="rId10" o:title=""/>
                </v:shape>
              </w:pict>
            </w:r>
          </w:p>
        </w:tc>
      </w:tr>
      <w:tr w:rsidR="009F06D3" w:rsidRPr="00B870AB" w:rsidTr="005647D5">
        <w:trPr>
          <w:trHeight w:val="340"/>
        </w:trPr>
        <w:tc>
          <w:tcPr>
            <w:tcW w:w="8777" w:type="dxa"/>
            <w:gridSpan w:val="2"/>
            <w:vAlign w:val="center"/>
          </w:tcPr>
          <w:p w:rsidR="009F06D3" w:rsidRPr="00B870AB" w:rsidRDefault="009F06D3" w:rsidP="00B870AB">
            <w:pPr>
              <w:pStyle w:val="Figure"/>
              <w:spacing w:after="100" w:afterAutospacing="1"/>
              <w:ind w:left="-96" w:right="-108"/>
              <w:rPr>
                <w:noProof/>
                <w:sz w:val="22"/>
                <w:szCs w:val="22"/>
              </w:rPr>
            </w:pPr>
            <w:r w:rsidRPr="00B870AB">
              <w:rPr>
                <w:noProof/>
                <w:sz w:val="22"/>
                <w:szCs w:val="22"/>
              </w:rPr>
              <w:t>Textile, clothing &amp; other manufacturing</w:t>
            </w:r>
          </w:p>
        </w:tc>
      </w:tr>
      <w:tr w:rsidR="00E10385" w:rsidTr="009D7D45">
        <w:tc>
          <w:tcPr>
            <w:tcW w:w="4388" w:type="dxa"/>
          </w:tcPr>
          <w:p w:rsidR="00E10385" w:rsidRDefault="00F85FE8" w:rsidP="00CC55D0">
            <w:pPr>
              <w:pStyle w:val="Figure"/>
              <w:spacing w:before="0" w:after="0"/>
              <w:ind w:left="-97" w:right="-109"/>
              <w:rPr>
                <w:noProof/>
              </w:rPr>
            </w:pPr>
            <w:r>
              <w:rPr>
                <w:noProof/>
              </w:rPr>
              <w:pict>
                <v:shape id="_x0000_i1027"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6.7pt">
                  <v:imagedata r:id="rId11" o:title=""/>
                </v:shape>
              </w:pict>
            </w:r>
          </w:p>
        </w:tc>
        <w:tc>
          <w:tcPr>
            <w:tcW w:w="4389" w:type="dxa"/>
          </w:tcPr>
          <w:p w:rsidR="00E10385" w:rsidRDefault="00F85FE8" w:rsidP="00CC55D0">
            <w:pPr>
              <w:pStyle w:val="Figure"/>
              <w:spacing w:before="0" w:after="0"/>
              <w:ind w:left="-97" w:right="-109"/>
              <w:rPr>
                <w:noProof/>
              </w:rPr>
            </w:pPr>
            <w:r>
              <w:rPr>
                <w:noProof/>
              </w:rPr>
              <w:pict>
                <v:shape id="_x0000_i1028"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6.7pt">
                  <v:imagedata r:id="rId12" o:title=""/>
                </v:shape>
              </w:pict>
            </w:r>
          </w:p>
        </w:tc>
      </w:tr>
    </w:tbl>
    <w:p w:rsidR="00E10385" w:rsidRDefault="00E10385" w:rsidP="00CA1A8B">
      <w:pPr>
        <w:pStyle w:val="Continued"/>
        <w:spacing w:before="120"/>
      </w:pPr>
      <w:r>
        <w:t>(continued on next page)</w:t>
      </w:r>
      <w:r>
        <w:br w:type="page"/>
      </w:r>
    </w:p>
    <w:p w:rsidR="00E10385" w:rsidRDefault="00E10385" w:rsidP="00E10385">
      <w:pPr>
        <w:pStyle w:val="FigureTitle"/>
      </w:pPr>
      <w:r>
        <w:rPr>
          <w:b w:val="0"/>
        </w:rPr>
        <w:lastRenderedPageBreak/>
        <w:t xml:space="preserve">Figure </w:t>
      </w:r>
      <w:proofErr w:type="spellStart"/>
      <w:r w:rsidR="005B14C5" w:rsidRPr="005B14C5">
        <w:rPr>
          <w:b w:val="0"/>
        </w:rPr>
        <w:t>C.1</w:t>
      </w:r>
      <w:proofErr w:type="spellEnd"/>
      <w:r>
        <w:tab/>
      </w:r>
      <w:r w:rsidRPr="00E24501">
        <w:rPr>
          <w:sz w:val="22"/>
          <w:szCs w:val="22"/>
        </w:rPr>
        <w:t>(continued)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9F06D3" w:rsidRPr="00B870AB" w:rsidTr="005647D5">
        <w:trPr>
          <w:trHeight w:val="340"/>
        </w:trPr>
        <w:tc>
          <w:tcPr>
            <w:tcW w:w="4388" w:type="dxa"/>
            <w:vAlign w:val="center"/>
          </w:tcPr>
          <w:p w:rsidR="009F06D3" w:rsidRPr="00B870AB" w:rsidRDefault="009F06D3" w:rsidP="00E26C93">
            <w:pPr>
              <w:pStyle w:val="Figure"/>
              <w:spacing w:before="60" w:after="0"/>
              <w:ind w:left="-96" w:right="-108"/>
              <w:rPr>
                <w:i/>
                <w:noProof/>
                <w:sz w:val="22"/>
                <w:szCs w:val="22"/>
              </w:rPr>
            </w:pPr>
            <w:r w:rsidRPr="00B870AB">
              <w:rPr>
                <w:i/>
                <w:noProof/>
                <w:sz w:val="22"/>
                <w:szCs w:val="22"/>
              </w:rPr>
              <w:t>Subsector-specific cycles</w:t>
            </w:r>
          </w:p>
        </w:tc>
        <w:tc>
          <w:tcPr>
            <w:tcW w:w="4389" w:type="dxa"/>
            <w:vAlign w:val="center"/>
          </w:tcPr>
          <w:p w:rsidR="009F06D3" w:rsidRPr="00B870AB" w:rsidRDefault="009F06D3" w:rsidP="00E26C93">
            <w:pPr>
              <w:pStyle w:val="Figure"/>
              <w:spacing w:before="60" w:after="0"/>
              <w:ind w:left="-96" w:right="-108"/>
              <w:rPr>
                <w:i/>
                <w:noProof/>
                <w:sz w:val="22"/>
                <w:szCs w:val="22"/>
              </w:rPr>
            </w:pPr>
            <w:r w:rsidRPr="00B870AB">
              <w:rPr>
                <w:i/>
                <w:noProof/>
                <w:sz w:val="22"/>
                <w:szCs w:val="22"/>
              </w:rPr>
              <w:t>Manufacturing cycles</w:t>
            </w:r>
          </w:p>
        </w:tc>
      </w:tr>
      <w:tr w:rsidR="009F06D3" w:rsidRPr="00B870AB" w:rsidTr="005647D5">
        <w:trPr>
          <w:trHeight w:val="340"/>
        </w:trPr>
        <w:tc>
          <w:tcPr>
            <w:tcW w:w="8777" w:type="dxa"/>
            <w:gridSpan w:val="2"/>
            <w:vAlign w:val="center"/>
          </w:tcPr>
          <w:p w:rsidR="009F06D3" w:rsidRPr="00B870AB" w:rsidRDefault="009F06D3" w:rsidP="00E26C93">
            <w:pPr>
              <w:pStyle w:val="Figure"/>
              <w:spacing w:before="0" w:after="100" w:afterAutospacing="1"/>
              <w:ind w:left="-96" w:right="-108"/>
              <w:rPr>
                <w:noProof/>
                <w:sz w:val="22"/>
                <w:szCs w:val="22"/>
              </w:rPr>
            </w:pPr>
            <w:r w:rsidRPr="00B870AB">
              <w:rPr>
                <w:noProof/>
                <w:sz w:val="22"/>
                <w:szCs w:val="22"/>
              </w:rPr>
              <w:t>Wood &amp; paper products</w:t>
            </w:r>
          </w:p>
        </w:tc>
      </w:tr>
      <w:tr w:rsidR="00E10385" w:rsidTr="00AC0FEB">
        <w:trPr>
          <w:trHeight w:val="3649"/>
        </w:trPr>
        <w:tc>
          <w:tcPr>
            <w:tcW w:w="4388" w:type="dxa"/>
          </w:tcPr>
          <w:p w:rsidR="00E10385" w:rsidRDefault="00F85FE8" w:rsidP="00CC55D0">
            <w:pPr>
              <w:pStyle w:val="Figure"/>
              <w:spacing w:before="0" w:after="0"/>
              <w:ind w:left="-97" w:right="-109"/>
              <w:rPr>
                <w:noProof/>
              </w:rPr>
            </w:pPr>
            <w:r>
              <w:rPr>
                <w:noProof/>
              </w:rPr>
              <w:pict>
                <v:shape id="_x0000_i1029"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199.25pt;height:186.7pt;mso-position-horizontal:absolute">
                  <v:imagedata r:id="rId13" o:title=""/>
                </v:shape>
              </w:pict>
            </w:r>
          </w:p>
        </w:tc>
        <w:tc>
          <w:tcPr>
            <w:tcW w:w="4389" w:type="dxa"/>
          </w:tcPr>
          <w:p w:rsidR="00E10385" w:rsidRDefault="00F85FE8" w:rsidP="00CC55D0">
            <w:pPr>
              <w:pStyle w:val="Figure"/>
              <w:spacing w:before="0" w:after="0"/>
              <w:ind w:left="-97" w:right="-109"/>
              <w:rPr>
                <w:noProof/>
              </w:rPr>
            </w:pPr>
            <w:r>
              <w:rPr>
                <w:noProof/>
              </w:rPr>
              <w:pict>
                <v:shape id="_x0000_i1030"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6.7pt">
                  <v:imagedata r:id="rId14" o:title=""/>
                </v:shape>
              </w:pict>
            </w:r>
          </w:p>
        </w:tc>
      </w:tr>
      <w:tr w:rsidR="009F06D3" w:rsidRPr="00B870AB" w:rsidTr="005647D5">
        <w:trPr>
          <w:trHeight w:val="340"/>
        </w:trPr>
        <w:tc>
          <w:tcPr>
            <w:tcW w:w="8777" w:type="dxa"/>
            <w:gridSpan w:val="2"/>
            <w:vAlign w:val="center"/>
          </w:tcPr>
          <w:p w:rsidR="009F06D3" w:rsidRPr="00B870AB" w:rsidRDefault="009F06D3" w:rsidP="00E26C93">
            <w:pPr>
              <w:pStyle w:val="Figure"/>
              <w:spacing w:before="80" w:after="100" w:afterAutospacing="1"/>
              <w:ind w:left="-96" w:right="-108"/>
              <w:rPr>
                <w:noProof/>
                <w:sz w:val="22"/>
                <w:szCs w:val="22"/>
              </w:rPr>
            </w:pPr>
            <w:r w:rsidRPr="00B870AB">
              <w:rPr>
                <w:noProof/>
                <w:sz w:val="22"/>
                <w:szCs w:val="22"/>
              </w:rPr>
              <w:t>Printing &amp; recorded media</w:t>
            </w:r>
          </w:p>
        </w:tc>
      </w:tr>
      <w:tr w:rsidR="00E10385" w:rsidTr="00AC0FEB">
        <w:trPr>
          <w:trHeight w:val="3737"/>
        </w:trPr>
        <w:tc>
          <w:tcPr>
            <w:tcW w:w="4388" w:type="dxa"/>
          </w:tcPr>
          <w:p w:rsidR="00E10385" w:rsidRDefault="00F85FE8" w:rsidP="00CC55D0">
            <w:pPr>
              <w:pStyle w:val="Figure"/>
              <w:spacing w:before="0" w:after="0"/>
              <w:ind w:left="-97" w:right="-109"/>
              <w:rPr>
                <w:noProof/>
              </w:rPr>
            </w:pPr>
            <w:r>
              <w:rPr>
                <w:noProof/>
              </w:rPr>
              <w:pict>
                <v:shape id="_x0000_i1031"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95pt;height:186.7pt;mso-position-horizontal:absolute">
                  <v:imagedata r:id="rId15" o:title=""/>
                </v:shape>
              </w:pict>
            </w:r>
          </w:p>
        </w:tc>
        <w:tc>
          <w:tcPr>
            <w:tcW w:w="4389" w:type="dxa"/>
          </w:tcPr>
          <w:p w:rsidR="00E10385" w:rsidRDefault="00F85FE8" w:rsidP="00CC55D0">
            <w:pPr>
              <w:pStyle w:val="Figure"/>
              <w:spacing w:before="0" w:after="0"/>
              <w:ind w:left="-97" w:right="-109"/>
              <w:rPr>
                <w:noProof/>
              </w:rPr>
            </w:pPr>
            <w:r>
              <w:rPr>
                <w:noProof/>
              </w:rPr>
              <w:pict>
                <v:shape id="_x0000_i1032"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199.25pt;height:186.7pt">
                  <v:imagedata r:id="rId16" o:title=""/>
                </v:shape>
              </w:pict>
            </w:r>
          </w:p>
        </w:tc>
      </w:tr>
      <w:tr w:rsidR="009F06D3" w:rsidRPr="00B870AB" w:rsidTr="005647D5">
        <w:trPr>
          <w:trHeight w:val="340"/>
        </w:trPr>
        <w:tc>
          <w:tcPr>
            <w:tcW w:w="8777" w:type="dxa"/>
            <w:gridSpan w:val="2"/>
            <w:vAlign w:val="center"/>
          </w:tcPr>
          <w:p w:rsidR="009F06D3" w:rsidRPr="00B870AB" w:rsidRDefault="009F06D3" w:rsidP="00E26C93">
            <w:pPr>
              <w:pStyle w:val="Figure"/>
              <w:spacing w:before="80" w:after="100" w:afterAutospacing="1"/>
              <w:ind w:left="-96" w:right="-108"/>
              <w:rPr>
                <w:noProof/>
                <w:sz w:val="22"/>
                <w:szCs w:val="22"/>
              </w:rPr>
            </w:pPr>
            <w:r w:rsidRPr="00B870AB">
              <w:rPr>
                <w:noProof/>
                <w:sz w:val="22"/>
                <w:szCs w:val="22"/>
              </w:rPr>
              <w:t>Petroleum, coal, chemical &amp; rubber products</w:t>
            </w:r>
          </w:p>
        </w:tc>
      </w:tr>
      <w:tr w:rsidR="00E10385" w:rsidTr="009F06D3">
        <w:trPr>
          <w:trHeight w:val="3736"/>
        </w:trPr>
        <w:tc>
          <w:tcPr>
            <w:tcW w:w="4388" w:type="dxa"/>
          </w:tcPr>
          <w:p w:rsidR="00E10385" w:rsidRDefault="00F85FE8" w:rsidP="00CC55D0">
            <w:pPr>
              <w:pStyle w:val="Figure"/>
              <w:spacing w:before="0" w:after="0"/>
              <w:ind w:left="-97" w:right="-109"/>
              <w:rPr>
                <w:noProof/>
              </w:rPr>
            </w:pPr>
            <w:r>
              <w:rPr>
                <w:noProof/>
              </w:rPr>
              <w:pict>
                <v:shape id="_x0000_i1033"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6.7pt;mso-position-horizontal:absolute">
                  <v:imagedata r:id="rId17" o:title=""/>
                </v:shape>
              </w:pict>
            </w:r>
          </w:p>
        </w:tc>
        <w:tc>
          <w:tcPr>
            <w:tcW w:w="4389" w:type="dxa"/>
          </w:tcPr>
          <w:p w:rsidR="00E10385" w:rsidRDefault="00F85FE8" w:rsidP="00CC55D0">
            <w:pPr>
              <w:pStyle w:val="Figure"/>
              <w:spacing w:before="0" w:after="0"/>
              <w:ind w:left="-97" w:right="-109"/>
              <w:rPr>
                <w:noProof/>
              </w:rPr>
            </w:pPr>
            <w:r>
              <w:rPr>
                <w:noProof/>
              </w:rPr>
              <w:pict>
                <v:shape id="_x0000_i1034"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6.7pt">
                  <v:imagedata r:id="rId18" o:title=""/>
                </v:shape>
              </w:pict>
            </w:r>
          </w:p>
        </w:tc>
      </w:tr>
    </w:tbl>
    <w:p w:rsidR="00E10385" w:rsidRDefault="00E10385" w:rsidP="00E26C93">
      <w:pPr>
        <w:pStyle w:val="Continued"/>
        <w:spacing w:before="80"/>
      </w:pPr>
      <w:r>
        <w:t>(continued on next page)</w:t>
      </w:r>
    </w:p>
    <w:p w:rsidR="00E10385" w:rsidRDefault="00E10385" w:rsidP="00E10385">
      <w:pPr>
        <w:pStyle w:val="FigureTitle"/>
      </w:pPr>
      <w:r>
        <w:rPr>
          <w:b w:val="0"/>
        </w:rPr>
        <w:lastRenderedPageBreak/>
        <w:t xml:space="preserve">Figure </w:t>
      </w:r>
      <w:proofErr w:type="spellStart"/>
      <w:r w:rsidR="005B14C5" w:rsidRPr="005B14C5">
        <w:rPr>
          <w:b w:val="0"/>
        </w:rPr>
        <w:t>C.1</w:t>
      </w:r>
      <w:proofErr w:type="spellEnd"/>
      <w:r>
        <w:tab/>
      </w:r>
      <w:r w:rsidRPr="00E24501">
        <w:rPr>
          <w:sz w:val="22"/>
          <w:szCs w:val="22"/>
        </w:rPr>
        <w:t>(continued)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A51C0E" w:rsidRPr="00346BA5" w:rsidTr="005647D5">
        <w:trPr>
          <w:trHeight w:val="340"/>
        </w:trPr>
        <w:tc>
          <w:tcPr>
            <w:tcW w:w="4388" w:type="dxa"/>
            <w:vAlign w:val="center"/>
          </w:tcPr>
          <w:p w:rsidR="00A51C0E" w:rsidRPr="00346BA5" w:rsidRDefault="00A51C0E" w:rsidP="005647D5">
            <w:pPr>
              <w:pStyle w:val="Figure"/>
              <w:spacing w:before="0" w:after="0"/>
              <w:ind w:left="-97" w:right="-109"/>
              <w:rPr>
                <w:i/>
                <w:noProof/>
                <w:sz w:val="22"/>
                <w:szCs w:val="22"/>
              </w:rPr>
            </w:pPr>
            <w:r w:rsidRPr="00346BA5">
              <w:rPr>
                <w:i/>
                <w:noProof/>
                <w:sz w:val="22"/>
                <w:szCs w:val="22"/>
              </w:rPr>
              <w:t>Subsector-specific cycles</w:t>
            </w:r>
          </w:p>
        </w:tc>
        <w:tc>
          <w:tcPr>
            <w:tcW w:w="4389" w:type="dxa"/>
            <w:vAlign w:val="center"/>
          </w:tcPr>
          <w:p w:rsidR="00A51C0E" w:rsidRPr="00346BA5" w:rsidRDefault="00A51C0E" w:rsidP="005647D5">
            <w:pPr>
              <w:pStyle w:val="Figure"/>
              <w:spacing w:before="0" w:after="0"/>
              <w:ind w:left="-97" w:right="-109"/>
              <w:rPr>
                <w:i/>
                <w:noProof/>
                <w:sz w:val="22"/>
                <w:szCs w:val="22"/>
              </w:rPr>
            </w:pPr>
            <w:r w:rsidRPr="00346BA5">
              <w:rPr>
                <w:i/>
                <w:noProof/>
                <w:sz w:val="22"/>
                <w:szCs w:val="22"/>
              </w:rPr>
              <w:t>Manufacturing cycles</w:t>
            </w:r>
          </w:p>
        </w:tc>
      </w:tr>
      <w:tr w:rsidR="009F06D3" w:rsidRPr="00B870AB" w:rsidTr="005647D5">
        <w:trPr>
          <w:trHeight w:val="340"/>
        </w:trPr>
        <w:tc>
          <w:tcPr>
            <w:tcW w:w="8777" w:type="dxa"/>
            <w:gridSpan w:val="2"/>
            <w:vAlign w:val="center"/>
          </w:tcPr>
          <w:p w:rsidR="009F06D3" w:rsidRPr="00B870AB" w:rsidRDefault="009F06D3" w:rsidP="00222E93">
            <w:pPr>
              <w:pStyle w:val="Figure"/>
              <w:spacing w:before="80" w:after="100" w:afterAutospacing="1"/>
              <w:ind w:left="-96" w:right="-108"/>
              <w:rPr>
                <w:noProof/>
                <w:sz w:val="22"/>
                <w:szCs w:val="22"/>
              </w:rPr>
            </w:pPr>
            <w:r w:rsidRPr="00B870AB">
              <w:rPr>
                <w:noProof/>
                <w:sz w:val="22"/>
                <w:szCs w:val="22"/>
              </w:rPr>
              <w:t>Non-metallic mineral products</w:t>
            </w:r>
          </w:p>
        </w:tc>
      </w:tr>
      <w:tr w:rsidR="00E10385" w:rsidTr="009D7D45">
        <w:tc>
          <w:tcPr>
            <w:tcW w:w="4388" w:type="dxa"/>
          </w:tcPr>
          <w:p w:rsidR="00E10385" w:rsidRDefault="00F85FE8" w:rsidP="00CC55D0">
            <w:pPr>
              <w:pStyle w:val="Figure"/>
              <w:spacing w:before="0" w:after="0"/>
              <w:ind w:left="-97" w:right="-109"/>
              <w:rPr>
                <w:noProof/>
              </w:rPr>
            </w:pPr>
            <w:r>
              <w:rPr>
                <w:noProof/>
              </w:rPr>
              <w:pict>
                <v:shape id="_x0000_i1035"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95pt;height:186.7pt">
                  <v:imagedata r:id="rId19" o:title=""/>
                </v:shape>
              </w:pict>
            </w:r>
          </w:p>
        </w:tc>
        <w:tc>
          <w:tcPr>
            <w:tcW w:w="4389" w:type="dxa"/>
          </w:tcPr>
          <w:p w:rsidR="00E10385" w:rsidRDefault="00F85FE8" w:rsidP="00CC55D0">
            <w:pPr>
              <w:pStyle w:val="Figure"/>
              <w:spacing w:before="0" w:after="0"/>
              <w:ind w:left="-97" w:right="-109"/>
              <w:rPr>
                <w:noProof/>
              </w:rPr>
            </w:pPr>
            <w:r>
              <w:rPr>
                <w:noProof/>
              </w:rPr>
              <w:pict>
                <v:shape id="_x0000_i1036"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6.7pt">
                  <v:imagedata r:id="rId20" o:title=""/>
                </v:shape>
              </w:pict>
            </w:r>
          </w:p>
        </w:tc>
      </w:tr>
      <w:tr w:rsidR="009F06D3" w:rsidRPr="00B870AB" w:rsidTr="005647D5">
        <w:trPr>
          <w:trHeight w:val="340"/>
        </w:trPr>
        <w:tc>
          <w:tcPr>
            <w:tcW w:w="8777" w:type="dxa"/>
            <w:gridSpan w:val="2"/>
            <w:vAlign w:val="center"/>
          </w:tcPr>
          <w:p w:rsidR="009F06D3" w:rsidRPr="00B870AB" w:rsidRDefault="009F06D3" w:rsidP="00222E93">
            <w:pPr>
              <w:pStyle w:val="Figure"/>
              <w:spacing w:before="80" w:after="100" w:afterAutospacing="1"/>
              <w:ind w:left="-96" w:right="-108"/>
              <w:rPr>
                <w:noProof/>
                <w:sz w:val="22"/>
                <w:szCs w:val="22"/>
              </w:rPr>
            </w:pPr>
            <w:r w:rsidRPr="00B870AB">
              <w:rPr>
                <w:noProof/>
                <w:sz w:val="22"/>
                <w:szCs w:val="22"/>
              </w:rPr>
              <w:t>Metal products</w:t>
            </w:r>
          </w:p>
        </w:tc>
      </w:tr>
      <w:tr w:rsidR="00E10385" w:rsidTr="00DF5901">
        <w:tc>
          <w:tcPr>
            <w:tcW w:w="4388" w:type="dxa"/>
          </w:tcPr>
          <w:p w:rsidR="00E10385" w:rsidRDefault="00F85FE8" w:rsidP="00CC55D0">
            <w:pPr>
              <w:pStyle w:val="Figure"/>
              <w:spacing w:before="0" w:after="0"/>
              <w:ind w:left="-97" w:right="-109"/>
              <w:rPr>
                <w:noProof/>
              </w:rPr>
            </w:pPr>
            <w:r>
              <w:rPr>
                <w:noProof/>
              </w:rPr>
              <w:pict>
                <v:shape id="_x0000_i1037"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199.25pt;height:186.7pt">
                  <v:imagedata r:id="rId21" o:title=""/>
                </v:shape>
              </w:pict>
            </w:r>
          </w:p>
        </w:tc>
        <w:tc>
          <w:tcPr>
            <w:tcW w:w="4389" w:type="dxa"/>
          </w:tcPr>
          <w:p w:rsidR="00E10385" w:rsidRDefault="00F85FE8" w:rsidP="00CC55D0">
            <w:pPr>
              <w:pStyle w:val="Figure"/>
              <w:spacing w:before="0" w:after="0"/>
              <w:ind w:left="-97" w:right="-109"/>
              <w:rPr>
                <w:noProof/>
              </w:rPr>
            </w:pPr>
            <w:r>
              <w:rPr>
                <w:noProof/>
              </w:rPr>
              <w:pict>
                <v:shape id="_x0000_i1038"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200.1pt;height:185.85pt">
                  <v:imagedata r:id="rId22" o:title=""/>
                </v:shape>
              </w:pict>
            </w:r>
          </w:p>
        </w:tc>
      </w:tr>
      <w:tr w:rsidR="00A51C0E" w:rsidRPr="00B870AB" w:rsidTr="005647D5">
        <w:trPr>
          <w:trHeight w:val="340"/>
        </w:trPr>
        <w:tc>
          <w:tcPr>
            <w:tcW w:w="8777" w:type="dxa"/>
            <w:gridSpan w:val="2"/>
            <w:vAlign w:val="center"/>
          </w:tcPr>
          <w:p w:rsidR="00A51C0E" w:rsidRPr="00B870AB" w:rsidRDefault="00A51C0E" w:rsidP="00222E93">
            <w:pPr>
              <w:pStyle w:val="Figure"/>
              <w:spacing w:before="80" w:after="100" w:afterAutospacing="1"/>
              <w:ind w:left="-96" w:right="-108"/>
              <w:rPr>
                <w:noProof/>
                <w:sz w:val="22"/>
                <w:szCs w:val="22"/>
              </w:rPr>
            </w:pPr>
            <w:r w:rsidRPr="00B870AB">
              <w:rPr>
                <w:noProof/>
                <w:sz w:val="22"/>
                <w:szCs w:val="22"/>
              </w:rPr>
              <w:t>Machinery &amp; equipment manufacturing</w:t>
            </w:r>
          </w:p>
        </w:tc>
      </w:tr>
      <w:tr w:rsidR="00E10385" w:rsidTr="009D7D45">
        <w:tc>
          <w:tcPr>
            <w:tcW w:w="4388" w:type="dxa"/>
          </w:tcPr>
          <w:p w:rsidR="00E10385" w:rsidRDefault="00F85FE8" w:rsidP="00CC55D0">
            <w:pPr>
              <w:pStyle w:val="Figure"/>
              <w:spacing w:before="0" w:after="0"/>
              <w:ind w:left="-97" w:right="-109"/>
              <w:rPr>
                <w:noProof/>
              </w:rPr>
            </w:pPr>
            <w:r>
              <w:rPr>
                <w:noProof/>
              </w:rPr>
              <w:pict>
                <v:shape id="_x0000_i1039"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199.25pt;height:186.7pt">
                  <v:imagedata r:id="rId23" o:title=""/>
                </v:shape>
              </w:pict>
            </w:r>
          </w:p>
        </w:tc>
        <w:tc>
          <w:tcPr>
            <w:tcW w:w="4389" w:type="dxa"/>
          </w:tcPr>
          <w:p w:rsidR="00E10385" w:rsidRDefault="00F85FE8" w:rsidP="00CC55D0">
            <w:pPr>
              <w:pStyle w:val="Figure"/>
              <w:spacing w:before="0" w:after="0"/>
              <w:ind w:left="-97" w:right="-109"/>
              <w:rPr>
                <w:noProof/>
              </w:rPr>
            </w:pPr>
            <w:r>
              <w:rPr>
                <w:noProof/>
              </w:rPr>
              <w:pict>
                <v:shape id="_x0000_i1040" type="#_x0000_t75" alt="This figure shows the differences in subsector MFP growth rates when calculated over subsector-specific cycles compared with over total Manufacturing cycles. In general, the pattern of increase/decrease from cycle to cycle is not changed, although the magnitudes vary. The main exception is Petroleum, coal, chemicals and rubber products (PCCR) for which there is a change in the direction of change between the second and third cycles and for which the fourth subsector-specific cycle is yet to be determined. The differences between cycle periods are described in table C.2." style="width:199.25pt;height:186.7pt">
                  <v:imagedata r:id="rId24" o:title=""/>
                </v:shape>
              </w:pict>
            </w:r>
          </w:p>
        </w:tc>
      </w:tr>
    </w:tbl>
    <w:p w:rsidR="00E10385" w:rsidRDefault="00E10385" w:rsidP="00E10385">
      <w:pPr>
        <w:pStyle w:val="Source"/>
      </w:pPr>
      <w:r>
        <w:rPr>
          <w:i/>
        </w:rPr>
        <w:t>Data source</w:t>
      </w:r>
      <w:r w:rsidRPr="00167F06">
        <w:t xml:space="preserve">: </w:t>
      </w:r>
      <w:r>
        <w:t xml:space="preserve">Authors’ estimates. </w:t>
      </w:r>
      <w:r>
        <w:br w:type="page"/>
      </w:r>
    </w:p>
    <w:p w:rsidR="000502F4" w:rsidRDefault="000502F4" w:rsidP="000502F4">
      <w:pPr>
        <w:pStyle w:val="BodyText"/>
      </w:pPr>
      <w:r>
        <w:lastRenderedPageBreak/>
        <w:t xml:space="preserve">It is possible that the cycles in some </w:t>
      </w:r>
      <w:r w:rsidR="00C92E0A">
        <w:t>Manufacturing</w:t>
      </w:r>
      <w:r>
        <w:t xml:space="preserve"> subsectors are related to those in the industry sectors that supply inputs to those </w:t>
      </w:r>
      <w:r w:rsidR="00C92E0A">
        <w:t>Manufacturing</w:t>
      </w:r>
      <w:r>
        <w:t xml:space="preserve"> subsectors or use the output of those </w:t>
      </w:r>
      <w:r w:rsidR="00C92E0A">
        <w:t>Manufacturing</w:t>
      </w:r>
      <w:r>
        <w:t xml:space="preserve"> subsectors. For example, </w:t>
      </w:r>
      <w:r w:rsidR="008642A2">
        <w:t xml:space="preserve">Food, beverage and tobacco products </w:t>
      </w:r>
      <w:r>
        <w:t xml:space="preserve">uses inputs from </w:t>
      </w:r>
      <w:r w:rsidR="00181AB6">
        <w:t>A</w:t>
      </w:r>
      <w:r>
        <w:t>gricultur</w:t>
      </w:r>
      <w:r w:rsidR="00181AB6">
        <w:t>e</w:t>
      </w:r>
      <w:r>
        <w:t xml:space="preserve">; </w:t>
      </w:r>
      <w:r w:rsidR="00181AB6">
        <w:t>C</w:t>
      </w:r>
      <w:r>
        <w:t>onstruction uses the output of N</w:t>
      </w:r>
      <w:r w:rsidR="004C7A25">
        <w:t>on-metallic mineral products and Metal products</w:t>
      </w:r>
      <w:r>
        <w:t>; and parts of P</w:t>
      </w:r>
      <w:r w:rsidR="004C7A25">
        <w:t>etroleum, coal, chemical and rubber products</w:t>
      </w:r>
      <w:r>
        <w:t xml:space="preserve"> and M</w:t>
      </w:r>
      <w:r w:rsidR="004C7A25">
        <w:t>etal products</w:t>
      </w:r>
      <w:r>
        <w:t xml:space="preserve"> process the output of </w:t>
      </w:r>
      <w:r w:rsidR="00181AB6">
        <w:t>Mining</w:t>
      </w:r>
      <w:r>
        <w:t>.</w:t>
      </w:r>
    </w:p>
    <w:p w:rsidR="00C9319D" w:rsidRDefault="00C9319D" w:rsidP="00C9319D">
      <w:pPr>
        <w:pStyle w:val="BodyText"/>
      </w:pPr>
      <w:r>
        <w:t xml:space="preserve">Table </w:t>
      </w:r>
      <w:proofErr w:type="spellStart"/>
      <w:r w:rsidR="005B14C5">
        <w:t>C.3</w:t>
      </w:r>
      <w:proofErr w:type="spellEnd"/>
      <w:r w:rsidR="00E10385">
        <w:t xml:space="preserve"> </w:t>
      </w:r>
      <w:r w:rsidR="006556BA">
        <w:t xml:space="preserve">shows that three </w:t>
      </w:r>
      <w:r w:rsidR="0010207B">
        <w:t>peaks for Food, beverage and tobacco products</w:t>
      </w:r>
      <w:r w:rsidR="006556BA">
        <w:t xml:space="preserve"> coincide with those for Agriculture and another two peaks are lagged one year from Agriculture peaks.</w:t>
      </w:r>
    </w:p>
    <w:p w:rsidR="00BB0ACD" w:rsidRDefault="00BB0ACD" w:rsidP="00BB0ACD">
      <w:pPr>
        <w:pStyle w:val="TableTitle"/>
      </w:pPr>
      <w:r>
        <w:rPr>
          <w:b w:val="0"/>
        </w:rPr>
        <w:t xml:space="preserve">Table </w:t>
      </w:r>
      <w:bookmarkStart w:id="7" w:name="OLE_LINK3"/>
      <w:proofErr w:type="spellStart"/>
      <w:r w:rsidR="005B14C5">
        <w:rPr>
          <w:b w:val="0"/>
        </w:rPr>
        <w:t>C.</w:t>
      </w:r>
      <w:r w:rsidR="000E2673">
        <w:rPr>
          <w:b w:val="0"/>
          <w:noProof/>
        </w:rPr>
        <w:t>3</w:t>
      </w:r>
      <w:bookmarkEnd w:id="7"/>
      <w:proofErr w:type="spellEnd"/>
      <w:r>
        <w:tab/>
        <w:t xml:space="preserve">Comparison of </w:t>
      </w:r>
      <w:r w:rsidR="005647D5">
        <w:t>Food, beverage and tobacco products</w:t>
      </w:r>
      <w:r>
        <w:t xml:space="preserve"> cycles and Agriculture cycles</w:t>
      </w:r>
      <w:r w:rsidRPr="004922C0">
        <w:rPr>
          <w:rStyle w:val="NoteLabel"/>
          <w:b/>
        </w:rPr>
        <w:t>a</w:t>
      </w:r>
    </w:p>
    <w:p w:rsidR="00BB0ACD" w:rsidRDefault="00BB0ACD" w:rsidP="00BB0ACD">
      <w:pPr>
        <w:pStyle w:val="Subtitle"/>
      </w:pPr>
      <w:r>
        <w:t>Shaded rows are Agriculture peak years</w:t>
      </w:r>
    </w:p>
    <w:tbl>
      <w:tblPr>
        <w:tblW w:w="5000" w:type="pct"/>
        <w:tblLayout w:type="fixed"/>
        <w:tblCellMar>
          <w:left w:w="0" w:type="dxa"/>
          <w:right w:w="0" w:type="dxa"/>
        </w:tblCellMar>
        <w:tblLook w:val="0000" w:firstRow="0" w:lastRow="0" w:firstColumn="0" w:lastColumn="0" w:noHBand="0" w:noVBand="0"/>
      </w:tblPr>
      <w:tblGrid>
        <w:gridCol w:w="1843"/>
        <w:gridCol w:w="3473"/>
        <w:gridCol w:w="3473"/>
      </w:tblGrid>
      <w:tr w:rsidR="00614224" w:rsidTr="008569D5">
        <w:tc>
          <w:tcPr>
            <w:tcW w:w="1843" w:type="dxa"/>
            <w:tcBorders>
              <w:top w:val="single" w:sz="6" w:space="0" w:color="auto"/>
              <w:bottom w:val="single" w:sz="6" w:space="0" w:color="auto"/>
            </w:tcBorders>
            <w:shd w:val="clear" w:color="auto" w:fill="auto"/>
            <w:vAlign w:val="bottom"/>
          </w:tcPr>
          <w:p w:rsidR="00614224" w:rsidRDefault="00614224" w:rsidP="008569D5">
            <w:pPr>
              <w:pStyle w:val="TableColumnHeading"/>
            </w:pPr>
          </w:p>
        </w:tc>
        <w:tc>
          <w:tcPr>
            <w:tcW w:w="3473"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71"/>
            </w:pPr>
            <w:r>
              <w:t xml:space="preserve">Food, beverage &amp; tobacco products </w:t>
            </w:r>
          </w:p>
        </w:tc>
        <w:tc>
          <w:tcPr>
            <w:tcW w:w="3473"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142"/>
            </w:pPr>
            <w:r>
              <w:t>Agriculture, forestry &amp; fishing</w:t>
            </w:r>
          </w:p>
        </w:tc>
      </w:tr>
      <w:tr w:rsidR="00614224" w:rsidTr="008569D5">
        <w:tc>
          <w:tcPr>
            <w:tcW w:w="1843" w:type="dxa"/>
            <w:tcBorders>
              <w:top w:val="single" w:sz="6" w:space="0" w:color="auto"/>
            </w:tcBorders>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1985-86</w:t>
            </w:r>
            <w:r>
              <w:rPr>
                <w:rStyle w:val="NoteLabel"/>
              </w:rPr>
              <w:t>b</w:t>
            </w:r>
          </w:p>
        </w:tc>
        <w:tc>
          <w:tcPr>
            <w:tcW w:w="3473" w:type="dxa"/>
            <w:tcBorders>
              <w:top w:val="single" w:sz="6" w:space="0" w:color="auto"/>
            </w:tcBorders>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tcBorders>
              <w:top w:val="single" w:sz="6" w:space="0" w:color="auto"/>
            </w:tcBorders>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1986-87</w:t>
            </w:r>
          </w:p>
        </w:tc>
        <w:tc>
          <w:tcPr>
            <w:tcW w:w="3473" w:type="dxa"/>
            <w:shd w:val="clear" w:color="auto" w:fill="auto"/>
            <w:vAlign w:val="bottom"/>
          </w:tcPr>
          <w:p w:rsidR="00614224" w:rsidRDefault="00614224" w:rsidP="008569D5">
            <w:pPr>
              <w:pStyle w:val="Note"/>
              <w:spacing w:before="0" w:line="240" w:lineRule="auto"/>
              <w:ind w:right="74"/>
              <w:jc w:val="right"/>
              <w:rPr>
                <w:rFonts w:cs="Arial"/>
                <w:sz w:val="20"/>
              </w:rPr>
            </w:pPr>
            <w:r w:rsidRPr="00295844">
              <w:rPr>
                <w:rFonts w:ascii="Wingdings" w:hAnsi="Wingdings"/>
                <w:sz w:val="22"/>
                <w:szCs w:val="28"/>
              </w:rPr>
              <w:sym w:font="Wingdings" w:char="00FC"/>
            </w:r>
            <w:proofErr w:type="spellStart"/>
            <w:r>
              <w:rPr>
                <w:rStyle w:val="NoteLabel"/>
                <w:b w:val="0"/>
              </w:rPr>
              <w:t>sw</w:t>
            </w:r>
            <w:proofErr w:type="spellEnd"/>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1987-88</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clear" w:color="auto" w:fill="auto"/>
            <w:vAlign w:val="bottom"/>
          </w:tcPr>
          <w:p w:rsidR="00614224" w:rsidRPr="00F86FA6" w:rsidRDefault="00614224" w:rsidP="008569D5">
            <w:pPr>
              <w:rPr>
                <w:rFonts w:ascii="Arial" w:hAnsi="Arial" w:cs="Arial"/>
                <w:color w:val="000000"/>
                <w:sz w:val="20"/>
                <w:szCs w:val="20"/>
              </w:rPr>
            </w:pPr>
            <w:r w:rsidRPr="00F86FA6">
              <w:rPr>
                <w:rFonts w:ascii="Arial" w:hAnsi="Arial" w:cs="Arial"/>
                <w:color w:val="000000"/>
                <w:sz w:val="20"/>
                <w:szCs w:val="20"/>
              </w:rPr>
              <w:t>1988-89</w:t>
            </w:r>
          </w:p>
        </w:tc>
        <w:tc>
          <w:tcPr>
            <w:tcW w:w="3473" w:type="dxa"/>
            <w:shd w:val="clear" w:color="auto" w:fill="auto"/>
            <w:vAlign w:val="bottom"/>
          </w:tcPr>
          <w:p w:rsidR="00614224" w:rsidRPr="00F86FA6" w:rsidRDefault="00614224" w:rsidP="008569D5">
            <w:pPr>
              <w:ind w:right="74"/>
              <w:jc w:val="right"/>
              <w:rPr>
                <w:rFonts w:ascii="Arial" w:hAnsi="Arial" w:cs="Arial"/>
                <w:sz w:val="20"/>
                <w:szCs w:val="20"/>
              </w:rPr>
            </w:pPr>
          </w:p>
        </w:tc>
        <w:tc>
          <w:tcPr>
            <w:tcW w:w="3473" w:type="dxa"/>
            <w:shd w:val="clear" w:color="auto" w:fill="auto"/>
            <w:vAlign w:val="bottom"/>
          </w:tcPr>
          <w:p w:rsidR="00614224" w:rsidRPr="00F86FA6" w:rsidRDefault="00614224" w:rsidP="008569D5">
            <w:pPr>
              <w:ind w:right="142"/>
              <w:jc w:val="right"/>
              <w:rPr>
                <w:rFonts w:ascii="Arial" w:hAnsi="Arial" w:cs="Arial"/>
                <w:sz w:val="20"/>
                <w:szCs w:val="20"/>
              </w:rPr>
            </w:pP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1989-90</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rPr>
          <w:trHeight w:val="144"/>
        </w:trPr>
        <w:tc>
          <w:tcPr>
            <w:tcW w:w="184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1990-91</w:t>
            </w:r>
          </w:p>
        </w:tc>
        <w:tc>
          <w:tcPr>
            <w:tcW w:w="3473" w:type="dxa"/>
            <w:shd w:val="pct25" w:color="auto" w:fill="auto"/>
            <w:vAlign w:val="bottom"/>
          </w:tcPr>
          <w:p w:rsidR="00614224" w:rsidRDefault="00614224" w:rsidP="008569D5">
            <w:pPr>
              <w:ind w:right="74"/>
              <w:jc w:val="right"/>
              <w:rPr>
                <w:rFonts w:ascii="Arial" w:hAnsi="Arial" w:cs="Arial"/>
                <w:sz w:val="20"/>
                <w:szCs w:val="20"/>
              </w:rPr>
            </w:pPr>
            <w:r w:rsidRPr="00295844">
              <w:rPr>
                <w:rFonts w:ascii="Wingdings" w:hAnsi="Wingdings"/>
                <w:sz w:val="22"/>
                <w:szCs w:val="28"/>
              </w:rPr>
              <w:sym w:font="Wingdings" w:char="00FC"/>
            </w:r>
          </w:p>
        </w:tc>
        <w:tc>
          <w:tcPr>
            <w:tcW w:w="3473" w:type="dxa"/>
            <w:shd w:val="pct25" w:color="auto" w:fill="auto"/>
            <w:vAlign w:val="bottom"/>
          </w:tcPr>
          <w:p w:rsidR="00614224" w:rsidRDefault="00614224" w:rsidP="008569D5">
            <w:pPr>
              <w:ind w:right="142"/>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1991-92</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1992-93</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RPr="009B6D74" w:rsidTr="008569D5">
        <w:tc>
          <w:tcPr>
            <w:tcW w:w="184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1993-94</w:t>
            </w:r>
          </w:p>
        </w:tc>
        <w:tc>
          <w:tcPr>
            <w:tcW w:w="3473" w:type="dxa"/>
            <w:shd w:val="pct25" w:color="auto" w:fill="auto"/>
            <w:vAlign w:val="bottom"/>
          </w:tcPr>
          <w:p w:rsidR="00614224" w:rsidRDefault="00614224" w:rsidP="008569D5">
            <w:pPr>
              <w:ind w:right="71"/>
              <w:jc w:val="right"/>
              <w:rPr>
                <w:rFonts w:ascii="Arial" w:hAnsi="Arial" w:cs="Arial"/>
                <w:sz w:val="20"/>
                <w:szCs w:val="20"/>
              </w:rPr>
            </w:pPr>
            <w:r w:rsidRPr="00295844">
              <w:rPr>
                <w:rFonts w:ascii="Wingdings" w:hAnsi="Wingdings"/>
                <w:sz w:val="22"/>
                <w:szCs w:val="28"/>
              </w:rPr>
              <w:sym w:font="Wingdings" w:char="00FC"/>
            </w:r>
          </w:p>
        </w:tc>
        <w:tc>
          <w:tcPr>
            <w:tcW w:w="3473" w:type="dxa"/>
            <w:shd w:val="pct25" w:color="auto" w:fill="auto"/>
            <w:vAlign w:val="bottom"/>
          </w:tcPr>
          <w:p w:rsidR="00614224" w:rsidRPr="009B6D74" w:rsidRDefault="00614224" w:rsidP="008569D5">
            <w:pPr>
              <w:ind w:right="142"/>
              <w:jc w:val="right"/>
              <w:rPr>
                <w:sz w:val="18"/>
                <w:szCs w:val="18"/>
              </w:rPr>
            </w:pPr>
            <w:r w:rsidRPr="009B6D74">
              <w:rPr>
                <w:rFonts w:ascii="Wingdings" w:hAnsi="Wingdings"/>
                <w:sz w:val="22"/>
                <w:szCs w:val="22"/>
              </w:rPr>
              <w:sym w:font="Wingdings" w:char="00FC"/>
            </w:r>
            <w:r w:rsidRPr="009B6D74">
              <w:rPr>
                <w:rStyle w:val="NoteLabel"/>
                <w:b w:val="0"/>
                <w:szCs w:val="18"/>
              </w:rPr>
              <w:t>s</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1994-95</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1995-96</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1996-97</w:t>
            </w:r>
          </w:p>
        </w:tc>
        <w:tc>
          <w:tcPr>
            <w:tcW w:w="3473" w:type="dxa"/>
            <w:shd w:val="pct25"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pct25" w:color="auto" w:fill="auto"/>
            <w:vAlign w:val="bottom"/>
          </w:tcPr>
          <w:p w:rsidR="00614224" w:rsidRDefault="00614224" w:rsidP="008569D5">
            <w:pPr>
              <w:ind w:right="142"/>
              <w:jc w:val="right"/>
              <w:rPr>
                <w:rFonts w:ascii="Arial" w:hAnsi="Arial" w:cs="Arial"/>
                <w:sz w:val="20"/>
                <w:szCs w:val="20"/>
              </w:rPr>
            </w:pPr>
            <w:r w:rsidRPr="009B6D74">
              <w:rPr>
                <w:rFonts w:ascii="Wingdings" w:hAnsi="Wingdings"/>
                <w:sz w:val="22"/>
                <w:szCs w:val="28"/>
              </w:rPr>
              <w:sym w:font="Wingdings" w:char="00FC"/>
            </w:r>
            <w:proofErr w:type="spellStart"/>
            <w:r w:rsidRPr="00D7725C">
              <w:rPr>
                <w:rStyle w:val="NoteLabel"/>
                <w:b w:val="0"/>
              </w:rPr>
              <w:t>s</w:t>
            </w:r>
            <w:r>
              <w:rPr>
                <w:rStyle w:val="NoteLabel"/>
                <w:b w:val="0"/>
              </w:rPr>
              <w:t>2</w:t>
            </w:r>
            <w:proofErr w:type="spellEnd"/>
            <w:r>
              <w:rPr>
                <w:rFonts w:ascii="Arial" w:hAnsi="Arial" w:cs="Arial"/>
                <w:sz w:val="20"/>
                <w:szCs w:val="20"/>
              </w:rPr>
              <w:t xml:space="preserve"> </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1997-98</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rPr>
          <w:trHeight w:val="115"/>
        </w:trPr>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1998-99</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Pr="00295844" w:rsidRDefault="00614224" w:rsidP="008569D5">
            <w:pPr>
              <w:ind w:right="142"/>
              <w:jc w:val="right"/>
              <w:rPr>
                <w:sz w:val="18"/>
              </w:rPr>
            </w:pP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1999-00</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rPr>
          <w:trHeight w:val="80"/>
        </w:trPr>
        <w:tc>
          <w:tcPr>
            <w:tcW w:w="184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2000-01</w:t>
            </w:r>
          </w:p>
        </w:tc>
        <w:tc>
          <w:tcPr>
            <w:tcW w:w="3473" w:type="dxa"/>
            <w:shd w:val="pct25" w:color="auto" w:fill="auto"/>
            <w:vAlign w:val="bottom"/>
          </w:tcPr>
          <w:p w:rsidR="00614224" w:rsidRDefault="00614224" w:rsidP="008569D5">
            <w:pPr>
              <w:ind w:right="71"/>
              <w:jc w:val="right"/>
              <w:rPr>
                <w:rFonts w:ascii="Arial" w:hAnsi="Arial" w:cs="Arial"/>
                <w:sz w:val="20"/>
                <w:szCs w:val="20"/>
              </w:rPr>
            </w:pPr>
            <w:r w:rsidRPr="00295844">
              <w:rPr>
                <w:rFonts w:ascii="Wingdings" w:hAnsi="Wingdings"/>
                <w:sz w:val="22"/>
                <w:szCs w:val="28"/>
              </w:rPr>
              <w:sym w:font="Wingdings" w:char="00FC"/>
            </w:r>
            <w:proofErr w:type="spellStart"/>
            <w:r w:rsidRPr="00295844">
              <w:rPr>
                <w:rStyle w:val="NoteLabel"/>
                <w:b w:val="0"/>
                <w:szCs w:val="18"/>
              </w:rPr>
              <w:t>s2</w:t>
            </w:r>
            <w:proofErr w:type="spellEnd"/>
          </w:p>
        </w:tc>
        <w:tc>
          <w:tcPr>
            <w:tcW w:w="3473" w:type="dxa"/>
            <w:shd w:val="pct25" w:color="auto" w:fill="auto"/>
            <w:vAlign w:val="bottom"/>
          </w:tcPr>
          <w:p w:rsidR="00614224" w:rsidRDefault="00614224" w:rsidP="008569D5">
            <w:pPr>
              <w:ind w:right="142"/>
              <w:jc w:val="right"/>
              <w:rPr>
                <w:rFonts w:ascii="Arial" w:hAnsi="Arial" w:cs="Arial"/>
                <w:sz w:val="20"/>
                <w:szCs w:val="20"/>
              </w:rPr>
            </w:pPr>
            <w:r w:rsidRPr="00295844">
              <w:rPr>
                <w:rFonts w:ascii="Wingdings" w:hAnsi="Wingdings"/>
                <w:sz w:val="22"/>
                <w:szCs w:val="28"/>
              </w:rPr>
              <w:sym w:font="Wingdings" w:char="00FC"/>
            </w:r>
            <w:proofErr w:type="spellStart"/>
            <w:r w:rsidRPr="00295844">
              <w:rPr>
                <w:rStyle w:val="NoteLabel"/>
                <w:b w:val="0"/>
              </w:rPr>
              <w:t>s2</w:t>
            </w:r>
            <w:proofErr w:type="spellEnd"/>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2001-02</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2002-03</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2003-04</w:t>
            </w:r>
          </w:p>
        </w:tc>
        <w:tc>
          <w:tcPr>
            <w:tcW w:w="3473" w:type="dxa"/>
            <w:shd w:val="clear" w:color="auto" w:fill="auto"/>
            <w:vAlign w:val="bottom"/>
          </w:tcPr>
          <w:p w:rsidR="00614224" w:rsidRDefault="00614224" w:rsidP="008569D5">
            <w:pPr>
              <w:ind w:right="71"/>
              <w:jc w:val="right"/>
              <w:rPr>
                <w:rFonts w:ascii="Arial" w:hAnsi="Arial" w:cs="Arial"/>
                <w:sz w:val="20"/>
                <w:szCs w:val="20"/>
              </w:rPr>
            </w:pPr>
            <w:r w:rsidRPr="00295844">
              <w:rPr>
                <w:rFonts w:ascii="Wingdings" w:hAnsi="Wingdings"/>
                <w:sz w:val="22"/>
                <w:szCs w:val="28"/>
              </w:rPr>
              <w:sym w:font="Wingdings" w:char="00FC"/>
            </w:r>
          </w:p>
        </w:tc>
        <w:tc>
          <w:tcPr>
            <w:tcW w:w="347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2004-05</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2005-06</w:t>
            </w:r>
          </w:p>
        </w:tc>
        <w:tc>
          <w:tcPr>
            <w:tcW w:w="3473" w:type="dxa"/>
            <w:shd w:val="pct25"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pct25" w:color="auto" w:fill="auto"/>
            <w:vAlign w:val="bottom"/>
          </w:tcPr>
          <w:p w:rsidR="00614224" w:rsidRDefault="00614224" w:rsidP="008569D5">
            <w:pPr>
              <w:ind w:right="142"/>
              <w:jc w:val="right"/>
              <w:rPr>
                <w:rFonts w:ascii="Arial" w:hAnsi="Arial" w:cs="Arial"/>
                <w:sz w:val="20"/>
                <w:szCs w:val="20"/>
              </w:rPr>
            </w:pPr>
            <w:r w:rsidRPr="00295844">
              <w:rPr>
                <w:rFonts w:ascii="Wingdings" w:hAnsi="Wingdings"/>
                <w:sz w:val="22"/>
                <w:szCs w:val="28"/>
              </w:rPr>
              <w:sym w:font="Wingdings" w:char="00FC"/>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2006-07</w:t>
            </w:r>
          </w:p>
        </w:tc>
        <w:tc>
          <w:tcPr>
            <w:tcW w:w="3473" w:type="dxa"/>
            <w:shd w:val="clear" w:color="auto" w:fill="auto"/>
            <w:vAlign w:val="bottom"/>
          </w:tcPr>
          <w:p w:rsidR="00614224" w:rsidRDefault="00614224" w:rsidP="008569D5">
            <w:pPr>
              <w:ind w:right="71"/>
              <w:jc w:val="right"/>
              <w:rPr>
                <w:rFonts w:ascii="Arial" w:hAnsi="Arial" w:cs="Arial"/>
                <w:sz w:val="20"/>
                <w:szCs w:val="20"/>
              </w:rPr>
            </w:pPr>
            <w:r w:rsidRPr="00295844">
              <w:rPr>
                <w:rFonts w:ascii="Wingdings" w:hAnsi="Wingdings"/>
                <w:sz w:val="22"/>
                <w:szCs w:val="28"/>
              </w:rPr>
              <w:sym w:font="Wingdings" w:char="00FC"/>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2007-08</w:t>
            </w:r>
          </w:p>
        </w:tc>
        <w:tc>
          <w:tcPr>
            <w:tcW w:w="3473" w:type="dxa"/>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 xml:space="preserve"> </w:t>
            </w:r>
          </w:p>
        </w:tc>
      </w:tr>
      <w:tr w:rsidR="00614224" w:rsidTr="008569D5">
        <w:tc>
          <w:tcPr>
            <w:tcW w:w="1843"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2008-09</w:t>
            </w:r>
          </w:p>
        </w:tc>
        <w:tc>
          <w:tcPr>
            <w:tcW w:w="3473" w:type="dxa"/>
            <w:shd w:val="pct25"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 xml:space="preserve"> </w:t>
            </w:r>
          </w:p>
        </w:tc>
        <w:tc>
          <w:tcPr>
            <w:tcW w:w="3473" w:type="dxa"/>
            <w:shd w:val="pct25" w:color="auto" w:fill="auto"/>
            <w:vAlign w:val="bottom"/>
          </w:tcPr>
          <w:p w:rsidR="00614224" w:rsidRDefault="00614224" w:rsidP="008569D5">
            <w:pPr>
              <w:ind w:right="142"/>
              <w:jc w:val="right"/>
              <w:rPr>
                <w:rFonts w:ascii="Arial" w:hAnsi="Arial" w:cs="Arial"/>
                <w:sz w:val="20"/>
                <w:szCs w:val="20"/>
              </w:rPr>
            </w:pPr>
            <w:r w:rsidRPr="00295844">
              <w:rPr>
                <w:rFonts w:ascii="Wingdings" w:hAnsi="Wingdings"/>
                <w:sz w:val="22"/>
                <w:szCs w:val="28"/>
              </w:rPr>
              <w:sym w:font="Wingdings" w:char="00FC"/>
            </w:r>
            <w:r w:rsidRPr="00D7725C">
              <w:rPr>
                <w:rStyle w:val="NoteLabel"/>
                <w:b w:val="0"/>
              </w:rPr>
              <w:t>s</w:t>
            </w:r>
            <w:r>
              <w:rPr>
                <w:rFonts w:ascii="Arial" w:hAnsi="Arial" w:cs="Arial"/>
                <w:sz w:val="20"/>
                <w:szCs w:val="20"/>
              </w:rPr>
              <w:t xml:space="preserve"> </w:t>
            </w:r>
          </w:p>
        </w:tc>
      </w:tr>
      <w:tr w:rsidR="00614224" w:rsidTr="008569D5">
        <w:tc>
          <w:tcPr>
            <w:tcW w:w="1843"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2009-10</w:t>
            </w:r>
          </w:p>
        </w:tc>
        <w:tc>
          <w:tcPr>
            <w:tcW w:w="3473" w:type="dxa"/>
            <w:shd w:val="clear" w:color="auto" w:fill="auto"/>
            <w:vAlign w:val="bottom"/>
          </w:tcPr>
          <w:p w:rsidR="00614224" w:rsidRDefault="00614224" w:rsidP="008569D5">
            <w:pPr>
              <w:ind w:right="71"/>
              <w:jc w:val="right"/>
              <w:rPr>
                <w:rFonts w:ascii="Arial" w:hAnsi="Arial" w:cs="Arial"/>
                <w:sz w:val="20"/>
                <w:szCs w:val="20"/>
              </w:rPr>
            </w:pPr>
            <w:r w:rsidRPr="00295844">
              <w:rPr>
                <w:rFonts w:ascii="Wingdings" w:hAnsi="Wingdings"/>
                <w:sz w:val="22"/>
                <w:szCs w:val="28"/>
              </w:rPr>
              <w:sym w:font="Wingdings" w:char="00FC"/>
            </w:r>
            <w:r>
              <w:rPr>
                <w:rStyle w:val="NoteLabel"/>
                <w:b w:val="0"/>
              </w:rPr>
              <w:t>w</w:t>
            </w:r>
          </w:p>
        </w:tc>
        <w:tc>
          <w:tcPr>
            <w:tcW w:w="347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843" w:type="dxa"/>
            <w:shd w:val="clear" w:color="auto" w:fill="auto"/>
            <w:vAlign w:val="bottom"/>
          </w:tcPr>
          <w:p w:rsidR="00614224" w:rsidRPr="004922C0" w:rsidRDefault="00614224" w:rsidP="008569D5">
            <w:pPr>
              <w:rPr>
                <w:rFonts w:ascii="Arial" w:hAnsi="Arial" w:cs="Arial"/>
                <w:color w:val="000000"/>
                <w:sz w:val="20"/>
                <w:szCs w:val="20"/>
              </w:rPr>
            </w:pPr>
            <w:r w:rsidRPr="004922C0">
              <w:rPr>
                <w:rFonts w:ascii="Arial" w:hAnsi="Arial" w:cs="Arial"/>
                <w:color w:val="000000"/>
                <w:sz w:val="20"/>
                <w:szCs w:val="20"/>
              </w:rPr>
              <w:t>2010-11</w:t>
            </w:r>
            <w:r>
              <w:rPr>
                <w:rStyle w:val="NoteLabel"/>
              </w:rPr>
              <w:t>b</w:t>
            </w:r>
          </w:p>
        </w:tc>
        <w:tc>
          <w:tcPr>
            <w:tcW w:w="3473" w:type="dxa"/>
            <w:shd w:val="clear" w:color="auto" w:fill="auto"/>
            <w:vAlign w:val="bottom"/>
          </w:tcPr>
          <w:p w:rsidR="00614224" w:rsidRDefault="00614224" w:rsidP="008569D5">
            <w:pPr>
              <w:pStyle w:val="TableBodyText"/>
              <w:spacing w:after="0" w:line="240" w:lineRule="auto"/>
              <w:ind w:right="71"/>
            </w:pPr>
          </w:p>
        </w:tc>
        <w:tc>
          <w:tcPr>
            <w:tcW w:w="3473" w:type="dxa"/>
            <w:shd w:val="clear" w:color="auto" w:fill="auto"/>
            <w:vAlign w:val="bottom"/>
          </w:tcPr>
          <w:p w:rsidR="00614224" w:rsidRDefault="00614224" w:rsidP="008569D5">
            <w:pPr>
              <w:pStyle w:val="TableBodyText"/>
              <w:spacing w:after="0" w:line="240" w:lineRule="auto"/>
              <w:ind w:right="142"/>
            </w:pPr>
          </w:p>
        </w:tc>
      </w:tr>
      <w:tr w:rsidR="00614224" w:rsidTr="008569D5">
        <w:tc>
          <w:tcPr>
            <w:tcW w:w="1843" w:type="dxa"/>
            <w:tcBorders>
              <w:bottom w:val="single" w:sz="6" w:space="0" w:color="auto"/>
            </w:tcBorders>
            <w:shd w:val="clear" w:color="auto" w:fill="auto"/>
            <w:vAlign w:val="bottom"/>
          </w:tcPr>
          <w:p w:rsidR="00614224" w:rsidRDefault="00B778D8" w:rsidP="008569D5">
            <w:pPr>
              <w:rPr>
                <w:rFonts w:ascii="Arial" w:hAnsi="Arial" w:cs="Arial"/>
                <w:color w:val="000000"/>
                <w:sz w:val="20"/>
                <w:szCs w:val="20"/>
              </w:rPr>
            </w:pPr>
            <w:r>
              <w:rPr>
                <w:rFonts w:ascii="Arial" w:hAnsi="Arial" w:cs="Arial"/>
                <w:color w:val="000000"/>
                <w:sz w:val="20"/>
                <w:szCs w:val="20"/>
              </w:rPr>
              <w:t>Number of peaks</w:t>
            </w:r>
          </w:p>
        </w:tc>
        <w:tc>
          <w:tcPr>
            <w:tcW w:w="3473" w:type="dxa"/>
            <w:tcBorders>
              <w:bottom w:val="single" w:sz="6" w:space="0" w:color="auto"/>
            </w:tcBorders>
            <w:shd w:val="clear" w:color="auto" w:fill="auto"/>
            <w:vAlign w:val="bottom"/>
          </w:tcPr>
          <w:p w:rsidR="00614224" w:rsidRDefault="00614224" w:rsidP="008569D5">
            <w:pPr>
              <w:ind w:right="71"/>
              <w:jc w:val="right"/>
              <w:rPr>
                <w:rFonts w:ascii="Arial" w:hAnsi="Arial" w:cs="Arial"/>
                <w:sz w:val="20"/>
                <w:szCs w:val="20"/>
              </w:rPr>
            </w:pPr>
            <w:r>
              <w:rPr>
                <w:rFonts w:ascii="Arial" w:hAnsi="Arial" w:cs="Arial"/>
                <w:sz w:val="20"/>
                <w:szCs w:val="20"/>
              </w:rPr>
              <w:t>7</w:t>
            </w:r>
          </w:p>
        </w:tc>
        <w:tc>
          <w:tcPr>
            <w:tcW w:w="3473" w:type="dxa"/>
            <w:tcBorders>
              <w:bottom w:val="single" w:sz="6" w:space="0" w:color="auto"/>
            </w:tcBorders>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6</w:t>
            </w:r>
          </w:p>
        </w:tc>
      </w:tr>
    </w:tbl>
    <w:p w:rsidR="00BB0ACD" w:rsidRDefault="00BB0ACD" w:rsidP="00BB0ACD">
      <w:pPr>
        <w:pStyle w:val="Source"/>
      </w:pPr>
      <w:r>
        <w:rPr>
          <w:rStyle w:val="NoteLabel"/>
        </w:rPr>
        <w:t xml:space="preserve">a </w:t>
      </w:r>
      <w:r>
        <w:t xml:space="preserve">Revisions by the ABS to its official industry MFP time series, as well as additional years of data, may also lead to revisions to the industry cycles identified and average annual growth rates over these cycles. </w:t>
      </w:r>
      <w:r w:rsidR="00F0795E">
        <w:rPr>
          <w:rStyle w:val="NoteLabel"/>
        </w:rPr>
        <w:t>b</w:t>
      </w:r>
      <w:r w:rsidR="00F0795E">
        <w:rPr>
          <w:rFonts w:cs="Arial"/>
        </w:rPr>
        <w:t> </w:t>
      </w:r>
      <w:r>
        <w:t xml:space="preserve">Insufficient observations are available to identify peaks in these years. </w:t>
      </w:r>
      <w:r>
        <w:rPr>
          <w:b/>
        </w:rPr>
        <w:t>w</w:t>
      </w:r>
      <w:r>
        <w:t xml:space="preserve"> indicates weakly robust. </w:t>
      </w:r>
      <w:r w:rsidRPr="00135383">
        <w:rPr>
          <w:b/>
        </w:rPr>
        <w:t>s</w:t>
      </w:r>
      <w:r w:rsidR="005B14C5">
        <w:t> </w:t>
      </w:r>
      <w:r>
        <w:t xml:space="preserve">indicates a small deviation. </w:t>
      </w:r>
      <w:r w:rsidRPr="00135383">
        <w:rPr>
          <w:b/>
        </w:rPr>
        <w:t>2</w:t>
      </w:r>
      <w:r>
        <w:t> indicates a peak selected from a pair of close together peaks.</w:t>
      </w:r>
    </w:p>
    <w:p w:rsidR="005E043F" w:rsidRPr="000502F4" w:rsidRDefault="00BB0ACD" w:rsidP="000502F4">
      <w:pPr>
        <w:pStyle w:val="Source"/>
        <w:rPr>
          <w:i/>
        </w:rPr>
      </w:pPr>
      <w:r w:rsidRPr="00C4117A">
        <w:rPr>
          <w:i/>
        </w:rPr>
        <w:t>Source</w:t>
      </w:r>
      <w:r w:rsidRPr="00DC1210">
        <w:t>:</w:t>
      </w:r>
      <w:r>
        <w:rPr>
          <w:i/>
        </w:rPr>
        <w:t xml:space="preserve"> </w:t>
      </w:r>
      <w:r w:rsidRPr="00B23DB3">
        <w:t>Authors’</w:t>
      </w:r>
      <w:r>
        <w:t xml:space="preserve"> estimates based on methodology in Barnes (2011). </w:t>
      </w:r>
      <w:r w:rsidR="005E043F">
        <w:rPr>
          <w:b/>
        </w:rPr>
        <w:br w:type="page"/>
      </w:r>
    </w:p>
    <w:p w:rsidR="006556BA" w:rsidRDefault="006556BA" w:rsidP="006556BA">
      <w:pPr>
        <w:pStyle w:val="BodyText"/>
      </w:pPr>
      <w:r>
        <w:lastRenderedPageBreak/>
        <w:t xml:space="preserve">Table </w:t>
      </w:r>
      <w:proofErr w:type="spellStart"/>
      <w:r w:rsidR="005B14C5">
        <w:t>C.4</w:t>
      </w:r>
      <w:proofErr w:type="spellEnd"/>
      <w:r w:rsidR="00E10385">
        <w:t xml:space="preserve"> </w:t>
      </w:r>
      <w:r>
        <w:t xml:space="preserve">shows that only one </w:t>
      </w:r>
      <w:r w:rsidR="0010207B">
        <w:t xml:space="preserve">peak for </w:t>
      </w:r>
      <w:r>
        <w:t>N</w:t>
      </w:r>
      <w:r w:rsidR="0010207B">
        <w:t>on-metallic mineral products</w:t>
      </w:r>
      <w:r>
        <w:t xml:space="preserve"> coincides with those for Construction. </w:t>
      </w:r>
      <w:r w:rsidR="007D65B1">
        <w:t>Another t</w:t>
      </w:r>
      <w:r>
        <w:t xml:space="preserve">wo peaks </w:t>
      </w:r>
      <w:r w:rsidR="0010207B">
        <w:t xml:space="preserve">for Non-metallic mineral products </w:t>
      </w:r>
      <w:r>
        <w:t xml:space="preserve">are in the year before a Construction peak and one is in the year after. </w:t>
      </w:r>
      <w:r w:rsidR="00B30909">
        <w:t xml:space="preserve">Three peaks </w:t>
      </w:r>
      <w:r w:rsidR="0010207B">
        <w:t xml:space="preserve">for Metal products </w:t>
      </w:r>
      <w:r w:rsidR="00B30909">
        <w:t>coincide with those for Construction.</w:t>
      </w:r>
    </w:p>
    <w:p w:rsidR="005E043F" w:rsidRDefault="00BB0ACD" w:rsidP="005E043F">
      <w:pPr>
        <w:pStyle w:val="TableTitle"/>
      </w:pPr>
      <w:r>
        <w:rPr>
          <w:b w:val="0"/>
        </w:rPr>
        <w:t xml:space="preserve">Table </w:t>
      </w:r>
      <w:bookmarkStart w:id="8" w:name="OLE_LINK4"/>
      <w:proofErr w:type="spellStart"/>
      <w:r w:rsidR="005B14C5">
        <w:rPr>
          <w:b w:val="0"/>
        </w:rPr>
        <w:t>C.</w:t>
      </w:r>
      <w:r w:rsidR="000E2673">
        <w:rPr>
          <w:b w:val="0"/>
          <w:noProof/>
        </w:rPr>
        <w:t>4</w:t>
      </w:r>
      <w:bookmarkEnd w:id="8"/>
      <w:proofErr w:type="spellEnd"/>
      <w:r>
        <w:tab/>
      </w:r>
      <w:r w:rsidR="005E043F">
        <w:t xml:space="preserve">Comparison of </w:t>
      </w:r>
      <w:r w:rsidR="00EB7154">
        <w:t>N</w:t>
      </w:r>
      <w:r w:rsidR="0010207B">
        <w:t>on-metallic mineral products</w:t>
      </w:r>
      <w:r w:rsidR="00B90CDF">
        <w:t>, M</w:t>
      </w:r>
      <w:r w:rsidR="0010207B">
        <w:t>etal products</w:t>
      </w:r>
      <w:r w:rsidR="005E043F">
        <w:t xml:space="preserve"> and Construction cycles</w:t>
      </w:r>
      <w:r w:rsidR="005E043F" w:rsidRPr="004922C0">
        <w:rPr>
          <w:rStyle w:val="NoteLabel"/>
          <w:b/>
        </w:rPr>
        <w:t>a</w:t>
      </w:r>
    </w:p>
    <w:p w:rsidR="00BB0ACD" w:rsidRDefault="005E043F" w:rsidP="00BB0ACD">
      <w:pPr>
        <w:pStyle w:val="Subtitle"/>
      </w:pPr>
      <w:r>
        <w:t xml:space="preserve">Shaded rows are </w:t>
      </w:r>
      <w:r w:rsidR="00674520">
        <w:t>Construction</w:t>
      </w:r>
      <w:r>
        <w:t xml:space="preserve"> peak years</w:t>
      </w:r>
    </w:p>
    <w:tbl>
      <w:tblPr>
        <w:tblW w:w="5001" w:type="pct"/>
        <w:tblLayout w:type="fixed"/>
        <w:tblCellMar>
          <w:left w:w="0" w:type="dxa"/>
          <w:right w:w="0" w:type="dxa"/>
        </w:tblCellMar>
        <w:tblLook w:val="0000" w:firstRow="0" w:lastRow="0" w:firstColumn="0" w:lastColumn="0" w:noHBand="0" w:noVBand="0"/>
      </w:tblPr>
      <w:tblGrid>
        <w:gridCol w:w="1701"/>
        <w:gridCol w:w="2364"/>
        <w:gridCol w:w="2363"/>
        <w:gridCol w:w="2363"/>
      </w:tblGrid>
      <w:tr w:rsidR="00614224" w:rsidRPr="00EA0D60" w:rsidTr="00B778D8">
        <w:tc>
          <w:tcPr>
            <w:tcW w:w="1701" w:type="dxa"/>
            <w:tcBorders>
              <w:top w:val="single" w:sz="6" w:space="0" w:color="auto"/>
              <w:bottom w:val="single" w:sz="6" w:space="0" w:color="auto"/>
            </w:tcBorders>
            <w:shd w:val="clear" w:color="auto" w:fill="auto"/>
            <w:vAlign w:val="bottom"/>
          </w:tcPr>
          <w:p w:rsidR="00614224" w:rsidRDefault="00614224" w:rsidP="008569D5">
            <w:pPr>
              <w:pStyle w:val="TableColumnHeading"/>
              <w:jc w:val="left"/>
            </w:pPr>
          </w:p>
        </w:tc>
        <w:tc>
          <w:tcPr>
            <w:tcW w:w="2364" w:type="dxa"/>
            <w:tcBorders>
              <w:top w:val="single" w:sz="6" w:space="0" w:color="auto"/>
              <w:bottom w:val="single" w:sz="6" w:space="0" w:color="auto"/>
            </w:tcBorders>
            <w:vAlign w:val="bottom"/>
          </w:tcPr>
          <w:p w:rsidR="00614224" w:rsidRPr="00596F99" w:rsidRDefault="00614224" w:rsidP="008569D5">
            <w:pPr>
              <w:pStyle w:val="TableColumnHeading"/>
              <w:ind w:right="0"/>
            </w:pPr>
            <w:r>
              <w:t xml:space="preserve">Non-metallic </w:t>
            </w:r>
            <w:r>
              <w:br/>
              <w:t>mineral products</w:t>
            </w:r>
          </w:p>
        </w:tc>
        <w:tc>
          <w:tcPr>
            <w:tcW w:w="2363" w:type="dxa"/>
            <w:tcBorders>
              <w:top w:val="single" w:sz="6" w:space="0" w:color="auto"/>
              <w:bottom w:val="single" w:sz="6" w:space="0" w:color="auto"/>
            </w:tcBorders>
            <w:shd w:val="clear" w:color="auto" w:fill="auto"/>
            <w:vAlign w:val="bottom"/>
          </w:tcPr>
          <w:p w:rsidR="00614224" w:rsidRPr="00596F99" w:rsidRDefault="00614224" w:rsidP="008569D5">
            <w:pPr>
              <w:pStyle w:val="TableColumnHeading"/>
              <w:ind w:right="0"/>
            </w:pPr>
            <w:r>
              <w:t>Metal products</w:t>
            </w:r>
          </w:p>
        </w:tc>
        <w:tc>
          <w:tcPr>
            <w:tcW w:w="2363" w:type="dxa"/>
            <w:tcBorders>
              <w:top w:val="single" w:sz="6" w:space="0" w:color="auto"/>
              <w:bottom w:val="single" w:sz="6" w:space="0" w:color="auto"/>
            </w:tcBorders>
            <w:vAlign w:val="bottom"/>
          </w:tcPr>
          <w:p w:rsidR="00614224" w:rsidRPr="00596F99" w:rsidRDefault="00614224" w:rsidP="008569D5">
            <w:pPr>
              <w:pStyle w:val="TableColumnHeading"/>
              <w:ind w:right="144"/>
            </w:pPr>
            <w:r>
              <w:t>Construction</w:t>
            </w:r>
          </w:p>
        </w:tc>
      </w:tr>
      <w:tr w:rsidR="00614224" w:rsidRPr="00EA0D60" w:rsidTr="00B778D8">
        <w:trPr>
          <w:trHeight w:val="275"/>
        </w:trPr>
        <w:tc>
          <w:tcPr>
            <w:tcW w:w="1701" w:type="dxa"/>
            <w:tcBorders>
              <w:top w:val="single" w:sz="6" w:space="0" w:color="auto"/>
            </w:tcBorders>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1985-86</w:t>
            </w:r>
            <w:r>
              <w:rPr>
                <w:rStyle w:val="NoteLabel"/>
              </w:rPr>
              <w:t>b</w:t>
            </w:r>
          </w:p>
        </w:tc>
        <w:tc>
          <w:tcPr>
            <w:tcW w:w="2364"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tcBorders>
              <w:top w:val="single" w:sz="6" w:space="0" w:color="auto"/>
            </w:tcBorders>
            <w:shd w:val="clear" w:color="auto" w:fill="auto"/>
            <w:vAlign w:val="bottom"/>
          </w:tcPr>
          <w:p w:rsidR="00614224" w:rsidRDefault="00614224" w:rsidP="008569D5">
            <w:pPr>
              <w:jc w:val="right"/>
              <w:rPr>
                <w:rFonts w:ascii="Arial" w:hAnsi="Arial" w:cs="Arial"/>
                <w:sz w:val="20"/>
                <w:szCs w:val="20"/>
              </w:rPr>
            </w:pPr>
          </w:p>
        </w:tc>
        <w:tc>
          <w:tcPr>
            <w:tcW w:w="2363" w:type="dxa"/>
            <w:tcBorders>
              <w:top w:val="single" w:sz="6" w:space="0" w:color="auto"/>
            </w:tcBorders>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1986-87</w:t>
            </w:r>
          </w:p>
        </w:tc>
        <w:tc>
          <w:tcPr>
            <w:tcW w:w="2364"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1987-88</w:t>
            </w:r>
          </w:p>
        </w:tc>
        <w:tc>
          <w:tcPr>
            <w:tcW w:w="2364"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jc w:val="right"/>
              <w:rPr>
                <w:rFonts w:ascii="Arial" w:hAnsi="Arial" w:cs="Arial"/>
                <w:sz w:val="20"/>
                <w:szCs w:val="20"/>
              </w:rPr>
            </w:pPr>
          </w:p>
        </w:tc>
        <w:tc>
          <w:tcPr>
            <w:tcW w:w="2363" w:type="dxa"/>
            <w:shd w:val="pct25" w:color="auto" w:fill="auto"/>
            <w:vAlign w:val="bottom"/>
          </w:tcPr>
          <w:p w:rsidR="00614224" w:rsidRDefault="00614224" w:rsidP="008569D5">
            <w:pPr>
              <w:ind w:right="144"/>
              <w:jc w:val="right"/>
              <w:rPr>
                <w:rFonts w:ascii="Arial" w:hAnsi="Arial" w:cs="Arial"/>
                <w:sz w:val="20"/>
                <w:szCs w:val="20"/>
              </w:rPr>
            </w:pPr>
            <w:r w:rsidRPr="00EA0D60">
              <w:rPr>
                <w:rFonts w:ascii="Wingdings" w:hAnsi="Wingdings"/>
                <w:sz w:val="22"/>
                <w:szCs w:val="28"/>
              </w:rPr>
              <w:sym w:font="Wingdings" w:char="00FC"/>
            </w:r>
            <w:r w:rsidRPr="00D7725C">
              <w:rPr>
                <w:rStyle w:val="NoteLabel"/>
                <w:b w:val="0"/>
              </w:rPr>
              <w:t>s</w:t>
            </w: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Pr="00F86FA6" w:rsidRDefault="00614224" w:rsidP="008569D5">
            <w:pPr>
              <w:rPr>
                <w:rFonts w:ascii="Arial" w:hAnsi="Arial" w:cs="Arial"/>
                <w:color w:val="000000"/>
                <w:sz w:val="20"/>
                <w:szCs w:val="20"/>
              </w:rPr>
            </w:pPr>
            <w:r w:rsidRPr="00F86FA6">
              <w:rPr>
                <w:rFonts w:ascii="Arial" w:hAnsi="Arial" w:cs="Arial"/>
                <w:color w:val="000000"/>
                <w:sz w:val="20"/>
                <w:szCs w:val="20"/>
              </w:rPr>
              <w:t>1988-89</w:t>
            </w:r>
          </w:p>
        </w:tc>
        <w:tc>
          <w:tcPr>
            <w:tcW w:w="2364" w:type="dxa"/>
            <w:vAlign w:val="bottom"/>
          </w:tcPr>
          <w:p w:rsidR="00614224" w:rsidRPr="00F86FA6" w:rsidRDefault="00614224" w:rsidP="008569D5">
            <w:pPr>
              <w:jc w:val="right"/>
              <w:rPr>
                <w:rFonts w:ascii="Arial" w:hAnsi="Arial" w:cs="Arial"/>
                <w:sz w:val="20"/>
                <w:szCs w:val="20"/>
              </w:rPr>
            </w:pPr>
            <w:r w:rsidRPr="00EA0D60">
              <w:rPr>
                <w:rFonts w:ascii="Wingdings" w:hAnsi="Wingdings"/>
                <w:sz w:val="22"/>
                <w:szCs w:val="28"/>
              </w:rPr>
              <w:sym w:font="Wingdings" w:char="00FC"/>
            </w:r>
          </w:p>
        </w:tc>
        <w:tc>
          <w:tcPr>
            <w:tcW w:w="2363" w:type="dxa"/>
            <w:shd w:val="clear" w:color="auto" w:fill="auto"/>
            <w:vAlign w:val="bottom"/>
          </w:tcPr>
          <w:p w:rsidR="00614224" w:rsidRPr="00F86FA6" w:rsidRDefault="00614224" w:rsidP="008569D5">
            <w:pPr>
              <w:jc w:val="right"/>
              <w:rPr>
                <w:rFonts w:ascii="Arial" w:hAnsi="Arial" w:cs="Arial"/>
                <w:sz w:val="20"/>
                <w:szCs w:val="20"/>
              </w:rPr>
            </w:pPr>
          </w:p>
        </w:tc>
        <w:tc>
          <w:tcPr>
            <w:tcW w:w="2363" w:type="dxa"/>
            <w:vAlign w:val="bottom"/>
          </w:tcPr>
          <w:p w:rsidR="00614224" w:rsidRPr="00F86FA6" w:rsidRDefault="00614224" w:rsidP="008569D5">
            <w:pPr>
              <w:ind w:right="144"/>
              <w:jc w:val="right"/>
              <w:rPr>
                <w:rFonts w:ascii="Arial" w:hAnsi="Arial" w:cs="Arial"/>
                <w:sz w:val="20"/>
                <w:szCs w:val="20"/>
              </w:rPr>
            </w:pP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1989-90</w:t>
            </w:r>
          </w:p>
        </w:tc>
        <w:tc>
          <w:tcPr>
            <w:tcW w:w="2364"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r w:rsidRPr="00D7725C">
              <w:rPr>
                <w:rStyle w:val="NoteLabel"/>
                <w:b w:val="0"/>
              </w:rPr>
              <w:t>s</w:t>
            </w: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1990-91</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1991-92</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1992-93</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1993-94</w:t>
            </w:r>
          </w:p>
        </w:tc>
        <w:tc>
          <w:tcPr>
            <w:tcW w:w="2364" w:type="dxa"/>
            <w:shd w:val="pct25" w:color="auto" w:fill="auto"/>
            <w:vAlign w:val="bottom"/>
          </w:tcPr>
          <w:p w:rsidR="00614224" w:rsidRDefault="00614224" w:rsidP="008569D5">
            <w:pPr>
              <w:jc w:val="right"/>
            </w:pPr>
            <w:r w:rsidRPr="00EA0D60">
              <w:rPr>
                <w:rFonts w:ascii="Wingdings" w:hAnsi="Wingdings"/>
                <w:sz w:val="22"/>
                <w:szCs w:val="28"/>
              </w:rPr>
              <w:sym w:font="Wingdings" w:char="00FC"/>
            </w:r>
          </w:p>
        </w:tc>
        <w:tc>
          <w:tcPr>
            <w:tcW w:w="2363" w:type="dxa"/>
            <w:shd w:val="pct25" w:color="auto" w:fill="auto"/>
            <w:vAlign w:val="bottom"/>
          </w:tcPr>
          <w:p w:rsidR="00614224" w:rsidRDefault="00614224" w:rsidP="008569D5">
            <w:pPr>
              <w:jc w:val="right"/>
            </w:pPr>
            <w:r w:rsidRPr="00EA0D60">
              <w:rPr>
                <w:rFonts w:ascii="Wingdings" w:hAnsi="Wingdings"/>
                <w:sz w:val="22"/>
                <w:szCs w:val="28"/>
              </w:rPr>
              <w:sym w:font="Wingdings" w:char="00FC"/>
            </w:r>
            <w:r w:rsidRPr="00D7725C">
              <w:rPr>
                <w:rStyle w:val="NoteLabel"/>
                <w:b w:val="0"/>
              </w:rPr>
              <w:t>s</w:t>
            </w:r>
          </w:p>
        </w:tc>
        <w:tc>
          <w:tcPr>
            <w:tcW w:w="2363" w:type="dxa"/>
            <w:shd w:val="pct25" w:color="auto" w:fill="auto"/>
            <w:vAlign w:val="bottom"/>
          </w:tcPr>
          <w:p w:rsidR="00614224" w:rsidRDefault="00614224" w:rsidP="008569D5">
            <w:pPr>
              <w:ind w:right="144"/>
              <w:jc w:val="right"/>
            </w:pPr>
            <w:r w:rsidRPr="00EA0D60">
              <w:rPr>
                <w:rFonts w:ascii="Wingdings" w:hAnsi="Wingdings"/>
                <w:sz w:val="22"/>
                <w:szCs w:val="28"/>
              </w:rPr>
              <w:sym w:font="Wingdings" w:char="00FC"/>
            </w:r>
            <w:r w:rsidRPr="00D7725C">
              <w:rPr>
                <w:rStyle w:val="NoteLabel"/>
                <w:b w:val="0"/>
              </w:rPr>
              <w:t>s</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1994-95</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1995-96</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1996-97</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1997-98</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1998-99</w:t>
            </w:r>
          </w:p>
        </w:tc>
        <w:tc>
          <w:tcPr>
            <w:tcW w:w="2364"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jc w:val="right"/>
            </w:pPr>
            <w:r w:rsidRPr="00EA0D60">
              <w:rPr>
                <w:rFonts w:ascii="Wingdings" w:hAnsi="Wingdings"/>
                <w:sz w:val="22"/>
                <w:szCs w:val="28"/>
              </w:rPr>
              <w:sym w:font="Wingdings" w:char="00FC"/>
            </w:r>
          </w:p>
        </w:tc>
        <w:tc>
          <w:tcPr>
            <w:tcW w:w="2363" w:type="dxa"/>
            <w:shd w:val="pct25" w:color="auto" w:fill="auto"/>
            <w:vAlign w:val="bottom"/>
          </w:tcPr>
          <w:p w:rsidR="00614224" w:rsidRDefault="00614224" w:rsidP="008569D5">
            <w:pPr>
              <w:ind w:right="144"/>
              <w:jc w:val="right"/>
            </w:pPr>
            <w:r w:rsidRPr="00EA0D60">
              <w:rPr>
                <w:rFonts w:ascii="Wingdings" w:hAnsi="Wingdings"/>
                <w:sz w:val="22"/>
                <w:szCs w:val="28"/>
              </w:rPr>
              <w:sym w:font="Wingdings" w:char="00FC"/>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1999-00</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2000-01</w:t>
            </w:r>
          </w:p>
        </w:tc>
        <w:tc>
          <w:tcPr>
            <w:tcW w:w="2364"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2001-02</w:t>
            </w:r>
          </w:p>
        </w:tc>
        <w:tc>
          <w:tcPr>
            <w:tcW w:w="2364" w:type="dxa"/>
            <w:vAlign w:val="bottom"/>
          </w:tcPr>
          <w:p w:rsidR="00614224" w:rsidRDefault="00614224" w:rsidP="008569D5">
            <w:pPr>
              <w:jc w:val="right"/>
            </w:pPr>
            <w:r w:rsidRPr="00EA0D60">
              <w:rPr>
                <w:rFonts w:ascii="Wingdings" w:hAnsi="Wingdings"/>
                <w:sz w:val="22"/>
                <w:szCs w:val="28"/>
              </w:rPr>
              <w:sym w:font="Wingdings" w:char="00FC"/>
            </w:r>
            <w:r w:rsidRPr="00D7725C">
              <w:rPr>
                <w:rStyle w:val="NoteLabel"/>
                <w:b w:val="0"/>
              </w:rPr>
              <w:t>s</w:t>
            </w:r>
          </w:p>
        </w:tc>
        <w:tc>
          <w:tcPr>
            <w:tcW w:w="2363" w:type="dxa"/>
            <w:shd w:val="clear" w:color="auto" w:fill="auto"/>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2002-03</w:t>
            </w:r>
          </w:p>
        </w:tc>
        <w:tc>
          <w:tcPr>
            <w:tcW w:w="2364"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jc w:val="right"/>
              <w:rPr>
                <w:rFonts w:ascii="Arial" w:hAnsi="Arial" w:cs="Arial"/>
                <w:sz w:val="20"/>
                <w:szCs w:val="20"/>
              </w:rPr>
            </w:pPr>
          </w:p>
        </w:tc>
        <w:tc>
          <w:tcPr>
            <w:tcW w:w="2363" w:type="dxa"/>
            <w:shd w:val="pct25" w:color="auto" w:fill="auto"/>
            <w:vAlign w:val="bottom"/>
          </w:tcPr>
          <w:p w:rsidR="00614224" w:rsidRDefault="00614224" w:rsidP="008569D5">
            <w:pPr>
              <w:ind w:right="144"/>
              <w:jc w:val="right"/>
              <w:rPr>
                <w:rFonts w:ascii="Arial" w:hAnsi="Arial" w:cs="Arial"/>
                <w:sz w:val="20"/>
                <w:szCs w:val="20"/>
              </w:rPr>
            </w:pPr>
            <w:r w:rsidRPr="00EA0D60">
              <w:rPr>
                <w:rFonts w:ascii="Wingdings" w:hAnsi="Wingdings"/>
                <w:sz w:val="22"/>
                <w:szCs w:val="28"/>
              </w:rPr>
              <w:sym w:font="Wingdings" w:char="00FC"/>
            </w: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2003-04</w:t>
            </w:r>
          </w:p>
        </w:tc>
        <w:tc>
          <w:tcPr>
            <w:tcW w:w="2364"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2004-05</w:t>
            </w:r>
          </w:p>
        </w:tc>
        <w:tc>
          <w:tcPr>
            <w:tcW w:w="2364"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2005-06</w:t>
            </w:r>
          </w:p>
        </w:tc>
        <w:tc>
          <w:tcPr>
            <w:tcW w:w="2364"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2006-07</w:t>
            </w:r>
          </w:p>
        </w:tc>
        <w:tc>
          <w:tcPr>
            <w:tcW w:w="2364" w:type="dxa"/>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r>
              <w:rPr>
                <w:rFonts w:ascii="Arial" w:hAnsi="Arial" w:cs="Arial"/>
                <w:sz w:val="20"/>
                <w:szCs w:val="20"/>
              </w:rPr>
              <w:t xml:space="preserve"> </w:t>
            </w:r>
          </w:p>
        </w:tc>
      </w:tr>
      <w:tr w:rsidR="00614224" w:rsidRPr="00EA0D60" w:rsidTr="00B778D8">
        <w:trPr>
          <w:trHeight w:val="275"/>
        </w:trPr>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2007-08</w:t>
            </w:r>
          </w:p>
        </w:tc>
        <w:tc>
          <w:tcPr>
            <w:tcW w:w="2364"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p>
        </w:tc>
        <w:tc>
          <w:tcPr>
            <w:tcW w:w="2363" w:type="dxa"/>
            <w:shd w:val="pct25" w:color="auto" w:fill="auto"/>
            <w:vAlign w:val="bottom"/>
          </w:tcPr>
          <w:p w:rsidR="00614224" w:rsidRDefault="00614224" w:rsidP="008569D5">
            <w:pPr>
              <w:ind w:right="144"/>
              <w:jc w:val="right"/>
              <w:rPr>
                <w:rFonts w:ascii="Arial" w:hAnsi="Arial" w:cs="Arial"/>
                <w:sz w:val="20"/>
                <w:szCs w:val="20"/>
              </w:rPr>
            </w:pPr>
            <w:r w:rsidRPr="00EA0D60">
              <w:rPr>
                <w:rFonts w:ascii="Wingdings" w:hAnsi="Wingdings"/>
                <w:sz w:val="22"/>
                <w:szCs w:val="28"/>
              </w:rPr>
              <w:sym w:font="Wingdings" w:char="00FC"/>
            </w:r>
            <w:proofErr w:type="spellStart"/>
            <w:r w:rsidRPr="00D7725C">
              <w:rPr>
                <w:rStyle w:val="NoteLabel"/>
                <w:b w:val="0"/>
              </w:rPr>
              <w:t>s</w:t>
            </w:r>
            <w:r>
              <w:rPr>
                <w:rStyle w:val="NoteLabel"/>
                <w:b w:val="0"/>
              </w:rPr>
              <w:t>2</w:t>
            </w:r>
            <w:proofErr w:type="spellEnd"/>
            <w:r>
              <w:rPr>
                <w:rFonts w:ascii="Arial" w:hAnsi="Arial" w:cs="Arial"/>
                <w:sz w:val="20"/>
                <w:szCs w:val="20"/>
              </w:rPr>
              <w:t xml:space="preserve"> </w:t>
            </w: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2008-09</w:t>
            </w:r>
          </w:p>
        </w:tc>
        <w:tc>
          <w:tcPr>
            <w:tcW w:w="2364"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p>
        </w:tc>
      </w:tr>
      <w:tr w:rsidR="00614224" w:rsidRPr="00EA0D60" w:rsidTr="00B778D8">
        <w:trPr>
          <w:trHeight w:val="275"/>
        </w:trPr>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2009-10</w:t>
            </w:r>
          </w:p>
        </w:tc>
        <w:tc>
          <w:tcPr>
            <w:tcW w:w="2364" w:type="dxa"/>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proofErr w:type="spellStart"/>
            <w:r w:rsidRPr="00D7725C">
              <w:rPr>
                <w:rStyle w:val="NoteLabel"/>
                <w:b w:val="0"/>
              </w:rPr>
              <w:t>s</w:t>
            </w:r>
            <w:r>
              <w:rPr>
                <w:rStyle w:val="NoteLabel"/>
                <w:b w:val="0"/>
              </w:rPr>
              <w:t>w</w:t>
            </w:r>
            <w:proofErr w:type="spellEnd"/>
          </w:p>
        </w:tc>
        <w:tc>
          <w:tcPr>
            <w:tcW w:w="2363" w:type="dxa"/>
            <w:shd w:val="clear" w:color="auto" w:fill="auto"/>
            <w:vAlign w:val="bottom"/>
          </w:tcPr>
          <w:p w:rsidR="00614224" w:rsidRDefault="00614224" w:rsidP="008569D5">
            <w:pPr>
              <w:jc w:val="right"/>
              <w:rPr>
                <w:rFonts w:ascii="Arial" w:hAnsi="Arial" w:cs="Arial"/>
                <w:sz w:val="20"/>
                <w:szCs w:val="20"/>
              </w:rPr>
            </w:pPr>
          </w:p>
        </w:tc>
        <w:tc>
          <w:tcPr>
            <w:tcW w:w="2363" w:type="dxa"/>
            <w:vAlign w:val="bottom"/>
          </w:tcPr>
          <w:p w:rsidR="00614224" w:rsidRDefault="00614224" w:rsidP="008569D5">
            <w:pPr>
              <w:ind w:right="144"/>
              <w:jc w:val="right"/>
              <w:rPr>
                <w:rFonts w:ascii="Arial" w:hAnsi="Arial" w:cs="Arial"/>
                <w:sz w:val="20"/>
                <w:szCs w:val="20"/>
              </w:rPr>
            </w:pPr>
          </w:p>
        </w:tc>
      </w:tr>
      <w:tr w:rsidR="00614224" w:rsidRPr="00EA0D60" w:rsidTr="00B778D8">
        <w:trPr>
          <w:trHeight w:val="275"/>
        </w:trPr>
        <w:tc>
          <w:tcPr>
            <w:tcW w:w="1701" w:type="dxa"/>
            <w:shd w:val="clear" w:color="auto" w:fill="auto"/>
            <w:vAlign w:val="bottom"/>
          </w:tcPr>
          <w:p w:rsidR="00614224" w:rsidRPr="004922C0" w:rsidRDefault="00614224" w:rsidP="008569D5">
            <w:pPr>
              <w:rPr>
                <w:rFonts w:ascii="Arial" w:hAnsi="Arial" w:cs="Arial"/>
                <w:color w:val="000000"/>
                <w:sz w:val="20"/>
                <w:szCs w:val="20"/>
              </w:rPr>
            </w:pPr>
            <w:r w:rsidRPr="004922C0">
              <w:rPr>
                <w:rFonts w:ascii="Arial" w:hAnsi="Arial" w:cs="Arial"/>
                <w:color w:val="000000"/>
                <w:sz w:val="20"/>
                <w:szCs w:val="20"/>
              </w:rPr>
              <w:t>2010-11</w:t>
            </w:r>
            <w:r>
              <w:rPr>
                <w:rStyle w:val="NoteLabel"/>
              </w:rPr>
              <w:t>b</w:t>
            </w:r>
          </w:p>
        </w:tc>
        <w:tc>
          <w:tcPr>
            <w:tcW w:w="2364" w:type="dxa"/>
            <w:vAlign w:val="bottom"/>
          </w:tcPr>
          <w:p w:rsidR="00614224" w:rsidRDefault="00614224" w:rsidP="008569D5">
            <w:pPr>
              <w:pStyle w:val="TableBodyText"/>
              <w:spacing w:after="0" w:line="240" w:lineRule="auto"/>
              <w:ind w:right="0"/>
            </w:pPr>
          </w:p>
        </w:tc>
        <w:tc>
          <w:tcPr>
            <w:tcW w:w="2363" w:type="dxa"/>
            <w:shd w:val="clear" w:color="auto" w:fill="auto"/>
            <w:vAlign w:val="bottom"/>
          </w:tcPr>
          <w:p w:rsidR="00614224" w:rsidRDefault="00614224" w:rsidP="008569D5">
            <w:pPr>
              <w:pStyle w:val="TableBodyText"/>
              <w:spacing w:after="0" w:line="240" w:lineRule="auto"/>
              <w:ind w:right="0"/>
            </w:pPr>
          </w:p>
        </w:tc>
        <w:tc>
          <w:tcPr>
            <w:tcW w:w="2363" w:type="dxa"/>
            <w:vAlign w:val="bottom"/>
          </w:tcPr>
          <w:p w:rsidR="00614224" w:rsidRDefault="00614224" w:rsidP="008569D5">
            <w:pPr>
              <w:pStyle w:val="TableBodyText"/>
              <w:spacing w:after="0" w:line="240" w:lineRule="auto"/>
              <w:ind w:right="144"/>
            </w:pPr>
          </w:p>
        </w:tc>
      </w:tr>
      <w:tr w:rsidR="00614224" w:rsidRPr="00EA0D60" w:rsidTr="00B778D8">
        <w:trPr>
          <w:trHeight w:val="276"/>
        </w:trPr>
        <w:tc>
          <w:tcPr>
            <w:tcW w:w="1701" w:type="dxa"/>
            <w:tcBorders>
              <w:bottom w:val="single" w:sz="6" w:space="0" w:color="auto"/>
            </w:tcBorders>
            <w:shd w:val="clear" w:color="auto" w:fill="auto"/>
            <w:vAlign w:val="bottom"/>
          </w:tcPr>
          <w:p w:rsidR="00614224" w:rsidRDefault="00B778D8" w:rsidP="008569D5">
            <w:pPr>
              <w:rPr>
                <w:rFonts w:ascii="Arial" w:hAnsi="Arial" w:cs="Arial"/>
                <w:color w:val="000000"/>
                <w:sz w:val="20"/>
                <w:szCs w:val="20"/>
              </w:rPr>
            </w:pPr>
            <w:r>
              <w:rPr>
                <w:rFonts w:ascii="Arial" w:hAnsi="Arial" w:cs="Arial"/>
                <w:color w:val="000000"/>
                <w:sz w:val="20"/>
                <w:szCs w:val="20"/>
              </w:rPr>
              <w:t>Number of peaks</w:t>
            </w:r>
          </w:p>
        </w:tc>
        <w:tc>
          <w:tcPr>
            <w:tcW w:w="2364" w:type="dxa"/>
            <w:tcBorders>
              <w:bottom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5</w:t>
            </w:r>
          </w:p>
        </w:tc>
        <w:tc>
          <w:tcPr>
            <w:tcW w:w="2363"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5</w:t>
            </w:r>
          </w:p>
        </w:tc>
        <w:tc>
          <w:tcPr>
            <w:tcW w:w="2363" w:type="dxa"/>
            <w:tcBorders>
              <w:bottom w:val="single" w:sz="6" w:space="0" w:color="auto"/>
            </w:tcBorders>
            <w:vAlign w:val="bottom"/>
          </w:tcPr>
          <w:p w:rsidR="00614224" w:rsidRDefault="00614224" w:rsidP="008569D5">
            <w:pPr>
              <w:ind w:right="144"/>
              <w:jc w:val="right"/>
              <w:rPr>
                <w:rFonts w:ascii="Arial" w:hAnsi="Arial" w:cs="Arial"/>
                <w:sz w:val="20"/>
                <w:szCs w:val="20"/>
              </w:rPr>
            </w:pPr>
            <w:r>
              <w:rPr>
                <w:rFonts w:ascii="Arial" w:hAnsi="Arial" w:cs="Arial"/>
                <w:sz w:val="20"/>
                <w:szCs w:val="20"/>
              </w:rPr>
              <w:t>5</w:t>
            </w:r>
          </w:p>
        </w:tc>
      </w:tr>
    </w:tbl>
    <w:p w:rsidR="00BB0ACD" w:rsidRDefault="00BB0ACD" w:rsidP="00BB0ACD">
      <w:pPr>
        <w:pStyle w:val="Source"/>
      </w:pPr>
      <w:r>
        <w:rPr>
          <w:rStyle w:val="NoteLabel"/>
        </w:rPr>
        <w:t xml:space="preserve">a </w:t>
      </w:r>
      <w:r>
        <w:t xml:space="preserve">Revisions by the ABS to its official industry MFP time series, as well as additional years of data, may also lead to revisions to the industry cycles identified and average annual growth rates over these cycles. </w:t>
      </w:r>
      <w:r>
        <w:rPr>
          <w:rStyle w:val="NoteLabel"/>
        </w:rPr>
        <w:t>b</w:t>
      </w:r>
      <w:r w:rsidR="000C77A4">
        <w:rPr>
          <w:rFonts w:cs="Arial"/>
        </w:rPr>
        <w:t> </w:t>
      </w:r>
      <w:r>
        <w:t xml:space="preserve">Insufficient observations are available to identify peaks in these years. </w:t>
      </w:r>
      <w:r>
        <w:rPr>
          <w:b/>
        </w:rPr>
        <w:t>w</w:t>
      </w:r>
      <w:r>
        <w:t xml:space="preserve"> indicates weakly robust. </w:t>
      </w:r>
      <w:r w:rsidRPr="00135383">
        <w:rPr>
          <w:b/>
        </w:rPr>
        <w:t>s</w:t>
      </w:r>
      <w:r w:rsidR="005B14C5">
        <w:t> </w:t>
      </w:r>
      <w:r>
        <w:t xml:space="preserve">indicates a small deviation. </w:t>
      </w:r>
      <w:r w:rsidRPr="00135383">
        <w:rPr>
          <w:b/>
        </w:rPr>
        <w:t>2</w:t>
      </w:r>
      <w:r>
        <w:t> indicates a peak selected from a pair of close together peaks.</w:t>
      </w:r>
    </w:p>
    <w:p w:rsidR="00BB0ACD" w:rsidRPr="00C4117A" w:rsidRDefault="00BB0ACD" w:rsidP="00BB0ACD">
      <w:pPr>
        <w:pStyle w:val="Source"/>
        <w:rPr>
          <w:i/>
        </w:rPr>
      </w:pPr>
      <w:r w:rsidRPr="00C4117A">
        <w:rPr>
          <w:i/>
        </w:rPr>
        <w:t>Source</w:t>
      </w:r>
      <w:r w:rsidRPr="00DC1210">
        <w:t>:</w:t>
      </w:r>
      <w:r>
        <w:rPr>
          <w:i/>
        </w:rPr>
        <w:t xml:space="preserve"> </w:t>
      </w:r>
      <w:r w:rsidRPr="00B23DB3">
        <w:t>Authors’</w:t>
      </w:r>
      <w:r>
        <w:t xml:space="preserve"> estimates based on methodology in Barnes (2011). </w:t>
      </w:r>
    </w:p>
    <w:p w:rsidR="00EB3A56" w:rsidRDefault="00EB3A56">
      <w:pPr>
        <w:rPr>
          <w:szCs w:val="20"/>
        </w:rPr>
      </w:pPr>
      <w:r>
        <w:br w:type="page"/>
      </w:r>
    </w:p>
    <w:p w:rsidR="007D65B1" w:rsidRDefault="007D65B1" w:rsidP="007D65B1">
      <w:pPr>
        <w:pStyle w:val="BodyText"/>
      </w:pPr>
      <w:r>
        <w:lastRenderedPageBreak/>
        <w:t xml:space="preserve">Table </w:t>
      </w:r>
      <w:proofErr w:type="spellStart"/>
      <w:r w:rsidR="005B14C5">
        <w:t>C.5</w:t>
      </w:r>
      <w:proofErr w:type="spellEnd"/>
      <w:r w:rsidR="00E10385">
        <w:t xml:space="preserve"> </w:t>
      </w:r>
      <w:r>
        <w:t xml:space="preserve">shows that </w:t>
      </w:r>
      <w:r w:rsidR="00FC0260">
        <w:t>two</w:t>
      </w:r>
      <w:r>
        <w:t xml:space="preserve"> peak</w:t>
      </w:r>
      <w:r w:rsidR="00FC0260">
        <w:t>s</w:t>
      </w:r>
      <w:r>
        <w:t xml:space="preserve"> </w:t>
      </w:r>
      <w:r w:rsidR="00160A58">
        <w:t xml:space="preserve">for Petroleum, coal, chemical and rubber products </w:t>
      </w:r>
      <w:r>
        <w:t>coincide with those for Mining</w:t>
      </w:r>
      <w:r w:rsidR="00FC0260">
        <w:t xml:space="preserve"> and another one is in a year before a Mining peak</w:t>
      </w:r>
      <w:r>
        <w:t xml:space="preserve">. For Metal products </w:t>
      </w:r>
      <w:r w:rsidR="00FC0260">
        <w:t>no</w:t>
      </w:r>
      <w:r>
        <w:t xml:space="preserve"> peaks coincide with those for Mining, </w:t>
      </w:r>
      <w:r w:rsidR="00FC0260">
        <w:t xml:space="preserve">but two peaks are lagged one year from Mining peaks. </w:t>
      </w:r>
    </w:p>
    <w:p w:rsidR="00674520" w:rsidRDefault="00BB0ACD" w:rsidP="00674520">
      <w:pPr>
        <w:pStyle w:val="TableTitle"/>
      </w:pPr>
      <w:r>
        <w:rPr>
          <w:b w:val="0"/>
        </w:rPr>
        <w:t xml:space="preserve">Table </w:t>
      </w:r>
      <w:bookmarkStart w:id="9" w:name="OLE_LINK5"/>
      <w:proofErr w:type="spellStart"/>
      <w:r w:rsidR="005B14C5">
        <w:rPr>
          <w:b w:val="0"/>
        </w:rPr>
        <w:t>C.</w:t>
      </w:r>
      <w:r w:rsidR="000E2673">
        <w:rPr>
          <w:b w:val="0"/>
          <w:noProof/>
        </w:rPr>
        <w:t>5</w:t>
      </w:r>
      <w:bookmarkEnd w:id="9"/>
      <w:proofErr w:type="spellEnd"/>
      <w:r>
        <w:tab/>
      </w:r>
      <w:r w:rsidR="00674520">
        <w:t xml:space="preserve">Comparison of </w:t>
      </w:r>
      <w:r w:rsidR="00C464CD">
        <w:t>Petroleum, coal, chemical and rubber products</w:t>
      </w:r>
      <w:r w:rsidR="00EB7154">
        <w:t>,</w:t>
      </w:r>
      <w:r w:rsidR="00674520">
        <w:t xml:space="preserve"> </w:t>
      </w:r>
      <w:r w:rsidR="00C464CD">
        <w:t>Metal products</w:t>
      </w:r>
      <w:r w:rsidR="00674520">
        <w:t xml:space="preserve"> and Mining cycles</w:t>
      </w:r>
      <w:r w:rsidR="00674520" w:rsidRPr="004922C0">
        <w:rPr>
          <w:rStyle w:val="NoteLabel"/>
          <w:b/>
        </w:rPr>
        <w:t>a</w:t>
      </w:r>
    </w:p>
    <w:p w:rsidR="00674520" w:rsidRDefault="00674520" w:rsidP="00674520">
      <w:pPr>
        <w:pStyle w:val="Subtitle"/>
      </w:pPr>
      <w:r>
        <w:t>Shaded rows are Mining peak years</w:t>
      </w:r>
    </w:p>
    <w:tbl>
      <w:tblPr>
        <w:tblW w:w="5000" w:type="pct"/>
        <w:tblLayout w:type="fixed"/>
        <w:tblCellMar>
          <w:left w:w="0" w:type="dxa"/>
          <w:right w:w="0" w:type="dxa"/>
        </w:tblCellMar>
        <w:tblLook w:val="0000" w:firstRow="0" w:lastRow="0" w:firstColumn="0" w:lastColumn="0" w:noHBand="0" w:noVBand="0"/>
      </w:tblPr>
      <w:tblGrid>
        <w:gridCol w:w="1701"/>
        <w:gridCol w:w="2362"/>
        <w:gridCol w:w="2363"/>
        <w:gridCol w:w="2363"/>
      </w:tblGrid>
      <w:tr w:rsidR="00614224" w:rsidTr="008569D5">
        <w:tc>
          <w:tcPr>
            <w:tcW w:w="1701" w:type="dxa"/>
            <w:tcBorders>
              <w:top w:val="single" w:sz="6" w:space="0" w:color="auto"/>
              <w:bottom w:val="single" w:sz="6" w:space="0" w:color="auto"/>
            </w:tcBorders>
            <w:shd w:val="clear" w:color="auto" w:fill="auto"/>
            <w:vAlign w:val="bottom"/>
          </w:tcPr>
          <w:p w:rsidR="00614224" w:rsidRDefault="00614224" w:rsidP="008569D5">
            <w:pPr>
              <w:pStyle w:val="TableColumnHeading"/>
              <w:ind w:right="0"/>
            </w:pPr>
          </w:p>
        </w:tc>
        <w:tc>
          <w:tcPr>
            <w:tcW w:w="2362" w:type="dxa"/>
            <w:tcBorders>
              <w:top w:val="single" w:sz="6" w:space="0" w:color="auto"/>
              <w:bottom w:val="single" w:sz="6" w:space="0" w:color="auto"/>
            </w:tcBorders>
            <w:shd w:val="clear" w:color="auto" w:fill="auto"/>
            <w:vAlign w:val="bottom"/>
          </w:tcPr>
          <w:p w:rsidR="00614224" w:rsidRPr="00A31933" w:rsidRDefault="00614224" w:rsidP="008569D5">
            <w:pPr>
              <w:spacing w:before="80" w:after="80" w:line="220" w:lineRule="atLeast"/>
              <w:jc w:val="right"/>
              <w:rPr>
                <w:rFonts w:ascii="Arial" w:hAnsi="Arial"/>
                <w:i/>
                <w:sz w:val="20"/>
                <w:szCs w:val="20"/>
              </w:rPr>
            </w:pPr>
            <w:r w:rsidRPr="00A31933">
              <w:rPr>
                <w:rFonts w:ascii="Arial" w:hAnsi="Arial"/>
                <w:i/>
                <w:sz w:val="20"/>
                <w:szCs w:val="20"/>
              </w:rPr>
              <w:t>Petroleum, coal, chemical</w:t>
            </w:r>
            <w:r>
              <w:rPr>
                <w:rFonts w:ascii="Arial" w:hAnsi="Arial"/>
                <w:i/>
                <w:sz w:val="20"/>
                <w:szCs w:val="20"/>
              </w:rPr>
              <w:br/>
            </w:r>
            <w:r w:rsidRPr="00A31933">
              <w:rPr>
                <w:rFonts w:ascii="Arial" w:hAnsi="Arial"/>
                <w:i/>
                <w:sz w:val="20"/>
                <w:szCs w:val="20"/>
              </w:rPr>
              <w:t xml:space="preserve"> &amp; rubber</w:t>
            </w:r>
            <w:r>
              <w:rPr>
                <w:rFonts w:ascii="Arial" w:hAnsi="Arial"/>
                <w:i/>
                <w:sz w:val="20"/>
                <w:szCs w:val="20"/>
              </w:rPr>
              <w:t xml:space="preserve"> products</w:t>
            </w:r>
            <w:r w:rsidRPr="00A31933">
              <w:rPr>
                <w:rFonts w:ascii="Arial" w:hAnsi="Arial"/>
                <w:i/>
                <w:sz w:val="20"/>
                <w:szCs w:val="20"/>
              </w:rPr>
              <w:t xml:space="preserve"> </w:t>
            </w:r>
          </w:p>
        </w:tc>
        <w:tc>
          <w:tcPr>
            <w:tcW w:w="2363" w:type="dxa"/>
            <w:tcBorders>
              <w:top w:val="single" w:sz="6" w:space="0" w:color="auto"/>
              <w:bottom w:val="single" w:sz="6" w:space="0" w:color="auto"/>
            </w:tcBorders>
            <w:shd w:val="clear" w:color="auto" w:fill="auto"/>
            <w:vAlign w:val="bottom"/>
          </w:tcPr>
          <w:p w:rsidR="00614224" w:rsidRPr="00B8733A" w:rsidRDefault="00614224" w:rsidP="008569D5">
            <w:pPr>
              <w:spacing w:before="80" w:after="80" w:line="220" w:lineRule="atLeast"/>
              <w:jc w:val="right"/>
              <w:rPr>
                <w:rFonts w:ascii="Arial" w:hAnsi="Arial"/>
                <w:i/>
                <w:sz w:val="20"/>
                <w:szCs w:val="20"/>
              </w:rPr>
            </w:pPr>
            <w:r w:rsidRPr="00B8733A">
              <w:rPr>
                <w:rFonts w:ascii="Arial" w:hAnsi="Arial"/>
                <w:i/>
                <w:sz w:val="20"/>
                <w:szCs w:val="20"/>
              </w:rPr>
              <w:t>Metal products</w:t>
            </w:r>
          </w:p>
        </w:tc>
        <w:tc>
          <w:tcPr>
            <w:tcW w:w="2363" w:type="dxa"/>
            <w:tcBorders>
              <w:top w:val="single" w:sz="6" w:space="0" w:color="auto"/>
              <w:bottom w:val="single" w:sz="6" w:space="0" w:color="auto"/>
            </w:tcBorders>
            <w:shd w:val="clear" w:color="auto" w:fill="auto"/>
            <w:vAlign w:val="bottom"/>
          </w:tcPr>
          <w:p w:rsidR="00614224" w:rsidRPr="00B8733A" w:rsidRDefault="00614224" w:rsidP="008569D5">
            <w:pPr>
              <w:spacing w:before="80" w:after="80" w:line="220" w:lineRule="atLeast"/>
              <w:jc w:val="right"/>
              <w:rPr>
                <w:rFonts w:ascii="Arial" w:hAnsi="Arial"/>
                <w:i/>
                <w:sz w:val="20"/>
                <w:szCs w:val="20"/>
              </w:rPr>
            </w:pPr>
            <w:r w:rsidRPr="00B8733A">
              <w:rPr>
                <w:rFonts w:ascii="Arial" w:hAnsi="Arial"/>
                <w:i/>
                <w:sz w:val="20"/>
                <w:szCs w:val="20"/>
              </w:rPr>
              <w:t>Mining</w:t>
            </w:r>
          </w:p>
        </w:tc>
      </w:tr>
      <w:tr w:rsidR="00614224" w:rsidTr="008569D5">
        <w:tc>
          <w:tcPr>
            <w:tcW w:w="1701" w:type="dxa"/>
            <w:tcBorders>
              <w:top w:val="single" w:sz="6" w:space="0" w:color="auto"/>
            </w:tcBorders>
            <w:vAlign w:val="bottom"/>
          </w:tcPr>
          <w:p w:rsidR="00614224" w:rsidRPr="0079263E" w:rsidRDefault="00614224" w:rsidP="008569D5">
            <w:pPr>
              <w:rPr>
                <w:rFonts w:ascii="Arial" w:hAnsi="Arial" w:cs="Arial"/>
                <w:color w:val="000000"/>
                <w:sz w:val="20"/>
                <w:szCs w:val="20"/>
              </w:rPr>
            </w:pPr>
            <w:r>
              <w:rPr>
                <w:rFonts w:ascii="Arial" w:hAnsi="Arial" w:cs="Arial"/>
                <w:color w:val="000000"/>
                <w:sz w:val="20"/>
                <w:szCs w:val="20"/>
              </w:rPr>
              <w:t>1985-86</w:t>
            </w:r>
            <w:r>
              <w:rPr>
                <w:rStyle w:val="NoteLabel"/>
              </w:rPr>
              <w:t>b</w:t>
            </w:r>
          </w:p>
        </w:tc>
        <w:tc>
          <w:tcPr>
            <w:tcW w:w="2362" w:type="dxa"/>
            <w:tcBorders>
              <w:top w:val="single" w:sz="6" w:space="0" w:color="auto"/>
            </w:tcBorders>
            <w:vAlign w:val="bottom"/>
          </w:tcPr>
          <w:p w:rsidR="00614224" w:rsidRDefault="00614224" w:rsidP="008569D5">
            <w:pPr>
              <w:rPr>
                <w:rFonts w:ascii="Arial" w:hAnsi="Arial" w:cs="Arial"/>
                <w:color w:val="000000"/>
                <w:sz w:val="20"/>
                <w:szCs w:val="20"/>
              </w:rPr>
            </w:pPr>
          </w:p>
        </w:tc>
        <w:tc>
          <w:tcPr>
            <w:tcW w:w="2363" w:type="dxa"/>
            <w:tcBorders>
              <w:top w:val="single" w:sz="6" w:space="0" w:color="auto"/>
            </w:tcBorders>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tcBorders>
              <w:top w:val="single" w:sz="6" w:space="0" w:color="auto"/>
            </w:tcBorders>
            <w:vAlign w:val="bottom"/>
          </w:tcPr>
          <w:p w:rsidR="00614224" w:rsidRDefault="00614224" w:rsidP="008569D5">
            <w:pPr>
              <w:ind w:right="142"/>
              <w:jc w:val="right"/>
              <w:rPr>
                <w:rFonts w:ascii="Arial" w:hAnsi="Arial" w:cs="Arial"/>
                <w:sz w:val="20"/>
                <w:szCs w:val="20"/>
              </w:rPr>
            </w:pPr>
          </w:p>
        </w:tc>
      </w:tr>
      <w:tr w:rsidR="00614224" w:rsidTr="008569D5">
        <w:tc>
          <w:tcPr>
            <w:tcW w:w="1701" w:type="dxa"/>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1986-87</w:t>
            </w:r>
          </w:p>
        </w:tc>
        <w:tc>
          <w:tcPr>
            <w:tcW w:w="2362"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1987-88</w:t>
            </w:r>
          </w:p>
        </w:tc>
        <w:tc>
          <w:tcPr>
            <w:tcW w:w="2362" w:type="dxa"/>
            <w:shd w:val="pct25" w:color="auto" w:fill="auto"/>
            <w:vAlign w:val="bottom"/>
          </w:tcPr>
          <w:p w:rsidR="00614224" w:rsidRDefault="00614224" w:rsidP="008569D5">
            <w:pPr>
              <w:jc w:val="right"/>
            </w:pPr>
            <w:r w:rsidRPr="00EA0D60">
              <w:rPr>
                <w:rFonts w:ascii="Wingdings" w:hAnsi="Wingdings"/>
                <w:sz w:val="22"/>
                <w:szCs w:val="28"/>
              </w:rPr>
              <w:sym w:font="Wingdings" w:char="00FC"/>
            </w:r>
          </w:p>
        </w:tc>
        <w:tc>
          <w:tcPr>
            <w:tcW w:w="2363"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ind w:right="142"/>
              <w:jc w:val="right"/>
              <w:rPr>
                <w:rFonts w:ascii="Arial" w:hAnsi="Arial" w:cs="Arial"/>
                <w:sz w:val="20"/>
                <w:szCs w:val="20"/>
              </w:rPr>
            </w:pPr>
            <w:r w:rsidRPr="00EA0D60">
              <w:rPr>
                <w:rFonts w:ascii="Wingdings" w:hAnsi="Wingdings"/>
                <w:sz w:val="22"/>
                <w:szCs w:val="28"/>
              </w:rPr>
              <w:sym w:font="Wingdings" w:char="00FC"/>
            </w:r>
            <w:r w:rsidRPr="00D7725C">
              <w:rPr>
                <w:rStyle w:val="NoteLabel"/>
                <w:b w:val="0"/>
              </w:rPr>
              <w:t>s</w:t>
            </w:r>
          </w:p>
        </w:tc>
      </w:tr>
      <w:tr w:rsidR="00614224" w:rsidTr="008569D5">
        <w:tc>
          <w:tcPr>
            <w:tcW w:w="1701" w:type="dxa"/>
            <w:shd w:val="clear" w:color="auto" w:fill="auto"/>
            <w:vAlign w:val="bottom"/>
          </w:tcPr>
          <w:p w:rsidR="00614224" w:rsidRPr="00F86FA6" w:rsidRDefault="00614224" w:rsidP="008569D5">
            <w:pPr>
              <w:rPr>
                <w:rFonts w:ascii="Arial" w:hAnsi="Arial" w:cs="Arial"/>
                <w:color w:val="000000"/>
                <w:sz w:val="20"/>
                <w:szCs w:val="20"/>
              </w:rPr>
            </w:pPr>
            <w:r w:rsidRPr="00F86FA6">
              <w:rPr>
                <w:rFonts w:ascii="Arial" w:hAnsi="Arial" w:cs="Arial"/>
                <w:color w:val="000000"/>
                <w:sz w:val="20"/>
                <w:szCs w:val="20"/>
              </w:rPr>
              <w:t>1988-89</w:t>
            </w:r>
          </w:p>
        </w:tc>
        <w:tc>
          <w:tcPr>
            <w:tcW w:w="2362" w:type="dxa"/>
            <w:shd w:val="clear" w:color="auto" w:fill="auto"/>
            <w:vAlign w:val="bottom"/>
          </w:tcPr>
          <w:p w:rsidR="00614224" w:rsidRPr="00F86FA6" w:rsidRDefault="00614224" w:rsidP="008569D5">
            <w:pPr>
              <w:jc w:val="right"/>
              <w:rPr>
                <w:rFonts w:ascii="Arial" w:hAnsi="Arial" w:cs="Arial"/>
                <w:sz w:val="20"/>
                <w:szCs w:val="20"/>
              </w:rPr>
            </w:pPr>
            <w:r w:rsidRPr="00F86FA6">
              <w:rPr>
                <w:rFonts w:ascii="Arial" w:hAnsi="Arial" w:cs="Arial"/>
                <w:sz w:val="20"/>
                <w:szCs w:val="20"/>
              </w:rPr>
              <w:t xml:space="preserve"> </w:t>
            </w:r>
          </w:p>
        </w:tc>
        <w:tc>
          <w:tcPr>
            <w:tcW w:w="2363" w:type="dxa"/>
            <w:shd w:val="clear" w:color="auto" w:fill="auto"/>
            <w:vAlign w:val="bottom"/>
          </w:tcPr>
          <w:p w:rsidR="00614224" w:rsidRPr="00F86FA6" w:rsidRDefault="00614224" w:rsidP="008569D5">
            <w:pPr>
              <w:jc w:val="right"/>
              <w:rPr>
                <w:rFonts w:ascii="Arial" w:hAnsi="Arial" w:cs="Arial"/>
                <w:sz w:val="20"/>
                <w:szCs w:val="20"/>
              </w:rPr>
            </w:pPr>
            <w:r w:rsidRPr="00F86FA6">
              <w:rPr>
                <w:rFonts w:ascii="Arial" w:hAnsi="Arial" w:cs="Arial"/>
                <w:sz w:val="20"/>
                <w:szCs w:val="20"/>
              </w:rPr>
              <w:t xml:space="preserve"> </w:t>
            </w:r>
          </w:p>
        </w:tc>
        <w:tc>
          <w:tcPr>
            <w:tcW w:w="2363" w:type="dxa"/>
            <w:shd w:val="clear" w:color="auto" w:fill="auto"/>
            <w:vAlign w:val="bottom"/>
          </w:tcPr>
          <w:p w:rsidR="00614224" w:rsidRPr="00F86FA6"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1989-90</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r w:rsidRPr="00D7725C">
              <w:rPr>
                <w:rStyle w:val="NoteLabel"/>
                <w:b w:val="0"/>
              </w:rPr>
              <w:t>s</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1990-91</w:t>
            </w:r>
          </w:p>
        </w:tc>
        <w:tc>
          <w:tcPr>
            <w:tcW w:w="2362" w:type="dxa"/>
            <w:shd w:val="clear" w:color="auto" w:fill="auto"/>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1991-92</w:t>
            </w:r>
          </w:p>
        </w:tc>
        <w:tc>
          <w:tcPr>
            <w:tcW w:w="2362"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ind w:right="142"/>
              <w:jc w:val="right"/>
              <w:rPr>
                <w:rFonts w:ascii="Arial" w:hAnsi="Arial" w:cs="Arial"/>
                <w:sz w:val="20"/>
                <w:szCs w:val="20"/>
              </w:rPr>
            </w:pPr>
            <w:r w:rsidRPr="00EA0D60">
              <w:rPr>
                <w:rFonts w:ascii="Wingdings" w:hAnsi="Wingdings"/>
                <w:sz w:val="22"/>
                <w:szCs w:val="28"/>
              </w:rPr>
              <w:sym w:font="Wingdings" w:char="00FC"/>
            </w: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1992-93</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1993-94</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pPr>
            <w:r w:rsidRPr="00EA0D60">
              <w:rPr>
                <w:rFonts w:ascii="Wingdings" w:hAnsi="Wingdings"/>
                <w:sz w:val="22"/>
                <w:szCs w:val="28"/>
              </w:rPr>
              <w:sym w:font="Wingdings" w:char="00FC"/>
            </w:r>
            <w:r w:rsidRPr="00D7725C">
              <w:rPr>
                <w:rStyle w:val="NoteLabel"/>
                <w:b w:val="0"/>
              </w:rPr>
              <w:t>s</w:t>
            </w:r>
          </w:p>
        </w:tc>
        <w:tc>
          <w:tcPr>
            <w:tcW w:w="2363" w:type="dxa"/>
            <w:shd w:val="clear" w:color="auto" w:fill="auto"/>
            <w:vAlign w:val="bottom"/>
          </w:tcPr>
          <w:p w:rsidR="00614224" w:rsidRDefault="00614224" w:rsidP="008569D5">
            <w:pPr>
              <w:ind w:right="142"/>
              <w:jc w:val="right"/>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1994-95</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1995-96</w:t>
            </w:r>
          </w:p>
        </w:tc>
        <w:tc>
          <w:tcPr>
            <w:tcW w:w="2362" w:type="dxa"/>
            <w:shd w:val="pct25" w:color="auto" w:fill="auto"/>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r>
              <w:rPr>
                <w:rStyle w:val="NoteLabel"/>
                <w:b w:val="0"/>
              </w:rPr>
              <w:t>2</w:t>
            </w:r>
          </w:p>
        </w:tc>
        <w:tc>
          <w:tcPr>
            <w:tcW w:w="2363"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ind w:right="142"/>
              <w:jc w:val="right"/>
              <w:rPr>
                <w:rFonts w:ascii="Arial" w:hAnsi="Arial" w:cs="Arial"/>
                <w:sz w:val="20"/>
                <w:szCs w:val="20"/>
              </w:rPr>
            </w:pPr>
            <w:r w:rsidRPr="00EA0D60">
              <w:rPr>
                <w:rFonts w:ascii="Wingdings" w:hAnsi="Wingdings"/>
                <w:sz w:val="22"/>
                <w:szCs w:val="28"/>
              </w:rPr>
              <w:sym w:font="Wingdings" w:char="00FC"/>
            </w: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1996-97</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1997-98</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1998-99</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pPr>
            <w:r w:rsidRPr="00EA0D60">
              <w:rPr>
                <w:rFonts w:ascii="Wingdings" w:hAnsi="Wingdings"/>
                <w:sz w:val="22"/>
                <w:szCs w:val="28"/>
              </w:rPr>
              <w:sym w:font="Wingdings" w:char="00FC"/>
            </w:r>
          </w:p>
        </w:tc>
        <w:tc>
          <w:tcPr>
            <w:tcW w:w="2363" w:type="dxa"/>
            <w:shd w:val="clear" w:color="auto" w:fill="auto"/>
            <w:vAlign w:val="bottom"/>
          </w:tcPr>
          <w:p w:rsidR="00614224" w:rsidRDefault="00614224" w:rsidP="008569D5">
            <w:pPr>
              <w:ind w:right="142"/>
              <w:jc w:val="right"/>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1999-00</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2000-01</w:t>
            </w:r>
          </w:p>
        </w:tc>
        <w:tc>
          <w:tcPr>
            <w:tcW w:w="2362"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ind w:right="142"/>
              <w:jc w:val="right"/>
              <w:rPr>
                <w:rFonts w:ascii="Arial" w:hAnsi="Arial" w:cs="Arial"/>
                <w:sz w:val="20"/>
                <w:szCs w:val="20"/>
              </w:rPr>
            </w:pPr>
            <w:r w:rsidRPr="00EA0D60">
              <w:rPr>
                <w:rFonts w:ascii="Wingdings" w:hAnsi="Wingdings"/>
                <w:sz w:val="22"/>
                <w:szCs w:val="28"/>
              </w:rPr>
              <w:sym w:font="Wingdings" w:char="00FC"/>
            </w: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2001-02</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pPr>
            <w:r w:rsidRPr="00EA0D60">
              <w:rPr>
                <w:rFonts w:ascii="Wingdings" w:hAnsi="Wingdings"/>
                <w:sz w:val="22"/>
                <w:szCs w:val="28"/>
              </w:rPr>
              <w:sym w:font="Wingdings" w:char="00FC"/>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2002-03</w:t>
            </w:r>
          </w:p>
        </w:tc>
        <w:tc>
          <w:tcPr>
            <w:tcW w:w="2362" w:type="dxa"/>
            <w:shd w:val="clear" w:color="auto" w:fill="auto"/>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r w:rsidRPr="00D7725C">
              <w:rPr>
                <w:rStyle w:val="NoteLabel"/>
                <w:b w:val="0"/>
              </w:rPr>
              <w:t>s</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2003-04</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2004-05</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2005-06</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2006-07</w:t>
            </w:r>
          </w:p>
        </w:tc>
        <w:tc>
          <w:tcPr>
            <w:tcW w:w="2362"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ind w:right="142"/>
              <w:jc w:val="right"/>
              <w:rPr>
                <w:rFonts w:ascii="Arial" w:hAnsi="Arial" w:cs="Arial"/>
                <w:sz w:val="20"/>
                <w:szCs w:val="20"/>
              </w:rPr>
            </w:pPr>
            <w:r w:rsidRPr="00EA0D60">
              <w:rPr>
                <w:rFonts w:ascii="Wingdings" w:hAnsi="Wingdings"/>
                <w:sz w:val="22"/>
                <w:szCs w:val="28"/>
              </w:rPr>
              <w:sym w:font="Wingdings" w:char="00FC"/>
            </w:r>
            <w:proofErr w:type="spellStart"/>
            <w:r w:rsidRPr="00D7725C">
              <w:rPr>
                <w:rStyle w:val="NoteLabel"/>
                <w:b w:val="0"/>
              </w:rPr>
              <w:t>s</w:t>
            </w:r>
            <w:r>
              <w:rPr>
                <w:rStyle w:val="NoteLabel"/>
                <w:b w:val="0"/>
              </w:rPr>
              <w:t>2</w:t>
            </w:r>
            <w:proofErr w:type="spellEnd"/>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2007-08</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sidRPr="00EA0D60">
              <w:rPr>
                <w:rFonts w:ascii="Wingdings" w:hAnsi="Wingdings"/>
                <w:sz w:val="22"/>
                <w:szCs w:val="28"/>
              </w:rPr>
              <w:sym w:font="Wingdings" w:char="00FC"/>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2008-09</w:t>
            </w:r>
          </w:p>
        </w:tc>
        <w:tc>
          <w:tcPr>
            <w:tcW w:w="2362"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clear" w:color="auto" w:fill="auto"/>
            <w:vAlign w:val="bottom"/>
          </w:tcPr>
          <w:p w:rsidR="00614224" w:rsidRDefault="00614224" w:rsidP="008569D5">
            <w:pPr>
              <w:ind w:right="142"/>
              <w:jc w:val="right"/>
              <w:rPr>
                <w:rFonts w:ascii="Arial" w:hAnsi="Arial" w:cs="Arial"/>
                <w:sz w:val="20"/>
                <w:szCs w:val="20"/>
              </w:rPr>
            </w:pPr>
          </w:p>
        </w:tc>
      </w:tr>
      <w:tr w:rsidR="00614224" w:rsidTr="008569D5">
        <w:tc>
          <w:tcPr>
            <w:tcW w:w="1701" w:type="dxa"/>
            <w:shd w:val="pct25"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2009-10</w:t>
            </w:r>
          </w:p>
        </w:tc>
        <w:tc>
          <w:tcPr>
            <w:tcW w:w="2362"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 xml:space="preserve"> </w:t>
            </w:r>
          </w:p>
        </w:tc>
        <w:tc>
          <w:tcPr>
            <w:tcW w:w="2363" w:type="dxa"/>
            <w:shd w:val="pct25" w:color="auto" w:fill="auto"/>
            <w:vAlign w:val="bottom"/>
          </w:tcPr>
          <w:p w:rsidR="00614224" w:rsidRDefault="00614224" w:rsidP="008569D5">
            <w:pPr>
              <w:ind w:right="142"/>
              <w:jc w:val="right"/>
              <w:rPr>
                <w:rFonts w:ascii="Arial" w:hAnsi="Arial" w:cs="Arial"/>
                <w:sz w:val="20"/>
                <w:szCs w:val="20"/>
              </w:rPr>
            </w:pPr>
            <w:r w:rsidRPr="00EA0D60">
              <w:rPr>
                <w:rFonts w:ascii="Wingdings" w:hAnsi="Wingdings"/>
                <w:sz w:val="22"/>
                <w:szCs w:val="28"/>
              </w:rPr>
              <w:sym w:font="Wingdings" w:char="00FC"/>
            </w:r>
            <w:r>
              <w:rPr>
                <w:rStyle w:val="NoteLabel"/>
                <w:b w:val="0"/>
              </w:rPr>
              <w:t>w</w:t>
            </w:r>
          </w:p>
        </w:tc>
      </w:tr>
      <w:tr w:rsidR="00614224" w:rsidTr="008569D5">
        <w:tc>
          <w:tcPr>
            <w:tcW w:w="1701" w:type="dxa"/>
            <w:vAlign w:val="bottom"/>
          </w:tcPr>
          <w:p w:rsidR="00614224" w:rsidRPr="004922C0" w:rsidRDefault="00614224" w:rsidP="008569D5">
            <w:pPr>
              <w:rPr>
                <w:rFonts w:ascii="Arial" w:hAnsi="Arial" w:cs="Arial"/>
                <w:color w:val="000000"/>
                <w:sz w:val="20"/>
                <w:szCs w:val="20"/>
              </w:rPr>
            </w:pPr>
            <w:r w:rsidRPr="004922C0">
              <w:rPr>
                <w:rFonts w:ascii="Arial" w:hAnsi="Arial" w:cs="Arial"/>
                <w:color w:val="000000"/>
                <w:sz w:val="20"/>
                <w:szCs w:val="20"/>
              </w:rPr>
              <w:t>2010-11</w:t>
            </w:r>
            <w:r>
              <w:rPr>
                <w:rStyle w:val="NoteLabel"/>
              </w:rPr>
              <w:t>b</w:t>
            </w:r>
          </w:p>
        </w:tc>
        <w:tc>
          <w:tcPr>
            <w:tcW w:w="2362" w:type="dxa"/>
            <w:vAlign w:val="bottom"/>
          </w:tcPr>
          <w:p w:rsidR="00614224" w:rsidRDefault="00614224" w:rsidP="008569D5">
            <w:pPr>
              <w:pStyle w:val="TableBodyText"/>
              <w:spacing w:after="0" w:line="240" w:lineRule="auto"/>
              <w:ind w:right="0"/>
            </w:pPr>
          </w:p>
        </w:tc>
        <w:tc>
          <w:tcPr>
            <w:tcW w:w="2363" w:type="dxa"/>
            <w:vAlign w:val="bottom"/>
          </w:tcPr>
          <w:p w:rsidR="00614224" w:rsidRDefault="00614224" w:rsidP="008569D5">
            <w:pPr>
              <w:pStyle w:val="TableBodyText"/>
              <w:spacing w:after="0" w:line="240" w:lineRule="auto"/>
              <w:ind w:right="0"/>
            </w:pPr>
          </w:p>
        </w:tc>
        <w:tc>
          <w:tcPr>
            <w:tcW w:w="2363" w:type="dxa"/>
            <w:vAlign w:val="bottom"/>
          </w:tcPr>
          <w:p w:rsidR="00614224" w:rsidRDefault="00614224" w:rsidP="008569D5">
            <w:pPr>
              <w:pStyle w:val="TableBodyText"/>
              <w:spacing w:after="0" w:line="240" w:lineRule="auto"/>
              <w:ind w:right="142"/>
            </w:pPr>
          </w:p>
        </w:tc>
      </w:tr>
      <w:tr w:rsidR="00614224" w:rsidTr="008569D5">
        <w:tc>
          <w:tcPr>
            <w:tcW w:w="1701" w:type="dxa"/>
            <w:tcBorders>
              <w:bottom w:val="single" w:sz="6" w:space="0" w:color="auto"/>
            </w:tcBorders>
            <w:shd w:val="clear" w:color="auto" w:fill="auto"/>
            <w:vAlign w:val="bottom"/>
          </w:tcPr>
          <w:p w:rsidR="00614224" w:rsidRDefault="00614224" w:rsidP="008569D5">
            <w:pPr>
              <w:rPr>
                <w:rFonts w:ascii="Arial" w:hAnsi="Arial" w:cs="Arial"/>
                <w:color w:val="000000"/>
                <w:sz w:val="20"/>
                <w:szCs w:val="20"/>
              </w:rPr>
            </w:pPr>
            <w:r>
              <w:rPr>
                <w:rFonts w:ascii="Arial" w:hAnsi="Arial" w:cs="Arial"/>
                <w:color w:val="000000"/>
                <w:sz w:val="20"/>
                <w:szCs w:val="20"/>
              </w:rPr>
              <w:t>Peaks per industry</w:t>
            </w:r>
          </w:p>
        </w:tc>
        <w:tc>
          <w:tcPr>
            <w:tcW w:w="2362"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4</w:t>
            </w:r>
          </w:p>
        </w:tc>
        <w:tc>
          <w:tcPr>
            <w:tcW w:w="2363" w:type="dxa"/>
            <w:tcBorders>
              <w:bottom w:val="single" w:sz="6" w:space="0" w:color="auto"/>
            </w:tcBorders>
            <w:shd w:val="clear" w:color="auto" w:fill="auto"/>
            <w:vAlign w:val="bottom"/>
          </w:tcPr>
          <w:p w:rsidR="00614224" w:rsidRDefault="00614224" w:rsidP="008569D5">
            <w:pPr>
              <w:jc w:val="right"/>
              <w:rPr>
                <w:rFonts w:ascii="Arial" w:hAnsi="Arial" w:cs="Arial"/>
                <w:sz w:val="20"/>
                <w:szCs w:val="20"/>
              </w:rPr>
            </w:pPr>
            <w:r>
              <w:rPr>
                <w:rFonts w:ascii="Arial" w:hAnsi="Arial" w:cs="Arial"/>
                <w:sz w:val="20"/>
                <w:szCs w:val="20"/>
              </w:rPr>
              <w:t>5</w:t>
            </w:r>
          </w:p>
        </w:tc>
        <w:tc>
          <w:tcPr>
            <w:tcW w:w="2363" w:type="dxa"/>
            <w:tcBorders>
              <w:bottom w:val="single" w:sz="6" w:space="0" w:color="auto"/>
            </w:tcBorders>
            <w:shd w:val="clear" w:color="auto" w:fill="auto"/>
            <w:vAlign w:val="bottom"/>
          </w:tcPr>
          <w:p w:rsidR="00614224" w:rsidRDefault="00614224" w:rsidP="008569D5">
            <w:pPr>
              <w:ind w:right="142"/>
              <w:jc w:val="right"/>
              <w:rPr>
                <w:rFonts w:ascii="Arial" w:hAnsi="Arial" w:cs="Arial"/>
                <w:sz w:val="20"/>
                <w:szCs w:val="20"/>
              </w:rPr>
            </w:pPr>
            <w:r>
              <w:rPr>
                <w:rFonts w:ascii="Arial" w:hAnsi="Arial" w:cs="Arial"/>
                <w:sz w:val="20"/>
                <w:szCs w:val="20"/>
              </w:rPr>
              <w:t>6</w:t>
            </w:r>
          </w:p>
        </w:tc>
      </w:tr>
    </w:tbl>
    <w:p w:rsidR="00BB0ACD" w:rsidRDefault="00BB0ACD" w:rsidP="00BB0ACD">
      <w:pPr>
        <w:pStyle w:val="Source"/>
      </w:pPr>
      <w:r>
        <w:rPr>
          <w:rStyle w:val="NoteLabel"/>
        </w:rPr>
        <w:t xml:space="preserve">a </w:t>
      </w:r>
      <w:r>
        <w:t xml:space="preserve">Revisions by the ABS to its official industry MFP time series, as well as additional years of data, may also lead to revisions to the industry cycles identified and average annual growth rates over these cycles. </w:t>
      </w:r>
      <w:r>
        <w:rPr>
          <w:rStyle w:val="NoteLabel"/>
        </w:rPr>
        <w:t>b</w:t>
      </w:r>
      <w:r>
        <w:rPr>
          <w:rFonts w:cs="Arial"/>
        </w:rPr>
        <w:t> </w:t>
      </w:r>
      <w:r>
        <w:t xml:space="preserve">Insufficient observations are available to identify peaks in these years. </w:t>
      </w:r>
      <w:r>
        <w:rPr>
          <w:b/>
        </w:rPr>
        <w:t>w</w:t>
      </w:r>
      <w:r>
        <w:t xml:space="preserve"> indicates weakly robust. </w:t>
      </w:r>
      <w:r w:rsidRPr="00135383">
        <w:rPr>
          <w:b/>
        </w:rPr>
        <w:t>s</w:t>
      </w:r>
      <w:r w:rsidR="005B14C5">
        <w:t> </w:t>
      </w:r>
      <w:r>
        <w:t xml:space="preserve">indicates a small deviation. </w:t>
      </w:r>
      <w:r w:rsidRPr="00135383">
        <w:rPr>
          <w:b/>
        </w:rPr>
        <w:t>2</w:t>
      </w:r>
      <w:r>
        <w:t> indicates a peak selected from a pair of close together peaks.</w:t>
      </w:r>
    </w:p>
    <w:p w:rsidR="00BB0ACD" w:rsidRPr="00C4117A" w:rsidRDefault="00BB0ACD" w:rsidP="00BB0ACD">
      <w:pPr>
        <w:pStyle w:val="Source"/>
        <w:rPr>
          <w:i/>
        </w:rPr>
      </w:pPr>
      <w:r w:rsidRPr="00C4117A">
        <w:rPr>
          <w:i/>
        </w:rPr>
        <w:t>Source</w:t>
      </w:r>
      <w:r w:rsidRPr="00DC1210">
        <w:t>:</w:t>
      </w:r>
      <w:r>
        <w:rPr>
          <w:i/>
        </w:rPr>
        <w:t xml:space="preserve"> </w:t>
      </w:r>
      <w:r w:rsidRPr="00B23DB3">
        <w:t>Authors’</w:t>
      </w:r>
      <w:r>
        <w:t xml:space="preserve"> estimates based on methodology in Barnes (2011). </w:t>
      </w:r>
    </w:p>
    <w:p w:rsidR="00E10385" w:rsidRDefault="00932B94" w:rsidP="00B8733A">
      <w:pPr>
        <w:pStyle w:val="BodyText"/>
      </w:pPr>
      <w:r>
        <w:t xml:space="preserve">Of these four </w:t>
      </w:r>
      <w:r w:rsidR="00C92E0A">
        <w:t>Manufacturing</w:t>
      </w:r>
      <w:r>
        <w:t xml:space="preserve"> subsectors, </w:t>
      </w:r>
      <w:r w:rsidR="007E1315">
        <w:t xml:space="preserve">Food, beverage and tobacco products </w:t>
      </w:r>
      <w:r w:rsidR="00B30909">
        <w:t>and M</w:t>
      </w:r>
      <w:r w:rsidR="007E1315">
        <w:t>etal products</w:t>
      </w:r>
      <w:r w:rsidR="00B30909">
        <w:t xml:space="preserve"> </w:t>
      </w:r>
      <w:r>
        <w:t>appear to have the closest coincidence of subsector</w:t>
      </w:r>
      <w:r w:rsidR="007E1315">
        <w:t>-</w:t>
      </w:r>
      <w:r>
        <w:t>specific cycles with those of the related sector (Agriculture</w:t>
      </w:r>
      <w:r w:rsidR="00B30909">
        <w:t xml:space="preserve"> and Construction, respectively</w:t>
      </w:r>
      <w:r>
        <w:t>).</w:t>
      </w:r>
    </w:p>
    <w:p w:rsidR="00D3645D" w:rsidRDefault="00D3645D" w:rsidP="00B8733A">
      <w:pPr>
        <w:pStyle w:val="BodyText"/>
        <w:sectPr w:rsidR="00D3645D" w:rsidSect="00D3645D">
          <w:headerReference w:type="even" r:id="rId25"/>
          <w:headerReference w:type="default" r:id="rId26"/>
          <w:footerReference w:type="even" r:id="rId27"/>
          <w:footerReference w:type="default" r:id="rId28"/>
          <w:pgSz w:w="11907" w:h="16840" w:code="9"/>
          <w:pgMar w:top="1985" w:right="1304" w:bottom="1418" w:left="1814" w:header="1701" w:footer="567" w:gutter="0"/>
          <w:pgNumType w:start="227" w:chapStyle="1" w:chapSep="period"/>
          <w:cols w:space="720"/>
        </w:sectPr>
      </w:pPr>
    </w:p>
    <w:p w:rsidR="00D3645D" w:rsidRPr="00B8733A" w:rsidRDefault="00D3645D" w:rsidP="00B8733A">
      <w:pPr>
        <w:pStyle w:val="BodyText"/>
      </w:pPr>
    </w:p>
    <w:sectPr w:rsidR="00D3645D" w:rsidRPr="00B8733A" w:rsidSect="00D3645D">
      <w:headerReference w:type="even" r:id="rId29"/>
      <w:footerReference w:type="even" r:id="rId30"/>
      <w:type w:val="evenPage"/>
      <w:pgSz w:w="11907" w:h="16840" w:code="9"/>
      <w:pgMar w:top="1985" w:right="1304" w:bottom="1418" w:left="1814" w:header="1701" w:footer="567" w:gutter="0"/>
      <w:pgNumType w:start="22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247" w:rsidRDefault="00973247">
      <w:r>
        <w:separator/>
      </w:r>
    </w:p>
  </w:endnote>
  <w:endnote w:type="continuationSeparator" w:id="0">
    <w:p w:rsidR="00973247" w:rsidRDefault="00973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73247">
      <w:trPr>
        <w:trHeight w:hRule="exact" w:val="740"/>
      </w:trPr>
      <w:tc>
        <w:tcPr>
          <w:tcW w:w="510" w:type="dxa"/>
          <w:tcBorders>
            <w:top w:val="single" w:sz="6" w:space="0" w:color="auto"/>
          </w:tcBorders>
        </w:tcPr>
        <w:p w:rsidR="00973247" w:rsidRDefault="0097324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B7106">
            <w:rPr>
              <w:rStyle w:val="PageNumber"/>
              <w:noProof/>
            </w:rPr>
            <w:t>234</w:t>
          </w:r>
          <w:r>
            <w:rPr>
              <w:rStyle w:val="PageNumber"/>
            </w:rPr>
            <w:fldChar w:fldCharType="end"/>
          </w:r>
        </w:p>
      </w:tc>
      <w:tc>
        <w:tcPr>
          <w:tcW w:w="1644" w:type="dxa"/>
          <w:tcBorders>
            <w:top w:val="single" w:sz="6" w:space="0" w:color="auto"/>
          </w:tcBorders>
        </w:tcPr>
        <w:p w:rsidR="00973247" w:rsidRDefault="00B240EA" w:rsidP="0019293B">
          <w:pPr>
            <w:pStyle w:val="Footer"/>
          </w:pPr>
          <w:fldSimple w:instr=" SUBJECT  \* MERGEFORMAT ">
            <w:r w:rsidR="000A7410">
              <w:t>Productivity in Manufacturing</w:t>
            </w:r>
          </w:fldSimple>
        </w:p>
      </w:tc>
      <w:tc>
        <w:tcPr>
          <w:tcW w:w="6634" w:type="dxa"/>
        </w:tcPr>
        <w:p w:rsidR="00973247" w:rsidRDefault="00973247" w:rsidP="0019293B">
          <w:pPr>
            <w:pStyle w:val="Footer"/>
          </w:pPr>
        </w:p>
      </w:tc>
    </w:tr>
  </w:tbl>
  <w:p w:rsidR="00973247" w:rsidRDefault="0097324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73247">
      <w:trPr>
        <w:trHeight w:hRule="exact" w:val="740"/>
      </w:trPr>
      <w:tc>
        <w:tcPr>
          <w:tcW w:w="6634" w:type="dxa"/>
        </w:tcPr>
        <w:p w:rsidR="00973247" w:rsidRDefault="00973247">
          <w:pPr>
            <w:pStyle w:val="Footer"/>
            <w:ind w:right="360" w:firstLine="360"/>
          </w:pPr>
        </w:p>
      </w:tc>
      <w:tc>
        <w:tcPr>
          <w:tcW w:w="1644" w:type="dxa"/>
          <w:tcBorders>
            <w:top w:val="single" w:sz="6" w:space="0" w:color="auto"/>
          </w:tcBorders>
        </w:tcPr>
        <w:p w:rsidR="00973247" w:rsidRDefault="00B240EA">
          <w:pPr>
            <w:pStyle w:val="Footer"/>
          </w:pPr>
          <w:fldSimple w:instr=" TITLE  \* MERGEFORMAT ">
            <w:r w:rsidR="000A7410">
              <w:t>MFP growth cycles for subsectors</w:t>
            </w:r>
          </w:fldSimple>
          <w:bookmarkStart w:id="10" w:name="OLE_LINK2"/>
        </w:p>
      </w:tc>
      <w:tc>
        <w:tcPr>
          <w:tcW w:w="510" w:type="dxa"/>
          <w:tcBorders>
            <w:top w:val="single" w:sz="6" w:space="0" w:color="auto"/>
          </w:tcBorders>
        </w:tcPr>
        <w:p w:rsidR="00973247" w:rsidRDefault="00973247">
          <w:pPr>
            <w:pStyle w:val="Footer"/>
            <w:jc w:val="right"/>
          </w:pPr>
          <w:r>
            <w:rPr>
              <w:rStyle w:val="PageNumber"/>
            </w:rPr>
            <w:fldChar w:fldCharType="begin"/>
          </w:r>
          <w:r>
            <w:rPr>
              <w:rStyle w:val="PageNumber"/>
            </w:rPr>
            <w:instrText xml:space="preserve">PAGE  </w:instrText>
          </w:r>
          <w:r>
            <w:rPr>
              <w:rStyle w:val="PageNumber"/>
            </w:rPr>
            <w:fldChar w:fldCharType="separate"/>
          </w:r>
          <w:r w:rsidR="004B7106">
            <w:rPr>
              <w:rStyle w:val="PageNumber"/>
              <w:noProof/>
            </w:rPr>
            <w:t>227</w:t>
          </w:r>
          <w:r>
            <w:rPr>
              <w:rStyle w:val="PageNumber"/>
            </w:rPr>
            <w:fldChar w:fldCharType="end"/>
          </w:r>
        </w:p>
      </w:tc>
    </w:tr>
    <w:bookmarkEnd w:id="10"/>
  </w:tbl>
  <w:p w:rsidR="00973247" w:rsidRDefault="0097324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45D" w:rsidRDefault="00D3645D"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247" w:rsidRDefault="00973247">
      <w:r>
        <w:separator/>
      </w:r>
    </w:p>
  </w:footnote>
  <w:footnote w:type="continuationSeparator" w:id="0">
    <w:p w:rsidR="00973247" w:rsidRDefault="00973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73247">
      <w:tc>
        <w:tcPr>
          <w:tcW w:w="2155" w:type="dxa"/>
          <w:tcBorders>
            <w:top w:val="single" w:sz="24" w:space="0" w:color="auto"/>
          </w:tcBorders>
        </w:tcPr>
        <w:p w:rsidR="00973247" w:rsidRDefault="00973247" w:rsidP="0019293B">
          <w:pPr>
            <w:pStyle w:val="HeaderEven"/>
          </w:pPr>
        </w:p>
      </w:tc>
      <w:tc>
        <w:tcPr>
          <w:tcW w:w="6634" w:type="dxa"/>
          <w:tcBorders>
            <w:top w:val="single" w:sz="6" w:space="0" w:color="auto"/>
          </w:tcBorders>
        </w:tcPr>
        <w:p w:rsidR="00973247" w:rsidRDefault="00973247" w:rsidP="0019293B">
          <w:pPr>
            <w:pStyle w:val="HeaderEven"/>
          </w:pPr>
        </w:p>
      </w:tc>
    </w:tr>
  </w:tbl>
  <w:p w:rsidR="00973247" w:rsidRDefault="0097324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3247">
      <w:tc>
        <w:tcPr>
          <w:tcW w:w="6634" w:type="dxa"/>
          <w:tcBorders>
            <w:top w:val="single" w:sz="6" w:space="0" w:color="auto"/>
          </w:tcBorders>
        </w:tcPr>
        <w:p w:rsidR="00973247" w:rsidRDefault="00973247" w:rsidP="00E669E2">
          <w:pPr>
            <w:pStyle w:val="HeaderOdd"/>
          </w:pPr>
        </w:p>
      </w:tc>
      <w:tc>
        <w:tcPr>
          <w:tcW w:w="2155" w:type="dxa"/>
          <w:tcBorders>
            <w:top w:val="single" w:sz="24" w:space="0" w:color="auto"/>
          </w:tcBorders>
        </w:tcPr>
        <w:p w:rsidR="00973247" w:rsidRDefault="00973247" w:rsidP="00E669E2">
          <w:pPr>
            <w:pStyle w:val="HeaderOdd"/>
          </w:pPr>
        </w:p>
      </w:tc>
    </w:tr>
  </w:tbl>
  <w:p w:rsidR="00973247" w:rsidRDefault="00973247"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45D" w:rsidRDefault="00D3645D"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2">
    <w:nsid w:val="51F74561"/>
    <w:multiLevelType w:val="singleLevel"/>
    <w:tmpl w:val="ED98921A"/>
    <w:lvl w:ilvl="0">
      <w:start w:val="1"/>
      <w:numFmt w:val="decimal"/>
      <w:lvlText w:val="%1."/>
      <w:legacy w:legacy="1" w:legacySpace="0" w:legacyIndent="340"/>
      <w:lvlJc w:val="left"/>
      <w:pPr>
        <w:ind w:left="340" w:hanging="34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8">
    <w:nsid w:val="5A096576"/>
    <w:multiLevelType w:val="singleLevel"/>
    <w:tmpl w:val="ED98921A"/>
    <w:lvl w:ilvl="0">
      <w:start w:val="1"/>
      <w:numFmt w:val="decimal"/>
      <w:lvlText w:val="%1."/>
      <w:legacy w:legacy="1" w:legacySpace="0" w:legacyIndent="340"/>
      <w:lvlJc w:val="left"/>
      <w:pPr>
        <w:ind w:left="340" w:hanging="340"/>
      </w:pPr>
    </w:lvl>
  </w:abstractNum>
  <w:abstractNum w:abstractNumId="2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0055F7F"/>
    <w:multiLevelType w:val="singleLevel"/>
    <w:tmpl w:val="ED98921A"/>
    <w:lvl w:ilvl="0">
      <w:start w:val="1"/>
      <w:numFmt w:val="decimal"/>
      <w:lvlText w:val="%1."/>
      <w:legacy w:legacy="1" w:legacySpace="0" w:legacyIndent="340"/>
      <w:lvlJc w:val="left"/>
      <w:pPr>
        <w:ind w:left="340" w:hanging="340"/>
      </w:pPr>
    </w:lvl>
  </w:abstractNum>
  <w:abstractNum w:abstractNumId="31">
    <w:nsid w:val="608E741E"/>
    <w:multiLevelType w:val="singleLevel"/>
    <w:tmpl w:val="ED98921A"/>
    <w:lvl w:ilvl="0">
      <w:start w:val="1"/>
      <w:numFmt w:val="decimal"/>
      <w:lvlText w:val="%1."/>
      <w:legacy w:legacy="1" w:legacySpace="0" w:legacyIndent="340"/>
      <w:lvlJc w:val="left"/>
      <w:pPr>
        <w:ind w:left="340" w:hanging="340"/>
      </w:pPr>
    </w:lvl>
  </w:abstractNum>
  <w:abstractNum w:abstractNumId="32">
    <w:nsid w:val="61320C1E"/>
    <w:multiLevelType w:val="singleLevel"/>
    <w:tmpl w:val="C444122C"/>
    <w:lvl w:ilvl="0">
      <w:start w:val="1"/>
      <w:numFmt w:val="decimal"/>
      <w:lvlText w:val="%1."/>
      <w:legacy w:legacy="1" w:legacySpace="0" w:legacyIndent="284"/>
      <w:lvlJc w:val="left"/>
      <w:pPr>
        <w:ind w:left="284" w:hanging="284"/>
      </w:pPr>
    </w:lvl>
  </w:abstractNum>
  <w:abstractNum w:abstractNumId="33">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39"/>
  </w:num>
  <w:num w:numId="4">
    <w:abstractNumId w:val="7"/>
  </w:num>
  <w:num w:numId="5">
    <w:abstractNumId w:val="5"/>
  </w:num>
  <w:num w:numId="6">
    <w:abstractNumId w:val="23"/>
  </w:num>
  <w:num w:numId="7">
    <w:abstractNumId w:val="3"/>
  </w:num>
  <w:num w:numId="8">
    <w:abstractNumId w:val="9"/>
  </w:num>
  <w:num w:numId="9">
    <w:abstractNumId w:val="2"/>
  </w:num>
  <w:num w:numId="10">
    <w:abstractNumId w:val="34"/>
  </w:num>
  <w:num w:numId="11">
    <w:abstractNumId w:val="4"/>
  </w:num>
  <w:num w:numId="12">
    <w:abstractNumId w:val="1"/>
  </w:num>
  <w:num w:numId="13">
    <w:abstractNumId w:val="0"/>
  </w:num>
  <w:num w:numId="14">
    <w:abstractNumId w:val="26"/>
  </w:num>
  <w:num w:numId="15">
    <w:abstractNumId w:val="40"/>
  </w:num>
  <w:num w:numId="16">
    <w:abstractNumId w:val="17"/>
  </w:num>
  <w:num w:numId="17">
    <w:abstractNumId w:val="16"/>
  </w:num>
  <w:num w:numId="18">
    <w:abstractNumId w:val="24"/>
  </w:num>
  <w:num w:numId="19">
    <w:abstractNumId w:val="12"/>
  </w:num>
  <w:num w:numId="20">
    <w:abstractNumId w:val="31"/>
  </w:num>
  <w:num w:numId="21">
    <w:abstractNumId w:val="33"/>
  </w:num>
  <w:num w:numId="22">
    <w:abstractNumId w:val="22"/>
  </w:num>
  <w:num w:numId="23">
    <w:abstractNumId w:val="25"/>
  </w:num>
  <w:num w:numId="24">
    <w:abstractNumId w:val="27"/>
  </w:num>
  <w:num w:numId="25">
    <w:abstractNumId w:val="38"/>
  </w:num>
  <w:num w:numId="26">
    <w:abstractNumId w:val="30"/>
  </w:num>
  <w:num w:numId="27">
    <w:abstractNumId w:val="35"/>
  </w:num>
  <w:num w:numId="28">
    <w:abstractNumId w:val="36"/>
  </w:num>
  <w:num w:numId="29">
    <w:abstractNumId w:val="28"/>
  </w:num>
  <w:num w:numId="30">
    <w:abstractNumId w:val="20"/>
  </w:num>
  <w:num w:numId="31">
    <w:abstractNumId w:val="41"/>
  </w:num>
  <w:num w:numId="32">
    <w:abstractNumId w:val="15"/>
  </w:num>
  <w:num w:numId="33">
    <w:abstractNumId w:val="8"/>
  </w:num>
  <w:num w:numId="34">
    <w:abstractNumId w:val="18"/>
  </w:num>
  <w:num w:numId="35">
    <w:abstractNumId w:val="37"/>
  </w:num>
  <w:num w:numId="36">
    <w:abstractNumId w:val="29"/>
  </w:num>
  <w:num w:numId="37">
    <w:abstractNumId w:val="13"/>
  </w:num>
  <w:num w:numId="38">
    <w:abstractNumId w:val="32"/>
  </w:num>
  <w:num w:numId="39">
    <w:abstractNumId w:val="14"/>
  </w:num>
  <w:num w:numId="40">
    <w:abstractNumId w:val="17"/>
  </w:num>
  <w:num w:numId="41">
    <w:abstractNumId w:val="9"/>
  </w:num>
  <w:num w:numId="42">
    <w:abstractNumId w:val="21"/>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MFP growth cycles for subsectors"/>
    <w:docVar w:name="ShortReportTitle" w:val="Productivity in Manufacturing"/>
  </w:docVars>
  <w:rsids>
    <w:rsidRoot w:val="00E60E99"/>
    <w:rsid w:val="00015831"/>
    <w:rsid w:val="000245AA"/>
    <w:rsid w:val="00025D9D"/>
    <w:rsid w:val="0003664B"/>
    <w:rsid w:val="0004111F"/>
    <w:rsid w:val="00041FE9"/>
    <w:rsid w:val="000426BF"/>
    <w:rsid w:val="000502F4"/>
    <w:rsid w:val="00055C9B"/>
    <w:rsid w:val="000565B3"/>
    <w:rsid w:val="0007150B"/>
    <w:rsid w:val="00081E2B"/>
    <w:rsid w:val="000938F5"/>
    <w:rsid w:val="000A7410"/>
    <w:rsid w:val="000B601B"/>
    <w:rsid w:val="000C207E"/>
    <w:rsid w:val="000C77A4"/>
    <w:rsid w:val="000D1337"/>
    <w:rsid w:val="000E2478"/>
    <w:rsid w:val="000E2673"/>
    <w:rsid w:val="000F43B9"/>
    <w:rsid w:val="0010207B"/>
    <w:rsid w:val="00110116"/>
    <w:rsid w:val="00120DFB"/>
    <w:rsid w:val="00126EB8"/>
    <w:rsid w:val="001363AA"/>
    <w:rsid w:val="00147591"/>
    <w:rsid w:val="00160A58"/>
    <w:rsid w:val="001636DB"/>
    <w:rsid w:val="00174A2C"/>
    <w:rsid w:val="00181AB6"/>
    <w:rsid w:val="00183E82"/>
    <w:rsid w:val="0019293B"/>
    <w:rsid w:val="001B1681"/>
    <w:rsid w:val="001C0865"/>
    <w:rsid w:val="001C3ABA"/>
    <w:rsid w:val="001D02B1"/>
    <w:rsid w:val="001D1358"/>
    <w:rsid w:val="001D6771"/>
    <w:rsid w:val="001E2A29"/>
    <w:rsid w:val="001E7BE8"/>
    <w:rsid w:val="001F0248"/>
    <w:rsid w:val="001F3EB3"/>
    <w:rsid w:val="00202C2C"/>
    <w:rsid w:val="00203953"/>
    <w:rsid w:val="00212712"/>
    <w:rsid w:val="00216651"/>
    <w:rsid w:val="00222E93"/>
    <w:rsid w:val="00242279"/>
    <w:rsid w:val="00242A43"/>
    <w:rsid w:val="00245C82"/>
    <w:rsid w:val="00291B40"/>
    <w:rsid w:val="002A5225"/>
    <w:rsid w:val="002B261C"/>
    <w:rsid w:val="002B4008"/>
    <w:rsid w:val="002D0E8E"/>
    <w:rsid w:val="00301189"/>
    <w:rsid w:val="00320294"/>
    <w:rsid w:val="00323E09"/>
    <w:rsid w:val="00333932"/>
    <w:rsid w:val="0034323C"/>
    <w:rsid w:val="00346BA5"/>
    <w:rsid w:val="00347F7F"/>
    <w:rsid w:val="003518AA"/>
    <w:rsid w:val="00352165"/>
    <w:rsid w:val="00353182"/>
    <w:rsid w:val="003565D9"/>
    <w:rsid w:val="00357EA5"/>
    <w:rsid w:val="003602E1"/>
    <w:rsid w:val="00363C31"/>
    <w:rsid w:val="00365EDE"/>
    <w:rsid w:val="0037026F"/>
    <w:rsid w:val="00371240"/>
    <w:rsid w:val="00374731"/>
    <w:rsid w:val="00381184"/>
    <w:rsid w:val="003919F9"/>
    <w:rsid w:val="003A3E98"/>
    <w:rsid w:val="003C38B5"/>
    <w:rsid w:val="003C5D99"/>
    <w:rsid w:val="003E2B0A"/>
    <w:rsid w:val="003F0789"/>
    <w:rsid w:val="003F421F"/>
    <w:rsid w:val="003F486B"/>
    <w:rsid w:val="00401882"/>
    <w:rsid w:val="004100C8"/>
    <w:rsid w:val="00412ACE"/>
    <w:rsid w:val="00420351"/>
    <w:rsid w:val="004257A2"/>
    <w:rsid w:val="00431249"/>
    <w:rsid w:val="00434C19"/>
    <w:rsid w:val="004440E5"/>
    <w:rsid w:val="00450810"/>
    <w:rsid w:val="00477144"/>
    <w:rsid w:val="004922C0"/>
    <w:rsid w:val="0049459F"/>
    <w:rsid w:val="004A38DD"/>
    <w:rsid w:val="004A6A3C"/>
    <w:rsid w:val="004B43AE"/>
    <w:rsid w:val="004B7106"/>
    <w:rsid w:val="004C30ED"/>
    <w:rsid w:val="004C7A25"/>
    <w:rsid w:val="004D1671"/>
    <w:rsid w:val="004D5675"/>
    <w:rsid w:val="004E1DED"/>
    <w:rsid w:val="00523639"/>
    <w:rsid w:val="00523875"/>
    <w:rsid w:val="00552450"/>
    <w:rsid w:val="00555DAB"/>
    <w:rsid w:val="005647D5"/>
    <w:rsid w:val="005674CC"/>
    <w:rsid w:val="00574690"/>
    <w:rsid w:val="00583C39"/>
    <w:rsid w:val="005909CF"/>
    <w:rsid w:val="00591E71"/>
    <w:rsid w:val="00596F99"/>
    <w:rsid w:val="005979E0"/>
    <w:rsid w:val="005A0D41"/>
    <w:rsid w:val="005B14C5"/>
    <w:rsid w:val="005B2094"/>
    <w:rsid w:val="005B3884"/>
    <w:rsid w:val="005E043F"/>
    <w:rsid w:val="005E3B01"/>
    <w:rsid w:val="006076B2"/>
    <w:rsid w:val="00607BF1"/>
    <w:rsid w:val="00614224"/>
    <w:rsid w:val="00630D4D"/>
    <w:rsid w:val="00632A74"/>
    <w:rsid w:val="006556BA"/>
    <w:rsid w:val="00674520"/>
    <w:rsid w:val="006755BC"/>
    <w:rsid w:val="006771D2"/>
    <w:rsid w:val="00682D82"/>
    <w:rsid w:val="006A4655"/>
    <w:rsid w:val="006A68C4"/>
    <w:rsid w:val="006B2B3C"/>
    <w:rsid w:val="006C6820"/>
    <w:rsid w:val="006C7038"/>
    <w:rsid w:val="006D00E3"/>
    <w:rsid w:val="006E1BEA"/>
    <w:rsid w:val="006E328E"/>
    <w:rsid w:val="006E73EF"/>
    <w:rsid w:val="00714397"/>
    <w:rsid w:val="00714D4D"/>
    <w:rsid w:val="00725066"/>
    <w:rsid w:val="0074543D"/>
    <w:rsid w:val="007561D6"/>
    <w:rsid w:val="007604BB"/>
    <w:rsid w:val="007775C8"/>
    <w:rsid w:val="00785232"/>
    <w:rsid w:val="0079263E"/>
    <w:rsid w:val="007A0296"/>
    <w:rsid w:val="007A21EB"/>
    <w:rsid w:val="007C1820"/>
    <w:rsid w:val="007C36C9"/>
    <w:rsid w:val="007D2C31"/>
    <w:rsid w:val="007D65B1"/>
    <w:rsid w:val="007E01E4"/>
    <w:rsid w:val="007E1315"/>
    <w:rsid w:val="007F7107"/>
    <w:rsid w:val="0081030F"/>
    <w:rsid w:val="0081163B"/>
    <w:rsid w:val="0082087D"/>
    <w:rsid w:val="008309E4"/>
    <w:rsid w:val="00842933"/>
    <w:rsid w:val="00843B43"/>
    <w:rsid w:val="008462C6"/>
    <w:rsid w:val="0086082C"/>
    <w:rsid w:val="008642A2"/>
    <w:rsid w:val="00864ADC"/>
    <w:rsid w:val="00880153"/>
    <w:rsid w:val="00880F97"/>
    <w:rsid w:val="0088133A"/>
    <w:rsid w:val="0089285E"/>
    <w:rsid w:val="00893FB4"/>
    <w:rsid w:val="0089436C"/>
    <w:rsid w:val="008A3F68"/>
    <w:rsid w:val="008B746E"/>
    <w:rsid w:val="008C5935"/>
    <w:rsid w:val="008D23A8"/>
    <w:rsid w:val="008D365C"/>
    <w:rsid w:val="008E5D29"/>
    <w:rsid w:val="008E66BF"/>
    <w:rsid w:val="008F389C"/>
    <w:rsid w:val="009030BF"/>
    <w:rsid w:val="0090484A"/>
    <w:rsid w:val="00914368"/>
    <w:rsid w:val="00927980"/>
    <w:rsid w:val="00931076"/>
    <w:rsid w:val="00932B94"/>
    <w:rsid w:val="009345D9"/>
    <w:rsid w:val="00934B15"/>
    <w:rsid w:val="00936B08"/>
    <w:rsid w:val="00942B62"/>
    <w:rsid w:val="00956A0C"/>
    <w:rsid w:val="00956BD9"/>
    <w:rsid w:val="00962489"/>
    <w:rsid w:val="00963B7F"/>
    <w:rsid w:val="0096410E"/>
    <w:rsid w:val="00973247"/>
    <w:rsid w:val="00990C2C"/>
    <w:rsid w:val="00991F13"/>
    <w:rsid w:val="0099751C"/>
    <w:rsid w:val="00997626"/>
    <w:rsid w:val="009C0AFF"/>
    <w:rsid w:val="009D2D97"/>
    <w:rsid w:val="009D7D45"/>
    <w:rsid w:val="009D7FA1"/>
    <w:rsid w:val="009F06D3"/>
    <w:rsid w:val="009F5AE7"/>
    <w:rsid w:val="009F696D"/>
    <w:rsid w:val="009F6BC6"/>
    <w:rsid w:val="00A008DC"/>
    <w:rsid w:val="00A17328"/>
    <w:rsid w:val="00A2130F"/>
    <w:rsid w:val="00A23A20"/>
    <w:rsid w:val="00A268B9"/>
    <w:rsid w:val="00A2703A"/>
    <w:rsid w:val="00A31933"/>
    <w:rsid w:val="00A33DFF"/>
    <w:rsid w:val="00A35115"/>
    <w:rsid w:val="00A51C0E"/>
    <w:rsid w:val="00A554AB"/>
    <w:rsid w:val="00A82CD7"/>
    <w:rsid w:val="00A92B53"/>
    <w:rsid w:val="00A94FA6"/>
    <w:rsid w:val="00AA49A0"/>
    <w:rsid w:val="00AA6710"/>
    <w:rsid w:val="00AB0681"/>
    <w:rsid w:val="00AC0FEB"/>
    <w:rsid w:val="00B03788"/>
    <w:rsid w:val="00B23DB3"/>
    <w:rsid w:val="00B240EA"/>
    <w:rsid w:val="00B30909"/>
    <w:rsid w:val="00B440AD"/>
    <w:rsid w:val="00B515A0"/>
    <w:rsid w:val="00B53BEA"/>
    <w:rsid w:val="00B53E7E"/>
    <w:rsid w:val="00B6164E"/>
    <w:rsid w:val="00B6342E"/>
    <w:rsid w:val="00B7113F"/>
    <w:rsid w:val="00B778D8"/>
    <w:rsid w:val="00B870AB"/>
    <w:rsid w:val="00B8733A"/>
    <w:rsid w:val="00B90CDF"/>
    <w:rsid w:val="00BA1F54"/>
    <w:rsid w:val="00BA73B6"/>
    <w:rsid w:val="00BB0ACD"/>
    <w:rsid w:val="00BB4FCD"/>
    <w:rsid w:val="00BD13EA"/>
    <w:rsid w:val="00BD21C8"/>
    <w:rsid w:val="00BE3808"/>
    <w:rsid w:val="00BE72F8"/>
    <w:rsid w:val="00BF00C3"/>
    <w:rsid w:val="00BF1509"/>
    <w:rsid w:val="00C062E9"/>
    <w:rsid w:val="00C07B64"/>
    <w:rsid w:val="00C13721"/>
    <w:rsid w:val="00C3066D"/>
    <w:rsid w:val="00C327EF"/>
    <w:rsid w:val="00C4117A"/>
    <w:rsid w:val="00C464CD"/>
    <w:rsid w:val="00C543CF"/>
    <w:rsid w:val="00C543F4"/>
    <w:rsid w:val="00C61190"/>
    <w:rsid w:val="00C6291C"/>
    <w:rsid w:val="00C633CB"/>
    <w:rsid w:val="00C65A54"/>
    <w:rsid w:val="00C8762C"/>
    <w:rsid w:val="00C922AE"/>
    <w:rsid w:val="00C92E0A"/>
    <w:rsid w:val="00C9319D"/>
    <w:rsid w:val="00CA0099"/>
    <w:rsid w:val="00CA00F9"/>
    <w:rsid w:val="00CA1A8B"/>
    <w:rsid w:val="00CA2961"/>
    <w:rsid w:val="00CB47BF"/>
    <w:rsid w:val="00CB4D7D"/>
    <w:rsid w:val="00CB50D7"/>
    <w:rsid w:val="00CB7177"/>
    <w:rsid w:val="00CC1998"/>
    <w:rsid w:val="00CC2A6C"/>
    <w:rsid w:val="00CC4946"/>
    <w:rsid w:val="00CC4B2B"/>
    <w:rsid w:val="00CC55D0"/>
    <w:rsid w:val="00CC7A8C"/>
    <w:rsid w:val="00D2369A"/>
    <w:rsid w:val="00D270A4"/>
    <w:rsid w:val="00D34E1B"/>
    <w:rsid w:val="00D3645D"/>
    <w:rsid w:val="00D376BA"/>
    <w:rsid w:val="00D53431"/>
    <w:rsid w:val="00D5568A"/>
    <w:rsid w:val="00D63D73"/>
    <w:rsid w:val="00D63D79"/>
    <w:rsid w:val="00D665D9"/>
    <w:rsid w:val="00D66E1E"/>
    <w:rsid w:val="00D75722"/>
    <w:rsid w:val="00D7725C"/>
    <w:rsid w:val="00D77833"/>
    <w:rsid w:val="00D979D3"/>
    <w:rsid w:val="00DA25F2"/>
    <w:rsid w:val="00DA5BBA"/>
    <w:rsid w:val="00DB67C9"/>
    <w:rsid w:val="00DC0852"/>
    <w:rsid w:val="00DC0C95"/>
    <w:rsid w:val="00DC1210"/>
    <w:rsid w:val="00DC19CA"/>
    <w:rsid w:val="00DC34DD"/>
    <w:rsid w:val="00DC3973"/>
    <w:rsid w:val="00DC5B65"/>
    <w:rsid w:val="00DD3C52"/>
    <w:rsid w:val="00DD59A0"/>
    <w:rsid w:val="00DD6580"/>
    <w:rsid w:val="00DF1257"/>
    <w:rsid w:val="00DF5901"/>
    <w:rsid w:val="00E10385"/>
    <w:rsid w:val="00E17C72"/>
    <w:rsid w:val="00E21FC6"/>
    <w:rsid w:val="00E24501"/>
    <w:rsid w:val="00E26C93"/>
    <w:rsid w:val="00E31C42"/>
    <w:rsid w:val="00E33D6F"/>
    <w:rsid w:val="00E34FC2"/>
    <w:rsid w:val="00E35021"/>
    <w:rsid w:val="00E51639"/>
    <w:rsid w:val="00E60E99"/>
    <w:rsid w:val="00E669E2"/>
    <w:rsid w:val="00E7214D"/>
    <w:rsid w:val="00E76135"/>
    <w:rsid w:val="00E76F46"/>
    <w:rsid w:val="00E84148"/>
    <w:rsid w:val="00E90FCD"/>
    <w:rsid w:val="00E93896"/>
    <w:rsid w:val="00EB00EA"/>
    <w:rsid w:val="00EB3A56"/>
    <w:rsid w:val="00EB7154"/>
    <w:rsid w:val="00EC2844"/>
    <w:rsid w:val="00EE2278"/>
    <w:rsid w:val="00EF48AB"/>
    <w:rsid w:val="00EF6C6C"/>
    <w:rsid w:val="00F056FC"/>
    <w:rsid w:val="00F0795E"/>
    <w:rsid w:val="00F10476"/>
    <w:rsid w:val="00F12837"/>
    <w:rsid w:val="00F135D8"/>
    <w:rsid w:val="00F15572"/>
    <w:rsid w:val="00F173AB"/>
    <w:rsid w:val="00F31299"/>
    <w:rsid w:val="00F32F59"/>
    <w:rsid w:val="00F3534A"/>
    <w:rsid w:val="00F6423A"/>
    <w:rsid w:val="00F85325"/>
    <w:rsid w:val="00F85FE8"/>
    <w:rsid w:val="00F86FA6"/>
    <w:rsid w:val="00FA65C6"/>
    <w:rsid w:val="00FC0260"/>
    <w:rsid w:val="00FC2965"/>
    <w:rsid w:val="00FD22B1"/>
    <w:rsid w:val="00FF50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locked/>
    <w:rsid w:val="00C4117A"/>
    <w:rPr>
      <w:sz w:val="26"/>
    </w:rPr>
  </w:style>
  <w:style w:type="character" w:customStyle="1" w:styleId="FooterChar">
    <w:name w:val="Footer Char"/>
    <w:basedOn w:val="DefaultParagraphFont"/>
    <w:link w:val="Footer"/>
    <w:rsid w:val="00C4117A"/>
    <w:rPr>
      <w:caps/>
      <w:spacing w:val="-4"/>
      <w:sz w:val="16"/>
    </w:rPr>
  </w:style>
  <w:style w:type="character" w:styleId="Hyperlink">
    <w:name w:val="Hyperlink"/>
    <w:basedOn w:val="DefaultParagraphFont"/>
    <w:rsid w:val="003E2B0A"/>
    <w:rPr>
      <w:color w:val="0000FF" w:themeColor="hyperlink"/>
      <w:u w:val="single"/>
    </w:rPr>
  </w:style>
  <w:style w:type="character" w:customStyle="1" w:styleId="ReferenceChar">
    <w:name w:val="Reference Char"/>
    <w:link w:val="Reference"/>
    <w:rsid w:val="00F173AB"/>
    <w:rPr>
      <w:sz w:val="26"/>
    </w:rPr>
  </w:style>
  <w:style w:type="character" w:styleId="FollowedHyperlink">
    <w:name w:val="FollowedHyperlink"/>
    <w:basedOn w:val="DefaultParagraphFont"/>
    <w:rsid w:val="00C61190"/>
    <w:rPr>
      <w:color w:val="800080" w:themeColor="followedHyperlink"/>
      <w:u w:val="single"/>
    </w:rPr>
  </w:style>
  <w:style w:type="paragraph" w:styleId="CommentSubject">
    <w:name w:val="annotation subject"/>
    <w:basedOn w:val="CommentText"/>
    <w:next w:val="CommentText"/>
    <w:link w:val="CommentSubjectChar"/>
    <w:rsid w:val="000502F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502F4"/>
    <w:rPr>
      <w:szCs w:val="24"/>
    </w:rPr>
  </w:style>
  <w:style w:type="character" w:customStyle="1" w:styleId="CommentSubjectChar">
    <w:name w:val="Comment Subject Char"/>
    <w:basedOn w:val="CommentTextChar"/>
    <w:link w:val="CommentSubject"/>
    <w:rsid w:val="000502F4"/>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locked/>
    <w:rsid w:val="00C4117A"/>
    <w:rPr>
      <w:sz w:val="26"/>
    </w:rPr>
  </w:style>
  <w:style w:type="character" w:customStyle="1" w:styleId="FooterChar">
    <w:name w:val="Footer Char"/>
    <w:basedOn w:val="DefaultParagraphFont"/>
    <w:link w:val="Footer"/>
    <w:rsid w:val="00C4117A"/>
    <w:rPr>
      <w:caps/>
      <w:spacing w:val="-4"/>
      <w:sz w:val="16"/>
    </w:rPr>
  </w:style>
  <w:style w:type="character" w:styleId="Hyperlink">
    <w:name w:val="Hyperlink"/>
    <w:basedOn w:val="DefaultParagraphFont"/>
    <w:rsid w:val="003E2B0A"/>
    <w:rPr>
      <w:color w:val="0000FF" w:themeColor="hyperlink"/>
      <w:u w:val="single"/>
    </w:rPr>
  </w:style>
  <w:style w:type="character" w:customStyle="1" w:styleId="ReferenceChar">
    <w:name w:val="Reference Char"/>
    <w:link w:val="Reference"/>
    <w:rsid w:val="00F173AB"/>
    <w:rPr>
      <w:sz w:val="26"/>
    </w:rPr>
  </w:style>
  <w:style w:type="character" w:styleId="FollowedHyperlink">
    <w:name w:val="FollowedHyperlink"/>
    <w:basedOn w:val="DefaultParagraphFont"/>
    <w:rsid w:val="00C61190"/>
    <w:rPr>
      <w:color w:val="800080" w:themeColor="followedHyperlink"/>
      <w:u w:val="single"/>
    </w:rPr>
  </w:style>
  <w:style w:type="paragraph" w:styleId="CommentSubject">
    <w:name w:val="annotation subject"/>
    <w:basedOn w:val="CommentText"/>
    <w:next w:val="CommentText"/>
    <w:link w:val="CommentSubjectChar"/>
    <w:rsid w:val="000502F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502F4"/>
    <w:rPr>
      <w:szCs w:val="24"/>
    </w:rPr>
  </w:style>
  <w:style w:type="character" w:customStyle="1" w:styleId="CommentSubjectChar">
    <w:name w:val="Comment Subject Char"/>
    <w:basedOn w:val="CommentTextChar"/>
    <w:link w:val="CommentSubject"/>
    <w:rsid w:val="000502F4"/>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972320">
      <w:bodyDiv w:val="1"/>
      <w:marLeft w:val="0"/>
      <w:marRight w:val="0"/>
      <w:marTop w:val="0"/>
      <w:marBottom w:val="0"/>
      <w:divBdr>
        <w:top w:val="none" w:sz="0" w:space="0" w:color="auto"/>
        <w:left w:val="none" w:sz="0" w:space="0" w:color="auto"/>
        <w:bottom w:val="none" w:sz="0" w:space="0" w:color="auto"/>
        <w:right w:val="none" w:sz="0" w:space="0" w:color="auto"/>
      </w:divBdr>
    </w:div>
    <w:div w:id="1402173906">
      <w:bodyDiv w:val="1"/>
      <w:marLeft w:val="0"/>
      <w:marRight w:val="0"/>
      <w:marTop w:val="0"/>
      <w:marBottom w:val="0"/>
      <w:divBdr>
        <w:top w:val="none" w:sz="0" w:space="0" w:color="auto"/>
        <w:left w:val="none" w:sz="0" w:space="0" w:color="auto"/>
        <w:bottom w:val="none" w:sz="0" w:space="0" w:color="auto"/>
        <w:right w:val="none" w:sz="0" w:space="0" w:color="auto"/>
      </w:divBdr>
    </w:div>
    <w:div w:id="148651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F42C5-1DB2-48D8-BF81-E46C649B3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10</Pages>
  <Words>1783</Words>
  <Characters>10373</Characters>
  <Application>Microsoft Office Word</Application>
  <DocSecurity>0</DocSecurity>
  <Lines>1152</Lines>
  <Paragraphs>578</Paragraphs>
  <ScaleCrop>false</ScaleCrop>
  <HeadingPairs>
    <vt:vector size="2" baseType="variant">
      <vt:variant>
        <vt:lpstr>Title</vt:lpstr>
      </vt:variant>
      <vt:variant>
        <vt:i4>1</vt:i4>
      </vt:variant>
    </vt:vector>
  </HeadingPairs>
  <TitlesOfParts>
    <vt:vector size="1" baseType="lpstr">
      <vt:lpstr>MFP growth cycles for subsectors</vt:lpstr>
    </vt:vector>
  </TitlesOfParts>
  <Company>Productivity Commission</Company>
  <LinksUpToDate>false</LinksUpToDate>
  <CharactersWithSpaces>11578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MFP growth cycles for subsectors</dc:title>
  <dc:subject>Productivity in Manufacturing</dc:subject>
  <dc:creator>Productivity Commission</dc:creator>
  <dc:description>C.</dc:description>
  <cp:lastModifiedBy>Productivity Commission</cp:lastModifiedBy>
  <cp:revision>2</cp:revision>
  <cp:lastPrinted>2013-11-27T23:53:00Z</cp:lastPrinted>
  <dcterms:created xsi:type="dcterms:W3CDTF">2013-12-03T23:41:00Z</dcterms:created>
  <dcterms:modified xsi:type="dcterms:W3CDTF">2013-12-03T23:41:00Z</dcterms:modified>
</cp:coreProperties>
</file>