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533DF" w:rsidP="00F533DF">
      <w:pPr>
        <w:pStyle w:val="Chapter"/>
        <w:ind w:left="907" w:hanging="907"/>
      </w:pPr>
      <w:bookmarkStart w:id="0" w:name="_AppendixNotByChapter"/>
      <w:bookmarkStart w:id="1" w:name="ChapterNumber"/>
      <w:bookmarkStart w:id="2" w:name="_GoBack"/>
      <w:bookmarkEnd w:id="0"/>
      <w:bookmarkEnd w:id="2"/>
      <w:r>
        <w:t>D</w:t>
      </w:r>
      <w:bookmarkEnd w:id="1"/>
      <w:r>
        <w:tab/>
      </w:r>
      <w:bookmarkStart w:id="3" w:name="ChapterTitle"/>
      <w:r>
        <w:t>Further details about subsector productivity</w:t>
      </w:r>
      <w:bookmarkEnd w:id="3"/>
    </w:p>
    <w:p w:rsidR="001B7B5D" w:rsidRDefault="00BE112D" w:rsidP="001B7B5D">
      <w:pPr>
        <w:pStyle w:val="BodyText"/>
      </w:pPr>
      <w:bookmarkStart w:id="4" w:name="begin"/>
      <w:bookmarkEnd w:id="4"/>
      <w:r>
        <w:t>T</w:t>
      </w:r>
      <w:r w:rsidR="001B7B5D">
        <w:t xml:space="preserve">his appendix </w:t>
      </w:r>
      <w:r>
        <w:t xml:space="preserve">provides further details about </w:t>
      </w:r>
      <w:r w:rsidR="001B7B5D">
        <w:t xml:space="preserve">the </w:t>
      </w:r>
      <w:r w:rsidR="001B7B5D" w:rsidRPr="00103B92">
        <w:rPr>
          <w:i/>
        </w:rPr>
        <w:t>contributions</w:t>
      </w:r>
      <w:r w:rsidR="001B7B5D">
        <w:t xml:space="preserve"> of </w:t>
      </w:r>
      <w:r w:rsidR="00C95375">
        <w:t>the</w:t>
      </w:r>
      <w:r w:rsidR="001B7B5D">
        <w:t xml:space="preserve"> subsectors to </w:t>
      </w:r>
      <w:r w:rsidR="0009689C">
        <w:t>Manufacturing</w:t>
      </w:r>
      <w:r w:rsidR="001B7B5D">
        <w:t xml:space="preserve"> </w:t>
      </w:r>
      <w:r w:rsidR="00103B92">
        <w:t>multifactor productivity (</w:t>
      </w:r>
      <w:r w:rsidR="001B7B5D">
        <w:t>MFP</w:t>
      </w:r>
      <w:r w:rsidR="00103B92">
        <w:t>)</w:t>
      </w:r>
      <w:r w:rsidR="001B7B5D">
        <w:t xml:space="preserve"> growth and its </w:t>
      </w:r>
      <w:r w:rsidR="001B7B5D" w:rsidRPr="00103B92">
        <w:rPr>
          <w:i/>
        </w:rPr>
        <w:t>proximate causes</w:t>
      </w:r>
      <w:r w:rsidR="001B7B5D">
        <w:t xml:space="preserve"> (</w:t>
      </w:r>
      <w:r w:rsidR="002F2F82">
        <w:t xml:space="preserve">changes in </w:t>
      </w:r>
      <w:r w:rsidR="001B7B5D">
        <w:t>value added</w:t>
      </w:r>
      <w:r>
        <w:t xml:space="preserve"> (VA)</w:t>
      </w:r>
      <w:r w:rsidR="001B7B5D">
        <w:t xml:space="preserve">, labour and capital inputs) in </w:t>
      </w:r>
      <w:r w:rsidR="00E75C54">
        <w:t>cycle</w:t>
      </w:r>
      <w:r w:rsidR="001B7B5D">
        <w:t xml:space="preserve"> 3</w:t>
      </w:r>
      <w:r w:rsidR="00E75C54">
        <w:t xml:space="preserve"> (1998-99 to 2003-04)</w:t>
      </w:r>
      <w:r>
        <w:t xml:space="preserve">, </w:t>
      </w:r>
      <w:r w:rsidR="00E75C54">
        <w:t>cycle</w:t>
      </w:r>
      <w:r w:rsidR="001B7B5D">
        <w:t xml:space="preserve"> 4</w:t>
      </w:r>
      <w:r w:rsidR="00E75C54">
        <w:t xml:space="preserve"> (2003-04 to 2007-08)</w:t>
      </w:r>
      <w:r w:rsidR="001B7B5D">
        <w:t>, and in the current incomplete cycle</w:t>
      </w:r>
      <w:r w:rsidR="00E75C54">
        <w:t xml:space="preserve"> (2007</w:t>
      </w:r>
      <w:r w:rsidR="005E2E96">
        <w:noBreakHyphen/>
      </w:r>
      <w:r w:rsidR="00E75C54">
        <w:t>08 to 2010-11)</w:t>
      </w:r>
      <w:r w:rsidR="001B7B5D">
        <w:t>.</w:t>
      </w:r>
      <w:r w:rsidR="00B20EA0">
        <w:t xml:space="preserve"> (The growth rates over the incomplete cycle that are presented in this appendix should be interpreted with caution because they may be influenced by temporary factors.)</w:t>
      </w:r>
    </w:p>
    <w:p w:rsidR="00E532AF" w:rsidRDefault="00E532AF" w:rsidP="001B7B5D">
      <w:pPr>
        <w:pStyle w:val="BodyText"/>
      </w:pPr>
      <w:r>
        <w:t xml:space="preserve">Manufacturing MFP </w:t>
      </w:r>
      <w:r w:rsidR="00C95375">
        <w:t xml:space="preserve">growth </w:t>
      </w:r>
      <w:r>
        <w:t xml:space="preserve">went from being positive in cycle 3 to being negative in cycle 4, falling by </w:t>
      </w:r>
      <w:r w:rsidR="001B7B5D">
        <w:t>2.7 percentage points</w:t>
      </w:r>
      <w:r>
        <w:t xml:space="preserve"> between the cycles. The</w:t>
      </w:r>
      <w:r w:rsidR="00A00EB0">
        <w:t xml:space="preserve"> </w:t>
      </w:r>
      <w:r>
        <w:t xml:space="preserve">decline </w:t>
      </w:r>
      <w:r w:rsidR="00A00EB0">
        <w:t>was</w:t>
      </w:r>
      <w:r w:rsidR="0077570A">
        <w:t xml:space="preserve"> driven by a fall in the rate of </w:t>
      </w:r>
      <w:r w:rsidR="00BE112D">
        <w:t>VA</w:t>
      </w:r>
      <w:r w:rsidR="0077570A">
        <w:t xml:space="preserve"> growth and</w:t>
      </w:r>
      <w:r w:rsidR="00C95375">
        <w:t xml:space="preserve"> by</w:t>
      </w:r>
      <w:r w:rsidR="0077570A">
        <w:t xml:space="preserve"> higher input growth</w:t>
      </w:r>
      <w:r w:rsidR="001B7B5D">
        <w:t>.</w:t>
      </w:r>
      <w:r w:rsidR="00C95375">
        <w:t xml:space="preserve"> In cycle 4,</w:t>
      </w:r>
      <w:r w:rsidR="00A76A36">
        <w:t xml:space="preserve"> </w:t>
      </w:r>
      <w:r w:rsidR="00C95375">
        <w:t>c</w:t>
      </w:r>
      <w:r w:rsidR="0077570A">
        <w:t xml:space="preserve">apital services growth </w:t>
      </w:r>
      <w:r>
        <w:t>further increased and there was a transition away from labour shedding in cycle 3, to modes</w:t>
      </w:r>
      <w:r w:rsidR="00C95375">
        <w:t xml:space="preserve">t, positive </w:t>
      </w:r>
      <w:r w:rsidR="00BE112D">
        <w:t xml:space="preserve">growth in </w:t>
      </w:r>
      <w:r w:rsidR="00C95375">
        <w:t>hours worked.</w:t>
      </w:r>
    </w:p>
    <w:p w:rsidR="00A00EB0" w:rsidRDefault="00A00EB0" w:rsidP="00D97EB8">
      <w:pPr>
        <w:pStyle w:val="BodyText"/>
      </w:pPr>
      <w:r>
        <w:t>In the incomplete cyc</w:t>
      </w:r>
      <w:r w:rsidR="00E532AF">
        <w:t xml:space="preserve">le, </w:t>
      </w:r>
      <w:r w:rsidR="00C95375">
        <w:t xml:space="preserve">MFP growth remained negative, although there was some </w:t>
      </w:r>
      <w:r w:rsidR="00172BF4">
        <w:t xml:space="preserve">improvement </w:t>
      </w:r>
      <w:r w:rsidR="00C95375">
        <w:t>from cycle 4</w:t>
      </w:r>
      <w:r w:rsidR="00172BF4">
        <w:t xml:space="preserve">. </w:t>
      </w:r>
      <w:r w:rsidR="00D97EB8">
        <w:t>The decline in VA between cycle 4 and the incomplete cycle was offset by a contraction in labour inputs and lower growth in capital services</w:t>
      </w:r>
      <w:r w:rsidR="00172BF4">
        <w:t xml:space="preserve"> (figure </w:t>
      </w:r>
      <w:r w:rsidR="00F533DF">
        <w:t>D.1</w:t>
      </w:r>
      <w:r w:rsidR="00172BF4">
        <w:t xml:space="preserve">). </w:t>
      </w:r>
    </w:p>
    <w:p w:rsidR="00E408F8" w:rsidRPr="00774DEA" w:rsidRDefault="00E408F8" w:rsidP="00774DEA">
      <w:pPr>
        <w:pStyle w:val="BodyText"/>
      </w:pPr>
      <w:r w:rsidRPr="00774DEA">
        <w:t xml:space="preserve">Each of the </w:t>
      </w:r>
      <w:r w:rsidR="0009689C" w:rsidRPr="00774DEA">
        <w:t>Manufacturing</w:t>
      </w:r>
      <w:r w:rsidRPr="00774DEA">
        <w:t xml:space="preserve"> subsectors makes a different contribution to </w:t>
      </w:r>
      <w:r w:rsidR="0009689C" w:rsidRPr="00774DEA">
        <w:t>Manufacturing</w:t>
      </w:r>
      <w:r w:rsidRPr="00774DEA">
        <w:t xml:space="preserve"> VA and to its labour and capital inputs. Hence, the subsectors make different contributions to the MFP performance of </w:t>
      </w:r>
      <w:r w:rsidR="0009689C" w:rsidRPr="00774DEA">
        <w:t>Manufacturing</w:t>
      </w:r>
      <w:r w:rsidRPr="00774DEA">
        <w:t xml:space="preserve"> as a whole (as discussed in chapter 3). The subsectors’ contributions to the change in </w:t>
      </w:r>
      <w:r w:rsidR="0009689C" w:rsidRPr="00774DEA">
        <w:t>Manufacturing</w:t>
      </w:r>
      <w:r w:rsidRPr="00774DEA">
        <w:t xml:space="preserve"> MFP and to its proximate causes between cycle 3 and cycle 4, and cycle 4 and the incomplete cycle are shown below. This is followed by discussion of the proximate causes of the MFP growth specific to each of the subsectors, in the order of the size of their contribution to the </w:t>
      </w:r>
      <w:r w:rsidR="0009689C" w:rsidRPr="00774DEA">
        <w:t>Manufacturing</w:t>
      </w:r>
      <w:r w:rsidRPr="00774DEA">
        <w:t xml:space="preserve"> MFP decline between cycle 3 and 4.</w:t>
      </w:r>
    </w:p>
    <w:p w:rsidR="00E408F8" w:rsidRDefault="00E408F8" w:rsidP="00D97EB8">
      <w:pPr>
        <w:pStyle w:val="BodyText"/>
      </w:pPr>
    </w:p>
    <w:p w:rsidR="001B7B5D" w:rsidRPr="00B02196" w:rsidRDefault="001B7B5D">
      <w:pPr>
        <w:pStyle w:val="FigureTitle"/>
      </w:pPr>
      <w:r>
        <w:rPr>
          <w:b w:val="0"/>
        </w:rPr>
        <w:lastRenderedPageBreak/>
        <w:t xml:space="preserve">Figure </w:t>
      </w:r>
      <w:bookmarkStart w:id="5" w:name="OLE_LINK1"/>
      <w:r w:rsidR="00F533DF">
        <w:rPr>
          <w:b w:val="0"/>
        </w:rPr>
        <w:t>D.</w:t>
      </w:r>
      <w:r w:rsidR="00F020EC">
        <w:rPr>
          <w:b w:val="0"/>
          <w:noProof/>
        </w:rPr>
        <w:t>1</w:t>
      </w:r>
      <w:bookmarkEnd w:id="5"/>
      <w:r>
        <w:tab/>
      </w:r>
      <w:r w:rsidR="0087194F">
        <w:t xml:space="preserve">Growth in </w:t>
      </w:r>
      <w:r>
        <w:t xml:space="preserve">Manufacturing </w:t>
      </w:r>
      <w:r w:rsidR="0087194F">
        <w:t xml:space="preserve">MFP and its </w:t>
      </w:r>
      <w:r>
        <w:t xml:space="preserve">proximate causes </w:t>
      </w:r>
      <w:r w:rsidR="0087194F">
        <w:t>by</w:t>
      </w:r>
      <w:r>
        <w:t xml:space="preserve"> cycle</w:t>
      </w:r>
      <w:r w:rsidR="0036656B" w:rsidRPr="0036656B">
        <w:rPr>
          <w:rStyle w:val="NoteLabel"/>
          <w:b/>
        </w:rPr>
        <w:t>a</w:t>
      </w:r>
    </w:p>
    <w:p w:rsidR="001B7B5D" w:rsidRDefault="00D75E74">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77570A" w:rsidTr="0077570A">
        <w:tc>
          <w:tcPr>
            <w:tcW w:w="4388" w:type="dxa"/>
          </w:tcPr>
          <w:p w:rsidR="0077570A" w:rsidRDefault="000F49A3" w:rsidP="00B00558">
            <w:pPr>
              <w:pStyle w:val="Figure"/>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tails on this figure can be found within the text immediately before this image." style="width:205.95pt;height:198.4pt">
                  <v:imagedata r:id="rId9" o:title=""/>
                </v:shape>
              </w:pict>
            </w:r>
          </w:p>
        </w:tc>
        <w:tc>
          <w:tcPr>
            <w:tcW w:w="4389" w:type="dxa"/>
          </w:tcPr>
          <w:p w:rsidR="0077570A" w:rsidRDefault="000F49A3" w:rsidP="00B00558">
            <w:pPr>
              <w:pStyle w:val="Figure"/>
              <w:spacing w:before="0" w:after="0"/>
            </w:pPr>
            <w:r>
              <w:pict>
                <v:shape id="_x0000_i1026" type="#_x0000_t75" alt="Details on this figure can be found within the text immediately before this image." style="width:205.95pt;height:198.4pt">
                  <v:imagedata r:id="rId10" o:title=""/>
                </v:shape>
              </w:pict>
            </w:r>
          </w:p>
        </w:tc>
      </w:tr>
      <w:tr w:rsidR="0077570A" w:rsidTr="0077570A">
        <w:tc>
          <w:tcPr>
            <w:tcW w:w="8777" w:type="dxa"/>
            <w:gridSpan w:val="2"/>
          </w:tcPr>
          <w:p w:rsidR="0077570A" w:rsidRDefault="000F49A3" w:rsidP="00D75BDD">
            <w:pPr>
              <w:pStyle w:val="Figure"/>
              <w:spacing w:before="0" w:after="0"/>
            </w:pPr>
            <w:r>
              <w:pict>
                <v:shape id="_x0000_i1027" type="#_x0000_t75" alt="Legend for chart: Black colour- value added. Diagonal stripe - Hours worked. Grey colour - Capital services. Black diamond - MFP." style="width:293.85pt;height:17.6pt">
                  <v:imagedata r:id="rId11" o:title=""/>
                </v:shape>
              </w:pict>
            </w:r>
          </w:p>
        </w:tc>
      </w:tr>
    </w:tbl>
    <w:p w:rsidR="0036656B" w:rsidRPr="007E07E8" w:rsidRDefault="0036656B" w:rsidP="0036656B">
      <w:pPr>
        <w:pStyle w:val="Note"/>
      </w:pPr>
      <w:r w:rsidRPr="007E07E8">
        <w:rPr>
          <w:rStyle w:val="NoteLabel"/>
        </w:rPr>
        <w:t>a</w:t>
      </w:r>
      <w:r w:rsidRPr="00EA603F">
        <w:t xml:space="preserve"> </w:t>
      </w:r>
      <w:r>
        <w:t>Capital services and hours worked weighted by income shares.</w:t>
      </w:r>
    </w:p>
    <w:p w:rsidR="001B7B5D" w:rsidRDefault="001B7B5D">
      <w:pPr>
        <w:pStyle w:val="Source"/>
      </w:pPr>
      <w:r>
        <w:rPr>
          <w:i/>
        </w:rPr>
        <w:t>Data source</w:t>
      </w:r>
      <w:r w:rsidRPr="00167F06">
        <w:t xml:space="preserve">: </w:t>
      </w:r>
      <w:r w:rsidR="00BE112D">
        <w:t>ABS (</w:t>
      </w:r>
      <w:r w:rsidR="00BE112D" w:rsidRPr="00042E7B">
        <w:rPr>
          <w:i/>
        </w:rPr>
        <w:t>Experimental Estimates of Industry Multifactor Productivity, 20</w:t>
      </w:r>
      <w:r w:rsidR="00BE112D">
        <w:rPr>
          <w:i/>
        </w:rPr>
        <w:t>10</w:t>
      </w:r>
      <w:r w:rsidR="00BE112D" w:rsidRPr="00042E7B">
        <w:rPr>
          <w:i/>
        </w:rPr>
        <w:t>-1</w:t>
      </w:r>
      <w:r w:rsidR="00BE112D">
        <w:rPr>
          <w:i/>
        </w:rPr>
        <w:t>1</w:t>
      </w:r>
      <w:r w:rsidR="00BE112D" w:rsidRPr="00042E7B">
        <w:rPr>
          <w:i/>
        </w:rPr>
        <w:t xml:space="preserve">, </w:t>
      </w:r>
      <w:r w:rsidR="00BE112D" w:rsidRPr="007B7F51">
        <w:t>Cat. no. 5260.0.55.002</w:t>
      </w:r>
      <w:r w:rsidR="00BE112D">
        <w:t>).</w:t>
      </w:r>
    </w:p>
    <w:p w:rsidR="004B1242" w:rsidRPr="00B26460" w:rsidRDefault="00F533DF" w:rsidP="00B26460">
      <w:pPr>
        <w:pStyle w:val="Heading2"/>
      </w:pPr>
      <w:r w:rsidRPr="00B26460">
        <w:t>D.</w:t>
      </w:r>
      <w:r w:rsidR="00F020EC" w:rsidRPr="00B26460">
        <w:t>1</w:t>
      </w:r>
      <w:r w:rsidR="00A317BE" w:rsidRPr="00B26460">
        <w:tab/>
      </w:r>
      <w:r w:rsidR="00352330" w:rsidRPr="00B26460">
        <w:t xml:space="preserve">Subsector contributions to </w:t>
      </w:r>
      <w:r w:rsidR="006E0128" w:rsidRPr="00B26460">
        <w:t xml:space="preserve">Manufacturing </w:t>
      </w:r>
      <w:r w:rsidR="00352330" w:rsidRPr="00B26460">
        <w:t>MFP</w:t>
      </w:r>
      <w:r w:rsidR="0087194F" w:rsidRPr="00B26460">
        <w:t xml:space="preserve"> growth</w:t>
      </w:r>
    </w:p>
    <w:p w:rsidR="006E0128" w:rsidRDefault="006E0128" w:rsidP="006E0128">
      <w:pPr>
        <w:pStyle w:val="Heading3"/>
        <w:spacing w:before="280"/>
      </w:pPr>
      <w:r>
        <w:t>Contributions to decline between cycles 3 and 4</w:t>
      </w:r>
    </w:p>
    <w:p w:rsidR="00C9113E" w:rsidRPr="00386474" w:rsidRDefault="00C9113E" w:rsidP="00C9113E">
      <w:pPr>
        <w:pStyle w:val="BodyText"/>
      </w:pPr>
      <w:r>
        <w:t xml:space="preserve">As shown in figure </w:t>
      </w:r>
      <w:r w:rsidR="00F533DF">
        <w:t>D.2</w:t>
      </w:r>
      <w:r>
        <w:t xml:space="preserve">, almost all the subsectors contributed to the decline in MFP growth </w:t>
      </w:r>
      <w:r w:rsidR="006E0128">
        <w:t xml:space="preserve">between </w:t>
      </w:r>
      <w:r>
        <w:t>the last two complete cycles</w:t>
      </w:r>
      <w:r w:rsidR="00782A1F">
        <w:t>, with P</w:t>
      </w:r>
      <w:r w:rsidR="00300865">
        <w:t xml:space="preserve">etroleum, coal, chemical </w:t>
      </w:r>
      <w:r w:rsidR="00577D27">
        <w:t>and</w:t>
      </w:r>
      <w:r w:rsidR="00300865">
        <w:t xml:space="preserve"> rubber products (P</w:t>
      </w:r>
      <w:r w:rsidR="00782A1F">
        <w:t>CCR</w:t>
      </w:r>
      <w:r w:rsidR="00300865">
        <w:t>)</w:t>
      </w:r>
      <w:r w:rsidR="00782A1F">
        <w:t xml:space="preserve">, </w:t>
      </w:r>
      <w:r w:rsidR="00300865">
        <w:t xml:space="preserve">Food, beverage </w:t>
      </w:r>
      <w:r w:rsidR="00577D27">
        <w:t>and</w:t>
      </w:r>
      <w:r w:rsidR="00300865">
        <w:t xml:space="preserve"> tobacco products (</w:t>
      </w:r>
      <w:r w:rsidR="00782A1F">
        <w:t>FBT</w:t>
      </w:r>
      <w:r w:rsidR="00300865">
        <w:t>)</w:t>
      </w:r>
      <w:r w:rsidR="00782A1F">
        <w:t xml:space="preserve"> and </w:t>
      </w:r>
      <w:r w:rsidR="00300865">
        <w:t>Metal products (</w:t>
      </w:r>
      <w:r w:rsidR="00782A1F">
        <w:t>MP</w:t>
      </w:r>
      <w:r w:rsidR="00300865">
        <w:t>)</w:t>
      </w:r>
      <w:r w:rsidR="00782A1F">
        <w:t xml:space="preserve"> making the larger negative contributions</w:t>
      </w:r>
      <w:r w:rsidR="00692A97">
        <w:t xml:space="preserve"> (as discussed in chapter 3)</w:t>
      </w:r>
      <w:r>
        <w:t xml:space="preserve">. </w:t>
      </w:r>
      <w:r w:rsidR="00755837">
        <w:t xml:space="preserve">The MFP decline was due in part to a slowdown in VA growth, to which almost </w:t>
      </w:r>
      <w:r w:rsidR="00B2293C">
        <w:t>all the subsectors made similar-sized contributions</w:t>
      </w:r>
      <w:r w:rsidR="00755837">
        <w:t>.</w:t>
      </w:r>
      <w:r w:rsidR="00B2293C">
        <w:t xml:space="preserve"> </w:t>
      </w:r>
      <w:r w:rsidR="00755837">
        <w:t xml:space="preserve">The exceptions were </w:t>
      </w:r>
      <w:r w:rsidR="00300865">
        <w:t>Non-metallic mineral products (</w:t>
      </w:r>
      <w:r w:rsidR="00755837">
        <w:t>NM</w:t>
      </w:r>
      <w:r w:rsidR="00300865">
        <w:t>)</w:t>
      </w:r>
      <w:r w:rsidR="00B2293C">
        <w:t xml:space="preserve">, which </w:t>
      </w:r>
      <w:r w:rsidR="002E59F4">
        <w:t>made very little difference between the cycles,</w:t>
      </w:r>
      <w:r w:rsidR="00B2293C">
        <w:t xml:space="preserve"> and MP, which made a stand-out positive contribution. </w:t>
      </w:r>
      <w:r w:rsidR="002E59F4">
        <w:t>The other driver of the MFP decline was the</w:t>
      </w:r>
      <w:r w:rsidR="00755837">
        <w:t xml:space="preserve"> </w:t>
      </w:r>
      <w:r w:rsidR="00B2293C">
        <w:t xml:space="preserve">acceleration in </w:t>
      </w:r>
      <w:r w:rsidR="0009689C">
        <w:t>Manufacturing</w:t>
      </w:r>
      <w:r w:rsidR="00B2293C">
        <w:t xml:space="preserve"> inputs</w:t>
      </w:r>
      <w:r w:rsidR="00692A97">
        <w:t xml:space="preserve"> </w:t>
      </w:r>
      <w:r w:rsidR="00B2293C">
        <w:t>growth</w:t>
      </w:r>
      <w:r w:rsidR="002E59F4">
        <w:t>. This</w:t>
      </w:r>
      <w:r w:rsidR="00755837">
        <w:t xml:space="preserve"> was</w:t>
      </w:r>
      <w:r w:rsidR="00B2293C">
        <w:t xml:space="preserve"> less eve</w:t>
      </w:r>
      <w:r w:rsidR="002E59F4">
        <w:t>nly spread across subsectors. It</w:t>
      </w:r>
      <w:r w:rsidR="00B2293C">
        <w:t xml:space="preserve"> was driven largely by FBT and MP (for labour input</w:t>
      </w:r>
      <w:r w:rsidR="002E59F4">
        <w:t>s</w:t>
      </w:r>
      <w:r w:rsidR="00B2293C">
        <w:t>) and by MP and PCCR (for capital input</w:t>
      </w:r>
      <w:r w:rsidR="002E59F4">
        <w:t>s</w:t>
      </w:r>
      <w:r w:rsidR="00B2293C">
        <w:t xml:space="preserve">). </w:t>
      </w:r>
    </w:p>
    <w:p w:rsidR="00C80C02" w:rsidRDefault="00C80C02">
      <w:pPr>
        <w:pStyle w:val="FigureTitle"/>
      </w:pPr>
      <w:r>
        <w:rPr>
          <w:b w:val="0"/>
        </w:rPr>
        <w:lastRenderedPageBreak/>
        <w:t xml:space="preserve">Figure </w:t>
      </w:r>
      <w:bookmarkStart w:id="6" w:name="OLE_LINK5"/>
      <w:r w:rsidR="00F533DF">
        <w:rPr>
          <w:b w:val="0"/>
        </w:rPr>
        <w:t>D.</w:t>
      </w:r>
      <w:r w:rsidR="00F020EC">
        <w:rPr>
          <w:b w:val="0"/>
          <w:noProof/>
        </w:rPr>
        <w:t>2</w:t>
      </w:r>
      <w:bookmarkEnd w:id="6"/>
      <w:r>
        <w:tab/>
        <w:t xml:space="preserve">Subsector contributions to </w:t>
      </w:r>
      <w:r w:rsidR="0087194F">
        <w:t xml:space="preserve">total Manufacturing </w:t>
      </w:r>
      <w:r>
        <w:t xml:space="preserve">MFP </w:t>
      </w:r>
      <w:r w:rsidR="0087194F">
        <w:t xml:space="preserve">growth </w:t>
      </w:r>
      <w:r>
        <w:t xml:space="preserve">and </w:t>
      </w:r>
      <w:r w:rsidR="0087194F">
        <w:t xml:space="preserve">its </w:t>
      </w:r>
      <w:r>
        <w:t>proximate causes</w:t>
      </w:r>
      <w:r w:rsidR="0087194F">
        <w:t xml:space="preserve"> between cycles 3 and 4</w:t>
      </w:r>
      <w:r w:rsidR="00B02196" w:rsidRPr="00B02196">
        <w:rPr>
          <w:rStyle w:val="NoteLabel"/>
          <w:b/>
        </w:rPr>
        <w:t>a</w:t>
      </w:r>
    </w:p>
    <w:p w:rsidR="00C80C02" w:rsidRDefault="00C80C02">
      <w:pPr>
        <w:pStyle w:val="Subtitle"/>
      </w:pPr>
      <w:r>
        <w:t>Percentage point change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C80C02" w:rsidTr="00E4362E">
        <w:trPr>
          <w:trHeight w:val="246"/>
        </w:trPr>
        <w:tc>
          <w:tcPr>
            <w:tcW w:w="4388" w:type="dxa"/>
          </w:tcPr>
          <w:p w:rsidR="00C80C02" w:rsidRDefault="000F49A3" w:rsidP="00B14C13">
            <w:pPr>
              <w:pStyle w:val="Figure"/>
              <w:spacing w:before="0" w:after="0"/>
              <w:ind w:left="-119" w:right="-104"/>
            </w:pPr>
            <w:r>
              <w:pict>
                <v:shape id="_x0000_i1028" type="#_x0000_t75" alt="Details on this figure can be found within the text immediately before this image." style="width:214.35pt;height:205.95pt">
                  <v:imagedata r:id="rId12" o:title=""/>
                </v:shape>
              </w:pict>
            </w:r>
          </w:p>
        </w:tc>
        <w:tc>
          <w:tcPr>
            <w:tcW w:w="4389" w:type="dxa"/>
          </w:tcPr>
          <w:p w:rsidR="00C80C02" w:rsidRDefault="000F49A3" w:rsidP="00B14C13">
            <w:pPr>
              <w:pStyle w:val="Figure"/>
              <w:spacing w:before="0" w:after="0"/>
              <w:ind w:left="-112" w:right="-109"/>
            </w:pPr>
            <w:r>
              <w:pict>
                <v:shape id="_x0000_i1029" type="#_x0000_t75" alt="Details on this figure can be found within the text immediately before this image." style="width:214.35pt;height:205.95pt">
                  <v:imagedata r:id="rId13" o:title=""/>
                </v:shape>
              </w:pict>
            </w:r>
          </w:p>
        </w:tc>
      </w:tr>
      <w:tr w:rsidR="00C80C02" w:rsidTr="00E4362E">
        <w:tblPrEx>
          <w:tblCellMar>
            <w:left w:w="0" w:type="dxa"/>
            <w:right w:w="0" w:type="dxa"/>
          </w:tblCellMar>
        </w:tblPrEx>
        <w:trPr>
          <w:trHeight w:val="245"/>
        </w:trPr>
        <w:tc>
          <w:tcPr>
            <w:tcW w:w="4388" w:type="dxa"/>
          </w:tcPr>
          <w:p w:rsidR="00C80C02" w:rsidRDefault="000F49A3" w:rsidP="008C6B7C">
            <w:pPr>
              <w:pStyle w:val="Figure"/>
              <w:spacing w:before="0" w:after="0"/>
            </w:pPr>
            <w:r>
              <w:pict>
                <v:shape id="_x0000_i1030" type="#_x0000_t75" alt="Details on this figure can be found within the text immediately before this image." style="width:215.15pt;height:205.95pt">
                  <v:imagedata r:id="rId14" o:title=""/>
                </v:shape>
              </w:pict>
            </w:r>
          </w:p>
        </w:tc>
        <w:tc>
          <w:tcPr>
            <w:tcW w:w="4389" w:type="dxa"/>
          </w:tcPr>
          <w:p w:rsidR="00C80C02" w:rsidRDefault="000F49A3" w:rsidP="008C6B7C">
            <w:pPr>
              <w:pStyle w:val="Figure"/>
              <w:spacing w:before="0" w:after="0"/>
            </w:pPr>
            <w:r>
              <w:pict>
                <v:shape id="_x0000_i1031" type="#_x0000_t75" alt="Details on this figure can be found within the text immediately before this image." style="width:215.15pt;height:205.95pt">
                  <v:imagedata r:id="rId15" o:title=""/>
                </v:shape>
              </w:pict>
            </w:r>
          </w:p>
        </w:tc>
      </w:tr>
    </w:tbl>
    <w:p w:rsidR="00C80C02" w:rsidRPr="004324C5" w:rsidRDefault="00103B92" w:rsidP="00A34950">
      <w:pPr>
        <w:pStyle w:val="Note"/>
        <w:spacing w:before="0"/>
      </w:pPr>
      <w:r w:rsidRPr="00CD5F36">
        <w:t xml:space="preserve">FBT </w:t>
      </w:r>
      <w:r w:rsidR="005E2E96">
        <w:t>is</w:t>
      </w:r>
      <w:r w:rsidRPr="00CD5F36">
        <w:t xml:space="preserve"> Food, beverage </w:t>
      </w:r>
      <w:r>
        <w:t>and</w:t>
      </w:r>
      <w:r w:rsidRPr="00CD5F36">
        <w:t xml:space="preserve"> tobacco products; ME </w:t>
      </w:r>
      <w:r w:rsidR="005E2E96">
        <w:t>is</w:t>
      </w:r>
      <w:r w:rsidRPr="00CD5F36">
        <w:t xml:space="preserve"> Machinery </w:t>
      </w:r>
      <w:r>
        <w:t>and</w:t>
      </w:r>
      <w:r w:rsidRPr="00CD5F36">
        <w:t xml:space="preserve"> equipment manufacturing; MP </w:t>
      </w:r>
      <w:r w:rsidR="005E2E96">
        <w:t>is</w:t>
      </w:r>
      <w:r w:rsidRPr="00CD5F36">
        <w:t xml:space="preserve"> Metal products; NM </w:t>
      </w:r>
      <w:r w:rsidR="005E2E96">
        <w:t>is</w:t>
      </w:r>
      <w:r w:rsidRPr="00CD5F36">
        <w:t xml:space="preserve"> Non-metallic mineral products; </w:t>
      </w:r>
      <w:r w:rsidR="000D5F60" w:rsidRPr="00CD5F36">
        <w:t xml:space="preserve">PCCR </w:t>
      </w:r>
      <w:r w:rsidR="005E2E96">
        <w:t>is</w:t>
      </w:r>
      <w:r w:rsidR="000D5F60" w:rsidRPr="00CD5F36">
        <w:t xml:space="preserve"> Petroleum, coal, chemical </w:t>
      </w:r>
      <w:r w:rsidR="00577D27">
        <w:t>and</w:t>
      </w:r>
      <w:r w:rsidR="000D5F60" w:rsidRPr="00CD5F36">
        <w:t xml:space="preserve"> rubber products</w:t>
      </w:r>
      <w:r>
        <w:t xml:space="preserve">; </w:t>
      </w:r>
      <w:r w:rsidRPr="00CD5F36">
        <w:t>PRM</w:t>
      </w:r>
      <w:r>
        <w:t> </w:t>
      </w:r>
      <w:r w:rsidR="005E2E96">
        <w:t>is</w:t>
      </w:r>
      <w:r w:rsidRPr="00CD5F36">
        <w:t xml:space="preserve"> Printing </w:t>
      </w:r>
      <w:r>
        <w:t>and</w:t>
      </w:r>
      <w:r w:rsidRPr="00CD5F36">
        <w:t xml:space="preserve"> recorded media; TCO </w:t>
      </w:r>
      <w:r w:rsidR="005E2E96">
        <w:t>is</w:t>
      </w:r>
      <w:r w:rsidRPr="00CD5F36">
        <w:t xml:space="preserve"> Textile, clothing </w:t>
      </w:r>
      <w:r>
        <w:t>and</w:t>
      </w:r>
      <w:r w:rsidRPr="00CD5F36">
        <w:t xml:space="preserve"> other manufacturing; WP </w:t>
      </w:r>
      <w:r w:rsidR="005E2E96">
        <w:t>is</w:t>
      </w:r>
      <w:r w:rsidRPr="00CD5F36">
        <w:t xml:space="preserve"> Wood </w:t>
      </w:r>
      <w:r>
        <w:t>and</w:t>
      </w:r>
      <w:r w:rsidRPr="00CD5F36">
        <w:t xml:space="preserve"> paper products</w:t>
      </w:r>
      <w:r>
        <w:t xml:space="preserve">. </w:t>
      </w:r>
      <w:r w:rsidR="00C80C02">
        <w:rPr>
          <w:rStyle w:val="NoteLabel"/>
        </w:rPr>
        <w:t>a</w:t>
      </w:r>
      <w:r w:rsidR="00CD5F36">
        <w:t> </w:t>
      </w:r>
      <w:r w:rsidR="009117FC">
        <w:t xml:space="preserve">Due to approximation errors, the subsector contributions do not sum to the ABS data shown in </w:t>
      </w:r>
      <w:r w:rsidR="004324C5">
        <w:t xml:space="preserve">figure </w:t>
      </w:r>
      <w:r w:rsidR="00F533DF">
        <w:t>D.1</w:t>
      </w:r>
      <w:r w:rsidR="009117FC">
        <w:t>.</w:t>
      </w:r>
      <w:r w:rsidR="004324C5">
        <w:t xml:space="preserve"> See chapter 3 and appendix A for details.</w:t>
      </w:r>
    </w:p>
    <w:p w:rsidR="00C80C02" w:rsidRDefault="00C80C02">
      <w:pPr>
        <w:pStyle w:val="Source"/>
      </w:pPr>
      <w:r>
        <w:rPr>
          <w:i/>
        </w:rPr>
        <w:t>Data source</w:t>
      </w:r>
      <w:r w:rsidRPr="00167F06">
        <w:t xml:space="preserve">: </w:t>
      </w:r>
      <w:r w:rsidR="004B589C">
        <w:t>Authors’ estimates</w:t>
      </w:r>
      <w:r w:rsidR="00A317BE">
        <w:t>.</w:t>
      </w:r>
    </w:p>
    <w:p w:rsidR="006E0128" w:rsidRDefault="006E0128" w:rsidP="00A671CF">
      <w:pPr>
        <w:pStyle w:val="Heading4"/>
        <w:spacing w:before="360"/>
        <w:rPr>
          <w:rStyle w:val="BodyTextChar"/>
        </w:rPr>
      </w:pPr>
      <w:r>
        <w:rPr>
          <w:rStyle w:val="BodyTextChar"/>
        </w:rPr>
        <w:t>Within and between effects</w:t>
      </w:r>
    </w:p>
    <w:p w:rsidR="006E0128" w:rsidRDefault="006E0128" w:rsidP="006E0128">
      <w:pPr>
        <w:pStyle w:val="BodyText"/>
      </w:pPr>
      <w:r w:rsidRPr="00E11023">
        <w:rPr>
          <w:rStyle w:val="BodyTextChar"/>
        </w:rPr>
        <w:t>The contribution</w:t>
      </w:r>
      <w:r>
        <w:t xml:space="preserve"> of a subsector to the change in aggregate Manufacturing MFP growth is a combination of changes in its MFP growth and changes in its relative size (that is, changes in the subsector composition of the Manufacturing sector). It is possible to decompose the subsector contributions into these two components — referred to as within and between effects, respectively. (This is also called shift-</w:t>
      </w:r>
      <w:r>
        <w:lastRenderedPageBreak/>
        <w:t xml:space="preserve">share analysis.) By looking at the between effects, it is possible to determine the importance of compositional change to the change in aggregate Manufacturing MFP (box </w:t>
      </w:r>
      <w:r w:rsidR="00F533DF">
        <w:t>D.1</w:t>
      </w:r>
      <w:r>
        <w:t>). Between cycles 3 and 4, change in the composition of Manufacturing between subsectors made little contribution to the change in Manufacturing MFP, accounting for only 1.4 per cent of the total MFP decline in Manufacturing.</w:t>
      </w:r>
      <w:r>
        <w:rPr>
          <w:rStyle w:val="FootnoteReference"/>
        </w:rPr>
        <w:t xml:space="preserve"> </w:t>
      </w:r>
      <w:r>
        <w:t>Change in the composition of the subsectors will be captured in the within effect.</w:t>
      </w:r>
    </w:p>
    <w:p w:rsidR="006E0128" w:rsidRDefault="006E0128" w:rsidP="006E012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0128" w:rsidTr="00F546F1">
        <w:tc>
          <w:tcPr>
            <w:tcW w:w="8771" w:type="dxa"/>
            <w:tcBorders>
              <w:top w:val="single" w:sz="6" w:space="0" w:color="auto"/>
              <w:bottom w:val="nil"/>
            </w:tcBorders>
          </w:tcPr>
          <w:p w:rsidR="006E0128" w:rsidRDefault="006E0128" w:rsidP="00E408F8">
            <w:pPr>
              <w:pStyle w:val="BoxTitle"/>
            </w:pPr>
            <w:r>
              <w:rPr>
                <w:b w:val="0"/>
              </w:rPr>
              <w:t xml:space="preserve">Box </w:t>
            </w:r>
            <w:bookmarkStart w:id="7" w:name="OLE_LINK14"/>
            <w:r w:rsidR="00F533DF">
              <w:rPr>
                <w:b w:val="0"/>
              </w:rPr>
              <w:t>D.</w:t>
            </w:r>
            <w:r w:rsidR="00F020EC">
              <w:rPr>
                <w:b w:val="0"/>
                <w:noProof/>
              </w:rPr>
              <w:t>1</w:t>
            </w:r>
            <w:bookmarkEnd w:id="7"/>
            <w:r>
              <w:tab/>
              <w:t>Contribution of compositional change to MFP growth</w:t>
            </w:r>
          </w:p>
        </w:tc>
      </w:tr>
      <w:tr w:rsidR="006E0128" w:rsidTr="00F546F1">
        <w:trPr>
          <w:cantSplit/>
        </w:trPr>
        <w:tc>
          <w:tcPr>
            <w:tcW w:w="8771" w:type="dxa"/>
            <w:tcBorders>
              <w:top w:val="nil"/>
              <w:left w:val="single" w:sz="6" w:space="0" w:color="auto"/>
              <w:bottom w:val="nil"/>
              <w:right w:val="single" w:sz="6" w:space="0" w:color="auto"/>
            </w:tcBorders>
          </w:tcPr>
          <w:p w:rsidR="006E0128" w:rsidRPr="00B26460" w:rsidRDefault="006E0128" w:rsidP="00A671CF">
            <w:pPr>
              <w:pStyle w:val="Box"/>
            </w:pPr>
            <w:r w:rsidRPr="00B26460">
              <w:t xml:space="preserve">MFP growth in aggregate Manufacturing can be broken down into growth due to change in the subsector rates of MFP growth and growth due to change in the subsector composition of the Manufacturing sector. This is done by estimating what aggregate Manufacturing MFP growth would have been as a result only of the subsector rates of growth (that is, if there had been no change in the subsector composition of Manufacturing) (the within effect) and comparing it to the actual change in MFP growth. The difference is the compositional (or between) effect. </w:t>
            </w:r>
          </w:p>
          <w:p w:rsidR="006E0128" w:rsidRPr="00A671CF" w:rsidRDefault="006E0128" w:rsidP="00A671CF">
            <w:pPr>
              <w:pStyle w:val="Box"/>
            </w:pPr>
            <w:r w:rsidRPr="00A671CF">
              <w:t xml:space="preserve">The table below shows this decomposition for cycles 3 and 4. Comparing the magnitude of the within and between effects, the within effects were generally far more significant than the between effects for each subsector. The exception is </w:t>
            </w:r>
            <w:r w:rsidR="00266915">
              <w:t>TCO</w:t>
            </w:r>
            <w:r w:rsidRPr="00A671CF">
              <w:t xml:space="preserve"> in cycle 4, which would have increased Manufacturing MFP (by 0.08 of a percentage point) if its relative size had not declined. </w:t>
            </w:r>
          </w:p>
          <w:p w:rsidR="006E0128" w:rsidRPr="0079528F" w:rsidRDefault="006E0128" w:rsidP="0079528F">
            <w:pPr>
              <w:pStyle w:val="Box"/>
              <w:rPr>
                <w:b/>
              </w:rPr>
            </w:pPr>
            <w:r w:rsidRPr="0079528F">
              <w:rPr>
                <w:b/>
              </w:rPr>
              <w:t>Within and between effects for subsector</w:t>
            </w:r>
            <w:r w:rsidR="00B66667" w:rsidRPr="00103B92">
              <w:rPr>
                <w:rStyle w:val="NoteLabel"/>
              </w:rPr>
              <w:t>a</w:t>
            </w:r>
            <w:r w:rsidRPr="0079528F">
              <w:rPr>
                <w:b/>
              </w:rPr>
              <w:t xml:space="preserve"> MFP contributions</w:t>
            </w:r>
          </w:p>
          <w:p w:rsidR="006E0128" w:rsidRPr="00F36ADF" w:rsidRDefault="006E0128" w:rsidP="007E3956">
            <w:pPr>
              <w:pStyle w:val="Subtitle"/>
              <w:ind w:left="0"/>
              <w:rPr>
                <w:b/>
              </w:rPr>
            </w:pPr>
            <w:r w:rsidRPr="00F36ADF">
              <w:t>Percentage point contributions</w:t>
            </w:r>
          </w:p>
          <w:tbl>
            <w:tblPr>
              <w:tblW w:w="5000" w:type="pct"/>
              <w:tblLayout w:type="fixed"/>
              <w:tblCellMar>
                <w:left w:w="0" w:type="dxa"/>
                <w:right w:w="0" w:type="dxa"/>
              </w:tblCellMar>
              <w:tblLook w:val="0000" w:firstRow="0" w:lastRow="0" w:firstColumn="0" w:lastColumn="0" w:noHBand="0" w:noVBand="0"/>
            </w:tblPr>
            <w:tblGrid>
              <w:gridCol w:w="687"/>
              <w:gridCol w:w="850"/>
              <w:gridCol w:w="850"/>
              <w:gridCol w:w="850"/>
              <w:gridCol w:w="143"/>
              <w:gridCol w:w="850"/>
              <w:gridCol w:w="850"/>
              <w:gridCol w:w="852"/>
              <w:gridCol w:w="139"/>
              <w:gridCol w:w="805"/>
              <w:gridCol w:w="805"/>
              <w:gridCol w:w="806"/>
            </w:tblGrid>
            <w:tr w:rsidR="00A05957" w:rsidTr="00A05957">
              <w:tc>
                <w:tcPr>
                  <w:tcW w:w="404" w:type="pct"/>
                  <w:tcBorders>
                    <w:top w:val="single" w:sz="4" w:space="0" w:color="auto"/>
                  </w:tcBorders>
                  <w:shd w:val="clear" w:color="auto" w:fill="auto"/>
                  <w:vAlign w:val="bottom"/>
                </w:tcPr>
                <w:p w:rsidR="00A05957" w:rsidRDefault="00A05957" w:rsidP="00941C7A">
                  <w:pPr>
                    <w:pStyle w:val="TableColumnHeading"/>
                    <w:jc w:val="center"/>
                  </w:pPr>
                </w:p>
              </w:tc>
              <w:tc>
                <w:tcPr>
                  <w:tcW w:w="1503" w:type="pct"/>
                  <w:gridSpan w:val="3"/>
                  <w:tcBorders>
                    <w:top w:val="single" w:sz="6" w:space="0" w:color="auto"/>
                    <w:bottom w:val="single" w:sz="6" w:space="0" w:color="auto"/>
                  </w:tcBorders>
                  <w:shd w:val="clear" w:color="auto" w:fill="auto"/>
                  <w:vAlign w:val="bottom"/>
                </w:tcPr>
                <w:p w:rsidR="00A05957" w:rsidRDefault="00A05957" w:rsidP="00941C7A">
                  <w:pPr>
                    <w:pStyle w:val="TableColumnHeading"/>
                    <w:jc w:val="center"/>
                  </w:pPr>
                  <w:r>
                    <w:t>Cycle 3</w:t>
                  </w:r>
                </w:p>
              </w:tc>
              <w:tc>
                <w:tcPr>
                  <w:tcW w:w="84" w:type="pct"/>
                  <w:tcBorders>
                    <w:top w:val="single" w:sz="4" w:space="0" w:color="auto"/>
                  </w:tcBorders>
                  <w:shd w:val="clear" w:color="auto" w:fill="auto"/>
                  <w:vAlign w:val="bottom"/>
                </w:tcPr>
                <w:p w:rsidR="00A05957" w:rsidRDefault="00A05957" w:rsidP="00941C7A">
                  <w:pPr>
                    <w:pStyle w:val="TableColumnHeading"/>
                    <w:jc w:val="center"/>
                  </w:pPr>
                </w:p>
              </w:tc>
              <w:tc>
                <w:tcPr>
                  <w:tcW w:w="1503" w:type="pct"/>
                  <w:gridSpan w:val="3"/>
                  <w:tcBorders>
                    <w:top w:val="single" w:sz="6" w:space="0" w:color="auto"/>
                    <w:bottom w:val="single" w:sz="6" w:space="0" w:color="auto"/>
                  </w:tcBorders>
                  <w:shd w:val="clear" w:color="auto" w:fill="auto"/>
                  <w:vAlign w:val="bottom"/>
                </w:tcPr>
                <w:p w:rsidR="00A05957" w:rsidRDefault="00A05957" w:rsidP="00941C7A">
                  <w:pPr>
                    <w:pStyle w:val="TableColumnHeading"/>
                    <w:jc w:val="center"/>
                  </w:pPr>
                  <w:r>
                    <w:t>Cycle 4</w:t>
                  </w:r>
                </w:p>
              </w:tc>
              <w:tc>
                <w:tcPr>
                  <w:tcW w:w="82" w:type="pct"/>
                  <w:tcBorders>
                    <w:top w:val="single" w:sz="4" w:space="0" w:color="auto"/>
                  </w:tcBorders>
                  <w:shd w:val="clear" w:color="auto" w:fill="auto"/>
                  <w:vAlign w:val="bottom"/>
                </w:tcPr>
                <w:p w:rsidR="00A05957" w:rsidRDefault="00A05957" w:rsidP="00941C7A">
                  <w:pPr>
                    <w:pStyle w:val="TableColumnHeading"/>
                    <w:ind w:right="28"/>
                    <w:jc w:val="center"/>
                  </w:pPr>
                </w:p>
              </w:tc>
              <w:tc>
                <w:tcPr>
                  <w:tcW w:w="1423" w:type="pct"/>
                  <w:gridSpan w:val="3"/>
                  <w:tcBorders>
                    <w:top w:val="single" w:sz="6" w:space="0" w:color="auto"/>
                    <w:bottom w:val="single" w:sz="6" w:space="0" w:color="auto"/>
                  </w:tcBorders>
                  <w:shd w:val="clear" w:color="auto" w:fill="auto"/>
                  <w:vAlign w:val="bottom"/>
                </w:tcPr>
                <w:p w:rsidR="00A05957" w:rsidRDefault="00A05957" w:rsidP="00941C7A">
                  <w:pPr>
                    <w:pStyle w:val="TableColumnHeading"/>
                    <w:ind w:right="28"/>
                    <w:jc w:val="center"/>
                  </w:pPr>
                  <w:r>
                    <w:t xml:space="preserve">Difference between </w:t>
                  </w:r>
                  <w:r>
                    <w:br/>
                    <w:t>cycles 3 and 4</w:t>
                  </w:r>
                </w:p>
              </w:tc>
            </w:tr>
            <w:tr w:rsidR="00A05957" w:rsidTr="00A05957">
              <w:tc>
                <w:tcPr>
                  <w:tcW w:w="404" w:type="pct"/>
                  <w:tcBorders>
                    <w:bottom w:val="single" w:sz="4" w:space="0" w:color="auto"/>
                  </w:tcBorders>
                </w:tcPr>
                <w:p w:rsidR="00A05957" w:rsidRDefault="00A05957" w:rsidP="00F546F1">
                  <w:pPr>
                    <w:pStyle w:val="TableColumnHeading"/>
                    <w:jc w:val="left"/>
                  </w:pPr>
                </w:p>
              </w:tc>
              <w:tc>
                <w:tcPr>
                  <w:tcW w:w="501" w:type="pct"/>
                  <w:tcBorders>
                    <w:top w:val="single" w:sz="6" w:space="0" w:color="auto"/>
                    <w:bottom w:val="single" w:sz="4" w:space="0" w:color="auto"/>
                  </w:tcBorders>
                </w:tcPr>
                <w:p w:rsidR="00A05957" w:rsidRDefault="00A05957" w:rsidP="00F546F1">
                  <w:pPr>
                    <w:pStyle w:val="TableColumnHeading"/>
                  </w:pPr>
                  <w:r>
                    <w:t>Total</w:t>
                  </w:r>
                </w:p>
              </w:tc>
              <w:tc>
                <w:tcPr>
                  <w:tcW w:w="501" w:type="pct"/>
                  <w:tcBorders>
                    <w:top w:val="single" w:sz="6" w:space="0" w:color="auto"/>
                    <w:bottom w:val="single" w:sz="4" w:space="0" w:color="auto"/>
                  </w:tcBorders>
                </w:tcPr>
                <w:p w:rsidR="00A05957" w:rsidRDefault="00A05957" w:rsidP="00F546F1">
                  <w:pPr>
                    <w:pStyle w:val="TableColumnHeading"/>
                  </w:pPr>
                  <w:r>
                    <w:t>Within</w:t>
                  </w:r>
                </w:p>
              </w:tc>
              <w:tc>
                <w:tcPr>
                  <w:tcW w:w="501" w:type="pct"/>
                  <w:tcBorders>
                    <w:top w:val="single" w:sz="6" w:space="0" w:color="auto"/>
                    <w:bottom w:val="single" w:sz="4" w:space="0" w:color="auto"/>
                  </w:tcBorders>
                </w:tcPr>
                <w:p w:rsidR="00A05957" w:rsidRDefault="00A05957" w:rsidP="00A05957">
                  <w:pPr>
                    <w:pStyle w:val="TableColumnHeading"/>
                    <w:ind w:right="0"/>
                  </w:pPr>
                  <w:r>
                    <w:t>Between</w:t>
                  </w:r>
                </w:p>
              </w:tc>
              <w:tc>
                <w:tcPr>
                  <w:tcW w:w="84" w:type="pct"/>
                  <w:tcBorders>
                    <w:bottom w:val="single" w:sz="4" w:space="0" w:color="auto"/>
                  </w:tcBorders>
                </w:tcPr>
                <w:p w:rsidR="00A05957" w:rsidRDefault="00A05957" w:rsidP="00F546F1">
                  <w:pPr>
                    <w:pStyle w:val="TableColumnHeading"/>
                  </w:pPr>
                </w:p>
              </w:tc>
              <w:tc>
                <w:tcPr>
                  <w:tcW w:w="501" w:type="pct"/>
                  <w:tcBorders>
                    <w:top w:val="single" w:sz="6" w:space="0" w:color="auto"/>
                    <w:bottom w:val="single" w:sz="4" w:space="0" w:color="auto"/>
                  </w:tcBorders>
                </w:tcPr>
                <w:p w:rsidR="00A05957" w:rsidRDefault="00A05957" w:rsidP="006B4722">
                  <w:pPr>
                    <w:pStyle w:val="TableColumnHeading"/>
                  </w:pPr>
                  <w:r>
                    <w:t>Total</w:t>
                  </w:r>
                </w:p>
              </w:tc>
              <w:tc>
                <w:tcPr>
                  <w:tcW w:w="501" w:type="pct"/>
                  <w:tcBorders>
                    <w:top w:val="single" w:sz="6" w:space="0" w:color="auto"/>
                    <w:bottom w:val="single" w:sz="4" w:space="0" w:color="auto"/>
                  </w:tcBorders>
                </w:tcPr>
                <w:p w:rsidR="00A05957" w:rsidRDefault="00A05957" w:rsidP="00F546F1">
                  <w:pPr>
                    <w:pStyle w:val="TableColumnHeading"/>
                  </w:pPr>
                  <w:r>
                    <w:t>Within</w:t>
                  </w:r>
                </w:p>
              </w:tc>
              <w:tc>
                <w:tcPr>
                  <w:tcW w:w="502" w:type="pct"/>
                  <w:tcBorders>
                    <w:top w:val="single" w:sz="6" w:space="0" w:color="auto"/>
                    <w:bottom w:val="single" w:sz="4" w:space="0" w:color="auto"/>
                  </w:tcBorders>
                </w:tcPr>
                <w:p w:rsidR="00A05957" w:rsidRDefault="00A05957" w:rsidP="00A05957">
                  <w:pPr>
                    <w:pStyle w:val="TableColumnHeading"/>
                    <w:ind w:right="0"/>
                  </w:pPr>
                  <w:r>
                    <w:t>Between</w:t>
                  </w:r>
                </w:p>
              </w:tc>
              <w:tc>
                <w:tcPr>
                  <w:tcW w:w="82" w:type="pct"/>
                  <w:tcBorders>
                    <w:bottom w:val="single" w:sz="4" w:space="0" w:color="auto"/>
                  </w:tcBorders>
                </w:tcPr>
                <w:p w:rsidR="00A05957" w:rsidRDefault="00A05957" w:rsidP="00F546F1">
                  <w:pPr>
                    <w:pStyle w:val="TableColumnHeading"/>
                  </w:pPr>
                </w:p>
              </w:tc>
              <w:tc>
                <w:tcPr>
                  <w:tcW w:w="474" w:type="pct"/>
                  <w:tcBorders>
                    <w:top w:val="single" w:sz="6" w:space="0" w:color="auto"/>
                    <w:bottom w:val="single" w:sz="4" w:space="0" w:color="auto"/>
                  </w:tcBorders>
                </w:tcPr>
                <w:p w:rsidR="00A05957" w:rsidRDefault="00A05957" w:rsidP="006B4722">
                  <w:pPr>
                    <w:pStyle w:val="TableColumnHeading"/>
                  </w:pPr>
                  <w:r>
                    <w:t>Total</w:t>
                  </w:r>
                </w:p>
              </w:tc>
              <w:tc>
                <w:tcPr>
                  <w:tcW w:w="474" w:type="pct"/>
                  <w:tcBorders>
                    <w:top w:val="single" w:sz="6" w:space="0" w:color="auto"/>
                    <w:bottom w:val="single" w:sz="4" w:space="0" w:color="auto"/>
                  </w:tcBorders>
                </w:tcPr>
                <w:p w:rsidR="00A05957" w:rsidRDefault="00A05957" w:rsidP="00F546F1">
                  <w:pPr>
                    <w:pStyle w:val="TableColumnHeading"/>
                  </w:pPr>
                  <w:r>
                    <w:t>Within</w:t>
                  </w:r>
                </w:p>
              </w:tc>
              <w:tc>
                <w:tcPr>
                  <w:tcW w:w="475" w:type="pct"/>
                  <w:tcBorders>
                    <w:top w:val="single" w:sz="6" w:space="0" w:color="auto"/>
                    <w:bottom w:val="single" w:sz="4" w:space="0" w:color="auto"/>
                  </w:tcBorders>
                </w:tcPr>
                <w:p w:rsidR="00A05957" w:rsidRDefault="00A05957" w:rsidP="00A05957">
                  <w:pPr>
                    <w:pStyle w:val="TableColumnHeading"/>
                    <w:ind w:right="4"/>
                  </w:pPr>
                  <w:r>
                    <w:t>Between</w:t>
                  </w:r>
                </w:p>
              </w:tc>
            </w:tr>
            <w:tr w:rsidR="00A05957" w:rsidTr="00BD3C5C">
              <w:tc>
                <w:tcPr>
                  <w:tcW w:w="404" w:type="pct"/>
                  <w:tcBorders>
                    <w:top w:val="single" w:sz="4" w:space="0" w:color="auto"/>
                  </w:tcBorders>
                  <w:shd w:val="clear" w:color="auto" w:fill="D9D9D9" w:themeFill="background1" w:themeFillShade="D9"/>
                  <w:vAlign w:val="bottom"/>
                </w:tcPr>
                <w:p w:rsidR="00A05957" w:rsidRDefault="00A05957" w:rsidP="00F546F1">
                  <w:pPr>
                    <w:pStyle w:val="TableBodyText"/>
                    <w:jc w:val="left"/>
                  </w:pPr>
                  <w:r>
                    <w:t>FBT</w:t>
                  </w:r>
                </w:p>
              </w:tc>
              <w:tc>
                <w:tcPr>
                  <w:tcW w:w="501" w:type="pct"/>
                  <w:tcBorders>
                    <w:top w:val="single" w:sz="4" w:space="0" w:color="auto"/>
                  </w:tcBorders>
                  <w:shd w:val="clear" w:color="auto" w:fill="D9D9D9" w:themeFill="background1" w:themeFillShade="D9"/>
                  <w:vAlign w:val="bottom"/>
                </w:tcPr>
                <w:p w:rsidR="00A05957" w:rsidRDefault="00A05957" w:rsidP="00F546F1">
                  <w:pPr>
                    <w:pStyle w:val="TableBodyText"/>
                  </w:pPr>
                  <w:r>
                    <w:t>-0.12</w:t>
                  </w:r>
                </w:p>
              </w:tc>
              <w:tc>
                <w:tcPr>
                  <w:tcW w:w="501" w:type="pct"/>
                  <w:tcBorders>
                    <w:top w:val="single" w:sz="4" w:space="0" w:color="auto"/>
                  </w:tcBorders>
                  <w:shd w:val="clear" w:color="auto" w:fill="D9D9D9" w:themeFill="background1" w:themeFillShade="D9"/>
                  <w:vAlign w:val="bottom"/>
                </w:tcPr>
                <w:p w:rsidR="00A05957" w:rsidRDefault="00A05957" w:rsidP="00F546F1">
                  <w:pPr>
                    <w:pStyle w:val="TableBodyText"/>
                  </w:pPr>
                  <w:r>
                    <w:t>-0.14</w:t>
                  </w:r>
                </w:p>
              </w:tc>
              <w:tc>
                <w:tcPr>
                  <w:tcW w:w="501" w:type="pct"/>
                  <w:tcBorders>
                    <w:top w:val="single" w:sz="4" w:space="0" w:color="auto"/>
                  </w:tcBorders>
                  <w:shd w:val="clear" w:color="auto" w:fill="D9D9D9" w:themeFill="background1" w:themeFillShade="D9"/>
                  <w:vAlign w:val="bottom"/>
                </w:tcPr>
                <w:p w:rsidR="00A05957" w:rsidRDefault="00A05957" w:rsidP="00F546F1">
                  <w:pPr>
                    <w:pStyle w:val="TableBodyText"/>
                  </w:pPr>
                  <w:r>
                    <w:t>0.02</w:t>
                  </w:r>
                </w:p>
              </w:tc>
              <w:tc>
                <w:tcPr>
                  <w:tcW w:w="84" w:type="pct"/>
                  <w:tcBorders>
                    <w:top w:val="single" w:sz="4" w:space="0" w:color="auto"/>
                  </w:tcBorders>
                  <w:shd w:val="clear" w:color="auto" w:fill="D9D9D9" w:themeFill="background1" w:themeFillShade="D9"/>
                  <w:vAlign w:val="bottom"/>
                </w:tcPr>
                <w:p w:rsidR="00A05957" w:rsidRDefault="00A05957" w:rsidP="00F546F1">
                  <w:pPr>
                    <w:pStyle w:val="TableBodyText"/>
                  </w:pPr>
                </w:p>
              </w:tc>
              <w:tc>
                <w:tcPr>
                  <w:tcW w:w="501" w:type="pct"/>
                  <w:tcBorders>
                    <w:top w:val="single" w:sz="4" w:space="0" w:color="auto"/>
                  </w:tcBorders>
                  <w:shd w:val="clear" w:color="auto" w:fill="D9D9D9" w:themeFill="background1" w:themeFillShade="D9"/>
                  <w:vAlign w:val="bottom"/>
                </w:tcPr>
                <w:p w:rsidR="00A05957" w:rsidRDefault="00A05957" w:rsidP="006B4722">
                  <w:pPr>
                    <w:pStyle w:val="TableBodyText"/>
                  </w:pPr>
                  <w:r>
                    <w:t>-0.85</w:t>
                  </w:r>
                </w:p>
              </w:tc>
              <w:tc>
                <w:tcPr>
                  <w:tcW w:w="501" w:type="pct"/>
                  <w:tcBorders>
                    <w:top w:val="single" w:sz="4" w:space="0" w:color="auto"/>
                  </w:tcBorders>
                  <w:shd w:val="clear" w:color="auto" w:fill="D9D9D9" w:themeFill="background1" w:themeFillShade="D9"/>
                  <w:vAlign w:val="bottom"/>
                </w:tcPr>
                <w:p w:rsidR="00A05957" w:rsidRDefault="00A05957" w:rsidP="00F546F1">
                  <w:pPr>
                    <w:pStyle w:val="TableBodyText"/>
                  </w:pPr>
                  <w:r>
                    <w:t>-0.84</w:t>
                  </w:r>
                </w:p>
              </w:tc>
              <w:tc>
                <w:tcPr>
                  <w:tcW w:w="502" w:type="pct"/>
                  <w:tcBorders>
                    <w:top w:val="single" w:sz="4" w:space="0" w:color="auto"/>
                  </w:tcBorders>
                  <w:shd w:val="clear" w:color="auto" w:fill="D9D9D9" w:themeFill="background1" w:themeFillShade="D9"/>
                  <w:vAlign w:val="bottom"/>
                </w:tcPr>
                <w:p w:rsidR="00A05957" w:rsidRDefault="00A05957" w:rsidP="00F546F1">
                  <w:pPr>
                    <w:pStyle w:val="TableBodyText"/>
                  </w:pPr>
                  <w:r>
                    <w:t>-0.02</w:t>
                  </w:r>
                </w:p>
              </w:tc>
              <w:tc>
                <w:tcPr>
                  <w:tcW w:w="82" w:type="pct"/>
                  <w:tcBorders>
                    <w:top w:val="single" w:sz="4" w:space="0" w:color="auto"/>
                  </w:tcBorders>
                  <w:shd w:val="clear" w:color="auto" w:fill="D9D9D9" w:themeFill="background1" w:themeFillShade="D9"/>
                  <w:vAlign w:val="bottom"/>
                </w:tcPr>
                <w:p w:rsidR="00A05957" w:rsidRDefault="00A05957" w:rsidP="00F546F1">
                  <w:pPr>
                    <w:pStyle w:val="TableBodyText"/>
                  </w:pPr>
                </w:p>
              </w:tc>
              <w:tc>
                <w:tcPr>
                  <w:tcW w:w="474" w:type="pct"/>
                  <w:tcBorders>
                    <w:top w:val="single" w:sz="4" w:space="0" w:color="auto"/>
                  </w:tcBorders>
                  <w:shd w:val="clear" w:color="auto" w:fill="D9D9D9" w:themeFill="background1" w:themeFillShade="D9"/>
                  <w:vAlign w:val="bottom"/>
                </w:tcPr>
                <w:p w:rsidR="00A05957" w:rsidRDefault="00A05957" w:rsidP="006B4722">
                  <w:pPr>
                    <w:pStyle w:val="TableBodyText"/>
                  </w:pPr>
                  <w:r>
                    <w:t>-0.73</w:t>
                  </w:r>
                </w:p>
              </w:tc>
              <w:tc>
                <w:tcPr>
                  <w:tcW w:w="474" w:type="pct"/>
                  <w:tcBorders>
                    <w:top w:val="single" w:sz="4" w:space="0" w:color="auto"/>
                  </w:tcBorders>
                  <w:shd w:val="clear" w:color="auto" w:fill="D9D9D9" w:themeFill="background1" w:themeFillShade="D9"/>
                  <w:vAlign w:val="bottom"/>
                </w:tcPr>
                <w:p w:rsidR="00A05957" w:rsidRDefault="00A05957" w:rsidP="00F546F1">
                  <w:pPr>
                    <w:pStyle w:val="TableBodyText"/>
                  </w:pPr>
                  <w:r>
                    <w:t>-0.69</w:t>
                  </w:r>
                </w:p>
              </w:tc>
              <w:tc>
                <w:tcPr>
                  <w:tcW w:w="475" w:type="pct"/>
                  <w:tcBorders>
                    <w:top w:val="single" w:sz="4" w:space="0" w:color="auto"/>
                  </w:tcBorders>
                  <w:shd w:val="clear" w:color="auto" w:fill="D9D9D9" w:themeFill="background1" w:themeFillShade="D9"/>
                  <w:vAlign w:val="bottom"/>
                </w:tcPr>
                <w:p w:rsidR="00A05957" w:rsidRDefault="00A05957" w:rsidP="00F546F1">
                  <w:pPr>
                    <w:pStyle w:val="TableBodyText"/>
                  </w:pPr>
                  <w:r>
                    <w:t>-0.03</w:t>
                  </w:r>
                </w:p>
              </w:tc>
            </w:tr>
            <w:tr w:rsidR="00A05957" w:rsidTr="00A05957">
              <w:tc>
                <w:tcPr>
                  <w:tcW w:w="404" w:type="pct"/>
                  <w:vAlign w:val="bottom"/>
                </w:tcPr>
                <w:p w:rsidR="00A05957" w:rsidRDefault="00A05957" w:rsidP="00F546F1">
                  <w:pPr>
                    <w:pStyle w:val="TableBodyText"/>
                    <w:jc w:val="left"/>
                  </w:pPr>
                  <w:r>
                    <w:t>TCO</w:t>
                  </w:r>
                </w:p>
              </w:tc>
              <w:tc>
                <w:tcPr>
                  <w:tcW w:w="501" w:type="pct"/>
                  <w:vAlign w:val="bottom"/>
                </w:tcPr>
                <w:p w:rsidR="00A05957" w:rsidRDefault="00A05957" w:rsidP="00F546F1">
                  <w:pPr>
                    <w:pStyle w:val="TableBodyText"/>
                  </w:pPr>
                  <w:r>
                    <w:t>0.38</w:t>
                  </w:r>
                </w:p>
              </w:tc>
              <w:tc>
                <w:tcPr>
                  <w:tcW w:w="501" w:type="pct"/>
                  <w:vAlign w:val="bottom"/>
                </w:tcPr>
                <w:p w:rsidR="00A05957" w:rsidRDefault="00A05957" w:rsidP="00F546F1">
                  <w:pPr>
                    <w:pStyle w:val="TableBodyText"/>
                  </w:pPr>
                  <w:r>
                    <w:t>0.41</w:t>
                  </w:r>
                </w:p>
              </w:tc>
              <w:tc>
                <w:tcPr>
                  <w:tcW w:w="501" w:type="pct"/>
                  <w:vAlign w:val="bottom"/>
                </w:tcPr>
                <w:p w:rsidR="00A05957" w:rsidRDefault="00A05957" w:rsidP="00F546F1">
                  <w:pPr>
                    <w:pStyle w:val="TableBodyText"/>
                  </w:pPr>
                  <w:r>
                    <w:t>-0.03</w:t>
                  </w:r>
                </w:p>
              </w:tc>
              <w:tc>
                <w:tcPr>
                  <w:tcW w:w="84" w:type="pct"/>
                  <w:vAlign w:val="bottom"/>
                </w:tcPr>
                <w:p w:rsidR="00A05957" w:rsidRDefault="00A05957" w:rsidP="00F546F1">
                  <w:pPr>
                    <w:pStyle w:val="TableBodyText"/>
                  </w:pPr>
                </w:p>
              </w:tc>
              <w:tc>
                <w:tcPr>
                  <w:tcW w:w="501" w:type="pct"/>
                  <w:vAlign w:val="bottom"/>
                </w:tcPr>
                <w:p w:rsidR="00A05957" w:rsidRDefault="00A05957" w:rsidP="006B4722">
                  <w:pPr>
                    <w:pStyle w:val="TableBodyText"/>
                  </w:pPr>
                  <w:r>
                    <w:t>-0.02</w:t>
                  </w:r>
                </w:p>
              </w:tc>
              <w:tc>
                <w:tcPr>
                  <w:tcW w:w="501" w:type="pct"/>
                  <w:vAlign w:val="bottom"/>
                </w:tcPr>
                <w:p w:rsidR="00A05957" w:rsidRDefault="00A05957" w:rsidP="00F546F1">
                  <w:pPr>
                    <w:pStyle w:val="TableBodyText"/>
                  </w:pPr>
                  <w:r>
                    <w:t>0.08</w:t>
                  </w:r>
                </w:p>
              </w:tc>
              <w:tc>
                <w:tcPr>
                  <w:tcW w:w="502" w:type="pct"/>
                  <w:vAlign w:val="bottom"/>
                </w:tcPr>
                <w:p w:rsidR="00A05957" w:rsidRDefault="00A05957" w:rsidP="00F546F1">
                  <w:pPr>
                    <w:pStyle w:val="TableBodyText"/>
                  </w:pPr>
                  <w:r>
                    <w:t>-0.10</w:t>
                  </w:r>
                </w:p>
              </w:tc>
              <w:tc>
                <w:tcPr>
                  <w:tcW w:w="82" w:type="pct"/>
                  <w:vAlign w:val="bottom"/>
                </w:tcPr>
                <w:p w:rsidR="00A05957" w:rsidRDefault="00A05957" w:rsidP="00F546F1">
                  <w:pPr>
                    <w:pStyle w:val="TableBodyText"/>
                  </w:pPr>
                </w:p>
              </w:tc>
              <w:tc>
                <w:tcPr>
                  <w:tcW w:w="474" w:type="pct"/>
                  <w:vAlign w:val="bottom"/>
                </w:tcPr>
                <w:p w:rsidR="00A05957" w:rsidRDefault="00A05957" w:rsidP="006B4722">
                  <w:pPr>
                    <w:pStyle w:val="TableBodyText"/>
                  </w:pPr>
                  <w:r>
                    <w:t>-0.40</w:t>
                  </w:r>
                </w:p>
              </w:tc>
              <w:tc>
                <w:tcPr>
                  <w:tcW w:w="474" w:type="pct"/>
                  <w:vAlign w:val="bottom"/>
                </w:tcPr>
                <w:p w:rsidR="00A05957" w:rsidRDefault="00A05957" w:rsidP="00F546F1">
                  <w:pPr>
                    <w:pStyle w:val="TableBodyText"/>
                  </w:pPr>
                  <w:r>
                    <w:t>-0.33</w:t>
                  </w:r>
                </w:p>
              </w:tc>
              <w:tc>
                <w:tcPr>
                  <w:tcW w:w="475" w:type="pct"/>
                  <w:vAlign w:val="bottom"/>
                </w:tcPr>
                <w:p w:rsidR="00A05957" w:rsidRDefault="00A05957" w:rsidP="00F546F1">
                  <w:pPr>
                    <w:pStyle w:val="TableBodyText"/>
                  </w:pPr>
                  <w:r>
                    <w:t>-0.07</w:t>
                  </w:r>
                </w:p>
              </w:tc>
            </w:tr>
            <w:tr w:rsidR="00A05957" w:rsidTr="00BD3C5C">
              <w:tc>
                <w:tcPr>
                  <w:tcW w:w="404" w:type="pct"/>
                  <w:shd w:val="clear" w:color="auto" w:fill="D9D9D9" w:themeFill="background1" w:themeFillShade="D9"/>
                  <w:vAlign w:val="bottom"/>
                </w:tcPr>
                <w:p w:rsidR="00A05957" w:rsidRDefault="00A05957" w:rsidP="00F546F1">
                  <w:pPr>
                    <w:pStyle w:val="TableBodyText"/>
                    <w:jc w:val="left"/>
                  </w:pPr>
                  <w:r>
                    <w:t>WP</w:t>
                  </w:r>
                </w:p>
              </w:tc>
              <w:tc>
                <w:tcPr>
                  <w:tcW w:w="501" w:type="pct"/>
                  <w:shd w:val="clear" w:color="auto" w:fill="D9D9D9" w:themeFill="background1" w:themeFillShade="D9"/>
                  <w:vAlign w:val="bottom"/>
                </w:tcPr>
                <w:p w:rsidR="00A05957" w:rsidRDefault="00A05957" w:rsidP="00F546F1">
                  <w:pPr>
                    <w:pStyle w:val="TableBodyText"/>
                  </w:pPr>
                  <w:r>
                    <w:t>-0.11</w:t>
                  </w:r>
                </w:p>
              </w:tc>
              <w:tc>
                <w:tcPr>
                  <w:tcW w:w="501" w:type="pct"/>
                  <w:shd w:val="clear" w:color="auto" w:fill="D9D9D9" w:themeFill="background1" w:themeFillShade="D9"/>
                  <w:vAlign w:val="bottom"/>
                </w:tcPr>
                <w:p w:rsidR="00A05957" w:rsidRDefault="00A05957" w:rsidP="00F546F1">
                  <w:pPr>
                    <w:pStyle w:val="TableBodyText"/>
                  </w:pPr>
                  <w:r>
                    <w:t>-0.08</w:t>
                  </w:r>
                </w:p>
              </w:tc>
              <w:tc>
                <w:tcPr>
                  <w:tcW w:w="501" w:type="pct"/>
                  <w:shd w:val="clear" w:color="auto" w:fill="D9D9D9" w:themeFill="background1" w:themeFillShade="D9"/>
                  <w:vAlign w:val="bottom"/>
                </w:tcPr>
                <w:p w:rsidR="00A05957" w:rsidRDefault="00A05957" w:rsidP="00F546F1">
                  <w:pPr>
                    <w:pStyle w:val="TableBodyText"/>
                  </w:pPr>
                  <w:r>
                    <w:t>-0.03</w:t>
                  </w:r>
                </w:p>
              </w:tc>
              <w:tc>
                <w:tcPr>
                  <w:tcW w:w="84" w:type="pct"/>
                  <w:shd w:val="clear" w:color="auto" w:fill="D9D9D9" w:themeFill="background1" w:themeFillShade="D9"/>
                  <w:vAlign w:val="bottom"/>
                </w:tcPr>
                <w:p w:rsidR="00A05957" w:rsidRDefault="00A05957" w:rsidP="00F546F1">
                  <w:pPr>
                    <w:pStyle w:val="TableBodyText"/>
                  </w:pPr>
                </w:p>
              </w:tc>
              <w:tc>
                <w:tcPr>
                  <w:tcW w:w="501" w:type="pct"/>
                  <w:shd w:val="clear" w:color="auto" w:fill="D9D9D9" w:themeFill="background1" w:themeFillShade="D9"/>
                  <w:vAlign w:val="bottom"/>
                </w:tcPr>
                <w:p w:rsidR="00A05957" w:rsidRDefault="00A05957" w:rsidP="006B4722">
                  <w:pPr>
                    <w:pStyle w:val="TableBodyText"/>
                  </w:pPr>
                  <w:r>
                    <w:t>-0.08</w:t>
                  </w:r>
                </w:p>
              </w:tc>
              <w:tc>
                <w:tcPr>
                  <w:tcW w:w="501" w:type="pct"/>
                  <w:shd w:val="clear" w:color="auto" w:fill="D9D9D9" w:themeFill="background1" w:themeFillShade="D9"/>
                  <w:vAlign w:val="bottom"/>
                </w:tcPr>
                <w:p w:rsidR="00A05957" w:rsidRDefault="00A05957" w:rsidP="00F546F1">
                  <w:pPr>
                    <w:pStyle w:val="TableBodyText"/>
                  </w:pPr>
                  <w:r>
                    <w:t>-0.12</w:t>
                  </w:r>
                </w:p>
              </w:tc>
              <w:tc>
                <w:tcPr>
                  <w:tcW w:w="502" w:type="pct"/>
                  <w:shd w:val="clear" w:color="auto" w:fill="D9D9D9" w:themeFill="background1" w:themeFillShade="D9"/>
                  <w:vAlign w:val="bottom"/>
                </w:tcPr>
                <w:p w:rsidR="00A05957" w:rsidRDefault="00A05957" w:rsidP="00F546F1">
                  <w:pPr>
                    <w:pStyle w:val="TableBodyText"/>
                  </w:pPr>
                  <w:r>
                    <w:t>0.05</w:t>
                  </w:r>
                </w:p>
              </w:tc>
              <w:tc>
                <w:tcPr>
                  <w:tcW w:w="82" w:type="pct"/>
                  <w:shd w:val="clear" w:color="auto" w:fill="D9D9D9" w:themeFill="background1" w:themeFillShade="D9"/>
                  <w:vAlign w:val="bottom"/>
                </w:tcPr>
                <w:p w:rsidR="00A05957" w:rsidRDefault="00A05957" w:rsidP="00F546F1">
                  <w:pPr>
                    <w:pStyle w:val="TableBodyText"/>
                  </w:pPr>
                </w:p>
              </w:tc>
              <w:tc>
                <w:tcPr>
                  <w:tcW w:w="474" w:type="pct"/>
                  <w:shd w:val="clear" w:color="auto" w:fill="D9D9D9" w:themeFill="background1" w:themeFillShade="D9"/>
                  <w:vAlign w:val="bottom"/>
                </w:tcPr>
                <w:p w:rsidR="00A05957" w:rsidRDefault="00A05957" w:rsidP="006B4722">
                  <w:pPr>
                    <w:pStyle w:val="TableBodyText"/>
                  </w:pPr>
                  <w:r>
                    <w:t>0.03</w:t>
                  </w:r>
                </w:p>
              </w:tc>
              <w:tc>
                <w:tcPr>
                  <w:tcW w:w="474" w:type="pct"/>
                  <w:shd w:val="clear" w:color="auto" w:fill="D9D9D9" w:themeFill="background1" w:themeFillShade="D9"/>
                  <w:vAlign w:val="bottom"/>
                </w:tcPr>
                <w:p w:rsidR="00A05957" w:rsidRDefault="00A05957" w:rsidP="00F546F1">
                  <w:pPr>
                    <w:pStyle w:val="TableBodyText"/>
                  </w:pPr>
                  <w:r>
                    <w:t>-0.05</w:t>
                  </w:r>
                </w:p>
              </w:tc>
              <w:tc>
                <w:tcPr>
                  <w:tcW w:w="475" w:type="pct"/>
                  <w:shd w:val="clear" w:color="auto" w:fill="D9D9D9" w:themeFill="background1" w:themeFillShade="D9"/>
                  <w:vAlign w:val="bottom"/>
                </w:tcPr>
                <w:p w:rsidR="00A05957" w:rsidRDefault="00A05957" w:rsidP="00F546F1">
                  <w:pPr>
                    <w:pStyle w:val="TableBodyText"/>
                  </w:pPr>
                  <w:r>
                    <w:t>0.08</w:t>
                  </w:r>
                </w:p>
              </w:tc>
            </w:tr>
            <w:tr w:rsidR="00A05957" w:rsidTr="00A05957">
              <w:tc>
                <w:tcPr>
                  <w:tcW w:w="404" w:type="pct"/>
                  <w:vAlign w:val="bottom"/>
                </w:tcPr>
                <w:p w:rsidR="00A05957" w:rsidRDefault="00A05957" w:rsidP="00F546F1">
                  <w:pPr>
                    <w:pStyle w:val="TableBodyText"/>
                    <w:jc w:val="left"/>
                  </w:pPr>
                  <w:r>
                    <w:t>PRM</w:t>
                  </w:r>
                </w:p>
              </w:tc>
              <w:tc>
                <w:tcPr>
                  <w:tcW w:w="501" w:type="pct"/>
                  <w:vAlign w:val="bottom"/>
                </w:tcPr>
                <w:p w:rsidR="00A05957" w:rsidRDefault="00A05957" w:rsidP="00F546F1">
                  <w:pPr>
                    <w:pStyle w:val="TableBodyText"/>
                  </w:pPr>
                  <w:r>
                    <w:t>0.25</w:t>
                  </w:r>
                </w:p>
              </w:tc>
              <w:tc>
                <w:tcPr>
                  <w:tcW w:w="501" w:type="pct"/>
                  <w:vAlign w:val="bottom"/>
                </w:tcPr>
                <w:p w:rsidR="00A05957" w:rsidRDefault="00A05957" w:rsidP="00F546F1">
                  <w:pPr>
                    <w:pStyle w:val="TableBodyText"/>
                  </w:pPr>
                  <w:r>
                    <w:t>0.23</w:t>
                  </w:r>
                </w:p>
              </w:tc>
              <w:tc>
                <w:tcPr>
                  <w:tcW w:w="501" w:type="pct"/>
                  <w:vAlign w:val="bottom"/>
                </w:tcPr>
                <w:p w:rsidR="00A05957" w:rsidRDefault="00A05957" w:rsidP="00F546F1">
                  <w:pPr>
                    <w:pStyle w:val="TableBodyText"/>
                  </w:pPr>
                  <w:r>
                    <w:t>0.02</w:t>
                  </w:r>
                </w:p>
              </w:tc>
              <w:tc>
                <w:tcPr>
                  <w:tcW w:w="84" w:type="pct"/>
                  <w:vAlign w:val="bottom"/>
                </w:tcPr>
                <w:p w:rsidR="00A05957" w:rsidRDefault="00A05957" w:rsidP="00F546F1">
                  <w:pPr>
                    <w:pStyle w:val="TableBodyText"/>
                  </w:pPr>
                </w:p>
              </w:tc>
              <w:tc>
                <w:tcPr>
                  <w:tcW w:w="501" w:type="pct"/>
                  <w:vAlign w:val="bottom"/>
                </w:tcPr>
                <w:p w:rsidR="00A05957" w:rsidRDefault="00A05957" w:rsidP="006B4722">
                  <w:pPr>
                    <w:pStyle w:val="TableBodyText"/>
                  </w:pPr>
                  <w:r>
                    <w:t>-0.10</w:t>
                  </w:r>
                </w:p>
              </w:tc>
              <w:tc>
                <w:tcPr>
                  <w:tcW w:w="501" w:type="pct"/>
                  <w:vAlign w:val="bottom"/>
                </w:tcPr>
                <w:p w:rsidR="00A05957" w:rsidRDefault="00A05957" w:rsidP="00F546F1">
                  <w:pPr>
                    <w:pStyle w:val="TableBodyText"/>
                  </w:pPr>
                  <w:r>
                    <w:t>-0.09</w:t>
                  </w:r>
                </w:p>
              </w:tc>
              <w:tc>
                <w:tcPr>
                  <w:tcW w:w="502" w:type="pct"/>
                  <w:vAlign w:val="bottom"/>
                </w:tcPr>
                <w:p w:rsidR="00A05957" w:rsidRDefault="00A05957" w:rsidP="00F546F1">
                  <w:pPr>
                    <w:pStyle w:val="TableBodyText"/>
                  </w:pPr>
                  <w:r>
                    <w:t>-0.01</w:t>
                  </w:r>
                </w:p>
              </w:tc>
              <w:tc>
                <w:tcPr>
                  <w:tcW w:w="82" w:type="pct"/>
                  <w:vAlign w:val="bottom"/>
                </w:tcPr>
                <w:p w:rsidR="00A05957" w:rsidRDefault="00A05957" w:rsidP="00F546F1">
                  <w:pPr>
                    <w:pStyle w:val="TableBodyText"/>
                  </w:pPr>
                </w:p>
              </w:tc>
              <w:tc>
                <w:tcPr>
                  <w:tcW w:w="474" w:type="pct"/>
                  <w:vAlign w:val="bottom"/>
                </w:tcPr>
                <w:p w:rsidR="00A05957" w:rsidRDefault="00A05957" w:rsidP="006B4722">
                  <w:pPr>
                    <w:pStyle w:val="TableBodyText"/>
                  </w:pPr>
                  <w:r>
                    <w:t>-0.35</w:t>
                  </w:r>
                </w:p>
              </w:tc>
              <w:tc>
                <w:tcPr>
                  <w:tcW w:w="474" w:type="pct"/>
                  <w:vAlign w:val="bottom"/>
                </w:tcPr>
                <w:p w:rsidR="00A05957" w:rsidRDefault="00A05957" w:rsidP="00F546F1">
                  <w:pPr>
                    <w:pStyle w:val="TableBodyText"/>
                  </w:pPr>
                  <w:r>
                    <w:t>-0.32</w:t>
                  </w:r>
                </w:p>
              </w:tc>
              <w:tc>
                <w:tcPr>
                  <w:tcW w:w="475" w:type="pct"/>
                  <w:vAlign w:val="bottom"/>
                </w:tcPr>
                <w:p w:rsidR="00A05957" w:rsidRDefault="00A05957" w:rsidP="00F546F1">
                  <w:pPr>
                    <w:pStyle w:val="TableBodyText"/>
                  </w:pPr>
                  <w:r>
                    <w:t>-0.03</w:t>
                  </w:r>
                </w:p>
              </w:tc>
            </w:tr>
            <w:tr w:rsidR="00A05957" w:rsidTr="00BD3C5C">
              <w:tc>
                <w:tcPr>
                  <w:tcW w:w="404" w:type="pct"/>
                  <w:shd w:val="clear" w:color="auto" w:fill="D9D9D9" w:themeFill="background1" w:themeFillShade="D9"/>
                  <w:vAlign w:val="bottom"/>
                </w:tcPr>
                <w:p w:rsidR="00A05957" w:rsidRDefault="00A05957" w:rsidP="00F546F1">
                  <w:pPr>
                    <w:pStyle w:val="TableBodyText"/>
                    <w:jc w:val="left"/>
                  </w:pPr>
                  <w:r>
                    <w:t>PCCR</w:t>
                  </w:r>
                </w:p>
              </w:tc>
              <w:tc>
                <w:tcPr>
                  <w:tcW w:w="501" w:type="pct"/>
                  <w:shd w:val="clear" w:color="auto" w:fill="D9D9D9" w:themeFill="background1" w:themeFillShade="D9"/>
                  <w:vAlign w:val="bottom"/>
                </w:tcPr>
                <w:p w:rsidR="00A05957" w:rsidRDefault="00A05957" w:rsidP="00F546F1">
                  <w:pPr>
                    <w:pStyle w:val="TableBodyText"/>
                  </w:pPr>
                  <w:r>
                    <w:t>0.08</w:t>
                  </w:r>
                </w:p>
              </w:tc>
              <w:tc>
                <w:tcPr>
                  <w:tcW w:w="501" w:type="pct"/>
                  <w:shd w:val="clear" w:color="auto" w:fill="D9D9D9" w:themeFill="background1" w:themeFillShade="D9"/>
                  <w:vAlign w:val="bottom"/>
                </w:tcPr>
                <w:p w:rsidR="00A05957" w:rsidRDefault="00A05957" w:rsidP="00F546F1">
                  <w:pPr>
                    <w:pStyle w:val="TableBodyText"/>
                  </w:pPr>
                  <w:r>
                    <w:t>0.07</w:t>
                  </w:r>
                </w:p>
              </w:tc>
              <w:tc>
                <w:tcPr>
                  <w:tcW w:w="501" w:type="pct"/>
                  <w:shd w:val="clear" w:color="auto" w:fill="D9D9D9" w:themeFill="background1" w:themeFillShade="D9"/>
                  <w:vAlign w:val="bottom"/>
                </w:tcPr>
                <w:p w:rsidR="00A05957" w:rsidRDefault="00A05957" w:rsidP="00F546F1">
                  <w:pPr>
                    <w:pStyle w:val="TableBodyText"/>
                  </w:pPr>
                  <w:r>
                    <w:t>0.01</w:t>
                  </w:r>
                </w:p>
              </w:tc>
              <w:tc>
                <w:tcPr>
                  <w:tcW w:w="84" w:type="pct"/>
                  <w:shd w:val="clear" w:color="auto" w:fill="D9D9D9" w:themeFill="background1" w:themeFillShade="D9"/>
                  <w:vAlign w:val="bottom"/>
                </w:tcPr>
                <w:p w:rsidR="00A05957" w:rsidRDefault="00A05957" w:rsidP="00F546F1">
                  <w:pPr>
                    <w:pStyle w:val="TableBodyText"/>
                  </w:pPr>
                </w:p>
              </w:tc>
              <w:tc>
                <w:tcPr>
                  <w:tcW w:w="501" w:type="pct"/>
                  <w:shd w:val="clear" w:color="auto" w:fill="D9D9D9" w:themeFill="background1" w:themeFillShade="D9"/>
                  <w:vAlign w:val="bottom"/>
                </w:tcPr>
                <w:p w:rsidR="00A05957" w:rsidRDefault="00A05957" w:rsidP="006B4722">
                  <w:pPr>
                    <w:pStyle w:val="TableBodyText"/>
                  </w:pPr>
                  <w:r>
                    <w:t>-0.73</w:t>
                  </w:r>
                </w:p>
              </w:tc>
              <w:tc>
                <w:tcPr>
                  <w:tcW w:w="501" w:type="pct"/>
                  <w:shd w:val="clear" w:color="auto" w:fill="D9D9D9" w:themeFill="background1" w:themeFillShade="D9"/>
                  <w:vAlign w:val="bottom"/>
                </w:tcPr>
                <w:p w:rsidR="00A05957" w:rsidRDefault="00A05957" w:rsidP="00F546F1">
                  <w:pPr>
                    <w:pStyle w:val="TableBodyText"/>
                  </w:pPr>
                  <w:r>
                    <w:t>-0.71</w:t>
                  </w:r>
                </w:p>
              </w:tc>
              <w:tc>
                <w:tcPr>
                  <w:tcW w:w="502" w:type="pct"/>
                  <w:shd w:val="clear" w:color="auto" w:fill="D9D9D9" w:themeFill="background1" w:themeFillShade="D9"/>
                  <w:vAlign w:val="bottom"/>
                </w:tcPr>
                <w:p w:rsidR="00A05957" w:rsidRDefault="00A05957" w:rsidP="00F546F1">
                  <w:pPr>
                    <w:pStyle w:val="TableBodyText"/>
                  </w:pPr>
                  <w:r>
                    <w:t>-0.02</w:t>
                  </w:r>
                </w:p>
              </w:tc>
              <w:tc>
                <w:tcPr>
                  <w:tcW w:w="82" w:type="pct"/>
                  <w:shd w:val="clear" w:color="auto" w:fill="D9D9D9" w:themeFill="background1" w:themeFillShade="D9"/>
                  <w:vAlign w:val="bottom"/>
                </w:tcPr>
                <w:p w:rsidR="00A05957" w:rsidRDefault="00A05957" w:rsidP="00F546F1">
                  <w:pPr>
                    <w:pStyle w:val="TableBodyText"/>
                  </w:pPr>
                </w:p>
              </w:tc>
              <w:tc>
                <w:tcPr>
                  <w:tcW w:w="474" w:type="pct"/>
                  <w:shd w:val="clear" w:color="auto" w:fill="D9D9D9" w:themeFill="background1" w:themeFillShade="D9"/>
                  <w:vAlign w:val="bottom"/>
                </w:tcPr>
                <w:p w:rsidR="00A05957" w:rsidRDefault="00A05957" w:rsidP="006B4722">
                  <w:pPr>
                    <w:pStyle w:val="TableBodyText"/>
                  </w:pPr>
                  <w:r>
                    <w:t>-0.81</w:t>
                  </w:r>
                </w:p>
              </w:tc>
              <w:tc>
                <w:tcPr>
                  <w:tcW w:w="474" w:type="pct"/>
                  <w:shd w:val="clear" w:color="auto" w:fill="D9D9D9" w:themeFill="background1" w:themeFillShade="D9"/>
                  <w:vAlign w:val="bottom"/>
                </w:tcPr>
                <w:p w:rsidR="00A05957" w:rsidRDefault="00A05957" w:rsidP="00F546F1">
                  <w:pPr>
                    <w:pStyle w:val="TableBodyText"/>
                  </w:pPr>
                  <w:r>
                    <w:t>-0.78</w:t>
                  </w:r>
                </w:p>
              </w:tc>
              <w:tc>
                <w:tcPr>
                  <w:tcW w:w="475" w:type="pct"/>
                  <w:shd w:val="clear" w:color="auto" w:fill="D9D9D9" w:themeFill="background1" w:themeFillShade="D9"/>
                  <w:vAlign w:val="bottom"/>
                </w:tcPr>
                <w:p w:rsidR="00A05957" w:rsidRDefault="00A05957" w:rsidP="00F546F1">
                  <w:pPr>
                    <w:pStyle w:val="TableBodyText"/>
                  </w:pPr>
                  <w:r>
                    <w:t>-0.03</w:t>
                  </w:r>
                </w:p>
              </w:tc>
            </w:tr>
            <w:tr w:rsidR="00A05957" w:rsidTr="00A05957">
              <w:tc>
                <w:tcPr>
                  <w:tcW w:w="404" w:type="pct"/>
                  <w:vAlign w:val="bottom"/>
                </w:tcPr>
                <w:p w:rsidR="00A05957" w:rsidRDefault="00A05957" w:rsidP="00F546F1">
                  <w:pPr>
                    <w:pStyle w:val="TableBodyText"/>
                    <w:jc w:val="left"/>
                  </w:pPr>
                  <w:r>
                    <w:t>NM</w:t>
                  </w:r>
                </w:p>
              </w:tc>
              <w:tc>
                <w:tcPr>
                  <w:tcW w:w="501" w:type="pct"/>
                  <w:vAlign w:val="bottom"/>
                </w:tcPr>
                <w:p w:rsidR="00A05957" w:rsidRDefault="00A05957" w:rsidP="00F546F1">
                  <w:pPr>
                    <w:pStyle w:val="TableBodyText"/>
                  </w:pPr>
                  <w:r>
                    <w:t>0.31</w:t>
                  </w:r>
                </w:p>
              </w:tc>
              <w:tc>
                <w:tcPr>
                  <w:tcW w:w="501" w:type="pct"/>
                  <w:vAlign w:val="bottom"/>
                </w:tcPr>
                <w:p w:rsidR="00A05957" w:rsidRDefault="00A05957" w:rsidP="00F546F1">
                  <w:pPr>
                    <w:pStyle w:val="TableBodyText"/>
                  </w:pPr>
                  <w:r>
                    <w:t>0.32</w:t>
                  </w:r>
                </w:p>
              </w:tc>
              <w:tc>
                <w:tcPr>
                  <w:tcW w:w="501" w:type="pct"/>
                  <w:vAlign w:val="bottom"/>
                </w:tcPr>
                <w:p w:rsidR="00A05957" w:rsidRDefault="00A05957" w:rsidP="00F546F1">
                  <w:pPr>
                    <w:pStyle w:val="TableBodyText"/>
                  </w:pPr>
                  <w:r>
                    <w:t>-0.01</w:t>
                  </w:r>
                </w:p>
              </w:tc>
              <w:tc>
                <w:tcPr>
                  <w:tcW w:w="84" w:type="pct"/>
                  <w:vAlign w:val="bottom"/>
                </w:tcPr>
                <w:p w:rsidR="00A05957" w:rsidRDefault="00A05957" w:rsidP="00F546F1">
                  <w:pPr>
                    <w:pStyle w:val="TableBodyText"/>
                  </w:pPr>
                </w:p>
              </w:tc>
              <w:tc>
                <w:tcPr>
                  <w:tcW w:w="501" w:type="pct"/>
                  <w:vAlign w:val="bottom"/>
                </w:tcPr>
                <w:p w:rsidR="00A05957" w:rsidRDefault="00A05957" w:rsidP="006B4722">
                  <w:pPr>
                    <w:pStyle w:val="TableBodyText"/>
                  </w:pPr>
                  <w:r>
                    <w:t>0.24</w:t>
                  </w:r>
                </w:p>
              </w:tc>
              <w:tc>
                <w:tcPr>
                  <w:tcW w:w="501" w:type="pct"/>
                  <w:vAlign w:val="bottom"/>
                </w:tcPr>
                <w:p w:rsidR="00A05957" w:rsidRDefault="00A05957" w:rsidP="00F546F1">
                  <w:pPr>
                    <w:pStyle w:val="TableBodyText"/>
                  </w:pPr>
                  <w:r>
                    <w:t>0.24</w:t>
                  </w:r>
                </w:p>
              </w:tc>
              <w:tc>
                <w:tcPr>
                  <w:tcW w:w="502" w:type="pct"/>
                  <w:vAlign w:val="bottom"/>
                </w:tcPr>
                <w:p w:rsidR="00A05957" w:rsidRDefault="00A05957" w:rsidP="00F546F1">
                  <w:pPr>
                    <w:pStyle w:val="TableBodyText"/>
                  </w:pPr>
                  <w:r>
                    <w:t>-0.01</w:t>
                  </w:r>
                </w:p>
              </w:tc>
              <w:tc>
                <w:tcPr>
                  <w:tcW w:w="82" w:type="pct"/>
                  <w:vAlign w:val="bottom"/>
                </w:tcPr>
                <w:p w:rsidR="00A05957" w:rsidRDefault="00A05957" w:rsidP="00F546F1">
                  <w:pPr>
                    <w:pStyle w:val="TableBodyText"/>
                  </w:pPr>
                </w:p>
              </w:tc>
              <w:tc>
                <w:tcPr>
                  <w:tcW w:w="474" w:type="pct"/>
                  <w:vAlign w:val="bottom"/>
                </w:tcPr>
                <w:p w:rsidR="00A05957" w:rsidRDefault="00A05957" w:rsidP="006B4722">
                  <w:pPr>
                    <w:pStyle w:val="TableBodyText"/>
                  </w:pPr>
                  <w:r>
                    <w:t>-0.07</w:t>
                  </w:r>
                </w:p>
              </w:tc>
              <w:tc>
                <w:tcPr>
                  <w:tcW w:w="474" w:type="pct"/>
                  <w:vAlign w:val="bottom"/>
                </w:tcPr>
                <w:p w:rsidR="00A05957" w:rsidRDefault="00A05957" w:rsidP="00F546F1">
                  <w:pPr>
                    <w:pStyle w:val="TableBodyText"/>
                  </w:pPr>
                  <w:r>
                    <w:t>-0.08</w:t>
                  </w:r>
                </w:p>
              </w:tc>
              <w:tc>
                <w:tcPr>
                  <w:tcW w:w="475" w:type="pct"/>
                  <w:vAlign w:val="bottom"/>
                </w:tcPr>
                <w:p w:rsidR="00A05957" w:rsidRDefault="00A05957" w:rsidP="00F546F1">
                  <w:pPr>
                    <w:pStyle w:val="TableBodyText"/>
                  </w:pPr>
                  <w:r>
                    <w:t>0.01</w:t>
                  </w:r>
                </w:p>
              </w:tc>
            </w:tr>
            <w:tr w:rsidR="00A05957" w:rsidTr="00BD3C5C">
              <w:tc>
                <w:tcPr>
                  <w:tcW w:w="404" w:type="pct"/>
                  <w:shd w:val="clear" w:color="auto" w:fill="D9D9D9" w:themeFill="background1" w:themeFillShade="D9"/>
                  <w:vAlign w:val="bottom"/>
                </w:tcPr>
                <w:p w:rsidR="00A05957" w:rsidRDefault="00A05957" w:rsidP="00F546F1">
                  <w:pPr>
                    <w:pStyle w:val="TableBodyText"/>
                    <w:jc w:val="left"/>
                  </w:pPr>
                  <w:r>
                    <w:t>MP</w:t>
                  </w:r>
                </w:p>
              </w:tc>
              <w:tc>
                <w:tcPr>
                  <w:tcW w:w="501" w:type="pct"/>
                  <w:shd w:val="clear" w:color="auto" w:fill="D9D9D9" w:themeFill="background1" w:themeFillShade="D9"/>
                  <w:vAlign w:val="bottom"/>
                </w:tcPr>
                <w:p w:rsidR="00A05957" w:rsidRDefault="00A05957" w:rsidP="00F546F1">
                  <w:pPr>
                    <w:pStyle w:val="TableBodyText"/>
                  </w:pPr>
                  <w:r>
                    <w:t>0.30</w:t>
                  </w:r>
                </w:p>
              </w:tc>
              <w:tc>
                <w:tcPr>
                  <w:tcW w:w="501" w:type="pct"/>
                  <w:shd w:val="clear" w:color="auto" w:fill="D9D9D9" w:themeFill="background1" w:themeFillShade="D9"/>
                  <w:vAlign w:val="bottom"/>
                </w:tcPr>
                <w:p w:rsidR="00A05957" w:rsidRDefault="00A05957" w:rsidP="00F546F1">
                  <w:pPr>
                    <w:pStyle w:val="TableBodyText"/>
                  </w:pPr>
                  <w:r>
                    <w:t>0.24</w:t>
                  </w:r>
                </w:p>
              </w:tc>
              <w:tc>
                <w:tcPr>
                  <w:tcW w:w="501" w:type="pct"/>
                  <w:shd w:val="clear" w:color="auto" w:fill="D9D9D9" w:themeFill="background1" w:themeFillShade="D9"/>
                  <w:vAlign w:val="bottom"/>
                </w:tcPr>
                <w:p w:rsidR="00A05957" w:rsidRDefault="00A05957" w:rsidP="00F546F1">
                  <w:pPr>
                    <w:pStyle w:val="TableBodyText"/>
                  </w:pPr>
                  <w:r>
                    <w:t>0.07</w:t>
                  </w:r>
                </w:p>
              </w:tc>
              <w:tc>
                <w:tcPr>
                  <w:tcW w:w="84" w:type="pct"/>
                  <w:shd w:val="clear" w:color="auto" w:fill="D9D9D9" w:themeFill="background1" w:themeFillShade="D9"/>
                  <w:vAlign w:val="bottom"/>
                </w:tcPr>
                <w:p w:rsidR="00A05957" w:rsidRDefault="00A05957" w:rsidP="00F546F1">
                  <w:pPr>
                    <w:pStyle w:val="TableBodyText"/>
                  </w:pPr>
                </w:p>
              </w:tc>
              <w:tc>
                <w:tcPr>
                  <w:tcW w:w="501" w:type="pct"/>
                  <w:shd w:val="clear" w:color="auto" w:fill="D9D9D9" w:themeFill="background1" w:themeFillShade="D9"/>
                  <w:vAlign w:val="bottom"/>
                </w:tcPr>
                <w:p w:rsidR="00A05957" w:rsidRDefault="00A05957" w:rsidP="006B4722">
                  <w:pPr>
                    <w:pStyle w:val="TableBodyText"/>
                  </w:pPr>
                  <w:r>
                    <w:t>-0.12</w:t>
                  </w:r>
                </w:p>
              </w:tc>
              <w:tc>
                <w:tcPr>
                  <w:tcW w:w="501" w:type="pct"/>
                  <w:shd w:val="clear" w:color="auto" w:fill="D9D9D9" w:themeFill="background1" w:themeFillShade="D9"/>
                  <w:vAlign w:val="bottom"/>
                </w:tcPr>
                <w:p w:rsidR="00A05957" w:rsidRDefault="00A05957" w:rsidP="00F546F1">
                  <w:pPr>
                    <w:pStyle w:val="TableBodyText"/>
                  </w:pPr>
                  <w:r>
                    <w:t>-0.19</w:t>
                  </w:r>
                </w:p>
              </w:tc>
              <w:tc>
                <w:tcPr>
                  <w:tcW w:w="502" w:type="pct"/>
                  <w:shd w:val="clear" w:color="auto" w:fill="D9D9D9" w:themeFill="background1" w:themeFillShade="D9"/>
                  <w:vAlign w:val="bottom"/>
                </w:tcPr>
                <w:p w:rsidR="00A05957" w:rsidRDefault="00A05957" w:rsidP="00F546F1">
                  <w:pPr>
                    <w:pStyle w:val="TableBodyText"/>
                  </w:pPr>
                  <w:r>
                    <w:t>0.06</w:t>
                  </w:r>
                </w:p>
              </w:tc>
              <w:tc>
                <w:tcPr>
                  <w:tcW w:w="82" w:type="pct"/>
                  <w:shd w:val="clear" w:color="auto" w:fill="D9D9D9" w:themeFill="background1" w:themeFillShade="D9"/>
                  <w:vAlign w:val="bottom"/>
                </w:tcPr>
                <w:p w:rsidR="00A05957" w:rsidRDefault="00A05957" w:rsidP="00F546F1">
                  <w:pPr>
                    <w:pStyle w:val="TableBodyText"/>
                  </w:pPr>
                </w:p>
              </w:tc>
              <w:tc>
                <w:tcPr>
                  <w:tcW w:w="474" w:type="pct"/>
                  <w:shd w:val="clear" w:color="auto" w:fill="D9D9D9" w:themeFill="background1" w:themeFillShade="D9"/>
                  <w:vAlign w:val="bottom"/>
                </w:tcPr>
                <w:p w:rsidR="00A05957" w:rsidRDefault="00A05957" w:rsidP="006B4722">
                  <w:pPr>
                    <w:pStyle w:val="TableBodyText"/>
                  </w:pPr>
                  <w:r>
                    <w:t>-0.42</w:t>
                  </w:r>
                </w:p>
              </w:tc>
              <w:tc>
                <w:tcPr>
                  <w:tcW w:w="474" w:type="pct"/>
                  <w:shd w:val="clear" w:color="auto" w:fill="D9D9D9" w:themeFill="background1" w:themeFillShade="D9"/>
                  <w:vAlign w:val="bottom"/>
                </w:tcPr>
                <w:p w:rsidR="00A05957" w:rsidRDefault="00A05957" w:rsidP="00F546F1">
                  <w:pPr>
                    <w:pStyle w:val="TableBodyText"/>
                  </w:pPr>
                  <w:r>
                    <w:t>-0.42</w:t>
                  </w:r>
                </w:p>
              </w:tc>
              <w:tc>
                <w:tcPr>
                  <w:tcW w:w="475" w:type="pct"/>
                  <w:shd w:val="clear" w:color="auto" w:fill="D9D9D9" w:themeFill="background1" w:themeFillShade="D9"/>
                  <w:vAlign w:val="bottom"/>
                </w:tcPr>
                <w:p w:rsidR="00A05957" w:rsidRDefault="00A05957" w:rsidP="00F546F1">
                  <w:pPr>
                    <w:pStyle w:val="TableBodyText"/>
                  </w:pPr>
                  <w:r>
                    <w:t>0.00</w:t>
                  </w:r>
                </w:p>
              </w:tc>
            </w:tr>
            <w:tr w:rsidR="00A05957" w:rsidTr="00A05957">
              <w:tc>
                <w:tcPr>
                  <w:tcW w:w="404" w:type="pct"/>
                  <w:vAlign w:val="bottom"/>
                </w:tcPr>
                <w:p w:rsidR="00A05957" w:rsidRDefault="00A05957" w:rsidP="00F546F1">
                  <w:pPr>
                    <w:pStyle w:val="TableBodyText"/>
                    <w:jc w:val="left"/>
                  </w:pPr>
                  <w:r>
                    <w:t>ME</w:t>
                  </w:r>
                </w:p>
              </w:tc>
              <w:tc>
                <w:tcPr>
                  <w:tcW w:w="501" w:type="pct"/>
                  <w:vAlign w:val="bottom"/>
                </w:tcPr>
                <w:p w:rsidR="00A05957" w:rsidRDefault="00A05957" w:rsidP="00F546F1">
                  <w:pPr>
                    <w:pStyle w:val="TableBodyText"/>
                  </w:pPr>
                  <w:r>
                    <w:t>0.29</w:t>
                  </w:r>
                </w:p>
              </w:tc>
              <w:tc>
                <w:tcPr>
                  <w:tcW w:w="501" w:type="pct"/>
                  <w:vAlign w:val="bottom"/>
                </w:tcPr>
                <w:p w:rsidR="00A05957" w:rsidRDefault="00A05957" w:rsidP="00F546F1">
                  <w:pPr>
                    <w:pStyle w:val="TableBodyText"/>
                  </w:pPr>
                  <w:r>
                    <w:t>0.31</w:t>
                  </w:r>
                </w:p>
              </w:tc>
              <w:tc>
                <w:tcPr>
                  <w:tcW w:w="501" w:type="pct"/>
                  <w:vAlign w:val="bottom"/>
                </w:tcPr>
                <w:p w:rsidR="00A05957" w:rsidRDefault="00A05957" w:rsidP="00F546F1">
                  <w:pPr>
                    <w:pStyle w:val="TableBodyText"/>
                  </w:pPr>
                  <w:r>
                    <w:t>-0.03</w:t>
                  </w:r>
                </w:p>
              </w:tc>
              <w:tc>
                <w:tcPr>
                  <w:tcW w:w="84" w:type="pct"/>
                  <w:vAlign w:val="bottom"/>
                </w:tcPr>
                <w:p w:rsidR="00A05957" w:rsidRDefault="00A05957" w:rsidP="00F546F1">
                  <w:pPr>
                    <w:pStyle w:val="TableBodyText"/>
                  </w:pPr>
                </w:p>
              </w:tc>
              <w:tc>
                <w:tcPr>
                  <w:tcW w:w="501" w:type="pct"/>
                  <w:vAlign w:val="bottom"/>
                </w:tcPr>
                <w:p w:rsidR="00A05957" w:rsidRDefault="00A05957" w:rsidP="006B4722">
                  <w:pPr>
                    <w:pStyle w:val="TableBodyText"/>
                  </w:pPr>
                  <w:r>
                    <w:t>-0.04</w:t>
                  </w:r>
                </w:p>
              </w:tc>
              <w:tc>
                <w:tcPr>
                  <w:tcW w:w="501" w:type="pct"/>
                  <w:vAlign w:val="bottom"/>
                </w:tcPr>
                <w:p w:rsidR="00A05957" w:rsidRDefault="00A05957" w:rsidP="00F546F1">
                  <w:pPr>
                    <w:pStyle w:val="TableBodyText"/>
                  </w:pPr>
                  <w:r>
                    <w:t>-0.05</w:t>
                  </w:r>
                </w:p>
              </w:tc>
              <w:tc>
                <w:tcPr>
                  <w:tcW w:w="502" w:type="pct"/>
                  <w:vAlign w:val="bottom"/>
                </w:tcPr>
                <w:p w:rsidR="00A05957" w:rsidRDefault="00A05957" w:rsidP="00F546F1">
                  <w:pPr>
                    <w:pStyle w:val="TableBodyText"/>
                  </w:pPr>
                  <w:r>
                    <w:t>0.01</w:t>
                  </w:r>
                </w:p>
              </w:tc>
              <w:tc>
                <w:tcPr>
                  <w:tcW w:w="82" w:type="pct"/>
                  <w:vAlign w:val="bottom"/>
                </w:tcPr>
                <w:p w:rsidR="00A05957" w:rsidRDefault="00A05957" w:rsidP="00F546F1">
                  <w:pPr>
                    <w:pStyle w:val="TableBodyText"/>
                  </w:pPr>
                </w:p>
              </w:tc>
              <w:tc>
                <w:tcPr>
                  <w:tcW w:w="474" w:type="pct"/>
                  <w:vAlign w:val="bottom"/>
                </w:tcPr>
                <w:p w:rsidR="00A05957" w:rsidRDefault="00A05957" w:rsidP="006B4722">
                  <w:pPr>
                    <w:pStyle w:val="TableBodyText"/>
                  </w:pPr>
                  <w:r>
                    <w:t>-0.33</w:t>
                  </w:r>
                </w:p>
              </w:tc>
              <w:tc>
                <w:tcPr>
                  <w:tcW w:w="474" w:type="pct"/>
                  <w:vAlign w:val="bottom"/>
                </w:tcPr>
                <w:p w:rsidR="00A05957" w:rsidRDefault="00A05957" w:rsidP="00F546F1">
                  <w:pPr>
                    <w:pStyle w:val="TableBodyText"/>
                  </w:pPr>
                  <w:r>
                    <w:t>-0.36</w:t>
                  </w:r>
                </w:p>
              </w:tc>
              <w:tc>
                <w:tcPr>
                  <w:tcW w:w="475" w:type="pct"/>
                  <w:vAlign w:val="bottom"/>
                </w:tcPr>
                <w:p w:rsidR="00A05957" w:rsidRDefault="00A05957" w:rsidP="00F546F1">
                  <w:pPr>
                    <w:pStyle w:val="TableBodyText"/>
                  </w:pPr>
                  <w:r>
                    <w:t>0.03</w:t>
                  </w:r>
                </w:p>
              </w:tc>
            </w:tr>
            <w:tr w:rsidR="00A05957" w:rsidTr="00BD3C5C">
              <w:tc>
                <w:tcPr>
                  <w:tcW w:w="404" w:type="pct"/>
                  <w:tcBorders>
                    <w:bottom w:val="single" w:sz="6" w:space="0" w:color="auto"/>
                  </w:tcBorders>
                  <w:shd w:val="clear" w:color="auto" w:fill="D9D9D9" w:themeFill="background1" w:themeFillShade="D9"/>
                  <w:vAlign w:val="bottom"/>
                </w:tcPr>
                <w:p w:rsidR="00A05957" w:rsidRPr="00B56429" w:rsidRDefault="00B66667" w:rsidP="00B66667">
                  <w:pPr>
                    <w:pStyle w:val="TableBodyText"/>
                    <w:jc w:val="left"/>
                    <w:rPr>
                      <w:b/>
                    </w:rPr>
                  </w:pPr>
                  <w:r w:rsidRPr="00B56429">
                    <w:rPr>
                      <w:b/>
                    </w:rPr>
                    <w:t>Sum</w:t>
                  </w:r>
                  <w:r w:rsidRPr="00B56429">
                    <w:rPr>
                      <w:rStyle w:val="NoteLabel"/>
                    </w:rPr>
                    <w:t xml:space="preserve">b </w:t>
                  </w:r>
                </w:p>
              </w:tc>
              <w:tc>
                <w:tcPr>
                  <w:tcW w:w="501"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1.38</w:t>
                  </w:r>
                </w:p>
              </w:tc>
              <w:tc>
                <w:tcPr>
                  <w:tcW w:w="501"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1.37</w:t>
                  </w:r>
                </w:p>
              </w:tc>
              <w:tc>
                <w:tcPr>
                  <w:tcW w:w="501"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0.01</w:t>
                  </w:r>
                </w:p>
              </w:tc>
              <w:tc>
                <w:tcPr>
                  <w:tcW w:w="84"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p>
              </w:tc>
              <w:tc>
                <w:tcPr>
                  <w:tcW w:w="501" w:type="pct"/>
                  <w:tcBorders>
                    <w:bottom w:val="single" w:sz="6" w:space="0" w:color="auto"/>
                  </w:tcBorders>
                  <w:shd w:val="clear" w:color="auto" w:fill="D9D9D9" w:themeFill="background1" w:themeFillShade="D9"/>
                  <w:vAlign w:val="bottom"/>
                </w:tcPr>
                <w:p w:rsidR="00A05957" w:rsidRPr="00B56429" w:rsidRDefault="00A05957" w:rsidP="006B4722">
                  <w:pPr>
                    <w:pStyle w:val="TableBodyText"/>
                    <w:rPr>
                      <w:b/>
                    </w:rPr>
                  </w:pPr>
                  <w:r w:rsidRPr="00B56429">
                    <w:rPr>
                      <w:b/>
                    </w:rPr>
                    <w:t>-1.70</w:t>
                  </w:r>
                </w:p>
              </w:tc>
              <w:tc>
                <w:tcPr>
                  <w:tcW w:w="501"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-1.67</w:t>
                  </w:r>
                </w:p>
              </w:tc>
              <w:tc>
                <w:tcPr>
                  <w:tcW w:w="502"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-0.03</w:t>
                  </w:r>
                </w:p>
              </w:tc>
              <w:tc>
                <w:tcPr>
                  <w:tcW w:w="82"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p>
              </w:tc>
              <w:tc>
                <w:tcPr>
                  <w:tcW w:w="474" w:type="pct"/>
                  <w:tcBorders>
                    <w:bottom w:val="single" w:sz="6" w:space="0" w:color="auto"/>
                  </w:tcBorders>
                  <w:shd w:val="clear" w:color="auto" w:fill="D9D9D9" w:themeFill="background1" w:themeFillShade="D9"/>
                  <w:vAlign w:val="bottom"/>
                </w:tcPr>
                <w:p w:rsidR="00A05957" w:rsidRPr="00B56429" w:rsidRDefault="00A05957" w:rsidP="006B4722">
                  <w:pPr>
                    <w:pStyle w:val="TableBodyText"/>
                    <w:rPr>
                      <w:b/>
                    </w:rPr>
                  </w:pPr>
                  <w:r w:rsidRPr="00B56429">
                    <w:rPr>
                      <w:b/>
                    </w:rPr>
                    <w:t>-3.08</w:t>
                  </w:r>
                </w:p>
              </w:tc>
              <w:tc>
                <w:tcPr>
                  <w:tcW w:w="474"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-3.03</w:t>
                  </w:r>
                </w:p>
              </w:tc>
              <w:tc>
                <w:tcPr>
                  <w:tcW w:w="475" w:type="pct"/>
                  <w:tcBorders>
                    <w:bottom w:val="single" w:sz="6" w:space="0" w:color="auto"/>
                  </w:tcBorders>
                  <w:shd w:val="clear" w:color="auto" w:fill="D9D9D9" w:themeFill="background1" w:themeFillShade="D9"/>
                  <w:vAlign w:val="bottom"/>
                </w:tcPr>
                <w:p w:rsidR="00A05957" w:rsidRPr="00B56429" w:rsidRDefault="00A05957" w:rsidP="00F546F1">
                  <w:pPr>
                    <w:pStyle w:val="TableBodyText"/>
                    <w:rPr>
                      <w:b/>
                    </w:rPr>
                  </w:pPr>
                  <w:r w:rsidRPr="00B56429">
                    <w:rPr>
                      <w:b/>
                    </w:rPr>
                    <w:t>-0.04</w:t>
                  </w:r>
                </w:p>
              </w:tc>
            </w:tr>
          </w:tbl>
          <w:p w:rsidR="006E0128" w:rsidRDefault="006E0128" w:rsidP="003815BD">
            <w:pPr>
              <w:pStyle w:val="Note"/>
              <w:spacing w:before="40"/>
            </w:pPr>
            <w:r w:rsidRPr="0053419A">
              <w:rPr>
                <w:rStyle w:val="NoteLabel"/>
              </w:rPr>
              <w:t>a</w:t>
            </w:r>
            <w:r>
              <w:t xml:space="preserve"> </w:t>
            </w:r>
            <w:r w:rsidR="00103B92">
              <w:t xml:space="preserve">For subsector names see figure D.2. </w:t>
            </w:r>
            <w:r w:rsidR="00B66667" w:rsidRPr="00B66667">
              <w:rPr>
                <w:rStyle w:val="NoteLabel"/>
              </w:rPr>
              <w:t>b</w:t>
            </w:r>
            <w:r w:rsidR="005E2E96">
              <w:rPr>
                <w:rStyle w:val="NoteLabel"/>
              </w:rPr>
              <w:t xml:space="preserve"> </w:t>
            </w:r>
            <w:r>
              <w:t xml:space="preserve">Based on the sum of subsector contributions </w:t>
            </w:r>
            <w:r w:rsidR="00103B92">
              <w:t>(</w:t>
            </w:r>
            <w:r>
              <w:t xml:space="preserve">table </w:t>
            </w:r>
            <w:r w:rsidR="0056575C">
              <w:t>3.4</w:t>
            </w:r>
            <w:r w:rsidR="00103B92">
              <w:t>)</w:t>
            </w:r>
            <w:r>
              <w:t>.</w:t>
            </w:r>
          </w:p>
          <w:p w:rsidR="006E0128" w:rsidRPr="0053419A" w:rsidRDefault="006E0128" w:rsidP="00E408F8">
            <w:pPr>
              <w:pStyle w:val="Source"/>
              <w:spacing w:after="0"/>
            </w:pPr>
            <w:r>
              <w:rPr>
                <w:i/>
              </w:rPr>
              <w:t>Source</w:t>
            </w:r>
            <w:r w:rsidRPr="00774DEA">
              <w:t>:</w:t>
            </w:r>
            <w:r>
              <w:t xml:space="preserve"> Authors’ estimates based on methodology from Parham (2012).</w:t>
            </w:r>
          </w:p>
          <w:p w:rsidR="006E0128" w:rsidRDefault="006E0128" w:rsidP="00F546F1">
            <w:pPr>
              <w:pStyle w:val="Box"/>
            </w:pPr>
            <w:r>
              <w:t xml:space="preserve">The last three columns shows the difference between cycles in the within and between effects. The between column shows that compositional change in Manufacturing </w:t>
            </w:r>
            <w:r w:rsidRPr="009578B9">
              <w:t xml:space="preserve">contributed only 0.04 of a percentage point to the decline in </w:t>
            </w:r>
            <w:r>
              <w:t>Manufacturing</w:t>
            </w:r>
            <w:r w:rsidRPr="009578B9">
              <w:t xml:space="preserve"> MFP between cycles (this is just over one per cent of the total MFP decline). This means that growth in the relative size of subsectors with relatively lower MFP growth was only a small contributor to the slowdown in MFP growth in aggregate </w:t>
            </w:r>
            <w:r>
              <w:t>Manufacturing</w:t>
            </w:r>
            <w:r w:rsidRPr="009578B9">
              <w:t xml:space="preserve">. </w:t>
            </w:r>
          </w:p>
        </w:tc>
      </w:tr>
      <w:tr w:rsidR="006E0128" w:rsidTr="00F546F1">
        <w:trPr>
          <w:cantSplit/>
        </w:trPr>
        <w:tc>
          <w:tcPr>
            <w:tcW w:w="8771" w:type="dxa"/>
            <w:tcBorders>
              <w:top w:val="nil"/>
              <w:left w:val="single" w:sz="6" w:space="0" w:color="auto"/>
              <w:bottom w:val="single" w:sz="6" w:space="0" w:color="auto"/>
              <w:right w:val="single" w:sz="6" w:space="0" w:color="auto"/>
            </w:tcBorders>
          </w:tcPr>
          <w:p w:rsidR="006E0128" w:rsidRPr="00E408F8" w:rsidRDefault="006E0128" w:rsidP="00F546F1">
            <w:pPr>
              <w:pStyle w:val="Box"/>
              <w:spacing w:before="0" w:line="120" w:lineRule="exact"/>
              <w:rPr>
                <w:sz w:val="16"/>
                <w:szCs w:val="16"/>
              </w:rPr>
            </w:pPr>
          </w:p>
        </w:tc>
      </w:tr>
      <w:tr w:rsidR="006E0128" w:rsidRPr="000863A5" w:rsidTr="00F546F1">
        <w:tc>
          <w:tcPr>
            <w:tcW w:w="8771" w:type="dxa"/>
            <w:tcBorders>
              <w:top w:val="nil"/>
              <w:left w:val="nil"/>
              <w:bottom w:val="nil"/>
              <w:right w:val="nil"/>
            </w:tcBorders>
          </w:tcPr>
          <w:p w:rsidR="006E0128" w:rsidRPr="00626D32" w:rsidRDefault="006E0128" w:rsidP="00F546F1">
            <w:pPr>
              <w:pStyle w:val="BoxSpaceBelow"/>
            </w:pPr>
          </w:p>
        </w:tc>
      </w:tr>
    </w:tbl>
    <w:p w:rsidR="006E0128" w:rsidRDefault="006E0128" w:rsidP="006E0128">
      <w:pPr>
        <w:pStyle w:val="Heading3"/>
      </w:pPr>
      <w:r>
        <w:lastRenderedPageBreak/>
        <w:t>Contributions to the decline between cycle 4 and the incomplete cycle</w:t>
      </w:r>
    </w:p>
    <w:p w:rsidR="007219BA" w:rsidRDefault="008F3A1B" w:rsidP="00861E1F">
      <w:pPr>
        <w:pStyle w:val="BodyText"/>
      </w:pPr>
      <w:r>
        <w:t xml:space="preserve">Figure </w:t>
      </w:r>
      <w:r w:rsidR="00F533DF">
        <w:t>D.3</w:t>
      </w:r>
      <w:r w:rsidR="00F717E1">
        <w:t xml:space="preserve"> </w:t>
      </w:r>
      <w:r>
        <w:t xml:space="preserve">shows the contribution of the subsectors to the </w:t>
      </w:r>
      <w:r w:rsidRPr="002E59F4">
        <w:rPr>
          <w:i/>
        </w:rPr>
        <w:t>change</w:t>
      </w:r>
      <w:r>
        <w:t xml:space="preserve"> in </w:t>
      </w:r>
      <w:r w:rsidR="0009689C">
        <w:t>Manufacturing</w:t>
      </w:r>
      <w:r w:rsidR="00ED3B1D">
        <w:t xml:space="preserve"> </w:t>
      </w:r>
      <w:r>
        <w:t xml:space="preserve">MFP and in its proximate causes between cycle 4 and </w:t>
      </w:r>
      <w:r w:rsidR="002E59F4">
        <w:t xml:space="preserve">the </w:t>
      </w:r>
      <w:r w:rsidR="00A1228E">
        <w:t>incomplete cycle</w:t>
      </w:r>
      <w:r w:rsidR="002E59F4">
        <w:t xml:space="preserve">. Manufacturing experienced a slowing rate of growth in each of the proximate causes: VA, capital and labour. </w:t>
      </w:r>
      <w:r w:rsidR="00ED3B1D">
        <w:t xml:space="preserve">The improvement in </w:t>
      </w:r>
      <w:r w:rsidR="0009689C">
        <w:t>Manufacturing</w:t>
      </w:r>
      <w:r w:rsidR="00ED3B1D">
        <w:t xml:space="preserve"> MFP was driven by a greater downturn in its capital and labour inputs growth than in its VA growth.</w:t>
      </w:r>
    </w:p>
    <w:p w:rsidR="007219BA" w:rsidRDefault="00ED3B1D" w:rsidP="00861E1F">
      <w:pPr>
        <w:pStyle w:val="BodyText"/>
      </w:pPr>
      <w:r>
        <w:t xml:space="preserve">The contribution of the different subsectors to the </w:t>
      </w:r>
      <w:r w:rsidRPr="002E59F4">
        <w:rPr>
          <w:i/>
        </w:rPr>
        <w:t>change</w:t>
      </w:r>
      <w:r>
        <w:t xml:space="preserve"> in MFP growth was </w:t>
      </w:r>
      <w:r w:rsidR="00701FBF">
        <w:t>mixed</w:t>
      </w:r>
      <w:r>
        <w:t xml:space="preserve">. </w:t>
      </w:r>
      <w:r w:rsidR="00A474A2">
        <w:t>Those</w:t>
      </w:r>
      <w:r w:rsidR="00A1228E">
        <w:t xml:space="preserve"> subsectors</w:t>
      </w:r>
      <w:r w:rsidR="00A474A2">
        <w:t xml:space="preserve"> that made</w:t>
      </w:r>
      <w:r w:rsidR="00A1228E">
        <w:t xml:space="preserve"> positive c</w:t>
      </w:r>
      <w:r w:rsidR="00A474A2">
        <w:t xml:space="preserve">ontributions </w:t>
      </w:r>
      <w:r w:rsidR="00F16525">
        <w:t xml:space="preserve">— </w:t>
      </w:r>
      <w:r w:rsidR="00A474A2">
        <w:t xml:space="preserve">FBT, PCCR, </w:t>
      </w:r>
      <w:r w:rsidR="00F16525">
        <w:t>Wood and paper products (</w:t>
      </w:r>
      <w:r w:rsidR="00A474A2">
        <w:t>WP</w:t>
      </w:r>
      <w:r w:rsidR="00F16525">
        <w:t>)</w:t>
      </w:r>
      <w:r w:rsidR="00A474A2">
        <w:t xml:space="preserve"> and </w:t>
      </w:r>
      <w:r w:rsidR="00F16525">
        <w:t>Machinery and equipment manufacturing (</w:t>
      </w:r>
      <w:r w:rsidR="00A474A2">
        <w:t xml:space="preserve">ME) </w:t>
      </w:r>
      <w:r w:rsidR="00F16525">
        <w:t xml:space="preserve">— </w:t>
      </w:r>
      <w:r>
        <w:t>were able to</w:t>
      </w:r>
      <w:r w:rsidR="00A1228E">
        <w:t xml:space="preserve"> offse</w:t>
      </w:r>
      <w:r w:rsidR="00A474A2">
        <w:t>t</w:t>
      </w:r>
      <w:r w:rsidR="00A1228E">
        <w:t xml:space="preserve"> the negative contributions</w:t>
      </w:r>
      <w:r w:rsidR="00A474A2">
        <w:t xml:space="preserve"> of </w:t>
      </w:r>
      <w:r w:rsidR="00A1228E">
        <w:t>the other subsectors</w:t>
      </w:r>
      <w:r w:rsidR="002E59F4">
        <w:t xml:space="preserve"> </w:t>
      </w:r>
      <w:r w:rsidR="00F16525">
        <w:t xml:space="preserve">— Textile, clothing and other manufacturing </w:t>
      </w:r>
      <w:r w:rsidR="002E59F4">
        <w:t>(TCO</w:t>
      </w:r>
      <w:r w:rsidR="00F16525">
        <w:t>)</w:t>
      </w:r>
      <w:r w:rsidR="00A474A2">
        <w:t xml:space="preserve">, NM, </w:t>
      </w:r>
      <w:r w:rsidR="00F16525">
        <w:t>Printing and recorded media (</w:t>
      </w:r>
      <w:r w:rsidR="00A474A2">
        <w:t>PRM</w:t>
      </w:r>
      <w:r w:rsidR="00F16525">
        <w:t xml:space="preserve">) </w:t>
      </w:r>
      <w:r w:rsidR="00A474A2">
        <w:t>and MP</w:t>
      </w:r>
      <w:r w:rsidR="00CF15EB">
        <w:t>.</w:t>
      </w:r>
    </w:p>
    <w:p w:rsidR="00861E1F" w:rsidRDefault="007219BA" w:rsidP="00861E1F">
      <w:pPr>
        <w:pStyle w:val="BodyText"/>
      </w:pPr>
      <w:r>
        <w:t>On the other hand</w:t>
      </w:r>
      <w:r w:rsidR="00701FBF">
        <w:t>, t</w:t>
      </w:r>
      <w:r w:rsidR="00ED3B1D">
        <w:t>he subsector contributions to the</w:t>
      </w:r>
      <w:r w:rsidR="00701FBF">
        <w:t xml:space="preserve"> </w:t>
      </w:r>
      <w:r w:rsidR="00701FBF" w:rsidRPr="008E5883">
        <w:rPr>
          <w:i/>
        </w:rPr>
        <w:t>change</w:t>
      </w:r>
      <w:r w:rsidR="00701FBF">
        <w:t xml:space="preserve"> in the growth in the</w:t>
      </w:r>
      <w:r w:rsidR="00ED3B1D">
        <w:t xml:space="preserve"> pro</w:t>
      </w:r>
      <w:r w:rsidR="00701FBF">
        <w:t>ximate causes were more uniform in direction,</w:t>
      </w:r>
      <w:r w:rsidR="00ED3B1D">
        <w:t xml:space="preserve"> with negative contributions </w:t>
      </w:r>
      <w:r w:rsidR="00701FBF">
        <w:t xml:space="preserve">to the change in VA, labour and </w:t>
      </w:r>
      <w:r>
        <w:t xml:space="preserve">capital growth being widespread among the subsectors. </w:t>
      </w:r>
    </w:p>
    <w:p w:rsidR="00763FBB" w:rsidRDefault="002A2E37" w:rsidP="00763FBB">
      <w:pPr>
        <w:pStyle w:val="ListBullet"/>
      </w:pPr>
      <w:r>
        <w:t>Most subsectors contributed around between 0.2 to 0.5 of a percentage point to the decline in VA growth. MP had a large</w:t>
      </w:r>
      <w:r w:rsidR="007219BA">
        <w:t>r</w:t>
      </w:r>
      <w:r>
        <w:t xml:space="preserve"> contribution of just over 1 percentage point, which accounts for a</w:t>
      </w:r>
      <w:r w:rsidR="00621ECC">
        <w:t>round a</w:t>
      </w:r>
      <w:r>
        <w:t xml:space="preserve"> third of the VA decline between the cycles</w:t>
      </w:r>
      <w:r w:rsidR="00621ECC">
        <w:t>.</w:t>
      </w:r>
    </w:p>
    <w:p w:rsidR="002A2E37" w:rsidRDefault="002A2E37" w:rsidP="00763FBB">
      <w:pPr>
        <w:pStyle w:val="ListBullet"/>
      </w:pPr>
      <w:r>
        <w:t>There was greater uniformity in the</w:t>
      </w:r>
      <w:r w:rsidR="006B03B5">
        <w:t xml:space="preserve"> subsectors’</w:t>
      </w:r>
      <w:r>
        <w:t xml:space="preserve"> contributions to</w:t>
      </w:r>
      <w:r w:rsidR="007219BA">
        <w:t xml:space="preserve"> the</w:t>
      </w:r>
      <w:r>
        <w:t xml:space="preserve"> hours worked decline between the cycles, wit</w:t>
      </w:r>
      <w:r w:rsidR="006201E5">
        <w:t>h each subsector making negative contributions of between -0.1 to -0.5 of a percentage point. PRM and TC</w:t>
      </w:r>
      <w:r w:rsidR="007219BA">
        <w:t>O</w:t>
      </w:r>
      <w:r w:rsidR="006201E5">
        <w:t xml:space="preserve"> were the exceptions, each making small positive contributions to the change in hours worked.</w:t>
      </w:r>
    </w:p>
    <w:p w:rsidR="006201E5" w:rsidRDefault="00DA6CB7" w:rsidP="00763FBB">
      <w:pPr>
        <w:pStyle w:val="ListBullet"/>
      </w:pPr>
      <w:r>
        <w:t>The downturn in capital inputs growth was mainly concentrated in</w:t>
      </w:r>
      <w:r w:rsidR="006B03B5">
        <w:t xml:space="preserve"> </w:t>
      </w:r>
      <w:r w:rsidR="006201E5">
        <w:t>ME, PCCR and MP</w:t>
      </w:r>
      <w:r>
        <w:t>,</w:t>
      </w:r>
      <w:r w:rsidR="006201E5">
        <w:t xml:space="preserve"> w</w:t>
      </w:r>
      <w:r w:rsidR="006B03B5">
        <w:t xml:space="preserve">hich together contributed to </w:t>
      </w:r>
      <w:r>
        <w:t>almost all</w:t>
      </w:r>
      <w:r w:rsidR="006B03B5">
        <w:t xml:space="preserve"> </w:t>
      </w:r>
      <w:r w:rsidR="006201E5">
        <w:t>of the overall decline. The ot</w:t>
      </w:r>
      <w:r w:rsidR="00645353">
        <w:t>her subsectors combined had less than 0.2</w:t>
      </w:r>
      <w:r w:rsidR="006201E5">
        <w:t xml:space="preserve"> percentage point </w:t>
      </w:r>
      <w:r w:rsidR="00645353">
        <w:t xml:space="preserve">decline in capital input growth, which is around </w:t>
      </w:r>
      <w:r w:rsidR="00386474">
        <w:t xml:space="preserve">10 </w:t>
      </w:r>
      <w:r w:rsidR="00645353">
        <w:t>per cent of the total decline (after netting out the positive contribution of NM).</w:t>
      </w:r>
    </w:p>
    <w:p w:rsidR="004B589C" w:rsidRDefault="004B589C" w:rsidP="00D75BDD">
      <w:pPr>
        <w:pStyle w:val="FigureTitle"/>
        <w:spacing w:after="40"/>
      </w:pPr>
      <w:r>
        <w:rPr>
          <w:b w:val="0"/>
        </w:rPr>
        <w:lastRenderedPageBreak/>
        <w:t xml:space="preserve">Figure </w:t>
      </w:r>
      <w:bookmarkStart w:id="8" w:name="OLE_LINK6"/>
      <w:r w:rsidR="00F533DF">
        <w:rPr>
          <w:b w:val="0"/>
        </w:rPr>
        <w:t>D.</w:t>
      </w:r>
      <w:r w:rsidR="00F020EC">
        <w:rPr>
          <w:b w:val="0"/>
          <w:noProof/>
        </w:rPr>
        <w:t>3</w:t>
      </w:r>
      <w:bookmarkEnd w:id="8"/>
      <w:r>
        <w:tab/>
      </w:r>
      <w:r w:rsidR="00E36CF1">
        <w:t xml:space="preserve">Subsector contributions to </w:t>
      </w:r>
      <w:r w:rsidR="0087194F">
        <w:t xml:space="preserve">total manufacturing </w:t>
      </w:r>
      <w:r w:rsidR="00E36CF1">
        <w:t xml:space="preserve">MFP </w:t>
      </w:r>
      <w:r w:rsidR="0087194F">
        <w:t xml:space="preserve">growth </w:t>
      </w:r>
      <w:r w:rsidR="00E36CF1">
        <w:t xml:space="preserve">and </w:t>
      </w:r>
      <w:r w:rsidR="0087194F">
        <w:t xml:space="preserve">its </w:t>
      </w:r>
      <w:r w:rsidR="00E36CF1">
        <w:t>proximate causes</w:t>
      </w:r>
      <w:r w:rsidR="0087194F">
        <w:t xml:space="preserve"> between cycle 4 and the incomplete cycle</w:t>
      </w:r>
      <w:r w:rsidR="00B02196" w:rsidRPr="00B02196">
        <w:rPr>
          <w:rStyle w:val="NoteLabel"/>
          <w:b/>
        </w:rPr>
        <w:t>a</w:t>
      </w:r>
    </w:p>
    <w:p w:rsidR="004B589C" w:rsidRDefault="0087194F" w:rsidP="00D75BDD">
      <w:pPr>
        <w:pStyle w:val="Subtitle"/>
        <w:spacing w:after="40"/>
      </w:pPr>
      <w:r>
        <w:t>Percentage point change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4B589C" w:rsidTr="004B589C">
        <w:trPr>
          <w:trHeight w:val="246"/>
        </w:trPr>
        <w:tc>
          <w:tcPr>
            <w:tcW w:w="4388" w:type="dxa"/>
          </w:tcPr>
          <w:p w:rsidR="004B589C" w:rsidRDefault="000F49A3" w:rsidP="008C6B7C">
            <w:pPr>
              <w:pStyle w:val="Figure"/>
              <w:spacing w:before="0" w:after="0"/>
            </w:pPr>
            <w:r>
              <w:pict>
                <v:shape id="_x0000_i1032" type="#_x0000_t75" alt="Details on this figure can be found within the text immediately before this image." style="width:215.15pt;height:205.95pt">
                  <v:imagedata r:id="rId16" o:title=""/>
                </v:shape>
              </w:pict>
            </w:r>
          </w:p>
        </w:tc>
        <w:tc>
          <w:tcPr>
            <w:tcW w:w="4389" w:type="dxa"/>
          </w:tcPr>
          <w:p w:rsidR="004B589C" w:rsidRDefault="000F49A3" w:rsidP="008C6B7C">
            <w:pPr>
              <w:pStyle w:val="Figure"/>
              <w:spacing w:before="0" w:after="0"/>
            </w:pPr>
            <w:r>
              <w:pict>
                <v:shape id="_x0000_i1033" type="#_x0000_t75" alt="Details on this figure can be found within the text immediately before this image." style="width:214.35pt;height:205.95pt">
                  <v:imagedata r:id="rId17" o:title=""/>
                </v:shape>
              </w:pict>
            </w:r>
          </w:p>
        </w:tc>
      </w:tr>
      <w:tr w:rsidR="004B589C" w:rsidTr="004B589C">
        <w:trPr>
          <w:trHeight w:val="245"/>
        </w:trPr>
        <w:tc>
          <w:tcPr>
            <w:tcW w:w="4388" w:type="dxa"/>
          </w:tcPr>
          <w:p w:rsidR="004B589C" w:rsidRDefault="000F49A3" w:rsidP="008C6B7C">
            <w:pPr>
              <w:pStyle w:val="Figure"/>
              <w:spacing w:before="0" w:after="0"/>
            </w:pPr>
            <w:r>
              <w:pict>
                <v:shape id="_x0000_i1034" type="#_x0000_t75" alt="Details on this figure can be found within the text immediately before this image." style="width:214.35pt;height:205.95pt">
                  <v:imagedata r:id="rId18" o:title=""/>
                </v:shape>
              </w:pict>
            </w:r>
          </w:p>
        </w:tc>
        <w:tc>
          <w:tcPr>
            <w:tcW w:w="4389" w:type="dxa"/>
          </w:tcPr>
          <w:p w:rsidR="004B589C" w:rsidRDefault="000F49A3" w:rsidP="008C6B7C">
            <w:pPr>
              <w:pStyle w:val="Figure"/>
              <w:spacing w:before="0" w:after="0"/>
            </w:pPr>
            <w:r>
              <w:pict>
                <v:shape id="_x0000_i1035" type="#_x0000_t75" alt="Details on this figure can be found within the text immediately before this image." style="width:214.35pt;height:205.95pt">
                  <v:imagedata r:id="rId19" o:title=""/>
                </v:shape>
              </w:pict>
            </w:r>
          </w:p>
        </w:tc>
      </w:tr>
    </w:tbl>
    <w:p w:rsidR="00D8324E" w:rsidRDefault="00103B92" w:rsidP="00D8324E">
      <w:pPr>
        <w:pStyle w:val="Note"/>
      </w:pPr>
      <w:r w:rsidRPr="00CD5F36">
        <w:t xml:space="preserve">FBT </w:t>
      </w:r>
      <w:r w:rsidR="005E2E96">
        <w:t>is</w:t>
      </w:r>
      <w:r w:rsidRPr="00CD5F36">
        <w:t xml:space="preserve"> Food, beverage </w:t>
      </w:r>
      <w:r>
        <w:t>and</w:t>
      </w:r>
      <w:r w:rsidRPr="00CD5F36">
        <w:t xml:space="preserve"> tobacco products; ME </w:t>
      </w:r>
      <w:r w:rsidR="005E2E96">
        <w:t>is</w:t>
      </w:r>
      <w:r w:rsidRPr="00CD5F36">
        <w:t xml:space="preserve"> Machinery </w:t>
      </w:r>
      <w:r>
        <w:t>and</w:t>
      </w:r>
      <w:r w:rsidRPr="00CD5F36">
        <w:t xml:space="preserve"> equipment manufacturing; MP </w:t>
      </w:r>
      <w:r w:rsidR="005E2E96">
        <w:t>is</w:t>
      </w:r>
      <w:r w:rsidRPr="00CD5F36">
        <w:t xml:space="preserve"> Metal products; NM </w:t>
      </w:r>
      <w:r w:rsidR="005E2E96">
        <w:t>is</w:t>
      </w:r>
      <w:r w:rsidRPr="00CD5F36">
        <w:t xml:space="preserve"> Non-metallic mineral products; PCCR </w:t>
      </w:r>
      <w:r w:rsidR="005E2E96">
        <w:t>is</w:t>
      </w:r>
      <w:r w:rsidRPr="00CD5F36">
        <w:t xml:space="preserve"> Petroleum, coal, chemical </w:t>
      </w:r>
      <w:r>
        <w:t>and</w:t>
      </w:r>
      <w:r w:rsidRPr="00CD5F36">
        <w:t xml:space="preserve"> rubber products</w:t>
      </w:r>
      <w:r>
        <w:t xml:space="preserve">; </w:t>
      </w:r>
      <w:r w:rsidRPr="00CD5F36">
        <w:t>PRM</w:t>
      </w:r>
      <w:r>
        <w:t> </w:t>
      </w:r>
      <w:r w:rsidR="005E2E96">
        <w:t>is</w:t>
      </w:r>
      <w:r w:rsidRPr="00CD5F36">
        <w:t xml:space="preserve"> Printing </w:t>
      </w:r>
      <w:r>
        <w:t>and</w:t>
      </w:r>
      <w:r w:rsidRPr="00CD5F36">
        <w:t xml:space="preserve"> recorded media; TCO </w:t>
      </w:r>
      <w:r w:rsidR="005E2E96">
        <w:t>is</w:t>
      </w:r>
      <w:r w:rsidRPr="00CD5F36">
        <w:t xml:space="preserve"> Textile, clothing </w:t>
      </w:r>
      <w:r>
        <w:t>and</w:t>
      </w:r>
      <w:r w:rsidRPr="00CD5F36">
        <w:t xml:space="preserve"> other manufacturing; WP </w:t>
      </w:r>
      <w:r w:rsidR="005E2E96">
        <w:t>is</w:t>
      </w:r>
      <w:r w:rsidRPr="00CD5F36">
        <w:t xml:space="preserve"> Wood </w:t>
      </w:r>
      <w:r>
        <w:t>and</w:t>
      </w:r>
      <w:r w:rsidRPr="00CD5F36">
        <w:t xml:space="preserve"> paper products</w:t>
      </w:r>
      <w:r>
        <w:t xml:space="preserve">. </w:t>
      </w:r>
      <w:r w:rsidR="00CD5F36">
        <w:rPr>
          <w:rStyle w:val="NoteLabel"/>
        </w:rPr>
        <w:t>a</w:t>
      </w:r>
      <w:r w:rsidR="00CD5F36">
        <w:t> </w:t>
      </w:r>
      <w:r w:rsidR="00D8324E">
        <w:t xml:space="preserve">Due to approximation errors, the subsector contributions do not sum to the ABS data shown in </w:t>
      </w:r>
      <w:r w:rsidR="0081027A">
        <w:t xml:space="preserve">figure </w:t>
      </w:r>
      <w:r w:rsidR="00F533DF">
        <w:t>D.1</w:t>
      </w:r>
      <w:r w:rsidR="00D8324E">
        <w:t>.</w:t>
      </w:r>
      <w:r w:rsidR="0081027A">
        <w:t xml:space="preserve"> See chapter 3 and appendix A for details.</w:t>
      </w:r>
    </w:p>
    <w:p w:rsidR="004B589C" w:rsidRDefault="004B589C" w:rsidP="00D8324E">
      <w:pPr>
        <w:pStyle w:val="Note"/>
      </w:pPr>
      <w:r>
        <w:rPr>
          <w:i/>
        </w:rPr>
        <w:t>Data source</w:t>
      </w:r>
      <w:r w:rsidRPr="00167F06">
        <w:t xml:space="preserve">: </w:t>
      </w:r>
      <w:r w:rsidR="00C9113E">
        <w:t>Authors’ estimates</w:t>
      </w:r>
      <w:r w:rsidR="00A317BE">
        <w:t>.</w:t>
      </w:r>
    </w:p>
    <w:p w:rsidR="00B56429" w:rsidRDefault="00B56429">
      <w:pPr>
        <w:rPr>
          <w:rFonts w:ascii="Arial" w:hAnsi="Arial"/>
          <w:b/>
          <w:sz w:val="32"/>
          <w:szCs w:val="20"/>
        </w:rPr>
      </w:pPr>
      <w:r>
        <w:br w:type="page"/>
      </w:r>
    </w:p>
    <w:p w:rsidR="000F065F" w:rsidRDefault="00F533DF" w:rsidP="00D75BDD">
      <w:pPr>
        <w:pStyle w:val="Heading2"/>
        <w:spacing w:before="480"/>
      </w:pPr>
      <w:r>
        <w:lastRenderedPageBreak/>
        <w:t>D.</w:t>
      </w:r>
      <w:r w:rsidR="00F020EC">
        <w:rPr>
          <w:noProof/>
        </w:rPr>
        <w:t>2</w:t>
      </w:r>
      <w:r w:rsidR="00A317BE">
        <w:tab/>
      </w:r>
      <w:r w:rsidR="000F065F">
        <w:t>Subsect</w:t>
      </w:r>
      <w:r w:rsidR="00A317BE">
        <w:t xml:space="preserve">or MFP </w:t>
      </w:r>
      <w:r w:rsidR="0087194F">
        <w:t xml:space="preserve">growth </w:t>
      </w:r>
      <w:r w:rsidR="00A317BE">
        <w:t>and its proximate causes</w:t>
      </w:r>
    </w:p>
    <w:p w:rsidR="00A317BE" w:rsidRPr="00A317BE" w:rsidRDefault="00A317BE" w:rsidP="00EB7ED4">
      <w:pPr>
        <w:pStyle w:val="Heading3"/>
        <w:spacing w:before="280"/>
      </w:pPr>
      <w:r>
        <w:t xml:space="preserve">Petroleum, coal, chemical </w:t>
      </w:r>
      <w:r w:rsidR="00577D27">
        <w:t>and</w:t>
      </w:r>
      <w:r>
        <w:t xml:space="preserve"> rubber products</w:t>
      </w:r>
    </w:p>
    <w:p w:rsidR="00A317BE" w:rsidRDefault="00A317BE" w:rsidP="00D75BDD">
      <w:pPr>
        <w:pStyle w:val="BodyText"/>
        <w:widowControl w:val="0"/>
      </w:pPr>
      <w:r>
        <w:t xml:space="preserve">PCCR had a large decline in MFP between cycles 3 and 4, making the largest contribution to the decline for </w:t>
      </w:r>
      <w:r w:rsidR="0009689C">
        <w:t>M</w:t>
      </w:r>
      <w:r>
        <w:t>anufacturing</w:t>
      </w:r>
      <w:r w:rsidR="0009689C">
        <w:t xml:space="preserve"> in total</w:t>
      </w:r>
      <w:r>
        <w:t xml:space="preserve"> (accounting for around a quarter of the decline). It was also a positive contributor to the improvement in </w:t>
      </w:r>
      <w:r w:rsidR="0009689C">
        <w:t>Manufacturing</w:t>
      </w:r>
      <w:r>
        <w:t xml:space="preserve"> MFP between cycle 4 and the incomplete cycle (figure </w:t>
      </w:r>
      <w:r w:rsidR="00F533DF">
        <w:t>D.3</w:t>
      </w:r>
      <w:r w:rsidR="00F97970">
        <w:t xml:space="preserve"> above</w:t>
      </w:r>
      <w:r>
        <w:t xml:space="preserve">). </w:t>
      </w:r>
    </w:p>
    <w:p w:rsidR="00552BDA" w:rsidRDefault="00552BDA" w:rsidP="00552BDA">
      <w:pPr>
        <w:pStyle w:val="FigureTitle"/>
      </w:pPr>
      <w:r>
        <w:rPr>
          <w:b w:val="0"/>
        </w:rPr>
        <w:t xml:space="preserve">Figure </w:t>
      </w:r>
      <w:bookmarkStart w:id="9" w:name="OLE_LINK2"/>
      <w:bookmarkStart w:id="10" w:name="OLE_LINK4"/>
      <w:r w:rsidR="00457960">
        <w:rPr>
          <w:b w:val="0"/>
        </w:rPr>
        <w:t>D.</w:t>
      </w:r>
      <w:r w:rsidR="00457960">
        <w:rPr>
          <w:b w:val="0"/>
          <w:noProof/>
        </w:rPr>
        <w:t>4</w:t>
      </w:r>
      <w:bookmarkEnd w:id="9"/>
      <w:bookmarkEnd w:id="10"/>
      <w:r>
        <w:tab/>
      </w:r>
      <w:r w:rsidR="0087194F">
        <w:t>PCCR MFP growth and its</w:t>
      </w:r>
      <w:r w:rsidR="001C644B" w:rsidRPr="001C644B">
        <w:t xml:space="preserve"> </w:t>
      </w:r>
      <w:r w:rsidR="001C644B">
        <w:t xml:space="preserve">proximate causes </w:t>
      </w:r>
      <w:r w:rsidR="0087194F">
        <w:t>by cycle</w:t>
      </w:r>
      <w:r w:rsidR="00596437" w:rsidRPr="00596437">
        <w:rPr>
          <w:rStyle w:val="NoteLabel"/>
          <w:b/>
        </w:rPr>
        <w:t>a</w:t>
      </w:r>
    </w:p>
    <w:p w:rsidR="00552BDA" w:rsidRDefault="00D75E74" w:rsidP="00552BDA">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552BDA" w:rsidTr="00E75C54">
        <w:trPr>
          <w:trHeight w:val="246"/>
        </w:trPr>
        <w:tc>
          <w:tcPr>
            <w:tcW w:w="4388" w:type="dxa"/>
          </w:tcPr>
          <w:p w:rsidR="00552BDA" w:rsidRDefault="000F49A3" w:rsidP="00B00558">
            <w:pPr>
              <w:pStyle w:val="Figure"/>
              <w:spacing w:before="0" w:after="0"/>
            </w:pPr>
            <w:r>
              <w:pict>
                <v:shape id="_x0000_i1036" type="#_x0000_t75" alt="Details on this figure can be found within the text immediately after this image." style="width:205.95pt;height:198.4pt">
                  <v:imagedata r:id="rId20" o:title=""/>
                </v:shape>
              </w:pict>
            </w:r>
          </w:p>
        </w:tc>
        <w:tc>
          <w:tcPr>
            <w:tcW w:w="4389" w:type="dxa"/>
          </w:tcPr>
          <w:p w:rsidR="00552BDA" w:rsidRDefault="000F49A3" w:rsidP="00B00558">
            <w:pPr>
              <w:pStyle w:val="Figure"/>
              <w:spacing w:before="0" w:after="0"/>
            </w:pPr>
            <w:r>
              <w:pict>
                <v:shape id="_x0000_i1037" type="#_x0000_t75" alt="Details on this figure can be found within the text immediately after this image." style="width:205.95pt;height:198.4pt;mso-position-horizontal:absolute">
                  <v:imagedata r:id="rId21" o:title=""/>
                </v:shape>
              </w:pict>
            </w:r>
          </w:p>
        </w:tc>
      </w:tr>
      <w:tr w:rsidR="00552BDA" w:rsidTr="00E75C54">
        <w:trPr>
          <w:trHeight w:val="245"/>
        </w:trPr>
        <w:tc>
          <w:tcPr>
            <w:tcW w:w="8777" w:type="dxa"/>
            <w:gridSpan w:val="2"/>
          </w:tcPr>
          <w:p w:rsidR="00552BDA" w:rsidRDefault="000F49A3" w:rsidP="00D75BDD">
            <w:pPr>
              <w:pStyle w:val="Figure"/>
              <w:spacing w:before="0" w:after="0"/>
            </w:pPr>
            <w:r>
              <w:pict>
                <v:shape id="_x0000_i1038" type="#_x0000_t75" alt="Legend for chart: Black colour- value added. Diagonal stripe - Hours worked. Grey colour - Capital services. Black diamond - MFP." style="width:293.85pt;height:17.6pt">
                  <v:imagedata r:id="rId22"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552BDA" w:rsidRDefault="00552BDA" w:rsidP="00552BDA">
      <w:pPr>
        <w:pStyle w:val="Source"/>
      </w:pPr>
      <w:r>
        <w:rPr>
          <w:i/>
        </w:rPr>
        <w:t>Data source</w:t>
      </w:r>
      <w:r w:rsidRPr="00167F06">
        <w:t xml:space="preserve">: </w:t>
      </w:r>
      <w:r>
        <w:t>Authors’ estimates.</w:t>
      </w:r>
    </w:p>
    <w:p w:rsidR="00552BDA" w:rsidRDefault="00552BDA" w:rsidP="00552BDA">
      <w:pPr>
        <w:pStyle w:val="BodyText"/>
      </w:pPr>
      <w:r>
        <w:t>Between cycles 3 and 4</w:t>
      </w:r>
      <w:r w:rsidR="004A4349">
        <w:t xml:space="preserve"> </w:t>
      </w:r>
      <w:r w:rsidR="007A4F03">
        <w:t xml:space="preserve">(figure </w:t>
      </w:r>
      <w:r w:rsidR="00457960">
        <w:t>D.4</w:t>
      </w:r>
      <w:r w:rsidR="007A4F03">
        <w:t>), PCCR had a decline in MFP growth to a negative rate</w:t>
      </w:r>
      <w:r w:rsidR="000F5C10">
        <w:t>. This was</w:t>
      </w:r>
      <w:r w:rsidR="007A4F03">
        <w:t xml:space="preserve"> associated with</w:t>
      </w:r>
      <w:r>
        <w:t>:</w:t>
      </w:r>
    </w:p>
    <w:p w:rsidR="00552BDA" w:rsidRDefault="007A4F03" w:rsidP="00552BDA">
      <w:pPr>
        <w:pStyle w:val="ListBullet"/>
      </w:pPr>
      <w:r>
        <w:t>a</w:t>
      </w:r>
      <w:r w:rsidR="00552BDA">
        <w:t xml:space="preserve"> decline in VA growth</w:t>
      </w:r>
      <w:r>
        <w:t xml:space="preserve"> to a negative rate</w:t>
      </w:r>
    </w:p>
    <w:p w:rsidR="00552BDA" w:rsidRDefault="00552BDA" w:rsidP="00552BDA">
      <w:pPr>
        <w:pStyle w:val="ListBullet"/>
      </w:pPr>
      <w:r>
        <w:t xml:space="preserve">a slowing of labour shedding </w:t>
      </w:r>
    </w:p>
    <w:p w:rsidR="00552BDA" w:rsidRDefault="007A4F03" w:rsidP="00552BDA">
      <w:pPr>
        <w:pStyle w:val="ListBullet"/>
      </w:pPr>
      <w:r>
        <w:t>a surge in capital inputs</w:t>
      </w:r>
      <w:r w:rsidR="0015688A">
        <w:t xml:space="preserve"> (in cycle 4, PCCR had the </w:t>
      </w:r>
      <w:r w:rsidR="00300865">
        <w:t xml:space="preserve">second </w:t>
      </w:r>
      <w:r w:rsidR="0015688A">
        <w:t>highest capital inputs growth of all the subsectors).</w:t>
      </w:r>
      <w:r w:rsidR="00552BDA">
        <w:t xml:space="preserve"> </w:t>
      </w:r>
    </w:p>
    <w:p w:rsidR="00552BDA" w:rsidRDefault="00552BDA" w:rsidP="00840F3A">
      <w:pPr>
        <w:pStyle w:val="BodyText"/>
      </w:pPr>
      <w:r>
        <w:t>Between cycle 4 and the incomplete cycle</w:t>
      </w:r>
      <w:r w:rsidR="0066486C">
        <w:t xml:space="preserve"> there was an improvement in PCCR MFP growth to a less negative rate. This was associated with</w:t>
      </w:r>
      <w:r>
        <w:t>:</w:t>
      </w:r>
    </w:p>
    <w:p w:rsidR="00552BDA" w:rsidRDefault="00552BDA" w:rsidP="00552BDA">
      <w:pPr>
        <w:pStyle w:val="ListBullet"/>
      </w:pPr>
      <w:r>
        <w:t>further decline in VA in PCCR</w:t>
      </w:r>
    </w:p>
    <w:p w:rsidR="00552BDA" w:rsidRDefault="000F5C10" w:rsidP="00552BDA">
      <w:pPr>
        <w:pStyle w:val="ListBullet"/>
      </w:pPr>
      <w:r>
        <w:t>intensified l</w:t>
      </w:r>
      <w:r w:rsidR="00552BDA">
        <w:t xml:space="preserve">abour shedding </w:t>
      </w:r>
    </w:p>
    <w:p w:rsidR="00552BDA" w:rsidRDefault="000F5C10" w:rsidP="00552BDA">
      <w:pPr>
        <w:pStyle w:val="ListBullet"/>
      </w:pPr>
      <w:r>
        <w:t>significant slowing in growth in capital inputs.</w:t>
      </w:r>
    </w:p>
    <w:p w:rsidR="000F5C10" w:rsidRDefault="000F5C10" w:rsidP="000F5C10">
      <w:pPr>
        <w:pStyle w:val="BodyText"/>
      </w:pPr>
      <w:r>
        <w:lastRenderedPageBreak/>
        <w:t xml:space="preserve">The factors </w:t>
      </w:r>
      <w:r w:rsidR="00D24FD2">
        <w:t>influencing productivity growth in PCCR</w:t>
      </w:r>
      <w:r>
        <w:t xml:space="preserve"> are discussed in detail in chapter </w:t>
      </w:r>
      <w:r w:rsidR="000D7DF1">
        <w:t>4</w:t>
      </w:r>
      <w:r>
        <w:t>.</w:t>
      </w:r>
    </w:p>
    <w:p w:rsidR="00A317BE" w:rsidRDefault="00A317BE" w:rsidP="008C6B7C">
      <w:pPr>
        <w:pStyle w:val="Heading3"/>
        <w:keepNext w:val="0"/>
        <w:widowControl w:val="0"/>
        <w:spacing w:before="400"/>
      </w:pPr>
      <w:r>
        <w:t xml:space="preserve">Food, beverage </w:t>
      </w:r>
      <w:r w:rsidR="00577D27">
        <w:t>and</w:t>
      </w:r>
      <w:r>
        <w:t xml:space="preserve"> tobacco products</w:t>
      </w:r>
    </w:p>
    <w:p w:rsidR="00F74D87" w:rsidRPr="00B00558" w:rsidRDefault="00F74D87" w:rsidP="00F75377">
      <w:pPr>
        <w:pStyle w:val="BodyText"/>
        <w:widowControl w:val="0"/>
      </w:pPr>
      <w:r w:rsidRPr="00B00558">
        <w:t xml:space="preserve">FBT made the second largest contribution to the decline in MFP growth for </w:t>
      </w:r>
      <w:r w:rsidR="0009689C">
        <w:t xml:space="preserve">Manufacturing in </w:t>
      </w:r>
      <w:r w:rsidRPr="00B00558">
        <w:t xml:space="preserve">total between the last two complete productivity cycles. FBT was the largest positive contributor to the improvement in </w:t>
      </w:r>
      <w:r w:rsidR="0009689C">
        <w:t>Manufacturing</w:t>
      </w:r>
      <w:r w:rsidRPr="00B00558">
        <w:t xml:space="preserve"> MFP between cycle 4 and the incomplete cycle (with less negative MFP growth in the incomplete cycle).</w:t>
      </w:r>
    </w:p>
    <w:p w:rsidR="00D64227" w:rsidRDefault="00D64227">
      <w:pPr>
        <w:pStyle w:val="FigureTitle"/>
      </w:pPr>
      <w:r>
        <w:rPr>
          <w:b w:val="0"/>
        </w:rPr>
        <w:t xml:space="preserve">Figure </w:t>
      </w:r>
      <w:bookmarkStart w:id="11" w:name="OLE_LINK3"/>
      <w:r w:rsidR="00457960">
        <w:rPr>
          <w:b w:val="0"/>
        </w:rPr>
        <w:t>D.</w:t>
      </w:r>
      <w:r w:rsidR="00457960">
        <w:rPr>
          <w:b w:val="0"/>
          <w:noProof/>
        </w:rPr>
        <w:t>5</w:t>
      </w:r>
      <w:bookmarkEnd w:id="11"/>
      <w:r w:rsidR="00A317BE">
        <w:tab/>
      </w:r>
      <w:r w:rsidR="0087194F">
        <w:t>FBT MFP growth and its</w:t>
      </w:r>
      <w:r w:rsidR="001C644B" w:rsidRPr="001C644B">
        <w:t xml:space="preserve"> </w:t>
      </w:r>
      <w:r w:rsidR="001C644B">
        <w:t xml:space="preserve">proximate causes </w:t>
      </w:r>
      <w:r w:rsidR="0087194F">
        <w:t>by</w:t>
      </w:r>
      <w:r w:rsidR="001C644B">
        <w:t xml:space="preserve"> cycle</w:t>
      </w:r>
      <w:r w:rsidR="00596437" w:rsidRPr="00596437">
        <w:rPr>
          <w:rStyle w:val="NoteLabel"/>
          <w:b/>
        </w:rPr>
        <w:t>a</w:t>
      </w:r>
    </w:p>
    <w:p w:rsidR="00D64227" w:rsidRDefault="00D75E74">
      <w:pPr>
        <w:pStyle w:val="Subtitle"/>
      </w:pPr>
      <w:r>
        <w:t>Average annual growth rate (per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D64227" w:rsidTr="00BF0FAD">
        <w:trPr>
          <w:trHeight w:val="4309"/>
        </w:trPr>
        <w:tc>
          <w:tcPr>
            <w:tcW w:w="4388" w:type="dxa"/>
          </w:tcPr>
          <w:p w:rsidR="00D64227" w:rsidRDefault="000F49A3" w:rsidP="00BF0FAD">
            <w:pPr>
              <w:pStyle w:val="Figure"/>
              <w:spacing w:before="0" w:after="0"/>
              <w:ind w:left="-97" w:right="-109"/>
              <w:rPr>
                <w:noProof/>
              </w:rPr>
            </w:pPr>
            <w:r>
              <w:rPr>
                <w:noProof/>
              </w:rPr>
              <w:pict>
                <v:shape id="_x0000_i1039" type="#_x0000_t75" alt="Details on this figure can be found within the text immediately after this image." style="width:211.8pt;height:212.65pt">
                  <v:imagedata r:id="rId23" o:title=""/>
                </v:shape>
              </w:pict>
            </w:r>
          </w:p>
        </w:tc>
        <w:tc>
          <w:tcPr>
            <w:tcW w:w="4389" w:type="dxa"/>
          </w:tcPr>
          <w:p w:rsidR="00D64227" w:rsidRDefault="000F49A3" w:rsidP="00BF0FAD">
            <w:pPr>
              <w:pStyle w:val="Figure"/>
              <w:spacing w:before="0" w:after="0"/>
              <w:ind w:left="-97" w:right="-109"/>
              <w:rPr>
                <w:noProof/>
              </w:rPr>
            </w:pPr>
            <w:r>
              <w:rPr>
                <w:noProof/>
              </w:rPr>
              <w:pict>
                <v:shape id="_x0000_i1040" type="#_x0000_t75" alt="Details on this figure can be found within the text immediately after this image." style="width:212.65pt;height:212.65pt">
                  <v:imagedata r:id="rId24" o:title=""/>
                </v:shape>
              </w:pict>
            </w:r>
          </w:p>
        </w:tc>
      </w:tr>
      <w:tr w:rsidR="00F1097E" w:rsidTr="00F1097E">
        <w:tc>
          <w:tcPr>
            <w:tcW w:w="8777" w:type="dxa"/>
            <w:gridSpan w:val="2"/>
          </w:tcPr>
          <w:p w:rsidR="00F1097E" w:rsidRDefault="000F49A3" w:rsidP="00D75BDD">
            <w:pPr>
              <w:pStyle w:val="Figure"/>
              <w:spacing w:before="0" w:after="0"/>
            </w:pPr>
            <w:r>
              <w:pict>
                <v:shape id="_x0000_i1041" type="#_x0000_t75" alt="Legend for chart: Black colour- value added. Diagonal stripe - Hours worked. Grey colour - Capital services. Black diamond - MFP." style="width:293.85pt;height:17.6pt">
                  <v:imagedata r:id="rId25"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D64227" w:rsidRDefault="00D64227">
      <w:pPr>
        <w:pStyle w:val="Source"/>
      </w:pPr>
      <w:r>
        <w:rPr>
          <w:i/>
        </w:rPr>
        <w:t>Data source</w:t>
      </w:r>
      <w:r w:rsidRPr="00167F06">
        <w:t xml:space="preserve">: </w:t>
      </w:r>
      <w:r w:rsidR="00FD529A">
        <w:t>Authors’ estimates.</w:t>
      </w:r>
    </w:p>
    <w:p w:rsidR="00967A11" w:rsidRDefault="000F5C10" w:rsidP="001F427B">
      <w:pPr>
        <w:pStyle w:val="BodyText"/>
        <w:jc w:val="left"/>
      </w:pPr>
      <w:r>
        <w:t xml:space="preserve">Between cycles 3 and 4, the decline in FBT’s MFP growth was </w:t>
      </w:r>
      <w:r w:rsidR="00967A11">
        <w:t>driven largely by a surge in hours worked growth</w:t>
      </w:r>
      <w:r w:rsidR="00AC0EA7">
        <w:t xml:space="preserve"> w</w:t>
      </w:r>
      <w:r w:rsidR="00B16FC7">
        <w:t xml:space="preserve">ith no accompanying surge in </w:t>
      </w:r>
      <w:r w:rsidR="00B61162">
        <w:t>VA</w:t>
      </w:r>
      <w:r w:rsidR="00B16FC7">
        <w:t xml:space="preserve"> growth</w:t>
      </w:r>
      <w:r>
        <w:t xml:space="preserve"> (</w:t>
      </w:r>
      <w:r w:rsidR="00A35E79">
        <w:t>figure </w:t>
      </w:r>
      <w:r w:rsidR="00457960">
        <w:t>D.5</w:t>
      </w:r>
      <w:r>
        <w:t>)</w:t>
      </w:r>
      <w:r w:rsidR="00AC0EA7">
        <w:t>.</w:t>
      </w:r>
      <w:r w:rsidR="00CA038A">
        <w:t xml:space="preserve"> FBT had</w:t>
      </w:r>
      <w:r w:rsidR="006B4551">
        <w:t>:</w:t>
      </w:r>
    </w:p>
    <w:p w:rsidR="00AC0EA7" w:rsidRDefault="00F26697" w:rsidP="00AC0EA7">
      <w:pPr>
        <w:pStyle w:val="ListBullet"/>
      </w:pPr>
      <w:r>
        <w:t xml:space="preserve">positive </w:t>
      </w:r>
      <w:r w:rsidR="00B61162">
        <w:t>VA</w:t>
      </w:r>
      <w:r>
        <w:t xml:space="preserve"> growth</w:t>
      </w:r>
      <w:r w:rsidR="00AC0EA7">
        <w:t xml:space="preserve"> </w:t>
      </w:r>
      <w:r w:rsidR="00B16FC7">
        <w:t>in both cycles, but there was</w:t>
      </w:r>
      <w:r>
        <w:t xml:space="preserve"> a</w:t>
      </w:r>
      <w:r w:rsidR="00AC0EA7">
        <w:t xml:space="preserve"> </w:t>
      </w:r>
      <w:r w:rsidR="0015688A">
        <w:t>significant</w:t>
      </w:r>
      <w:r w:rsidR="00AC0EA7">
        <w:t xml:space="preserve"> fall</w:t>
      </w:r>
      <w:r>
        <w:t xml:space="preserve"> in its </w:t>
      </w:r>
      <w:r w:rsidR="000F5C10">
        <w:t xml:space="preserve">growth </w:t>
      </w:r>
      <w:r w:rsidR="0015688A">
        <w:t>between cycles</w:t>
      </w:r>
    </w:p>
    <w:p w:rsidR="00F048F8" w:rsidRDefault="00CA038A" w:rsidP="00967A11">
      <w:pPr>
        <w:pStyle w:val="ListBullet"/>
      </w:pPr>
      <w:r>
        <w:t>a large</w:t>
      </w:r>
      <w:r w:rsidR="00F26697">
        <w:t xml:space="preserve"> increase in its hours worked growth </w:t>
      </w:r>
      <w:r>
        <w:t xml:space="preserve">between </w:t>
      </w:r>
      <w:r w:rsidR="00F26697">
        <w:t>cycles</w:t>
      </w:r>
      <w:r>
        <w:t xml:space="preserve"> (from </w:t>
      </w:r>
      <w:r w:rsidR="0015688A">
        <w:t>labour shedding</w:t>
      </w:r>
      <w:r w:rsidR="00F048F8">
        <w:t xml:space="preserve"> in cycle 3, to </w:t>
      </w:r>
      <w:r>
        <w:t>high</w:t>
      </w:r>
      <w:r w:rsidR="00F048F8">
        <w:t xml:space="preserve"> positive </w:t>
      </w:r>
      <w:r>
        <w:t xml:space="preserve">growth </w:t>
      </w:r>
      <w:r w:rsidR="00F048F8">
        <w:t>in cycle 4</w:t>
      </w:r>
      <w:r>
        <w:t>)</w:t>
      </w:r>
      <w:r w:rsidR="00F048F8">
        <w:t xml:space="preserve"> </w:t>
      </w:r>
    </w:p>
    <w:p w:rsidR="00967A11" w:rsidRDefault="00326EBE" w:rsidP="00967A11">
      <w:pPr>
        <w:pStyle w:val="ListBullet"/>
      </w:pPr>
      <w:r>
        <w:t>a slight fall in capital services growth</w:t>
      </w:r>
      <w:r w:rsidR="00706C1C">
        <w:t xml:space="preserve"> between cycles</w:t>
      </w:r>
      <w:r w:rsidR="00B16FC7">
        <w:t>.</w:t>
      </w:r>
    </w:p>
    <w:p w:rsidR="00F048F8" w:rsidRDefault="006A4BCA" w:rsidP="001F427B">
      <w:pPr>
        <w:pStyle w:val="BodyText"/>
        <w:jc w:val="left"/>
      </w:pPr>
      <w:r>
        <w:lastRenderedPageBreak/>
        <w:t xml:space="preserve">From the last complete cycle </w:t>
      </w:r>
      <w:r w:rsidR="00B911D8">
        <w:t>to the current incomplete cycle, FBT</w:t>
      </w:r>
      <w:r w:rsidR="00326EBE">
        <w:t>’s MFP growth became less negative</w:t>
      </w:r>
      <w:r w:rsidR="00B911D8">
        <w:t>.</w:t>
      </w:r>
      <w:r w:rsidR="00326EBE">
        <w:t xml:space="preserve"> This was associated with</w:t>
      </w:r>
      <w:r w:rsidR="00F74D87">
        <w:t>:</w:t>
      </w:r>
      <w:r w:rsidR="00B911D8">
        <w:t xml:space="preserve"> </w:t>
      </w:r>
    </w:p>
    <w:p w:rsidR="00B911D8" w:rsidRDefault="00326EBE" w:rsidP="00B911D8">
      <w:pPr>
        <w:pStyle w:val="ListBullet"/>
      </w:pPr>
      <w:r>
        <w:t>an increase in</w:t>
      </w:r>
      <w:r w:rsidR="0068360E">
        <w:t xml:space="preserve"> </w:t>
      </w:r>
      <w:r w:rsidR="00B61162">
        <w:t>VA</w:t>
      </w:r>
      <w:r w:rsidR="0068360E">
        <w:t xml:space="preserve"> growth</w:t>
      </w:r>
    </w:p>
    <w:p w:rsidR="0068360E" w:rsidRDefault="00326EBE" w:rsidP="00B911D8">
      <w:pPr>
        <w:pStyle w:val="ListBullet"/>
      </w:pPr>
      <w:r>
        <w:t>a</w:t>
      </w:r>
      <w:r w:rsidR="0068360E">
        <w:t xml:space="preserve"> </w:t>
      </w:r>
      <w:r w:rsidR="00B61162">
        <w:t>decrease</w:t>
      </w:r>
      <w:r w:rsidR="0068360E">
        <w:t xml:space="preserve"> in hours worked growth </w:t>
      </w:r>
      <w:r w:rsidR="0015688A">
        <w:t>to near zero.</w:t>
      </w:r>
    </w:p>
    <w:p w:rsidR="0068360E" w:rsidRDefault="00326EBE" w:rsidP="0068360E">
      <w:pPr>
        <w:pStyle w:val="ListBullet"/>
      </w:pPr>
      <w:r>
        <w:t>a slight decrease in capital services growth</w:t>
      </w:r>
      <w:r w:rsidR="0068360E">
        <w:t>.</w:t>
      </w:r>
    </w:p>
    <w:p w:rsidR="00D24FD2" w:rsidRDefault="00D24FD2" w:rsidP="00D24FD2">
      <w:pPr>
        <w:pStyle w:val="BodyText"/>
      </w:pPr>
      <w:r>
        <w:t>The factors influencing productivity growth in FBT are discussed in detail in chapter 5.</w:t>
      </w:r>
    </w:p>
    <w:p w:rsidR="00A317BE" w:rsidRDefault="00A317BE" w:rsidP="008A2168">
      <w:pPr>
        <w:pStyle w:val="Heading3"/>
        <w:spacing w:before="520"/>
      </w:pPr>
      <w:r>
        <w:t>Metal products</w:t>
      </w:r>
    </w:p>
    <w:p w:rsidR="001E3353" w:rsidRPr="00B00558" w:rsidRDefault="005E2E96" w:rsidP="00277049">
      <w:pPr>
        <w:pStyle w:val="BodyText"/>
      </w:pPr>
      <w:r>
        <w:t>MP</w:t>
      </w:r>
      <w:r w:rsidR="00F74D87">
        <w:t xml:space="preserve"> made the third largest contribution to the MFP decline in </w:t>
      </w:r>
      <w:r w:rsidR="0009689C">
        <w:t>Manufacturing</w:t>
      </w:r>
      <w:r w:rsidR="00F74D87">
        <w:t xml:space="preserve"> between cycles 3 and 4. </w:t>
      </w:r>
      <w:r w:rsidR="00F74D87" w:rsidRPr="0007609B">
        <w:t xml:space="preserve">It did not contribute to the improvement in </w:t>
      </w:r>
      <w:r w:rsidR="0009689C">
        <w:t>growth in Manufacturing MFP</w:t>
      </w:r>
      <w:r w:rsidR="00F74D87" w:rsidRPr="0007609B">
        <w:t xml:space="preserve"> between cycle 4 and the incomplete cycle.</w:t>
      </w:r>
      <w:r w:rsidR="00F74D87">
        <w:rPr>
          <w:rStyle w:val="FootnoteReference"/>
        </w:rPr>
        <w:footnoteReference w:id="1"/>
      </w:r>
      <w:r w:rsidR="00F74D87">
        <w:t xml:space="preserve"> </w:t>
      </w:r>
    </w:p>
    <w:p w:rsidR="00495062" w:rsidRDefault="00495062" w:rsidP="00E654BB">
      <w:pPr>
        <w:pStyle w:val="BodyText"/>
      </w:pPr>
      <w:r>
        <w:t>Between cycle 3 and 4</w:t>
      </w:r>
      <w:r w:rsidR="00CC038D">
        <w:t>, MP had a decline in MFP growth to a negative rate</w:t>
      </w:r>
      <w:r w:rsidR="00F74D87">
        <w:t xml:space="preserve"> (</w:t>
      </w:r>
      <w:r w:rsidR="00D41426">
        <w:t>figure </w:t>
      </w:r>
      <w:r w:rsidR="00457960">
        <w:t>D.6</w:t>
      </w:r>
      <w:r w:rsidR="00F74D87">
        <w:t>)</w:t>
      </w:r>
      <w:r w:rsidR="00CC038D">
        <w:t>.</w:t>
      </w:r>
      <w:r w:rsidR="00CC038D" w:rsidRPr="00CC038D">
        <w:t xml:space="preserve"> </w:t>
      </w:r>
      <w:r w:rsidR="00CC038D">
        <w:t>Unlike most subsectors, this was associated with a surge in VA growth between the cycles, but an even greater surge in inputs</w:t>
      </w:r>
      <w:r w:rsidR="008C6B7C">
        <w:t>.</w:t>
      </w:r>
    </w:p>
    <w:p w:rsidR="00495062" w:rsidRDefault="00495062" w:rsidP="00495062">
      <w:pPr>
        <w:pStyle w:val="ListBullet"/>
      </w:pPr>
      <w:r>
        <w:t>VA growth</w:t>
      </w:r>
      <w:r w:rsidR="00F97674">
        <w:t xml:space="preserve"> </w:t>
      </w:r>
      <w:r w:rsidR="0015688A">
        <w:t>almost quadrupled</w:t>
      </w:r>
      <w:r w:rsidR="008C6B7C">
        <w:t>.</w:t>
      </w:r>
    </w:p>
    <w:p w:rsidR="006902AA" w:rsidRDefault="008C6B7C" w:rsidP="006902AA">
      <w:pPr>
        <w:pStyle w:val="ListBullet"/>
      </w:pPr>
      <w:r>
        <w:t xml:space="preserve">There </w:t>
      </w:r>
      <w:r w:rsidR="00CC038D">
        <w:t>was a transition</w:t>
      </w:r>
      <w:r w:rsidR="006902AA">
        <w:t xml:space="preserve"> from cutting hours worked </w:t>
      </w:r>
      <w:r w:rsidR="00CC038D">
        <w:t xml:space="preserve">in cycle 3 </w:t>
      </w:r>
      <w:r w:rsidR="006902AA">
        <w:t>to having modest hours worked growth</w:t>
      </w:r>
      <w:r w:rsidR="00CC038D">
        <w:t xml:space="preserve"> in cycle 4</w:t>
      </w:r>
      <w:r>
        <w:t>.</w:t>
      </w:r>
    </w:p>
    <w:p w:rsidR="00F97674" w:rsidRDefault="008C6B7C" w:rsidP="00495062">
      <w:pPr>
        <w:pStyle w:val="ListBullet"/>
      </w:pPr>
      <w:r>
        <w:t xml:space="preserve">Capital </w:t>
      </w:r>
      <w:r w:rsidR="00DD7FC7">
        <w:t>growth also surged</w:t>
      </w:r>
      <w:r w:rsidR="00CC038D">
        <w:t>, almost four times higher in cycle 4 than cycle 3</w:t>
      </w:r>
      <w:r w:rsidR="00300865">
        <w:t xml:space="preserve"> (MP had the highest capital services growth of all subsectors in cycle 4)</w:t>
      </w:r>
      <w:r w:rsidR="00DD7FC7">
        <w:t>.</w:t>
      </w:r>
    </w:p>
    <w:p w:rsidR="004D2E32" w:rsidRDefault="004D2E32" w:rsidP="004D2E32">
      <w:pPr>
        <w:pStyle w:val="BodyText"/>
      </w:pPr>
      <w:r>
        <w:t>Between cycle 4 and the incomplete cycle</w:t>
      </w:r>
      <w:r w:rsidR="00CC038D">
        <w:t xml:space="preserve"> MP MFP growth returned to a small positive rate. This was associated with a fall in VA growth but an even larger fall in input growth</w:t>
      </w:r>
      <w:r w:rsidR="008C6B7C">
        <w:t>.</w:t>
      </w:r>
    </w:p>
    <w:p w:rsidR="004D2E32" w:rsidRDefault="00BE112D" w:rsidP="004D2E32">
      <w:pPr>
        <w:pStyle w:val="ListBullet"/>
      </w:pPr>
      <w:r>
        <w:t>VA</w:t>
      </w:r>
      <w:r w:rsidR="00BF3CF0">
        <w:t xml:space="preserve"> growth</w:t>
      </w:r>
      <w:r w:rsidR="006902AA">
        <w:t xml:space="preserve"> </w:t>
      </w:r>
      <w:r w:rsidR="008C6B7C">
        <w:t xml:space="preserve">fell </w:t>
      </w:r>
      <w:r w:rsidR="00CC038D">
        <w:t>from</w:t>
      </w:r>
      <w:r w:rsidR="00BF3CF0">
        <w:t xml:space="preserve"> </w:t>
      </w:r>
      <w:r w:rsidR="008C6B7C">
        <w:t xml:space="preserve">a </w:t>
      </w:r>
      <w:r w:rsidR="00BF3CF0">
        <w:t xml:space="preserve">very high </w:t>
      </w:r>
      <w:r w:rsidR="008C6B7C">
        <w:t xml:space="preserve">positive rate </w:t>
      </w:r>
      <w:r w:rsidR="00BF3CF0">
        <w:t>to close to zero</w:t>
      </w:r>
      <w:r w:rsidR="008C6B7C">
        <w:t>.</w:t>
      </w:r>
      <w:r w:rsidR="00BF3CF0">
        <w:t xml:space="preserve"> </w:t>
      </w:r>
    </w:p>
    <w:p w:rsidR="006902AA" w:rsidRDefault="008C6B7C" w:rsidP="004D2E32">
      <w:pPr>
        <w:pStyle w:val="ListBullet"/>
      </w:pPr>
      <w:r>
        <w:t xml:space="preserve">Labour </w:t>
      </w:r>
      <w:r w:rsidR="006902AA">
        <w:t>inputs growth went from b</w:t>
      </w:r>
      <w:r w:rsidR="001D05F4">
        <w:t>eing positive to being negative</w:t>
      </w:r>
      <w:r>
        <w:t>.</w:t>
      </w:r>
      <w:r w:rsidR="001D05F4">
        <w:t xml:space="preserve"> </w:t>
      </w:r>
    </w:p>
    <w:p w:rsidR="0026454E" w:rsidRDefault="008C6B7C" w:rsidP="001255F7">
      <w:pPr>
        <w:pStyle w:val="ListBullet"/>
      </w:pPr>
      <w:r>
        <w:t xml:space="preserve">Capital </w:t>
      </w:r>
      <w:r w:rsidR="001255F7">
        <w:t>services input growth fell sharply</w:t>
      </w:r>
      <w:r w:rsidR="00CC038D">
        <w:t>, but remained positive</w:t>
      </w:r>
      <w:r w:rsidR="0077103C">
        <w:t xml:space="preserve">. </w:t>
      </w:r>
    </w:p>
    <w:p w:rsidR="00D24FD2" w:rsidRDefault="00D24FD2" w:rsidP="00D24FD2">
      <w:pPr>
        <w:pStyle w:val="BodyText"/>
      </w:pPr>
      <w:r>
        <w:t>The factors influencing productivity growth in MP are discussed in detail in chapter 6.</w:t>
      </w:r>
    </w:p>
    <w:p w:rsidR="00866F92" w:rsidRPr="0026454E" w:rsidRDefault="00866F92" w:rsidP="00866F92">
      <w:pPr>
        <w:pStyle w:val="FigureTitle"/>
        <w:rPr>
          <w:szCs w:val="20"/>
        </w:rPr>
      </w:pPr>
      <w:r w:rsidRPr="0095106D">
        <w:rPr>
          <w:b w:val="0"/>
        </w:rPr>
        <w:lastRenderedPageBreak/>
        <w:t xml:space="preserve">Figure </w:t>
      </w:r>
      <w:bookmarkStart w:id="12" w:name="OLE_LINK7"/>
      <w:r>
        <w:rPr>
          <w:b w:val="0"/>
        </w:rPr>
        <w:t>D.</w:t>
      </w:r>
      <w:r>
        <w:rPr>
          <w:b w:val="0"/>
          <w:noProof/>
        </w:rPr>
        <w:t>6</w:t>
      </w:r>
      <w:bookmarkEnd w:id="12"/>
      <w:r>
        <w:tab/>
        <w:t>MP MFP growth and its proximate causes by cycle</w:t>
      </w:r>
      <w:r w:rsidRPr="00596437">
        <w:rPr>
          <w:rStyle w:val="NoteLabel"/>
          <w:b/>
        </w:rPr>
        <w:t>a</w:t>
      </w:r>
    </w:p>
    <w:p w:rsidR="00866F92" w:rsidRDefault="00866F92" w:rsidP="00866F92">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866F92" w:rsidTr="00923405">
        <w:trPr>
          <w:trHeight w:val="246"/>
        </w:trPr>
        <w:tc>
          <w:tcPr>
            <w:tcW w:w="4388" w:type="dxa"/>
          </w:tcPr>
          <w:p w:rsidR="00866F92" w:rsidRDefault="000F49A3" w:rsidP="00923405">
            <w:pPr>
              <w:pStyle w:val="Figure"/>
              <w:spacing w:before="0" w:after="0"/>
            </w:pPr>
            <w:r>
              <w:pict>
                <v:shape id="_x0000_i1042" type="#_x0000_t75" alt="Details on this figure can be found within the text immediately after this image." style="width:205.95pt;height:198.4pt">
                  <v:imagedata r:id="rId26" o:title=""/>
                </v:shape>
              </w:pict>
            </w:r>
          </w:p>
        </w:tc>
        <w:tc>
          <w:tcPr>
            <w:tcW w:w="4389" w:type="dxa"/>
          </w:tcPr>
          <w:p w:rsidR="00866F92" w:rsidRDefault="000F49A3" w:rsidP="00923405">
            <w:pPr>
              <w:pStyle w:val="Figure"/>
              <w:spacing w:before="0" w:after="0"/>
            </w:pPr>
            <w:r>
              <w:pict>
                <v:shape id="_x0000_i1043" type="#_x0000_t75" alt="Details on this figure can be found within the text immediately after this image." style="width:205.1pt;height:198.4pt">
                  <v:imagedata r:id="rId27" o:title=""/>
                </v:shape>
              </w:pict>
            </w:r>
          </w:p>
        </w:tc>
      </w:tr>
      <w:tr w:rsidR="00866F92" w:rsidTr="00923405">
        <w:trPr>
          <w:trHeight w:val="245"/>
        </w:trPr>
        <w:tc>
          <w:tcPr>
            <w:tcW w:w="8777" w:type="dxa"/>
            <w:gridSpan w:val="2"/>
          </w:tcPr>
          <w:p w:rsidR="00866F92" w:rsidRDefault="000F49A3" w:rsidP="00923405">
            <w:pPr>
              <w:pStyle w:val="Figure"/>
              <w:spacing w:before="0" w:after="0"/>
            </w:pPr>
            <w:r>
              <w:pict>
                <v:shape id="_x0000_i1044" type="#_x0000_t75" alt="Legend for chart: Black colour- value added. Diagonal stripe - Hours worked. Grey colour - Capital services. Black diamond - MFP." style="width:293.85pt;height:17.6pt">
                  <v:imagedata r:id="rId28" o:title=""/>
                </v:shape>
              </w:pict>
            </w:r>
          </w:p>
        </w:tc>
      </w:tr>
    </w:tbl>
    <w:p w:rsidR="00866F92" w:rsidRPr="007E07E8" w:rsidRDefault="00866F92" w:rsidP="00866F92">
      <w:pPr>
        <w:pStyle w:val="Note"/>
      </w:pPr>
      <w:r w:rsidRPr="007E07E8">
        <w:rPr>
          <w:rStyle w:val="NoteLabel"/>
        </w:rPr>
        <w:t>a</w:t>
      </w:r>
      <w:r w:rsidRPr="00EA603F">
        <w:t xml:space="preserve"> </w:t>
      </w:r>
      <w:r>
        <w:t>Capital services and hours worked weighted by income shares.</w:t>
      </w:r>
    </w:p>
    <w:p w:rsidR="00866F92" w:rsidRDefault="00866F92" w:rsidP="00866F92">
      <w:pPr>
        <w:pStyle w:val="Source"/>
      </w:pPr>
      <w:r>
        <w:rPr>
          <w:i/>
        </w:rPr>
        <w:t>Data source</w:t>
      </w:r>
      <w:r w:rsidRPr="00167F06">
        <w:t xml:space="preserve">: </w:t>
      </w:r>
      <w:r>
        <w:t>Authors’ estimates.</w:t>
      </w:r>
    </w:p>
    <w:p w:rsidR="00A317BE" w:rsidRDefault="00A317BE" w:rsidP="008A2168">
      <w:pPr>
        <w:pStyle w:val="Heading3"/>
        <w:spacing w:before="520"/>
      </w:pPr>
      <w:r>
        <w:t xml:space="preserve">Textile, clothing </w:t>
      </w:r>
      <w:r w:rsidR="00577D27">
        <w:t>and</w:t>
      </w:r>
      <w:r>
        <w:t xml:space="preserve"> other manufacturing</w:t>
      </w:r>
    </w:p>
    <w:p w:rsidR="00F97970" w:rsidRDefault="00F97970" w:rsidP="00F97970">
      <w:pPr>
        <w:pStyle w:val="BodyText"/>
        <w:jc w:val="left"/>
      </w:pPr>
      <w:r>
        <w:t xml:space="preserve">TCO made a negative contribution to the change in </w:t>
      </w:r>
      <w:r w:rsidR="0009689C">
        <w:t>Manufacturing</w:t>
      </w:r>
      <w:r>
        <w:t xml:space="preserve"> MFP between cycles 3 and 4 that was in the middle of the range. It made the largest negative contribution to the change in MFP between cycle 4 and the incomplete cycle.</w:t>
      </w:r>
      <w:r w:rsidR="00774DEA">
        <w:t xml:space="preserve"> </w:t>
      </w:r>
    </w:p>
    <w:p w:rsidR="00B56429" w:rsidRDefault="00B56429" w:rsidP="00B56429">
      <w:pPr>
        <w:pStyle w:val="BodyText"/>
        <w:spacing w:before="200"/>
        <w:jc w:val="left"/>
      </w:pPr>
      <w:r>
        <w:t xml:space="preserve">TCO had experienced declining VA and labour shedding in the last two complete cycles (figure D.7). Between cycles 3 and 4, MFP growth in TCO went from positive to negative. </w:t>
      </w:r>
    </w:p>
    <w:p w:rsidR="00B56429" w:rsidRDefault="00B56429" w:rsidP="00B56429">
      <w:pPr>
        <w:pStyle w:val="ListBullet"/>
        <w:spacing w:before="100"/>
      </w:pPr>
      <w:r>
        <w:t>The rate of its decline in VA more than doubled.</w:t>
      </w:r>
    </w:p>
    <w:p w:rsidR="00B56429" w:rsidRDefault="00B56429" w:rsidP="00B56429">
      <w:pPr>
        <w:pStyle w:val="ListBullet"/>
        <w:spacing w:before="100"/>
      </w:pPr>
      <w:r>
        <w:t>Labour shedding was substantial in both cycles, but eased slightly between cycles.</w:t>
      </w:r>
    </w:p>
    <w:p w:rsidR="00B56429" w:rsidRDefault="00B56429" w:rsidP="00B56429">
      <w:pPr>
        <w:pStyle w:val="ListBullet"/>
        <w:spacing w:before="100"/>
      </w:pPr>
      <w:r>
        <w:t>Capital services growth increased slightly.</w:t>
      </w:r>
    </w:p>
    <w:p w:rsidR="00B56429" w:rsidRDefault="00B56429" w:rsidP="00B56429">
      <w:pPr>
        <w:pStyle w:val="BodyText"/>
        <w:spacing w:before="200"/>
        <w:jc w:val="left"/>
      </w:pPr>
      <w:r>
        <w:t xml:space="preserve">Between cycle 4 and the current incomplete cycle, TCO experienced very sharp decline in MFP, largely driven by an acceleration of VA decline. </w:t>
      </w:r>
    </w:p>
    <w:p w:rsidR="00B56429" w:rsidRDefault="00B56429" w:rsidP="00B56429">
      <w:pPr>
        <w:pStyle w:val="ListBullet"/>
        <w:spacing w:before="100"/>
      </w:pPr>
      <w:r>
        <w:t xml:space="preserve">The decline in VA was much higher than the other subsectors in the incomplete cycle, and it again more than doubled between cycles. </w:t>
      </w:r>
    </w:p>
    <w:p w:rsidR="00B56429" w:rsidRDefault="00B56429" w:rsidP="00B56429">
      <w:pPr>
        <w:pStyle w:val="ListBullet"/>
        <w:spacing w:before="100"/>
      </w:pPr>
      <w:r>
        <w:t>The rate of labour shedding continued to ease, so that the change in labour input growth was positive.</w:t>
      </w:r>
    </w:p>
    <w:p w:rsidR="00B56429" w:rsidRDefault="00B56429" w:rsidP="00B56429">
      <w:pPr>
        <w:pStyle w:val="ListBullet"/>
        <w:spacing w:before="100"/>
      </w:pPr>
      <w:r>
        <w:t xml:space="preserve">Capital services growth fell to near zero. </w:t>
      </w:r>
    </w:p>
    <w:p w:rsidR="0026454E" w:rsidRDefault="0026454E" w:rsidP="0026454E">
      <w:pPr>
        <w:pStyle w:val="FigureTitle"/>
      </w:pPr>
      <w:r w:rsidRPr="0095106D">
        <w:rPr>
          <w:b w:val="0"/>
        </w:rPr>
        <w:lastRenderedPageBreak/>
        <w:t xml:space="preserve">Figure </w:t>
      </w:r>
      <w:bookmarkStart w:id="13" w:name="OLE_LINK8"/>
      <w:r w:rsidR="00457960">
        <w:rPr>
          <w:b w:val="0"/>
        </w:rPr>
        <w:t>D.</w:t>
      </w:r>
      <w:r w:rsidR="00457960">
        <w:rPr>
          <w:b w:val="0"/>
          <w:noProof/>
        </w:rPr>
        <w:t>7</w:t>
      </w:r>
      <w:bookmarkEnd w:id="13"/>
      <w:r>
        <w:tab/>
      </w:r>
      <w:r w:rsidR="0087194F">
        <w:t xml:space="preserve">TCO MFP growth and its </w:t>
      </w:r>
      <w:r w:rsidR="001C644B">
        <w:t xml:space="preserve">proximate causes </w:t>
      </w:r>
      <w:r w:rsidR="0087194F">
        <w:t>by</w:t>
      </w:r>
      <w:r w:rsidR="001C644B">
        <w:t xml:space="preserve"> cycle</w:t>
      </w:r>
      <w:r w:rsidR="00596437" w:rsidRPr="00596437">
        <w:rPr>
          <w:rStyle w:val="NoteLabel"/>
          <w:b/>
        </w:rPr>
        <w:t>a</w:t>
      </w:r>
    </w:p>
    <w:p w:rsidR="0026454E" w:rsidRDefault="00D75E74" w:rsidP="0026454E">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26454E" w:rsidTr="0026454E">
        <w:tc>
          <w:tcPr>
            <w:tcW w:w="4388" w:type="dxa"/>
          </w:tcPr>
          <w:p w:rsidR="0026454E" w:rsidRDefault="000F49A3" w:rsidP="00B00558">
            <w:pPr>
              <w:pStyle w:val="Figure"/>
              <w:spacing w:before="0" w:after="0"/>
            </w:pPr>
            <w:r>
              <w:pict>
                <v:shape id="_x0000_i1045" type="#_x0000_t75" alt="Details on this figure can be found within the text immediately after this image." style="width:205.95pt;height:198.4pt">
                  <v:imagedata r:id="rId29" o:title=""/>
                </v:shape>
              </w:pict>
            </w:r>
          </w:p>
        </w:tc>
        <w:tc>
          <w:tcPr>
            <w:tcW w:w="4389" w:type="dxa"/>
          </w:tcPr>
          <w:p w:rsidR="0026454E" w:rsidRDefault="000F49A3" w:rsidP="00B00558">
            <w:pPr>
              <w:pStyle w:val="Figure"/>
              <w:spacing w:before="0" w:after="0"/>
            </w:pPr>
            <w:r>
              <w:pict>
                <v:shape id="_x0000_i1046" type="#_x0000_t75" alt="Details on this figure can be found within the text immediately after this image." style="width:206.8pt;height:198.4pt;mso-position-horizontal:absolute">
                  <v:imagedata r:id="rId30" o:title=""/>
                </v:shape>
              </w:pict>
            </w:r>
          </w:p>
        </w:tc>
      </w:tr>
      <w:tr w:rsidR="0026454E" w:rsidTr="003D530B">
        <w:trPr>
          <w:trHeight w:val="411"/>
        </w:trPr>
        <w:tc>
          <w:tcPr>
            <w:tcW w:w="8777" w:type="dxa"/>
            <w:gridSpan w:val="2"/>
          </w:tcPr>
          <w:p w:rsidR="0026454E" w:rsidRDefault="000F49A3" w:rsidP="00D75BDD">
            <w:pPr>
              <w:pStyle w:val="Figure"/>
              <w:spacing w:before="0" w:after="0"/>
            </w:pPr>
            <w:r>
              <w:pict>
                <v:shape id="_x0000_i1047" type="#_x0000_t75" alt="Legend for chart: Black colour- value added. Diagonal stripe - Hours worked. Grey colour - Capital services. Black diamond - MFP." style="width:293.85pt;height:17.6pt">
                  <v:imagedata r:id="rId31"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77103C" w:rsidRDefault="0077103C" w:rsidP="0077103C">
      <w:pPr>
        <w:pStyle w:val="Source"/>
      </w:pPr>
      <w:r>
        <w:rPr>
          <w:i/>
        </w:rPr>
        <w:t>Data source</w:t>
      </w:r>
      <w:r w:rsidRPr="00167F06">
        <w:t xml:space="preserve">: </w:t>
      </w:r>
      <w:r>
        <w:t>Authors’ estimates.</w:t>
      </w:r>
    </w:p>
    <w:p w:rsidR="00A317BE" w:rsidRDefault="00A317BE" w:rsidP="00D75BDD">
      <w:pPr>
        <w:pStyle w:val="Heading3"/>
        <w:spacing w:before="520"/>
      </w:pPr>
      <w:r>
        <w:t xml:space="preserve">Printing </w:t>
      </w:r>
      <w:r w:rsidR="00577D27">
        <w:t>and</w:t>
      </w:r>
      <w:r>
        <w:t xml:space="preserve"> recorded media</w:t>
      </w:r>
    </w:p>
    <w:p w:rsidR="00B00558" w:rsidRDefault="00B00558" w:rsidP="00BE1EE2">
      <w:pPr>
        <w:pStyle w:val="BodyText"/>
        <w:spacing w:before="200"/>
        <w:jc w:val="left"/>
      </w:pPr>
      <w:r w:rsidRPr="00B00558">
        <w:t xml:space="preserve">PRM made a moderate contribution to the </w:t>
      </w:r>
      <w:r w:rsidR="0009689C">
        <w:t>Manufacturing</w:t>
      </w:r>
      <w:r w:rsidRPr="00B00558">
        <w:t xml:space="preserve"> MFP decline between cycle 3 and 4. Between cycle 4 and the incomplete cycle, it also made a moderate, negative contribution to the change in </w:t>
      </w:r>
      <w:r w:rsidR="0009689C">
        <w:t>Manufacturing</w:t>
      </w:r>
      <w:r w:rsidRPr="00B00558">
        <w:t xml:space="preserve"> MFP growth. </w:t>
      </w:r>
    </w:p>
    <w:p w:rsidR="00B56429" w:rsidRPr="00B00558" w:rsidRDefault="00B56429" w:rsidP="00B56429">
      <w:pPr>
        <w:pStyle w:val="BodyText"/>
        <w:widowControl w:val="0"/>
      </w:pPr>
      <w:r w:rsidRPr="00B00558">
        <w:t>Between cycle 3 and 4, PRM experienced a very sharp decline in its MFP growth, going from having the highest MFP growth for all the subsectors in cycle 3, to having negative MFP growth in cycle 4</w:t>
      </w:r>
      <w:r>
        <w:t xml:space="preserve"> (figure D.8)</w:t>
      </w:r>
      <w:r w:rsidRPr="00B00558">
        <w:t>. This was largely driven by VA decline</w:t>
      </w:r>
      <w:r>
        <w:t>.</w:t>
      </w:r>
    </w:p>
    <w:p w:rsidR="00B56429" w:rsidRDefault="00B56429" w:rsidP="00B56429">
      <w:pPr>
        <w:pStyle w:val="ListBullet"/>
      </w:pPr>
      <w:r>
        <w:t>The subsector’s VA growth went from being one of the highest, in cycle 3, to being negative in cycle 4.</w:t>
      </w:r>
    </w:p>
    <w:p w:rsidR="00B56429" w:rsidRDefault="00B56429" w:rsidP="00B56429">
      <w:pPr>
        <w:pStyle w:val="ListBullet"/>
      </w:pPr>
      <w:r>
        <w:t xml:space="preserve">Labour shedding slowed. </w:t>
      </w:r>
    </w:p>
    <w:p w:rsidR="00B56429" w:rsidRDefault="00B56429" w:rsidP="00B56429">
      <w:pPr>
        <w:pStyle w:val="ListBullet"/>
      </w:pPr>
      <w:r>
        <w:t>Capital inputs growth increased slightly.</w:t>
      </w:r>
    </w:p>
    <w:p w:rsidR="00B56429" w:rsidRPr="00B00558" w:rsidRDefault="00B56429" w:rsidP="00BE1EE2">
      <w:pPr>
        <w:pStyle w:val="BodyText"/>
        <w:spacing w:before="200"/>
        <w:jc w:val="left"/>
      </w:pPr>
    </w:p>
    <w:p w:rsidR="0077103C" w:rsidRDefault="0077103C" w:rsidP="0077103C">
      <w:pPr>
        <w:pStyle w:val="FigureTitle"/>
      </w:pPr>
      <w:r w:rsidRPr="0095106D">
        <w:rPr>
          <w:b w:val="0"/>
        </w:rPr>
        <w:lastRenderedPageBreak/>
        <w:t xml:space="preserve">Figure </w:t>
      </w:r>
      <w:bookmarkStart w:id="14" w:name="OLE_LINK9"/>
      <w:r w:rsidR="00457960">
        <w:rPr>
          <w:b w:val="0"/>
        </w:rPr>
        <w:t>D.</w:t>
      </w:r>
      <w:r w:rsidR="00457960">
        <w:rPr>
          <w:b w:val="0"/>
          <w:noProof/>
        </w:rPr>
        <w:t>8</w:t>
      </w:r>
      <w:bookmarkEnd w:id="14"/>
      <w:r>
        <w:tab/>
      </w:r>
      <w:r w:rsidR="0087194F">
        <w:t>PRM MFP growth and its</w:t>
      </w:r>
      <w:r w:rsidR="001C644B" w:rsidRPr="001C644B">
        <w:t xml:space="preserve"> </w:t>
      </w:r>
      <w:r w:rsidR="001C644B">
        <w:t xml:space="preserve">proximate causes </w:t>
      </w:r>
      <w:r w:rsidR="0087194F">
        <w:t>by</w:t>
      </w:r>
      <w:r w:rsidR="001C644B">
        <w:t xml:space="preserve"> cycle</w:t>
      </w:r>
      <w:r w:rsidR="00596437" w:rsidRPr="00596437">
        <w:rPr>
          <w:rStyle w:val="NoteLabel"/>
          <w:b/>
        </w:rPr>
        <w:t>a</w:t>
      </w:r>
    </w:p>
    <w:p w:rsidR="0077103C" w:rsidRDefault="00D75E74" w:rsidP="0077103C">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77103C" w:rsidTr="00BE1EE2">
        <w:trPr>
          <w:trHeight w:val="3878"/>
        </w:trPr>
        <w:tc>
          <w:tcPr>
            <w:tcW w:w="4388" w:type="dxa"/>
          </w:tcPr>
          <w:p w:rsidR="0077103C" w:rsidRDefault="000F49A3" w:rsidP="00B00558">
            <w:pPr>
              <w:pStyle w:val="Figure"/>
              <w:spacing w:before="0" w:after="0"/>
            </w:pPr>
            <w:r>
              <w:pict>
                <v:shape id="_x0000_i1048" type="#_x0000_t75" alt="Details on this figure can be found within the text immediately after this image." style="width:206.8pt;height:198.4pt">
                  <v:imagedata r:id="rId32" o:title=""/>
                </v:shape>
              </w:pict>
            </w:r>
          </w:p>
        </w:tc>
        <w:tc>
          <w:tcPr>
            <w:tcW w:w="4389" w:type="dxa"/>
          </w:tcPr>
          <w:p w:rsidR="0077103C" w:rsidRDefault="000F49A3" w:rsidP="00B00558">
            <w:pPr>
              <w:pStyle w:val="Figure"/>
              <w:spacing w:before="0" w:after="0"/>
            </w:pPr>
            <w:r>
              <w:pict>
                <v:shape id="_x0000_i1049" type="#_x0000_t75" alt="Details on this figure can be found within the text immediately after this image." style="width:206.8pt;height:198.4pt">
                  <v:imagedata r:id="rId33" o:title=""/>
                </v:shape>
              </w:pict>
            </w:r>
          </w:p>
        </w:tc>
      </w:tr>
      <w:tr w:rsidR="0077103C" w:rsidTr="0077103C">
        <w:tc>
          <w:tcPr>
            <w:tcW w:w="8777" w:type="dxa"/>
            <w:gridSpan w:val="2"/>
          </w:tcPr>
          <w:p w:rsidR="0077103C" w:rsidRDefault="000F49A3" w:rsidP="00D75BDD">
            <w:pPr>
              <w:pStyle w:val="Figure"/>
              <w:spacing w:before="0" w:after="0"/>
            </w:pPr>
            <w:r>
              <w:pict>
                <v:shape id="_x0000_i1050" type="#_x0000_t75" alt="Legend for chart: Black colour- value added. Diagonal stripe - Hours worked. Grey colour - Capital services. Black diamond - MFP." style="width:293.85pt;height:17.6pt">
                  <v:imagedata r:id="rId34"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77103C" w:rsidRDefault="0077103C" w:rsidP="0077103C">
      <w:pPr>
        <w:pStyle w:val="Source"/>
      </w:pPr>
      <w:r>
        <w:rPr>
          <w:i/>
        </w:rPr>
        <w:t>Data source</w:t>
      </w:r>
      <w:r w:rsidRPr="00167F06">
        <w:t xml:space="preserve">: </w:t>
      </w:r>
      <w:r>
        <w:t>Authors’ estimates.</w:t>
      </w:r>
    </w:p>
    <w:p w:rsidR="00FE0BA4" w:rsidRDefault="00FE0BA4" w:rsidP="00FE0BA4">
      <w:pPr>
        <w:pStyle w:val="BodyText"/>
      </w:pPr>
      <w:r>
        <w:t xml:space="preserve">Between cycle 4 and the incomplete cycle, </w:t>
      </w:r>
      <w:r w:rsidR="00FB194C">
        <w:t>there was further decline in</w:t>
      </w:r>
      <w:r w:rsidR="00622C75">
        <w:t xml:space="preserve"> </w:t>
      </w:r>
      <w:r w:rsidR="00FB194C">
        <w:t>MFP growth</w:t>
      </w:r>
      <w:r w:rsidR="00DB4669">
        <w:t xml:space="preserve">. </w:t>
      </w:r>
    </w:p>
    <w:p w:rsidR="00963B12" w:rsidRDefault="00DB4669" w:rsidP="00963B12">
      <w:pPr>
        <w:pStyle w:val="ListBullet"/>
      </w:pPr>
      <w:r>
        <w:t xml:space="preserve">There </w:t>
      </w:r>
      <w:r w:rsidR="00FB194C">
        <w:t xml:space="preserve">was sharp VA decline in the incomplete cycle, </w:t>
      </w:r>
      <w:r w:rsidR="00622C75">
        <w:t>with the decline almost quadrupling</w:t>
      </w:r>
    </w:p>
    <w:p w:rsidR="00963B12" w:rsidRDefault="00DB4669" w:rsidP="00963B12">
      <w:pPr>
        <w:pStyle w:val="ListBullet"/>
      </w:pPr>
      <w:r>
        <w:t xml:space="preserve">Unlike </w:t>
      </w:r>
      <w:r w:rsidR="002F0FEF">
        <w:t xml:space="preserve">the other subsectors, PRM went from labour shedding in cycle 4 to </w:t>
      </w:r>
      <w:r w:rsidR="00C52459">
        <w:t>hiring more</w:t>
      </w:r>
      <w:r w:rsidR="002F0FEF">
        <w:t xml:space="preserve"> labour </w:t>
      </w:r>
      <w:r w:rsidR="00C52459">
        <w:t>in the incomplete cycle</w:t>
      </w:r>
      <w:r w:rsidR="002F0FEF">
        <w:t xml:space="preserve"> </w:t>
      </w:r>
    </w:p>
    <w:p w:rsidR="002F0FEF" w:rsidRDefault="00DB4669" w:rsidP="00963B12">
      <w:pPr>
        <w:pStyle w:val="ListBullet"/>
      </w:pPr>
      <w:r>
        <w:t xml:space="preserve">Capital </w:t>
      </w:r>
      <w:r w:rsidR="002F0FEF">
        <w:t>inputs growt</w:t>
      </w:r>
      <w:r w:rsidR="00C52459">
        <w:t>h slowed.</w:t>
      </w:r>
    </w:p>
    <w:p w:rsidR="00A317BE" w:rsidRDefault="00A317BE" w:rsidP="00D75BDD">
      <w:pPr>
        <w:pStyle w:val="Heading3"/>
        <w:spacing w:before="520"/>
      </w:pPr>
      <w:r>
        <w:t xml:space="preserve">Machinery </w:t>
      </w:r>
      <w:r w:rsidR="00577D27">
        <w:t>and</w:t>
      </w:r>
      <w:r>
        <w:t xml:space="preserve"> equipment manufacturing</w:t>
      </w:r>
    </w:p>
    <w:p w:rsidR="003F068E" w:rsidRDefault="003F068E" w:rsidP="008A2168">
      <w:pPr>
        <w:pStyle w:val="BodyText"/>
      </w:pPr>
      <w:r w:rsidRPr="008A2168">
        <w:t xml:space="preserve">ME made a moderate contribution to the MFP decline between cycles 3 and 4, and a small positive contribution to the recovery in MFP growth between cycle 4 and the incomplete cycle. </w:t>
      </w:r>
    </w:p>
    <w:p w:rsidR="00B56429" w:rsidRDefault="00B56429" w:rsidP="00B56429">
      <w:pPr>
        <w:pStyle w:val="BodyText"/>
        <w:jc w:val="left"/>
      </w:pPr>
      <w:r>
        <w:t>Between cycle 3 and cycle 4, ME went from having moderate MFP growth to MFP growth just below zero (figure D.9).</w:t>
      </w:r>
    </w:p>
    <w:p w:rsidR="00B56429" w:rsidRDefault="00B56429" w:rsidP="00B56429">
      <w:pPr>
        <w:pStyle w:val="ListBullet"/>
      </w:pPr>
      <w:r>
        <w:t>Although ME still had the third highest VA growth in cycle 4, its VA growth rate fell by around half between cycles.</w:t>
      </w:r>
    </w:p>
    <w:p w:rsidR="00B56429" w:rsidRDefault="00B56429" w:rsidP="00B56429">
      <w:pPr>
        <w:pStyle w:val="ListBullet"/>
      </w:pPr>
      <w:r>
        <w:t>There was a slight fall in hours worked growth.</w:t>
      </w:r>
    </w:p>
    <w:p w:rsidR="00B56429" w:rsidRDefault="00B56429" w:rsidP="00B56429">
      <w:pPr>
        <w:pStyle w:val="ListBullet"/>
      </w:pPr>
      <w:r>
        <w:t>Capital services growth increased slightly.</w:t>
      </w:r>
    </w:p>
    <w:p w:rsidR="00680944" w:rsidRDefault="00680944" w:rsidP="00680944">
      <w:pPr>
        <w:pStyle w:val="FigureTitle"/>
      </w:pPr>
      <w:r w:rsidRPr="0095106D">
        <w:rPr>
          <w:b w:val="0"/>
        </w:rPr>
        <w:lastRenderedPageBreak/>
        <w:t xml:space="preserve">Figure </w:t>
      </w:r>
      <w:bookmarkStart w:id="15" w:name="OLE_LINK10"/>
      <w:r w:rsidR="00457960">
        <w:rPr>
          <w:b w:val="0"/>
        </w:rPr>
        <w:t>D.</w:t>
      </w:r>
      <w:r w:rsidR="00457960">
        <w:rPr>
          <w:b w:val="0"/>
          <w:noProof/>
        </w:rPr>
        <w:t>9</w:t>
      </w:r>
      <w:bookmarkEnd w:id="15"/>
      <w:r w:rsidR="00815104" w:rsidRPr="0095106D">
        <w:rPr>
          <w:b w:val="0"/>
        </w:rPr>
        <w:tab/>
      </w:r>
      <w:r w:rsidR="0087194F">
        <w:t>ME MFP growth and its</w:t>
      </w:r>
      <w:r w:rsidR="001C644B" w:rsidRPr="001C644B">
        <w:t xml:space="preserve"> </w:t>
      </w:r>
      <w:r w:rsidR="001C644B">
        <w:t xml:space="preserve">proximate causes </w:t>
      </w:r>
      <w:r w:rsidR="0087194F">
        <w:t>by</w:t>
      </w:r>
      <w:r w:rsidR="001C644B">
        <w:t xml:space="preserve"> cycle</w:t>
      </w:r>
      <w:r w:rsidR="00596437" w:rsidRPr="00596437">
        <w:rPr>
          <w:rStyle w:val="NoteLabel"/>
          <w:b/>
        </w:rPr>
        <w:t>a</w:t>
      </w:r>
    </w:p>
    <w:p w:rsidR="00680944" w:rsidRDefault="00D75E74" w:rsidP="00680944">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680944" w:rsidTr="00680944">
        <w:tc>
          <w:tcPr>
            <w:tcW w:w="4388" w:type="dxa"/>
          </w:tcPr>
          <w:p w:rsidR="00680944" w:rsidRDefault="000F49A3" w:rsidP="003F068E">
            <w:pPr>
              <w:pStyle w:val="Figure"/>
              <w:spacing w:before="0" w:after="0"/>
            </w:pPr>
            <w:r>
              <w:pict>
                <v:shape id="_x0000_i1051" type="#_x0000_t75" alt="Details on this figure can be found within the text immediately after this image." style="width:206.8pt;height:198.4pt">
                  <v:imagedata r:id="rId35" o:title=""/>
                </v:shape>
              </w:pict>
            </w:r>
          </w:p>
        </w:tc>
        <w:tc>
          <w:tcPr>
            <w:tcW w:w="4389" w:type="dxa"/>
          </w:tcPr>
          <w:p w:rsidR="00680944" w:rsidRDefault="000F49A3" w:rsidP="003F068E">
            <w:pPr>
              <w:pStyle w:val="Figure"/>
              <w:spacing w:before="0" w:after="0"/>
            </w:pPr>
            <w:r>
              <w:pict>
                <v:shape id="_x0000_i1052" type="#_x0000_t75" alt="Details on this figure can be found within the text immediately after this image." style="width:206.8pt;height:198.4pt;mso-position-horizontal:absolute">
                  <v:imagedata r:id="rId36" o:title=""/>
                </v:shape>
              </w:pict>
            </w:r>
          </w:p>
        </w:tc>
      </w:tr>
      <w:tr w:rsidR="00680944" w:rsidTr="00680944">
        <w:tc>
          <w:tcPr>
            <w:tcW w:w="8777" w:type="dxa"/>
            <w:gridSpan w:val="2"/>
          </w:tcPr>
          <w:p w:rsidR="00680944" w:rsidRDefault="000F49A3" w:rsidP="00D75BDD">
            <w:pPr>
              <w:pStyle w:val="Figure"/>
              <w:spacing w:before="0" w:after="0"/>
            </w:pPr>
            <w:r>
              <w:pict>
                <v:shape id="_x0000_i1053" type="#_x0000_t75" alt="Legend for chart: Black colour- value added. Diagonal stripe - Hours worked. Grey colour - Capital services. Black diamond - MFP." style="width:293.85pt;height:17.6pt">
                  <v:imagedata r:id="rId37"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680944" w:rsidRDefault="00680944" w:rsidP="00680944">
      <w:pPr>
        <w:pStyle w:val="Source"/>
      </w:pPr>
      <w:r>
        <w:rPr>
          <w:i/>
        </w:rPr>
        <w:t>Data source</w:t>
      </w:r>
      <w:r w:rsidRPr="00167F06">
        <w:t xml:space="preserve">: </w:t>
      </w:r>
      <w:r>
        <w:t>Authors’ estimates.</w:t>
      </w:r>
    </w:p>
    <w:p w:rsidR="00F13126" w:rsidRDefault="00F13126" w:rsidP="00CC66E6">
      <w:pPr>
        <w:pStyle w:val="BodyText"/>
        <w:jc w:val="left"/>
      </w:pPr>
      <w:r>
        <w:t>Between cycle 4 and the incomplete cycle, MFP recovered slightly because the fall in VA</w:t>
      </w:r>
      <w:r w:rsidR="00C52459">
        <w:t xml:space="preserve"> growth</w:t>
      </w:r>
      <w:r>
        <w:t xml:space="preserve"> was offset by </w:t>
      </w:r>
      <w:r w:rsidR="00CC279C">
        <w:t xml:space="preserve">slowing </w:t>
      </w:r>
      <w:r>
        <w:t>inputs</w:t>
      </w:r>
      <w:r w:rsidR="00C52459">
        <w:t xml:space="preserve"> growth</w:t>
      </w:r>
      <w:r w:rsidR="00DB4669">
        <w:t>.</w:t>
      </w:r>
    </w:p>
    <w:p w:rsidR="00F13126" w:rsidRDefault="00F13126" w:rsidP="00F13126">
      <w:pPr>
        <w:pStyle w:val="ListBullet"/>
      </w:pPr>
      <w:r>
        <w:t>VA growth went from be</w:t>
      </w:r>
      <w:r w:rsidR="00C52459">
        <w:t>ing positive to being negative</w:t>
      </w:r>
      <w:r w:rsidR="00DB4669">
        <w:t>.</w:t>
      </w:r>
    </w:p>
    <w:p w:rsidR="00F13126" w:rsidRDefault="00DB4669" w:rsidP="00F13126">
      <w:pPr>
        <w:pStyle w:val="ListBullet"/>
      </w:pPr>
      <w:r>
        <w:t xml:space="preserve">Labour </w:t>
      </w:r>
      <w:r w:rsidR="00F13126">
        <w:t>inputs growth also went from positive to negative</w:t>
      </w:r>
      <w:r>
        <w:t>.</w:t>
      </w:r>
    </w:p>
    <w:p w:rsidR="00F13126" w:rsidRDefault="00DB4669" w:rsidP="00F13126">
      <w:pPr>
        <w:pStyle w:val="ListBullet"/>
      </w:pPr>
      <w:r>
        <w:t xml:space="preserve">The </w:t>
      </w:r>
      <w:r w:rsidR="00F13126">
        <w:t xml:space="preserve">capital inputs growth </w:t>
      </w:r>
      <w:r w:rsidR="00C52459">
        <w:t xml:space="preserve">fell to </w:t>
      </w:r>
      <w:r w:rsidR="005568F2">
        <w:t>close to</w:t>
      </w:r>
      <w:r w:rsidR="00C52459">
        <w:t xml:space="preserve"> zero in the incomplete cycle.</w:t>
      </w:r>
    </w:p>
    <w:p w:rsidR="00A317BE" w:rsidRDefault="00A317BE" w:rsidP="00D75BDD">
      <w:pPr>
        <w:pStyle w:val="Heading3"/>
        <w:spacing w:before="520"/>
      </w:pPr>
      <w:r>
        <w:t>Non-metallic mineral products</w:t>
      </w:r>
    </w:p>
    <w:p w:rsidR="005568F2" w:rsidRDefault="005568F2" w:rsidP="005568F2">
      <w:pPr>
        <w:pStyle w:val="BodyText"/>
      </w:pPr>
      <w:r>
        <w:t xml:space="preserve">NM made a very small contribution to the decline in </w:t>
      </w:r>
      <w:r w:rsidR="0009689C">
        <w:t>Manufacturing</w:t>
      </w:r>
      <w:r>
        <w:t xml:space="preserve"> MFP between cycles 3 and 4. It made a more significant negative contribution between cycle 4 and the incomplete cycle. </w:t>
      </w:r>
    </w:p>
    <w:p w:rsidR="00B56429" w:rsidRDefault="00B56429" w:rsidP="00B56429">
      <w:pPr>
        <w:pStyle w:val="BodyText"/>
        <w:widowControl w:val="0"/>
      </w:pPr>
      <w:r>
        <w:t xml:space="preserve">NM had very high MFP growth in the last two complete cycles (figure D.10). While its MFP growth did fall between the cycles, its MFP growth in cycle 4 was higher than all the other subsectors. </w:t>
      </w:r>
    </w:p>
    <w:p w:rsidR="00B56429" w:rsidRDefault="00B56429" w:rsidP="00B56429">
      <w:pPr>
        <w:pStyle w:val="ListBullet"/>
      </w:pPr>
      <w:r>
        <w:t>VA growth was strong in both cycles 3 and 4 and increased slightly between the cycles. NM had the highest VA growth rate in cycle 4.</w:t>
      </w:r>
    </w:p>
    <w:p w:rsidR="00B56429" w:rsidRDefault="00B56429" w:rsidP="00B56429">
      <w:pPr>
        <w:pStyle w:val="ListBullet"/>
      </w:pPr>
      <w:r>
        <w:t>The change from labour shedding in cycle 3 to near zero growth in cycle 4 was the main driver for the fall in MFP between the cycles.</w:t>
      </w:r>
    </w:p>
    <w:p w:rsidR="00B56429" w:rsidRDefault="00B56429" w:rsidP="00B56429">
      <w:pPr>
        <w:pStyle w:val="ListBullet"/>
      </w:pPr>
      <w:r>
        <w:t xml:space="preserve">There was a very slight increase in the near-zero rate of capital inputs growth. </w:t>
      </w:r>
    </w:p>
    <w:p w:rsidR="00A821D0" w:rsidRDefault="00A821D0" w:rsidP="00A821D0">
      <w:pPr>
        <w:pStyle w:val="FigureTitle"/>
      </w:pPr>
      <w:r w:rsidRPr="0095106D">
        <w:rPr>
          <w:b w:val="0"/>
        </w:rPr>
        <w:lastRenderedPageBreak/>
        <w:t xml:space="preserve">Figure </w:t>
      </w:r>
      <w:bookmarkStart w:id="16" w:name="OLE_LINK11"/>
      <w:r w:rsidR="00457960">
        <w:rPr>
          <w:b w:val="0"/>
        </w:rPr>
        <w:t>D.</w:t>
      </w:r>
      <w:r w:rsidR="00457960">
        <w:rPr>
          <w:b w:val="0"/>
          <w:noProof/>
        </w:rPr>
        <w:t>10</w:t>
      </w:r>
      <w:bookmarkEnd w:id="16"/>
      <w:r>
        <w:tab/>
      </w:r>
      <w:r w:rsidR="000254A0">
        <w:t>NM MFP growth and its</w:t>
      </w:r>
      <w:r w:rsidR="001C644B" w:rsidRPr="001C644B">
        <w:t xml:space="preserve"> </w:t>
      </w:r>
      <w:r w:rsidR="001C644B">
        <w:t xml:space="preserve">proximate causes </w:t>
      </w:r>
      <w:r w:rsidR="000254A0">
        <w:t>by</w:t>
      </w:r>
      <w:r w:rsidR="001C644B">
        <w:t xml:space="preserve"> cycle</w:t>
      </w:r>
      <w:r w:rsidR="00596437" w:rsidRPr="00596437">
        <w:rPr>
          <w:rStyle w:val="NoteLabel"/>
          <w:b/>
        </w:rPr>
        <w:t>a</w:t>
      </w:r>
    </w:p>
    <w:p w:rsidR="00A821D0" w:rsidRDefault="00D75E74" w:rsidP="00A821D0">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A821D0" w:rsidTr="00A821D0">
        <w:tc>
          <w:tcPr>
            <w:tcW w:w="4388" w:type="dxa"/>
          </w:tcPr>
          <w:p w:rsidR="00A821D0" w:rsidRDefault="000F49A3" w:rsidP="005568F2">
            <w:pPr>
              <w:pStyle w:val="Figure"/>
              <w:spacing w:before="0" w:after="0"/>
            </w:pPr>
            <w:r>
              <w:pict>
                <v:shape id="_x0000_i1054" type="#_x0000_t75" alt="Details on this figure can be found within the text immediately after this image." style="width:205.95pt;height:198.4pt">
                  <v:imagedata r:id="rId38" o:title=""/>
                </v:shape>
              </w:pict>
            </w:r>
          </w:p>
        </w:tc>
        <w:tc>
          <w:tcPr>
            <w:tcW w:w="4389" w:type="dxa"/>
          </w:tcPr>
          <w:p w:rsidR="00A821D0" w:rsidRDefault="000F49A3" w:rsidP="00BF0FAD">
            <w:pPr>
              <w:pStyle w:val="Figure"/>
              <w:tabs>
                <w:tab w:val="left" w:pos="2133"/>
                <w:tab w:val="center" w:pos="2194"/>
              </w:tabs>
              <w:spacing w:before="0" w:after="0"/>
            </w:pPr>
            <w:r>
              <w:pict>
                <v:shape id="_x0000_i1055" type="#_x0000_t75" alt="Details on this figure can be found within the text immediately after this image." style="width:205.1pt;height:198.4pt">
                  <v:imagedata r:id="rId39" o:title=""/>
                </v:shape>
              </w:pict>
            </w:r>
          </w:p>
        </w:tc>
      </w:tr>
      <w:tr w:rsidR="00A821D0" w:rsidTr="00A821D0">
        <w:tc>
          <w:tcPr>
            <w:tcW w:w="8777" w:type="dxa"/>
            <w:gridSpan w:val="2"/>
          </w:tcPr>
          <w:p w:rsidR="00A821D0" w:rsidRDefault="000F49A3" w:rsidP="00D75BDD">
            <w:pPr>
              <w:pStyle w:val="Figure"/>
              <w:spacing w:before="0" w:after="0"/>
            </w:pPr>
            <w:r>
              <w:pict>
                <v:shape id="_x0000_i1056" type="#_x0000_t75" alt="Legend for chart: Black colour- value added. Diagonal stripe - Hours worked. Grey colour - Capital services. Black diamond - MFP." style="width:293.85pt;height:17.6pt">
                  <v:imagedata r:id="rId40"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A821D0" w:rsidRDefault="00A821D0" w:rsidP="00A821D0">
      <w:pPr>
        <w:pStyle w:val="Source"/>
      </w:pPr>
      <w:r>
        <w:rPr>
          <w:i/>
        </w:rPr>
        <w:t>Data source</w:t>
      </w:r>
      <w:r w:rsidRPr="00167F06">
        <w:t xml:space="preserve">: </w:t>
      </w:r>
      <w:r>
        <w:t>Authors’ estimates.</w:t>
      </w:r>
    </w:p>
    <w:p w:rsidR="00A60017" w:rsidRDefault="0030274B" w:rsidP="00A60017">
      <w:pPr>
        <w:pStyle w:val="BodyText"/>
      </w:pPr>
      <w:r>
        <w:t xml:space="preserve">Between cycle 4 and the incomplete cycle, MFP growth fell sharply to being close </w:t>
      </w:r>
      <w:r w:rsidR="00C52459">
        <w:t>to zero in the incomplete cycle.</w:t>
      </w:r>
    </w:p>
    <w:p w:rsidR="0030274B" w:rsidRDefault="00C52459" w:rsidP="0030274B">
      <w:pPr>
        <w:pStyle w:val="ListBullet"/>
      </w:pPr>
      <w:r>
        <w:t>L</w:t>
      </w:r>
      <w:r w:rsidR="0030274B">
        <w:t xml:space="preserve">ike many other subsectors, </w:t>
      </w:r>
      <w:r w:rsidR="00963BB5">
        <w:t xml:space="preserve">NM experienced </w:t>
      </w:r>
      <w:r w:rsidR="00090380">
        <w:t>VA</w:t>
      </w:r>
      <w:r w:rsidR="00963BB5">
        <w:t xml:space="preserve"> contraction in the incomplete cycle. Because the</w:t>
      </w:r>
      <w:r w:rsidR="0030274B">
        <w:t xml:space="preserve"> VA growth was</w:t>
      </w:r>
      <w:r w:rsidR="00963BB5">
        <w:t xml:space="preserve"> so</w:t>
      </w:r>
      <w:r w:rsidR="0030274B">
        <w:t xml:space="preserve"> high in cycle 4, </w:t>
      </w:r>
      <w:r w:rsidR="00963BB5">
        <w:t>the fall in VA growth was sharp.</w:t>
      </w:r>
    </w:p>
    <w:p w:rsidR="00A42590" w:rsidRDefault="00A42590" w:rsidP="00A42590">
      <w:pPr>
        <w:pStyle w:val="ListBullet"/>
      </w:pPr>
      <w:r>
        <w:t>There was also an increase in capital inputs growth which further contributed to the fall in MFP growth.</w:t>
      </w:r>
    </w:p>
    <w:p w:rsidR="00963BB5" w:rsidRDefault="00A42590" w:rsidP="0030274B">
      <w:pPr>
        <w:pStyle w:val="ListBullet"/>
      </w:pPr>
      <w:r>
        <w:t xml:space="preserve">On the other hand, </w:t>
      </w:r>
      <w:r w:rsidR="00963BB5">
        <w:t>NM also experienced labour shedding in the incomplete cycle, and this helped to reduce the fall in MFP between cycles.</w:t>
      </w:r>
    </w:p>
    <w:p w:rsidR="00A317BE" w:rsidRDefault="00A317BE" w:rsidP="00D75BDD">
      <w:pPr>
        <w:pStyle w:val="Heading3"/>
        <w:spacing w:before="520"/>
      </w:pPr>
      <w:r>
        <w:t xml:space="preserve">Wood </w:t>
      </w:r>
      <w:r w:rsidR="00577D27">
        <w:t>and</w:t>
      </w:r>
      <w:r>
        <w:t xml:space="preserve"> paper products</w:t>
      </w:r>
    </w:p>
    <w:p w:rsidR="00D75BDD" w:rsidRDefault="00D75BDD" w:rsidP="00D75BDD">
      <w:pPr>
        <w:pStyle w:val="BodyText"/>
      </w:pPr>
      <w:r>
        <w:t xml:space="preserve">WP </w:t>
      </w:r>
      <w:r w:rsidR="009D11A3">
        <w:t xml:space="preserve">made </w:t>
      </w:r>
      <w:r>
        <w:t xml:space="preserve">a near zero contribution to the change in </w:t>
      </w:r>
      <w:r w:rsidR="0009689C">
        <w:t>Manufacturing</w:t>
      </w:r>
      <w:r>
        <w:t xml:space="preserve"> MFP between cycles 3 and 4.</w:t>
      </w:r>
      <w:r w:rsidR="00C95628">
        <w:rPr>
          <w:rStyle w:val="FootnoteReference"/>
        </w:rPr>
        <w:footnoteReference w:id="2"/>
      </w:r>
      <w:r>
        <w:t xml:space="preserve"> Between cycle 4 and the incomplete cycle, WP made a moderate contribution to the recovery in </w:t>
      </w:r>
      <w:r w:rsidR="0009689C">
        <w:t>Manufacturing</w:t>
      </w:r>
      <w:r>
        <w:t xml:space="preserve"> MFP. </w:t>
      </w:r>
    </w:p>
    <w:p w:rsidR="00A60017" w:rsidRDefault="00A60017" w:rsidP="00A60017">
      <w:pPr>
        <w:pStyle w:val="FigureTitle"/>
      </w:pPr>
      <w:r w:rsidRPr="0095106D">
        <w:rPr>
          <w:b w:val="0"/>
        </w:rPr>
        <w:lastRenderedPageBreak/>
        <w:t xml:space="preserve">Figure </w:t>
      </w:r>
      <w:bookmarkStart w:id="17" w:name="OLE_LINK12"/>
      <w:r w:rsidR="00457960">
        <w:rPr>
          <w:b w:val="0"/>
        </w:rPr>
        <w:t>D.</w:t>
      </w:r>
      <w:r w:rsidR="00457960">
        <w:rPr>
          <w:b w:val="0"/>
          <w:noProof/>
        </w:rPr>
        <w:t>11</w:t>
      </w:r>
      <w:bookmarkEnd w:id="17"/>
      <w:r>
        <w:tab/>
      </w:r>
      <w:r w:rsidR="000254A0">
        <w:t>WP MFP growth and its</w:t>
      </w:r>
      <w:r w:rsidR="001C644B" w:rsidRPr="001C644B">
        <w:t xml:space="preserve"> </w:t>
      </w:r>
      <w:r w:rsidR="001C644B">
        <w:t xml:space="preserve">proximate causes </w:t>
      </w:r>
      <w:r w:rsidR="000254A0">
        <w:t>by</w:t>
      </w:r>
      <w:r w:rsidR="001C644B">
        <w:t xml:space="preserve"> cycle</w:t>
      </w:r>
      <w:r w:rsidR="00596437" w:rsidRPr="00596437">
        <w:rPr>
          <w:rStyle w:val="NoteLabel"/>
          <w:b/>
        </w:rPr>
        <w:t>a</w:t>
      </w:r>
    </w:p>
    <w:p w:rsidR="00A60017" w:rsidRDefault="00D75E74" w:rsidP="00A60017">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A60017" w:rsidTr="00A60017">
        <w:tc>
          <w:tcPr>
            <w:tcW w:w="4388" w:type="dxa"/>
          </w:tcPr>
          <w:p w:rsidR="00A60017" w:rsidRDefault="000F49A3" w:rsidP="00D75BDD">
            <w:pPr>
              <w:pStyle w:val="Figure"/>
              <w:spacing w:before="0" w:after="0"/>
            </w:pPr>
            <w:r>
              <w:pict>
                <v:shape id="_x0000_i1057" type="#_x0000_t75" alt="Details on this figure can be found within the text immediately after this image." style="width:205.95pt;height:198.4pt">
                  <v:imagedata r:id="rId41" o:title=""/>
                </v:shape>
              </w:pict>
            </w:r>
          </w:p>
        </w:tc>
        <w:tc>
          <w:tcPr>
            <w:tcW w:w="4389" w:type="dxa"/>
          </w:tcPr>
          <w:p w:rsidR="00A60017" w:rsidRDefault="000F49A3" w:rsidP="00D75BDD">
            <w:pPr>
              <w:pStyle w:val="Figure"/>
              <w:spacing w:before="0" w:after="0"/>
            </w:pPr>
            <w:r>
              <w:pict>
                <v:shape id="_x0000_i1058" type="#_x0000_t75" alt="Details on this figure can be found within the text immediately after this image." style="width:205.1pt;height:198.4pt;mso-position-horizontal:absolute">
                  <v:imagedata r:id="rId42" o:title=""/>
                </v:shape>
              </w:pict>
            </w:r>
          </w:p>
        </w:tc>
      </w:tr>
      <w:tr w:rsidR="00A60017" w:rsidTr="00A60017">
        <w:tc>
          <w:tcPr>
            <w:tcW w:w="8777" w:type="dxa"/>
            <w:gridSpan w:val="2"/>
          </w:tcPr>
          <w:p w:rsidR="00A60017" w:rsidRDefault="000F49A3" w:rsidP="00D75BDD">
            <w:pPr>
              <w:pStyle w:val="Figure"/>
              <w:spacing w:before="0" w:after="0"/>
            </w:pPr>
            <w:r>
              <w:pict>
                <v:shape id="_x0000_i1059" type="#_x0000_t75" alt="Legend for chart: Black colour- value added. Diagonal stripe - Hours worked. Grey colour - Capital services. Black diamond - MFP." style="width:293.85pt;height:17.6pt">
                  <v:imagedata r:id="rId43" o:title=""/>
                </v:shape>
              </w:pict>
            </w:r>
          </w:p>
        </w:tc>
      </w:tr>
    </w:tbl>
    <w:p w:rsidR="00596437" w:rsidRPr="007E07E8" w:rsidRDefault="00596437" w:rsidP="00596437">
      <w:pPr>
        <w:pStyle w:val="Note"/>
      </w:pPr>
      <w:r w:rsidRPr="007E07E8">
        <w:rPr>
          <w:rStyle w:val="NoteLabel"/>
        </w:rPr>
        <w:t>a</w:t>
      </w:r>
      <w:r w:rsidRPr="00EA603F">
        <w:t xml:space="preserve"> </w:t>
      </w:r>
      <w:r>
        <w:t>Capital services and hours worked weighted by income shares.</w:t>
      </w:r>
    </w:p>
    <w:p w:rsidR="00A60017" w:rsidRDefault="00A60017" w:rsidP="00A60017">
      <w:pPr>
        <w:pStyle w:val="Source"/>
      </w:pPr>
      <w:r>
        <w:rPr>
          <w:i/>
        </w:rPr>
        <w:t>Data source</w:t>
      </w:r>
      <w:r w:rsidRPr="00167F06">
        <w:t xml:space="preserve">: </w:t>
      </w:r>
      <w:r>
        <w:t>Authors’ estimates.</w:t>
      </w:r>
    </w:p>
    <w:p w:rsidR="00A60017" w:rsidRDefault="00D75BDD" w:rsidP="00A60017">
      <w:pPr>
        <w:pStyle w:val="BodyText"/>
      </w:pPr>
      <w:r>
        <w:t xml:space="preserve">WP’s </w:t>
      </w:r>
      <w:r w:rsidR="00C96126">
        <w:t>MFP growth</w:t>
      </w:r>
      <w:r w:rsidR="00C52459">
        <w:t xml:space="preserve"> (which was negative in both cycles 3 and 4)</w:t>
      </w:r>
      <w:r w:rsidR="00C96126">
        <w:t xml:space="preserve"> remained little changed between</w:t>
      </w:r>
      <w:r w:rsidR="00C52459">
        <w:t xml:space="preserve"> the</w:t>
      </w:r>
      <w:r w:rsidR="00C96126">
        <w:t xml:space="preserve"> </w:t>
      </w:r>
      <w:r>
        <w:t xml:space="preserve">last two complete </w:t>
      </w:r>
      <w:r w:rsidR="00C96126">
        <w:t>cycles</w:t>
      </w:r>
      <w:r w:rsidR="00C52459">
        <w:t>. Underlying this</w:t>
      </w:r>
      <w:r w:rsidR="00C72EF1">
        <w:t xml:space="preserve"> were siz</w:t>
      </w:r>
      <w:r w:rsidR="00625D55">
        <w:t>able</w:t>
      </w:r>
      <w:r w:rsidR="00C96126">
        <w:t>, offsetting movements in the proximate causes</w:t>
      </w:r>
      <w:r>
        <w:t xml:space="preserve"> (figure </w:t>
      </w:r>
      <w:r w:rsidR="00457960">
        <w:t>D.11</w:t>
      </w:r>
      <w:r>
        <w:t>)</w:t>
      </w:r>
      <w:r w:rsidR="00C96126">
        <w:t>.</w:t>
      </w:r>
    </w:p>
    <w:p w:rsidR="00855317" w:rsidRDefault="0024480F" w:rsidP="00855317">
      <w:pPr>
        <w:pStyle w:val="ListBullet"/>
      </w:pPr>
      <w:r>
        <w:t xml:space="preserve">WP went from experiencing VA growth in cycle 3 to VA contraction of around the same level in cycle 4. </w:t>
      </w:r>
    </w:p>
    <w:p w:rsidR="0024480F" w:rsidRDefault="0024480F" w:rsidP="00855317">
      <w:pPr>
        <w:pStyle w:val="ListBullet"/>
      </w:pPr>
      <w:r>
        <w:t xml:space="preserve">Similarly, labour inputs growth </w:t>
      </w:r>
      <w:r w:rsidR="00625D55">
        <w:t xml:space="preserve">went from positive to negative, </w:t>
      </w:r>
      <w:r w:rsidR="00C52459">
        <w:t>and</w:t>
      </w:r>
      <w:r w:rsidR="00625D55">
        <w:t xml:space="preserve"> was able to offset the decline in VA growth, leaving MFP growth little changed between cycles.</w:t>
      </w:r>
    </w:p>
    <w:p w:rsidR="00625D55" w:rsidRDefault="00625D55" w:rsidP="00625D55">
      <w:pPr>
        <w:pStyle w:val="ListBullet"/>
      </w:pPr>
      <w:r>
        <w:t xml:space="preserve">There was a slight increase in capital inputs growth. </w:t>
      </w:r>
    </w:p>
    <w:p w:rsidR="00625D55" w:rsidRDefault="00275418" w:rsidP="00275418">
      <w:pPr>
        <w:pStyle w:val="BodyText"/>
      </w:pPr>
      <w:r>
        <w:t xml:space="preserve">MFP growth recovered between cycle 4 and the incomplete cycle, largely due to </w:t>
      </w:r>
      <w:r w:rsidR="000F065F">
        <w:t xml:space="preserve">further </w:t>
      </w:r>
      <w:r>
        <w:t>contraction in inputs growth</w:t>
      </w:r>
      <w:r w:rsidR="00127059">
        <w:t>.</w:t>
      </w:r>
      <w:r w:rsidR="00774DEA">
        <w:t xml:space="preserve"> </w:t>
      </w:r>
    </w:p>
    <w:p w:rsidR="00275418" w:rsidRDefault="00275418" w:rsidP="00275418">
      <w:pPr>
        <w:pStyle w:val="ListBullet"/>
      </w:pPr>
      <w:r>
        <w:t xml:space="preserve">The rate of </w:t>
      </w:r>
      <w:r w:rsidR="00090380">
        <w:t>VA</w:t>
      </w:r>
      <w:r>
        <w:t xml:space="preserve"> decl</w:t>
      </w:r>
      <w:r w:rsidR="000F065F">
        <w:t>ine remained largely unchanged</w:t>
      </w:r>
      <w:r w:rsidR="003C31C4">
        <w:t>.</w:t>
      </w:r>
    </w:p>
    <w:p w:rsidR="00275418" w:rsidRDefault="00275418" w:rsidP="00275418">
      <w:pPr>
        <w:pStyle w:val="ListBullet"/>
      </w:pPr>
      <w:r>
        <w:t xml:space="preserve">Labour shedding </w:t>
      </w:r>
      <w:r w:rsidR="000F065F">
        <w:t>intensified</w:t>
      </w:r>
      <w:r w:rsidR="006B4551">
        <w:t xml:space="preserve">. Of </w:t>
      </w:r>
      <w:r>
        <w:t xml:space="preserve">all the subsectors, WP experienced the steepest decline in hours </w:t>
      </w:r>
      <w:r w:rsidR="000F065F">
        <w:t>worked in the incomplete cycle</w:t>
      </w:r>
      <w:r w:rsidR="003C31C4">
        <w:t>.</w:t>
      </w:r>
    </w:p>
    <w:p w:rsidR="00236F13" w:rsidRDefault="00275418" w:rsidP="00735D15">
      <w:pPr>
        <w:pStyle w:val="ListBullet"/>
      </w:pPr>
      <w:r>
        <w:t>Capital inputs growth fell.</w:t>
      </w:r>
    </w:p>
    <w:p w:rsidR="000C1849" w:rsidRDefault="000C1849" w:rsidP="000C1849">
      <w:pPr>
        <w:pStyle w:val="ListBullet"/>
        <w:numPr>
          <w:ilvl w:val="0"/>
          <w:numId w:val="0"/>
        </w:numPr>
        <w:ind w:left="340" w:hanging="340"/>
      </w:pPr>
    </w:p>
    <w:p w:rsidR="000C1849" w:rsidRDefault="000C1849" w:rsidP="000C1849">
      <w:pPr>
        <w:pStyle w:val="ListBullet"/>
        <w:numPr>
          <w:ilvl w:val="0"/>
          <w:numId w:val="0"/>
        </w:numPr>
        <w:ind w:left="340" w:hanging="340"/>
        <w:sectPr w:rsidR="000C1849" w:rsidSect="000C1849">
          <w:headerReference w:type="even" r:id="rId44"/>
          <w:headerReference w:type="default" r:id="rId45"/>
          <w:footerReference w:type="even" r:id="rId46"/>
          <w:footerReference w:type="default" r:id="rId47"/>
          <w:pgSz w:w="11907" w:h="16840" w:code="9"/>
          <w:pgMar w:top="1985" w:right="1304" w:bottom="1418" w:left="1814" w:header="1701" w:footer="567" w:gutter="0"/>
          <w:pgNumType w:start="237" w:chapStyle="1" w:chapSep="period"/>
          <w:cols w:space="720"/>
        </w:sectPr>
      </w:pPr>
    </w:p>
    <w:p w:rsidR="000C1849" w:rsidRPr="002264E9" w:rsidRDefault="000C1849" w:rsidP="000C1849">
      <w:pPr>
        <w:pStyle w:val="ListBullet"/>
        <w:numPr>
          <w:ilvl w:val="0"/>
          <w:numId w:val="0"/>
        </w:numPr>
        <w:ind w:left="340" w:hanging="340"/>
      </w:pPr>
    </w:p>
    <w:sectPr w:rsidR="000C1849" w:rsidRPr="002264E9" w:rsidSect="000C1849">
      <w:headerReference w:type="even" r:id="rId48"/>
      <w:footerReference w:type="even" r:id="rId49"/>
      <w:type w:val="evenPage"/>
      <w:pgSz w:w="11907" w:h="16840" w:code="9"/>
      <w:pgMar w:top="1985" w:right="1304" w:bottom="1418" w:left="1814" w:header="1701" w:footer="567" w:gutter="0"/>
      <w:pgNumType w:start="23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8CA" w:rsidRDefault="003878CA">
      <w:r>
        <w:separator/>
      </w:r>
    </w:p>
  </w:endnote>
  <w:endnote w:type="continuationSeparator" w:id="0">
    <w:p w:rsidR="003878CA" w:rsidRDefault="0038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878CA">
      <w:trPr>
        <w:trHeight w:hRule="exact" w:val="740"/>
      </w:trPr>
      <w:tc>
        <w:tcPr>
          <w:tcW w:w="510" w:type="dxa"/>
          <w:tcBorders>
            <w:top w:val="single" w:sz="6" w:space="0" w:color="auto"/>
          </w:tcBorders>
        </w:tcPr>
        <w:p w:rsidR="003878CA" w:rsidRDefault="003878C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20DCD">
            <w:rPr>
              <w:rStyle w:val="PageNumber"/>
              <w:noProof/>
            </w:rPr>
            <w:t>250</w:t>
          </w:r>
          <w:r>
            <w:rPr>
              <w:rStyle w:val="PageNumber"/>
            </w:rPr>
            <w:fldChar w:fldCharType="end"/>
          </w:r>
        </w:p>
      </w:tc>
      <w:tc>
        <w:tcPr>
          <w:tcW w:w="1644" w:type="dxa"/>
          <w:tcBorders>
            <w:top w:val="single" w:sz="6" w:space="0" w:color="auto"/>
          </w:tcBorders>
        </w:tcPr>
        <w:p w:rsidR="003878CA" w:rsidRDefault="00B20DCD" w:rsidP="0019293B">
          <w:pPr>
            <w:pStyle w:val="Footer"/>
          </w:pPr>
          <w:r>
            <w:fldChar w:fldCharType="begin"/>
          </w:r>
          <w:r>
            <w:instrText xml:space="preserve"> SUBJECT  \* MERGEFORMAT </w:instrText>
          </w:r>
          <w:r>
            <w:fldChar w:fldCharType="separate"/>
          </w:r>
          <w:r w:rsidR="00491C72">
            <w:t>Productivity in manufacturing</w:t>
          </w:r>
          <w:r>
            <w:fldChar w:fldCharType="end"/>
          </w:r>
        </w:p>
      </w:tc>
      <w:tc>
        <w:tcPr>
          <w:tcW w:w="6634" w:type="dxa"/>
        </w:tcPr>
        <w:p w:rsidR="003878CA" w:rsidRDefault="003878CA" w:rsidP="0019293B">
          <w:pPr>
            <w:pStyle w:val="Footer"/>
          </w:pPr>
        </w:p>
      </w:tc>
    </w:tr>
  </w:tbl>
  <w:p w:rsidR="003878CA" w:rsidRDefault="003878C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878CA">
      <w:trPr>
        <w:trHeight w:hRule="exact" w:val="740"/>
      </w:trPr>
      <w:tc>
        <w:tcPr>
          <w:tcW w:w="6634" w:type="dxa"/>
        </w:tcPr>
        <w:p w:rsidR="003878CA" w:rsidRDefault="003878CA">
          <w:pPr>
            <w:pStyle w:val="Footer"/>
            <w:ind w:right="360" w:firstLine="360"/>
          </w:pPr>
        </w:p>
      </w:tc>
      <w:tc>
        <w:tcPr>
          <w:tcW w:w="1644" w:type="dxa"/>
          <w:tcBorders>
            <w:top w:val="single" w:sz="6" w:space="0" w:color="auto"/>
          </w:tcBorders>
        </w:tcPr>
        <w:p w:rsidR="003878CA" w:rsidRDefault="00B20DCD">
          <w:pPr>
            <w:pStyle w:val="Footer"/>
          </w:pPr>
          <w:r>
            <w:fldChar w:fldCharType="begin"/>
          </w:r>
          <w:r>
            <w:instrText xml:space="preserve"> TITLE  \* MERGEFORMAT </w:instrText>
          </w:r>
          <w:r>
            <w:fldChar w:fldCharType="separate"/>
          </w:r>
          <w:r w:rsidR="00491C72">
            <w:t>Further details about subsector productivity</w:t>
          </w:r>
          <w:r>
            <w:fldChar w:fldCharType="end"/>
          </w:r>
        </w:p>
      </w:tc>
      <w:tc>
        <w:tcPr>
          <w:tcW w:w="510" w:type="dxa"/>
          <w:tcBorders>
            <w:top w:val="single" w:sz="6" w:space="0" w:color="auto"/>
          </w:tcBorders>
        </w:tcPr>
        <w:p w:rsidR="003878CA" w:rsidRDefault="003878CA">
          <w:pPr>
            <w:pStyle w:val="Footer"/>
            <w:jc w:val="right"/>
          </w:pPr>
          <w:r>
            <w:rPr>
              <w:rStyle w:val="PageNumber"/>
            </w:rPr>
            <w:fldChar w:fldCharType="begin"/>
          </w:r>
          <w:r>
            <w:rPr>
              <w:rStyle w:val="PageNumber"/>
            </w:rPr>
            <w:instrText xml:space="preserve">PAGE  </w:instrText>
          </w:r>
          <w:r>
            <w:rPr>
              <w:rStyle w:val="PageNumber"/>
            </w:rPr>
            <w:fldChar w:fldCharType="separate"/>
          </w:r>
          <w:r w:rsidR="00B20DCD">
            <w:rPr>
              <w:rStyle w:val="PageNumber"/>
              <w:noProof/>
            </w:rPr>
            <w:t>237</w:t>
          </w:r>
          <w:r>
            <w:rPr>
              <w:rStyle w:val="PageNumber"/>
            </w:rPr>
            <w:fldChar w:fldCharType="end"/>
          </w:r>
        </w:p>
      </w:tc>
    </w:tr>
  </w:tbl>
  <w:p w:rsidR="003878CA" w:rsidRDefault="003878C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49" w:rsidRDefault="000C1849"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8CA" w:rsidRDefault="003878CA">
      <w:r>
        <w:separator/>
      </w:r>
    </w:p>
  </w:footnote>
  <w:footnote w:type="continuationSeparator" w:id="0">
    <w:p w:rsidR="003878CA" w:rsidRDefault="003878CA">
      <w:r>
        <w:continuationSeparator/>
      </w:r>
    </w:p>
  </w:footnote>
  <w:footnote w:id="1">
    <w:p w:rsidR="003878CA" w:rsidRDefault="003878CA" w:rsidP="00E37F2B">
      <w:pPr>
        <w:pStyle w:val="FootnoteText"/>
      </w:pPr>
      <w:r>
        <w:rPr>
          <w:rStyle w:val="FootnoteReference"/>
        </w:rPr>
        <w:footnoteRef/>
      </w:r>
      <w:r>
        <w:t xml:space="preserve"> </w:t>
      </w:r>
      <w:r>
        <w:tab/>
        <w:t xml:space="preserve">It may seem inconsistent that MP experienced stronger MFP growth in the incomplete cycle, relative to cycle 4, yet did not contribute to the improvement in MFP growth for Manufacturing in total over the same period (figure </w:t>
      </w:r>
      <w:r>
        <w:fldChar w:fldCharType="begin"/>
      </w:r>
      <w:r>
        <w:instrText xml:space="preserve"> LINK Word.Document.12 "\\\\Nch1\\data\\groups\\GRB\\Projects and papers\\Current\\Manufacturing\\Drafts\\Mfg App D Further subsector details.docx" "OLE_LINK6" \a \t </w:instrText>
      </w:r>
      <w:r>
        <w:fldChar w:fldCharType="separate"/>
      </w:r>
      <w:r>
        <w:t>D.3</w:t>
      </w:r>
      <w:r>
        <w:fldChar w:fldCharType="end"/>
      </w:r>
      <w:r>
        <w:t>). This outcome occurs as the weights used to calculate MP’s contribution to Manufacturing MFP fell from cycle 4 to the incomplete cycle.</w:t>
      </w:r>
    </w:p>
  </w:footnote>
  <w:footnote w:id="2">
    <w:p w:rsidR="003878CA" w:rsidRDefault="003878CA">
      <w:pPr>
        <w:pStyle w:val="FootnoteText"/>
      </w:pPr>
      <w:r>
        <w:rPr>
          <w:rStyle w:val="FootnoteReference"/>
        </w:rPr>
        <w:footnoteRef/>
      </w:r>
      <w:r>
        <w:t xml:space="preserve"> </w:t>
      </w:r>
      <w:r>
        <w:tab/>
        <w:t xml:space="preserve">It may seem inconsistent that WP had slightly lower MFP growth in cycle 4 than cycle 3, yet made a small offsetting positive contribution to the decline in MFP growth for Manufacturing in total over the same period (figure </w:t>
      </w:r>
      <w:r>
        <w:fldChar w:fldCharType="begin"/>
      </w:r>
      <w:r>
        <w:instrText xml:space="preserve"> LINK Word.Document.12 "\\\\Nch1\\data\\groups\\GRB\\Projects and papers\\Current\\Manufacturing\\Drafts\\Mfg App D Further subsector details.docx" "OLE_LINK5" \a \t </w:instrText>
      </w:r>
      <w:r>
        <w:fldChar w:fldCharType="separate"/>
      </w:r>
      <w:r>
        <w:t>D.2</w:t>
      </w:r>
      <w:r>
        <w:fldChar w:fldCharType="end"/>
      </w:r>
      <w:r>
        <w:t>). This outcome occurs as the weights used to calculate WP’s contribution to Manufacturing MFP fell from cycle 3 to cycle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878CA">
      <w:tc>
        <w:tcPr>
          <w:tcW w:w="2155" w:type="dxa"/>
          <w:tcBorders>
            <w:top w:val="single" w:sz="24" w:space="0" w:color="auto"/>
          </w:tcBorders>
        </w:tcPr>
        <w:p w:rsidR="003878CA" w:rsidRDefault="003878CA" w:rsidP="0019293B">
          <w:pPr>
            <w:pStyle w:val="HeaderEven"/>
          </w:pPr>
        </w:p>
      </w:tc>
      <w:tc>
        <w:tcPr>
          <w:tcW w:w="6634" w:type="dxa"/>
          <w:tcBorders>
            <w:top w:val="single" w:sz="6" w:space="0" w:color="auto"/>
          </w:tcBorders>
        </w:tcPr>
        <w:p w:rsidR="003878CA" w:rsidRDefault="003878CA" w:rsidP="0019293B">
          <w:pPr>
            <w:pStyle w:val="HeaderEven"/>
          </w:pPr>
        </w:p>
      </w:tc>
    </w:tr>
  </w:tbl>
  <w:p w:rsidR="003878CA" w:rsidRDefault="003878C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878CA">
      <w:tc>
        <w:tcPr>
          <w:tcW w:w="6634" w:type="dxa"/>
          <w:tcBorders>
            <w:top w:val="single" w:sz="6" w:space="0" w:color="auto"/>
          </w:tcBorders>
        </w:tcPr>
        <w:p w:rsidR="003878CA" w:rsidRDefault="003878CA" w:rsidP="00E669E2">
          <w:pPr>
            <w:pStyle w:val="HeaderOdd"/>
          </w:pPr>
        </w:p>
      </w:tc>
      <w:tc>
        <w:tcPr>
          <w:tcW w:w="2155" w:type="dxa"/>
          <w:tcBorders>
            <w:top w:val="single" w:sz="24" w:space="0" w:color="auto"/>
          </w:tcBorders>
        </w:tcPr>
        <w:p w:rsidR="003878CA" w:rsidRDefault="003878CA" w:rsidP="00E669E2">
          <w:pPr>
            <w:pStyle w:val="HeaderOdd"/>
          </w:pPr>
        </w:p>
      </w:tc>
    </w:tr>
  </w:tbl>
  <w:p w:rsidR="003878CA" w:rsidRDefault="003878C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49" w:rsidRDefault="000C1849"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5"/>
  </w:num>
  <w:num w:numId="3">
    <w:abstractNumId w:val="0"/>
  </w:num>
  <w:num w:numId="4">
    <w:abstractNumId w:val="10"/>
  </w:num>
  <w:num w:numId="5">
    <w:abstractNumId w:val="1"/>
  </w:num>
  <w:num w:numId="6">
    <w:abstractNumId w:val="14"/>
  </w:num>
  <w:num w:numId="7">
    <w:abstractNumId w:val="12"/>
  </w:num>
  <w:num w:numId="8">
    <w:abstractNumId w:val="16"/>
  </w:num>
  <w:num w:numId="9">
    <w:abstractNumId w:val="5"/>
  </w:num>
  <w:num w:numId="10">
    <w:abstractNumId w:val="11"/>
  </w:num>
  <w:num w:numId="11">
    <w:abstractNumId w:val="4"/>
  </w:num>
  <w:num w:numId="12">
    <w:abstractNumId w:val="3"/>
  </w:num>
  <w:num w:numId="13">
    <w:abstractNumId w:val="6"/>
  </w:num>
  <w:num w:numId="14">
    <w:abstractNumId w:val="7"/>
  </w:num>
  <w:num w:numId="15">
    <w:abstractNumId w:val="9"/>
  </w:num>
  <w:num w:numId="16">
    <w:abstractNumId w:val="2"/>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Further details about subsector productivity"/>
    <w:docVar w:name="ShortReportTitle" w:val="Productivity in manufacturing"/>
  </w:docVars>
  <w:rsids>
    <w:rsidRoot w:val="00715085"/>
    <w:rsid w:val="00007EC0"/>
    <w:rsid w:val="00014729"/>
    <w:rsid w:val="0001700D"/>
    <w:rsid w:val="000227D5"/>
    <w:rsid w:val="000245AA"/>
    <w:rsid w:val="000254A0"/>
    <w:rsid w:val="0003664B"/>
    <w:rsid w:val="0004111F"/>
    <w:rsid w:val="00043A30"/>
    <w:rsid w:val="00046673"/>
    <w:rsid w:val="000565B3"/>
    <w:rsid w:val="0007150B"/>
    <w:rsid w:val="0007609B"/>
    <w:rsid w:val="00083DAB"/>
    <w:rsid w:val="00083FD8"/>
    <w:rsid w:val="00090380"/>
    <w:rsid w:val="000938F5"/>
    <w:rsid w:val="000966C7"/>
    <w:rsid w:val="0009689C"/>
    <w:rsid w:val="00096E55"/>
    <w:rsid w:val="000A24F5"/>
    <w:rsid w:val="000B601B"/>
    <w:rsid w:val="000C1849"/>
    <w:rsid w:val="000C207E"/>
    <w:rsid w:val="000C6951"/>
    <w:rsid w:val="000D5C5C"/>
    <w:rsid w:val="000D5F60"/>
    <w:rsid w:val="000D7DF1"/>
    <w:rsid w:val="000E5CB6"/>
    <w:rsid w:val="000E5EC9"/>
    <w:rsid w:val="000F0035"/>
    <w:rsid w:val="000F065F"/>
    <w:rsid w:val="000F420B"/>
    <w:rsid w:val="000F49A3"/>
    <w:rsid w:val="000F5C10"/>
    <w:rsid w:val="000F5DCE"/>
    <w:rsid w:val="00103B92"/>
    <w:rsid w:val="00110116"/>
    <w:rsid w:val="00110B11"/>
    <w:rsid w:val="00110F73"/>
    <w:rsid w:val="00120072"/>
    <w:rsid w:val="00120BEE"/>
    <w:rsid w:val="001255F7"/>
    <w:rsid w:val="00126EB8"/>
    <w:rsid w:val="00127059"/>
    <w:rsid w:val="001274D4"/>
    <w:rsid w:val="001363AA"/>
    <w:rsid w:val="00136A26"/>
    <w:rsid w:val="0015688A"/>
    <w:rsid w:val="00164C99"/>
    <w:rsid w:val="001715CE"/>
    <w:rsid w:val="00172BF4"/>
    <w:rsid w:val="001821AD"/>
    <w:rsid w:val="00182EC4"/>
    <w:rsid w:val="00183E82"/>
    <w:rsid w:val="001878BB"/>
    <w:rsid w:val="00191AE0"/>
    <w:rsid w:val="0019240F"/>
    <w:rsid w:val="0019293B"/>
    <w:rsid w:val="001A02E5"/>
    <w:rsid w:val="001A10C3"/>
    <w:rsid w:val="001A1347"/>
    <w:rsid w:val="001A4700"/>
    <w:rsid w:val="001B2355"/>
    <w:rsid w:val="001B69D8"/>
    <w:rsid w:val="001B7B5D"/>
    <w:rsid w:val="001C0865"/>
    <w:rsid w:val="001C3ABA"/>
    <w:rsid w:val="001C644B"/>
    <w:rsid w:val="001D05F4"/>
    <w:rsid w:val="001D11D6"/>
    <w:rsid w:val="001D42C5"/>
    <w:rsid w:val="001D660C"/>
    <w:rsid w:val="001E3353"/>
    <w:rsid w:val="001E6406"/>
    <w:rsid w:val="001E7BE8"/>
    <w:rsid w:val="001F0248"/>
    <w:rsid w:val="001F3EB3"/>
    <w:rsid w:val="001F427B"/>
    <w:rsid w:val="001F4F86"/>
    <w:rsid w:val="00202C2C"/>
    <w:rsid w:val="00211CC8"/>
    <w:rsid w:val="002135AB"/>
    <w:rsid w:val="002144BE"/>
    <w:rsid w:val="002264E9"/>
    <w:rsid w:val="00236F13"/>
    <w:rsid w:val="00242279"/>
    <w:rsid w:val="0024480F"/>
    <w:rsid w:val="00245C82"/>
    <w:rsid w:val="00246D97"/>
    <w:rsid w:val="0025652F"/>
    <w:rsid w:val="00256E9F"/>
    <w:rsid w:val="0026454E"/>
    <w:rsid w:val="00266915"/>
    <w:rsid w:val="00275418"/>
    <w:rsid w:val="00277049"/>
    <w:rsid w:val="00291B40"/>
    <w:rsid w:val="002A2E37"/>
    <w:rsid w:val="002A4A0A"/>
    <w:rsid w:val="002B4008"/>
    <w:rsid w:val="002D0E8E"/>
    <w:rsid w:val="002D1F13"/>
    <w:rsid w:val="002D7253"/>
    <w:rsid w:val="002E59F4"/>
    <w:rsid w:val="002F0FEF"/>
    <w:rsid w:val="002F1186"/>
    <w:rsid w:val="002F2F82"/>
    <w:rsid w:val="00300865"/>
    <w:rsid w:val="00301189"/>
    <w:rsid w:val="00301332"/>
    <w:rsid w:val="0030274B"/>
    <w:rsid w:val="00316FBD"/>
    <w:rsid w:val="00320259"/>
    <w:rsid w:val="00320E1D"/>
    <w:rsid w:val="00323E09"/>
    <w:rsid w:val="00326EBE"/>
    <w:rsid w:val="00333752"/>
    <w:rsid w:val="00333932"/>
    <w:rsid w:val="00340E64"/>
    <w:rsid w:val="003518AA"/>
    <w:rsid w:val="00351CFF"/>
    <w:rsid w:val="00352165"/>
    <w:rsid w:val="00352330"/>
    <w:rsid w:val="00352F3F"/>
    <w:rsid w:val="00353182"/>
    <w:rsid w:val="003565D9"/>
    <w:rsid w:val="003602E1"/>
    <w:rsid w:val="0036656B"/>
    <w:rsid w:val="0037026F"/>
    <w:rsid w:val="00370AF5"/>
    <w:rsid w:val="00371240"/>
    <w:rsid w:val="00374731"/>
    <w:rsid w:val="00376E59"/>
    <w:rsid w:val="003815BD"/>
    <w:rsid w:val="00386474"/>
    <w:rsid w:val="003878CA"/>
    <w:rsid w:val="003919F9"/>
    <w:rsid w:val="0039565F"/>
    <w:rsid w:val="003C31C4"/>
    <w:rsid w:val="003C38B5"/>
    <w:rsid w:val="003C5D99"/>
    <w:rsid w:val="003C7BF9"/>
    <w:rsid w:val="003D530B"/>
    <w:rsid w:val="003E2F59"/>
    <w:rsid w:val="003F068E"/>
    <w:rsid w:val="003F0789"/>
    <w:rsid w:val="00401882"/>
    <w:rsid w:val="00403B81"/>
    <w:rsid w:val="004100C8"/>
    <w:rsid w:val="0041093E"/>
    <w:rsid w:val="00411DBD"/>
    <w:rsid w:val="00412ACE"/>
    <w:rsid w:val="00415038"/>
    <w:rsid w:val="004179C8"/>
    <w:rsid w:val="00422AC7"/>
    <w:rsid w:val="00431249"/>
    <w:rsid w:val="004324C5"/>
    <w:rsid w:val="00434C19"/>
    <w:rsid w:val="00450810"/>
    <w:rsid w:val="0045713C"/>
    <w:rsid w:val="00457960"/>
    <w:rsid w:val="00462F83"/>
    <w:rsid w:val="00477144"/>
    <w:rsid w:val="00481493"/>
    <w:rsid w:val="0048328E"/>
    <w:rsid w:val="00490431"/>
    <w:rsid w:val="00491380"/>
    <w:rsid w:val="00491C72"/>
    <w:rsid w:val="0049459F"/>
    <w:rsid w:val="00495062"/>
    <w:rsid w:val="00495F20"/>
    <w:rsid w:val="004A237B"/>
    <w:rsid w:val="004A38DD"/>
    <w:rsid w:val="004A4349"/>
    <w:rsid w:val="004B1242"/>
    <w:rsid w:val="004B165B"/>
    <w:rsid w:val="004B43AE"/>
    <w:rsid w:val="004B589C"/>
    <w:rsid w:val="004B5E19"/>
    <w:rsid w:val="004C30ED"/>
    <w:rsid w:val="004D2E32"/>
    <w:rsid w:val="004D34CC"/>
    <w:rsid w:val="004D5675"/>
    <w:rsid w:val="004E789F"/>
    <w:rsid w:val="004F5CE0"/>
    <w:rsid w:val="004F7C51"/>
    <w:rsid w:val="004F7CC4"/>
    <w:rsid w:val="00516C15"/>
    <w:rsid w:val="00523639"/>
    <w:rsid w:val="00527448"/>
    <w:rsid w:val="00530C6D"/>
    <w:rsid w:val="00531FE5"/>
    <w:rsid w:val="00536D14"/>
    <w:rsid w:val="005402FA"/>
    <w:rsid w:val="00552BDA"/>
    <w:rsid w:val="005547BF"/>
    <w:rsid w:val="0055604A"/>
    <w:rsid w:val="005568F2"/>
    <w:rsid w:val="0056575C"/>
    <w:rsid w:val="00566BD5"/>
    <w:rsid w:val="005768D7"/>
    <w:rsid w:val="00577D27"/>
    <w:rsid w:val="00581218"/>
    <w:rsid w:val="00581A0A"/>
    <w:rsid w:val="00583C39"/>
    <w:rsid w:val="00587F28"/>
    <w:rsid w:val="005909CF"/>
    <w:rsid w:val="00591E71"/>
    <w:rsid w:val="00596437"/>
    <w:rsid w:val="005A0D41"/>
    <w:rsid w:val="005B4A45"/>
    <w:rsid w:val="005D7E6D"/>
    <w:rsid w:val="005E2E96"/>
    <w:rsid w:val="005F6DA5"/>
    <w:rsid w:val="00602CF4"/>
    <w:rsid w:val="00607BF1"/>
    <w:rsid w:val="006201E5"/>
    <w:rsid w:val="00621ECC"/>
    <w:rsid w:val="00622C75"/>
    <w:rsid w:val="00625D55"/>
    <w:rsid w:val="00630D4D"/>
    <w:rsid w:val="00632A74"/>
    <w:rsid w:val="00635291"/>
    <w:rsid w:val="00640298"/>
    <w:rsid w:val="00645353"/>
    <w:rsid w:val="0065025A"/>
    <w:rsid w:val="006506D8"/>
    <w:rsid w:val="006510C5"/>
    <w:rsid w:val="00654408"/>
    <w:rsid w:val="0066486C"/>
    <w:rsid w:val="006716FC"/>
    <w:rsid w:val="00671D2C"/>
    <w:rsid w:val="00680944"/>
    <w:rsid w:val="00680BA9"/>
    <w:rsid w:val="0068360E"/>
    <w:rsid w:val="006902AA"/>
    <w:rsid w:val="00692A97"/>
    <w:rsid w:val="006A4655"/>
    <w:rsid w:val="006A4BCA"/>
    <w:rsid w:val="006B03B5"/>
    <w:rsid w:val="006B2B3C"/>
    <w:rsid w:val="006B4551"/>
    <w:rsid w:val="006B4722"/>
    <w:rsid w:val="006C1D81"/>
    <w:rsid w:val="006C7038"/>
    <w:rsid w:val="006E0128"/>
    <w:rsid w:val="006E73EF"/>
    <w:rsid w:val="00701FBF"/>
    <w:rsid w:val="00706C1C"/>
    <w:rsid w:val="00714D4D"/>
    <w:rsid w:val="00715085"/>
    <w:rsid w:val="007219BA"/>
    <w:rsid w:val="00735D15"/>
    <w:rsid w:val="00740433"/>
    <w:rsid w:val="007456D6"/>
    <w:rsid w:val="00745796"/>
    <w:rsid w:val="00750783"/>
    <w:rsid w:val="00755837"/>
    <w:rsid w:val="007604BB"/>
    <w:rsid w:val="00763FBB"/>
    <w:rsid w:val="0077103C"/>
    <w:rsid w:val="00774DEA"/>
    <w:rsid w:val="0077570A"/>
    <w:rsid w:val="00782372"/>
    <w:rsid w:val="00782A1F"/>
    <w:rsid w:val="00785232"/>
    <w:rsid w:val="00785D05"/>
    <w:rsid w:val="0079528F"/>
    <w:rsid w:val="007A21EB"/>
    <w:rsid w:val="007A2C70"/>
    <w:rsid w:val="007A4F03"/>
    <w:rsid w:val="007B1A93"/>
    <w:rsid w:val="007B3ECA"/>
    <w:rsid w:val="007C36C9"/>
    <w:rsid w:val="007C6EB6"/>
    <w:rsid w:val="007D6401"/>
    <w:rsid w:val="007E01E4"/>
    <w:rsid w:val="007E3956"/>
    <w:rsid w:val="007F296D"/>
    <w:rsid w:val="007F4928"/>
    <w:rsid w:val="007F494B"/>
    <w:rsid w:val="007F59CC"/>
    <w:rsid w:val="007F7107"/>
    <w:rsid w:val="00800D4C"/>
    <w:rsid w:val="0081027A"/>
    <w:rsid w:val="0081030F"/>
    <w:rsid w:val="00815104"/>
    <w:rsid w:val="00820833"/>
    <w:rsid w:val="0082087D"/>
    <w:rsid w:val="00835771"/>
    <w:rsid w:val="00835962"/>
    <w:rsid w:val="00840F3A"/>
    <w:rsid w:val="008419D1"/>
    <w:rsid w:val="00842933"/>
    <w:rsid w:val="00854085"/>
    <w:rsid w:val="00855317"/>
    <w:rsid w:val="00856214"/>
    <w:rsid w:val="0086082C"/>
    <w:rsid w:val="00861E1F"/>
    <w:rsid w:val="00864ADC"/>
    <w:rsid w:val="00866F92"/>
    <w:rsid w:val="008704E1"/>
    <w:rsid w:val="0087194F"/>
    <w:rsid w:val="00880153"/>
    <w:rsid w:val="00880F97"/>
    <w:rsid w:val="0088133A"/>
    <w:rsid w:val="0089285E"/>
    <w:rsid w:val="0089436C"/>
    <w:rsid w:val="008A2168"/>
    <w:rsid w:val="008B3CAF"/>
    <w:rsid w:val="008C2595"/>
    <w:rsid w:val="008C32EB"/>
    <w:rsid w:val="008C6B7C"/>
    <w:rsid w:val="008D365C"/>
    <w:rsid w:val="008D4556"/>
    <w:rsid w:val="008E31F2"/>
    <w:rsid w:val="008E5883"/>
    <w:rsid w:val="008F39DF"/>
    <w:rsid w:val="008F3A1B"/>
    <w:rsid w:val="008F7C5E"/>
    <w:rsid w:val="009030BF"/>
    <w:rsid w:val="0091032F"/>
    <w:rsid w:val="009117FC"/>
    <w:rsid w:val="00914368"/>
    <w:rsid w:val="009154A8"/>
    <w:rsid w:val="00931076"/>
    <w:rsid w:val="009345D9"/>
    <w:rsid w:val="00934B15"/>
    <w:rsid w:val="00937C33"/>
    <w:rsid w:val="00940C87"/>
    <w:rsid w:val="00941C7A"/>
    <w:rsid w:val="00942B62"/>
    <w:rsid w:val="00942CC5"/>
    <w:rsid w:val="0095106D"/>
    <w:rsid w:val="0095323B"/>
    <w:rsid w:val="00956A0C"/>
    <w:rsid w:val="00956BD9"/>
    <w:rsid w:val="00962489"/>
    <w:rsid w:val="00963B12"/>
    <w:rsid w:val="00963BB5"/>
    <w:rsid w:val="00967A11"/>
    <w:rsid w:val="0097289A"/>
    <w:rsid w:val="009773C3"/>
    <w:rsid w:val="009814C4"/>
    <w:rsid w:val="00982489"/>
    <w:rsid w:val="00990C2C"/>
    <w:rsid w:val="009B122C"/>
    <w:rsid w:val="009B2C47"/>
    <w:rsid w:val="009C589C"/>
    <w:rsid w:val="009C6885"/>
    <w:rsid w:val="009D11A3"/>
    <w:rsid w:val="009E1844"/>
    <w:rsid w:val="009E654A"/>
    <w:rsid w:val="009F0D1B"/>
    <w:rsid w:val="009F696D"/>
    <w:rsid w:val="009F6BC6"/>
    <w:rsid w:val="009F7AA5"/>
    <w:rsid w:val="00A00142"/>
    <w:rsid w:val="00A00EB0"/>
    <w:rsid w:val="00A05957"/>
    <w:rsid w:val="00A07541"/>
    <w:rsid w:val="00A1228E"/>
    <w:rsid w:val="00A17328"/>
    <w:rsid w:val="00A23A20"/>
    <w:rsid w:val="00A268B9"/>
    <w:rsid w:val="00A2703A"/>
    <w:rsid w:val="00A317BE"/>
    <w:rsid w:val="00A33DFF"/>
    <w:rsid w:val="00A34950"/>
    <w:rsid w:val="00A35115"/>
    <w:rsid w:val="00A35E79"/>
    <w:rsid w:val="00A36D9A"/>
    <w:rsid w:val="00A42590"/>
    <w:rsid w:val="00A474A2"/>
    <w:rsid w:val="00A520A6"/>
    <w:rsid w:val="00A554AB"/>
    <w:rsid w:val="00A57062"/>
    <w:rsid w:val="00A60017"/>
    <w:rsid w:val="00A671CF"/>
    <w:rsid w:val="00A76A36"/>
    <w:rsid w:val="00A821D0"/>
    <w:rsid w:val="00A86BEA"/>
    <w:rsid w:val="00A91B3C"/>
    <w:rsid w:val="00A92B53"/>
    <w:rsid w:val="00A94FA6"/>
    <w:rsid w:val="00A96CBA"/>
    <w:rsid w:val="00AA03B1"/>
    <w:rsid w:val="00AA49A0"/>
    <w:rsid w:val="00AA6710"/>
    <w:rsid w:val="00AB0681"/>
    <w:rsid w:val="00AB6745"/>
    <w:rsid w:val="00AC0D1E"/>
    <w:rsid w:val="00AC0EA7"/>
    <w:rsid w:val="00AC4AFA"/>
    <w:rsid w:val="00AD279A"/>
    <w:rsid w:val="00AD520B"/>
    <w:rsid w:val="00AE7287"/>
    <w:rsid w:val="00B00558"/>
    <w:rsid w:val="00B016CB"/>
    <w:rsid w:val="00B02196"/>
    <w:rsid w:val="00B14C13"/>
    <w:rsid w:val="00B16FC7"/>
    <w:rsid w:val="00B20DCD"/>
    <w:rsid w:val="00B20EA0"/>
    <w:rsid w:val="00B2293C"/>
    <w:rsid w:val="00B25BD4"/>
    <w:rsid w:val="00B26460"/>
    <w:rsid w:val="00B268B5"/>
    <w:rsid w:val="00B30B78"/>
    <w:rsid w:val="00B32E1A"/>
    <w:rsid w:val="00B36F39"/>
    <w:rsid w:val="00B425C3"/>
    <w:rsid w:val="00B432CA"/>
    <w:rsid w:val="00B440AD"/>
    <w:rsid w:val="00B53E7E"/>
    <w:rsid w:val="00B55DA3"/>
    <w:rsid w:val="00B56429"/>
    <w:rsid w:val="00B61162"/>
    <w:rsid w:val="00B6342E"/>
    <w:rsid w:val="00B66667"/>
    <w:rsid w:val="00B7113F"/>
    <w:rsid w:val="00B833F5"/>
    <w:rsid w:val="00B911D8"/>
    <w:rsid w:val="00BA73B6"/>
    <w:rsid w:val="00BA7E27"/>
    <w:rsid w:val="00BB2603"/>
    <w:rsid w:val="00BB4FCD"/>
    <w:rsid w:val="00BC04E9"/>
    <w:rsid w:val="00BC3380"/>
    <w:rsid w:val="00BD13EA"/>
    <w:rsid w:val="00BD3C5C"/>
    <w:rsid w:val="00BE112D"/>
    <w:rsid w:val="00BE1EE2"/>
    <w:rsid w:val="00BE3444"/>
    <w:rsid w:val="00BE3808"/>
    <w:rsid w:val="00BE7891"/>
    <w:rsid w:val="00BF0FAD"/>
    <w:rsid w:val="00BF1EF4"/>
    <w:rsid w:val="00BF2440"/>
    <w:rsid w:val="00BF3CF0"/>
    <w:rsid w:val="00C03855"/>
    <w:rsid w:val="00C062E9"/>
    <w:rsid w:val="00C07B64"/>
    <w:rsid w:val="00C103B2"/>
    <w:rsid w:val="00C13721"/>
    <w:rsid w:val="00C14FE4"/>
    <w:rsid w:val="00C15CE8"/>
    <w:rsid w:val="00C3066D"/>
    <w:rsid w:val="00C30C5F"/>
    <w:rsid w:val="00C32E9B"/>
    <w:rsid w:val="00C32F62"/>
    <w:rsid w:val="00C4497A"/>
    <w:rsid w:val="00C47C79"/>
    <w:rsid w:val="00C52416"/>
    <w:rsid w:val="00C52459"/>
    <w:rsid w:val="00C543F4"/>
    <w:rsid w:val="00C551B4"/>
    <w:rsid w:val="00C6291C"/>
    <w:rsid w:val="00C633CB"/>
    <w:rsid w:val="00C672B6"/>
    <w:rsid w:val="00C70128"/>
    <w:rsid w:val="00C71695"/>
    <w:rsid w:val="00C72EF1"/>
    <w:rsid w:val="00C736B7"/>
    <w:rsid w:val="00C80C02"/>
    <w:rsid w:val="00C81D4A"/>
    <w:rsid w:val="00C8762C"/>
    <w:rsid w:val="00C9113E"/>
    <w:rsid w:val="00C95375"/>
    <w:rsid w:val="00C95628"/>
    <w:rsid w:val="00C96126"/>
    <w:rsid w:val="00C96671"/>
    <w:rsid w:val="00CA00F9"/>
    <w:rsid w:val="00CA038A"/>
    <w:rsid w:val="00CA2961"/>
    <w:rsid w:val="00CB50D7"/>
    <w:rsid w:val="00CB7177"/>
    <w:rsid w:val="00CB72E1"/>
    <w:rsid w:val="00CC038D"/>
    <w:rsid w:val="00CC0DC0"/>
    <w:rsid w:val="00CC1998"/>
    <w:rsid w:val="00CC279C"/>
    <w:rsid w:val="00CC4946"/>
    <w:rsid w:val="00CC66E6"/>
    <w:rsid w:val="00CD1311"/>
    <w:rsid w:val="00CD4B6F"/>
    <w:rsid w:val="00CD5F36"/>
    <w:rsid w:val="00CF15EB"/>
    <w:rsid w:val="00D00F05"/>
    <w:rsid w:val="00D24FD2"/>
    <w:rsid w:val="00D270A4"/>
    <w:rsid w:val="00D31FE9"/>
    <w:rsid w:val="00D34E1B"/>
    <w:rsid w:val="00D376BA"/>
    <w:rsid w:val="00D41426"/>
    <w:rsid w:val="00D43592"/>
    <w:rsid w:val="00D45634"/>
    <w:rsid w:val="00D5568A"/>
    <w:rsid w:val="00D631E6"/>
    <w:rsid w:val="00D63D73"/>
    <w:rsid w:val="00D64227"/>
    <w:rsid w:val="00D64452"/>
    <w:rsid w:val="00D66E1E"/>
    <w:rsid w:val="00D75722"/>
    <w:rsid w:val="00D75BDD"/>
    <w:rsid w:val="00D75E74"/>
    <w:rsid w:val="00D80CF5"/>
    <w:rsid w:val="00D80DB3"/>
    <w:rsid w:val="00D8324E"/>
    <w:rsid w:val="00D90C31"/>
    <w:rsid w:val="00D91355"/>
    <w:rsid w:val="00D97EB8"/>
    <w:rsid w:val="00DA2690"/>
    <w:rsid w:val="00DA3BE1"/>
    <w:rsid w:val="00DA5BBA"/>
    <w:rsid w:val="00DA6CB7"/>
    <w:rsid w:val="00DB26D2"/>
    <w:rsid w:val="00DB4669"/>
    <w:rsid w:val="00DB67C9"/>
    <w:rsid w:val="00DB72D1"/>
    <w:rsid w:val="00DC0C95"/>
    <w:rsid w:val="00DD6580"/>
    <w:rsid w:val="00DD7FC7"/>
    <w:rsid w:val="00DE1E84"/>
    <w:rsid w:val="00DF6EC6"/>
    <w:rsid w:val="00E00588"/>
    <w:rsid w:val="00E049F4"/>
    <w:rsid w:val="00E14ED1"/>
    <w:rsid w:val="00E17C72"/>
    <w:rsid w:val="00E21FC6"/>
    <w:rsid w:val="00E36CF1"/>
    <w:rsid w:val="00E37F2B"/>
    <w:rsid w:val="00E408F8"/>
    <w:rsid w:val="00E431A9"/>
    <w:rsid w:val="00E4362E"/>
    <w:rsid w:val="00E532AF"/>
    <w:rsid w:val="00E64F7B"/>
    <w:rsid w:val="00E654BB"/>
    <w:rsid w:val="00E669E2"/>
    <w:rsid w:val="00E75C54"/>
    <w:rsid w:val="00E76135"/>
    <w:rsid w:val="00E82F4F"/>
    <w:rsid w:val="00E852B7"/>
    <w:rsid w:val="00EA0A9D"/>
    <w:rsid w:val="00EA4579"/>
    <w:rsid w:val="00EB4258"/>
    <w:rsid w:val="00EB7ED4"/>
    <w:rsid w:val="00EC2844"/>
    <w:rsid w:val="00EC5500"/>
    <w:rsid w:val="00ED3B1D"/>
    <w:rsid w:val="00ED6FAF"/>
    <w:rsid w:val="00EF6C6C"/>
    <w:rsid w:val="00F020EC"/>
    <w:rsid w:val="00F048F8"/>
    <w:rsid w:val="00F056FC"/>
    <w:rsid w:val="00F10476"/>
    <w:rsid w:val="00F1097E"/>
    <w:rsid w:val="00F13126"/>
    <w:rsid w:val="00F135D8"/>
    <w:rsid w:val="00F16525"/>
    <w:rsid w:val="00F16A1B"/>
    <w:rsid w:val="00F22E97"/>
    <w:rsid w:val="00F26697"/>
    <w:rsid w:val="00F31299"/>
    <w:rsid w:val="00F3534A"/>
    <w:rsid w:val="00F51609"/>
    <w:rsid w:val="00F533DF"/>
    <w:rsid w:val="00F546F1"/>
    <w:rsid w:val="00F6161B"/>
    <w:rsid w:val="00F706DB"/>
    <w:rsid w:val="00F717E1"/>
    <w:rsid w:val="00F71C72"/>
    <w:rsid w:val="00F74D87"/>
    <w:rsid w:val="00F75377"/>
    <w:rsid w:val="00F760BB"/>
    <w:rsid w:val="00F81006"/>
    <w:rsid w:val="00F85325"/>
    <w:rsid w:val="00F94F37"/>
    <w:rsid w:val="00F96B33"/>
    <w:rsid w:val="00F97674"/>
    <w:rsid w:val="00F97970"/>
    <w:rsid w:val="00FA1EF1"/>
    <w:rsid w:val="00FB194C"/>
    <w:rsid w:val="00FC75E7"/>
    <w:rsid w:val="00FC7D43"/>
    <w:rsid w:val="00FD22B1"/>
    <w:rsid w:val="00FD529A"/>
    <w:rsid w:val="00FE0BA4"/>
    <w:rsid w:val="00FE5397"/>
    <w:rsid w:val="00FF19E6"/>
    <w:rsid w:val="00FF43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Footnote Text Char1,Footnote Text Char Char,Footnote Text Char"/>
    <w:basedOn w:val="BodyText"/>
    <w:link w:val="FootnoteTextChar2"/>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6902A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902AA"/>
    <w:rPr>
      <w:szCs w:val="24"/>
    </w:rPr>
  </w:style>
  <w:style w:type="character" w:customStyle="1" w:styleId="CommentSubjectChar">
    <w:name w:val="Comment Subject Char"/>
    <w:basedOn w:val="CommentTextChar"/>
    <w:link w:val="CommentSubject"/>
    <w:rsid w:val="006902AA"/>
    <w:rPr>
      <w:b/>
      <w:bCs/>
      <w:szCs w:val="24"/>
    </w:rPr>
  </w:style>
  <w:style w:type="paragraph" w:styleId="Revision">
    <w:name w:val="Revision"/>
    <w:hidden/>
    <w:uiPriority w:val="99"/>
    <w:semiHidden/>
    <w:rsid w:val="00320259"/>
    <w:rPr>
      <w:sz w:val="26"/>
      <w:szCs w:val="24"/>
    </w:rPr>
  </w:style>
  <w:style w:type="character" w:styleId="Hyperlink">
    <w:name w:val="Hyperlink"/>
    <w:basedOn w:val="DefaultParagraphFont"/>
    <w:rsid w:val="00FC7D43"/>
    <w:rPr>
      <w:color w:val="0000FF" w:themeColor="hyperlink"/>
      <w:u w:val="single"/>
    </w:rPr>
  </w:style>
  <w:style w:type="character" w:customStyle="1" w:styleId="BodyTextChar">
    <w:name w:val="Body Text Char"/>
    <w:basedOn w:val="DefaultParagraphFont"/>
    <w:link w:val="BodyText"/>
    <w:rsid w:val="006E0128"/>
    <w:rPr>
      <w:sz w:val="26"/>
    </w:rPr>
  </w:style>
  <w:style w:type="character" w:customStyle="1" w:styleId="FootnoteTextChar2">
    <w:name w:val="Footnote Text Char2"/>
    <w:aliases w:val="Footnote Text Char1 Char,Footnote Text Char Char Char,Footnote Text Char Char1"/>
    <w:basedOn w:val="DefaultParagraphFont"/>
    <w:link w:val="FootnoteText"/>
    <w:rsid w:val="006E0128"/>
    <w:rPr>
      <w:sz w:val="22"/>
    </w:rPr>
  </w:style>
  <w:style w:type="character" w:customStyle="1" w:styleId="CommentTextChar1">
    <w:name w:val="Comment Text Char1"/>
    <w:basedOn w:val="DefaultParagraphFont"/>
    <w:semiHidden/>
    <w:rsid w:val="006E0128"/>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Footnote Text Char1,Footnote Text Char Char,Footnote Text Char"/>
    <w:basedOn w:val="BodyText"/>
    <w:link w:val="FootnoteTextChar2"/>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6902A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902AA"/>
    <w:rPr>
      <w:szCs w:val="24"/>
    </w:rPr>
  </w:style>
  <w:style w:type="character" w:customStyle="1" w:styleId="CommentSubjectChar">
    <w:name w:val="Comment Subject Char"/>
    <w:basedOn w:val="CommentTextChar"/>
    <w:link w:val="CommentSubject"/>
    <w:rsid w:val="006902AA"/>
    <w:rPr>
      <w:b/>
      <w:bCs/>
      <w:szCs w:val="24"/>
    </w:rPr>
  </w:style>
  <w:style w:type="paragraph" w:styleId="Revision">
    <w:name w:val="Revision"/>
    <w:hidden/>
    <w:uiPriority w:val="99"/>
    <w:semiHidden/>
    <w:rsid w:val="00320259"/>
    <w:rPr>
      <w:sz w:val="26"/>
      <w:szCs w:val="24"/>
    </w:rPr>
  </w:style>
  <w:style w:type="character" w:styleId="Hyperlink">
    <w:name w:val="Hyperlink"/>
    <w:basedOn w:val="DefaultParagraphFont"/>
    <w:rsid w:val="00FC7D43"/>
    <w:rPr>
      <w:color w:val="0000FF" w:themeColor="hyperlink"/>
      <w:u w:val="single"/>
    </w:rPr>
  </w:style>
  <w:style w:type="character" w:customStyle="1" w:styleId="BodyTextChar">
    <w:name w:val="Body Text Char"/>
    <w:basedOn w:val="DefaultParagraphFont"/>
    <w:link w:val="BodyText"/>
    <w:rsid w:val="006E0128"/>
    <w:rPr>
      <w:sz w:val="26"/>
    </w:rPr>
  </w:style>
  <w:style w:type="character" w:customStyle="1" w:styleId="FootnoteTextChar2">
    <w:name w:val="Footnote Text Char2"/>
    <w:aliases w:val="Footnote Text Char1 Char,Footnote Text Char Char Char,Footnote Text Char Char1"/>
    <w:basedOn w:val="DefaultParagraphFont"/>
    <w:link w:val="FootnoteText"/>
    <w:rsid w:val="006E0128"/>
    <w:rPr>
      <w:sz w:val="22"/>
    </w:rPr>
  </w:style>
  <w:style w:type="character" w:customStyle="1" w:styleId="CommentTextChar1">
    <w:name w:val="Comment Text Char1"/>
    <w:basedOn w:val="DefaultParagraphFont"/>
    <w:semiHidden/>
    <w:rsid w:val="006E012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91">
      <w:bodyDiv w:val="1"/>
      <w:marLeft w:val="0"/>
      <w:marRight w:val="0"/>
      <w:marTop w:val="0"/>
      <w:marBottom w:val="0"/>
      <w:divBdr>
        <w:top w:val="none" w:sz="0" w:space="0" w:color="auto"/>
        <w:left w:val="none" w:sz="0" w:space="0" w:color="auto"/>
        <w:bottom w:val="none" w:sz="0" w:space="0" w:color="auto"/>
        <w:right w:val="none" w:sz="0" w:space="0" w:color="auto"/>
      </w:divBdr>
    </w:div>
    <w:div w:id="1571889819">
      <w:bodyDiv w:val="1"/>
      <w:marLeft w:val="0"/>
      <w:marRight w:val="0"/>
      <w:marTop w:val="0"/>
      <w:marBottom w:val="0"/>
      <w:divBdr>
        <w:top w:val="none" w:sz="0" w:space="0" w:color="auto"/>
        <w:left w:val="none" w:sz="0" w:space="0" w:color="auto"/>
        <w:bottom w:val="none" w:sz="0" w:space="0" w:color="auto"/>
        <w:right w:val="none" w:sz="0" w:space="0" w:color="auto"/>
      </w:divBdr>
      <w:divsChild>
        <w:div w:id="587083752">
          <w:marLeft w:val="0"/>
          <w:marRight w:val="0"/>
          <w:marTop w:val="0"/>
          <w:marBottom w:val="0"/>
          <w:divBdr>
            <w:top w:val="none" w:sz="0" w:space="0" w:color="auto"/>
            <w:left w:val="none" w:sz="0" w:space="0" w:color="auto"/>
            <w:bottom w:val="none" w:sz="0" w:space="0" w:color="auto"/>
            <w:right w:val="none" w:sz="0" w:space="0" w:color="auto"/>
          </w:divBdr>
          <w:divsChild>
            <w:div w:id="1568298117">
              <w:marLeft w:val="0"/>
              <w:marRight w:val="0"/>
              <w:marTop w:val="0"/>
              <w:marBottom w:val="0"/>
              <w:divBdr>
                <w:top w:val="none" w:sz="0" w:space="0" w:color="auto"/>
                <w:left w:val="none" w:sz="0" w:space="0" w:color="auto"/>
                <w:bottom w:val="none" w:sz="0" w:space="0" w:color="auto"/>
                <w:right w:val="none" w:sz="0" w:space="0" w:color="auto"/>
              </w:divBdr>
              <w:divsChild>
                <w:div w:id="600534046">
                  <w:marLeft w:val="0"/>
                  <w:marRight w:val="0"/>
                  <w:marTop w:val="0"/>
                  <w:marBottom w:val="750"/>
                  <w:divBdr>
                    <w:top w:val="none" w:sz="0" w:space="0" w:color="auto"/>
                    <w:left w:val="none" w:sz="0" w:space="0" w:color="auto"/>
                    <w:bottom w:val="none" w:sz="0" w:space="0" w:color="auto"/>
                    <w:right w:val="none" w:sz="0" w:space="0" w:color="auto"/>
                  </w:divBdr>
                  <w:divsChild>
                    <w:div w:id="615454449">
                      <w:marLeft w:val="0"/>
                      <w:marRight w:val="0"/>
                      <w:marTop w:val="0"/>
                      <w:marBottom w:val="0"/>
                      <w:divBdr>
                        <w:top w:val="none" w:sz="0" w:space="0" w:color="auto"/>
                        <w:left w:val="none" w:sz="0" w:space="0" w:color="auto"/>
                        <w:bottom w:val="none" w:sz="0" w:space="0" w:color="auto"/>
                        <w:right w:val="none" w:sz="0" w:space="0" w:color="auto"/>
                      </w:divBdr>
                      <w:divsChild>
                        <w:div w:id="1337806628">
                          <w:marLeft w:val="0"/>
                          <w:marRight w:val="0"/>
                          <w:marTop w:val="0"/>
                          <w:marBottom w:val="0"/>
                          <w:divBdr>
                            <w:top w:val="none" w:sz="0" w:space="0" w:color="auto"/>
                            <w:left w:val="none" w:sz="0" w:space="0" w:color="auto"/>
                            <w:bottom w:val="none" w:sz="0" w:space="0" w:color="auto"/>
                            <w:right w:val="none" w:sz="0" w:space="0" w:color="auto"/>
                          </w:divBdr>
                          <w:divsChild>
                            <w:div w:id="2063215608">
                              <w:marLeft w:val="0"/>
                              <w:marRight w:val="0"/>
                              <w:marTop w:val="0"/>
                              <w:marBottom w:val="0"/>
                              <w:divBdr>
                                <w:top w:val="none" w:sz="0" w:space="0" w:color="auto"/>
                                <w:left w:val="none" w:sz="0" w:space="0" w:color="auto"/>
                                <w:bottom w:val="none" w:sz="0" w:space="0" w:color="auto"/>
                                <w:right w:val="none" w:sz="0" w:space="0" w:color="auto"/>
                              </w:divBdr>
                              <w:divsChild>
                                <w:div w:id="1119303134">
                                  <w:marLeft w:val="0"/>
                                  <w:marRight w:val="0"/>
                                  <w:marTop w:val="0"/>
                                  <w:marBottom w:val="0"/>
                                  <w:divBdr>
                                    <w:top w:val="single" w:sz="6" w:space="8" w:color="707070"/>
                                    <w:left w:val="single" w:sz="6" w:space="11" w:color="707070"/>
                                    <w:bottom w:val="single" w:sz="6" w:space="0" w:color="707070"/>
                                    <w:right w:val="single" w:sz="6" w:space="11" w:color="707070"/>
                                  </w:divBdr>
                                  <w:divsChild>
                                    <w:div w:id="1684891957">
                                      <w:marLeft w:val="0"/>
                                      <w:marRight w:val="0"/>
                                      <w:marTop w:val="0"/>
                                      <w:marBottom w:val="0"/>
                                      <w:divBdr>
                                        <w:top w:val="none" w:sz="0" w:space="0" w:color="auto"/>
                                        <w:left w:val="none" w:sz="0" w:space="0" w:color="auto"/>
                                        <w:bottom w:val="none" w:sz="0" w:space="0" w:color="auto"/>
                                        <w:right w:val="none" w:sz="0" w:space="0" w:color="auto"/>
                                      </w:divBdr>
                                    </w:div>
                                  </w:divsChild>
                                </w:div>
                                <w:div w:id="443884059">
                                  <w:marLeft w:val="0"/>
                                  <w:marRight w:val="0"/>
                                  <w:marTop w:val="0"/>
                                  <w:marBottom w:val="0"/>
                                  <w:divBdr>
                                    <w:top w:val="none" w:sz="0" w:space="0" w:color="auto"/>
                                    <w:left w:val="none" w:sz="0" w:space="0" w:color="auto"/>
                                    <w:bottom w:val="none" w:sz="0" w:space="0" w:color="auto"/>
                                    <w:right w:val="none" w:sz="0" w:space="0" w:color="auto"/>
                                  </w:divBdr>
                                  <w:divsChild>
                                    <w:div w:id="144141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22473-25C7-45EE-9CC0-01EA24ACC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16</Pages>
  <Words>3288</Words>
  <Characters>16737</Characters>
  <Application>Microsoft Office Word</Application>
  <DocSecurity>0</DocSecurity>
  <Lines>492</Lines>
  <Paragraphs>303</Paragraphs>
  <ScaleCrop>false</ScaleCrop>
  <HeadingPairs>
    <vt:vector size="2" baseType="variant">
      <vt:variant>
        <vt:lpstr>Title</vt:lpstr>
      </vt:variant>
      <vt:variant>
        <vt:i4>1</vt:i4>
      </vt:variant>
    </vt:vector>
  </HeadingPairs>
  <TitlesOfParts>
    <vt:vector size="1" baseType="lpstr">
      <vt:lpstr>Further details about subsector productivity</vt:lpstr>
    </vt:vector>
  </TitlesOfParts>
  <Company>Productivity Commission</Company>
  <LinksUpToDate>false</LinksUpToDate>
  <CharactersWithSpaces>19722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Further details about subsector productivity</dc:title>
  <dc:subject>Productivity in manufacturing</dc:subject>
  <dc:creator>Productivity Commission</dc:creator>
  <dc:description>D.</dc:description>
  <cp:lastModifiedBy>Productivity Commission</cp:lastModifiedBy>
  <cp:revision>2</cp:revision>
  <cp:lastPrinted>2013-11-27T23:54:00Z</cp:lastPrinted>
  <dcterms:created xsi:type="dcterms:W3CDTF">2013-12-03T23:48:00Z</dcterms:created>
  <dcterms:modified xsi:type="dcterms:W3CDTF">2013-12-03T23:48:00Z</dcterms:modified>
</cp:coreProperties>
</file>