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46A" w:rsidRDefault="0025046A" w:rsidP="0025046A">
      <w:pPr>
        <w:pStyle w:val="Chapter"/>
        <w:ind w:left="907" w:hanging="907"/>
      </w:pPr>
      <w:bookmarkStart w:id="0" w:name="_AppendixNotByChapter"/>
      <w:bookmarkStart w:id="1" w:name="ChapterNumber"/>
      <w:bookmarkEnd w:id="0"/>
      <w:r>
        <w:t>E</w:t>
      </w:r>
      <w:bookmarkEnd w:id="1"/>
      <w:r>
        <w:tab/>
      </w:r>
      <w:bookmarkStart w:id="2" w:name="ChapterTitle"/>
      <w:r>
        <w:t>Sensitivity analysis of MFP estimates</w:t>
      </w:r>
      <w:bookmarkEnd w:id="2"/>
    </w:p>
    <w:p w:rsidR="000530AE" w:rsidRDefault="00871857" w:rsidP="000530AE">
      <w:pPr>
        <w:pStyle w:val="BodyText"/>
      </w:pPr>
      <w:r>
        <w:t>Much of the analysis in this pa</w:t>
      </w:r>
      <w:bookmarkStart w:id="3" w:name="_GoBack"/>
      <w:bookmarkEnd w:id="3"/>
      <w:r>
        <w:t>per relies on the validity of the</w:t>
      </w:r>
      <w:r w:rsidR="000F7238">
        <w:t xml:space="preserve"> subsector</w:t>
      </w:r>
      <w:r>
        <w:t xml:space="preserve"> </w:t>
      </w:r>
      <w:r w:rsidR="00DD5FE8">
        <w:t>multifactor productivity (</w:t>
      </w:r>
      <w:r>
        <w:t>MFP</w:t>
      </w:r>
      <w:r w:rsidR="00DD5FE8">
        <w:t>)</w:t>
      </w:r>
      <w:r>
        <w:t xml:space="preserve"> estimates produced</w:t>
      </w:r>
      <w:r w:rsidR="00026442">
        <w:t xml:space="preserve"> </w:t>
      </w:r>
      <w:r w:rsidR="00E940C0">
        <w:t>in this study</w:t>
      </w:r>
      <w:r w:rsidR="000F7238">
        <w:t>.</w:t>
      </w:r>
      <w:r>
        <w:t xml:space="preserve"> </w:t>
      </w:r>
      <w:r w:rsidR="000F7238">
        <w:t>It</w:t>
      </w:r>
      <w:r>
        <w:t xml:space="preserve"> is</w:t>
      </w:r>
      <w:r w:rsidR="000F7238">
        <w:t>, therefore,</w:t>
      </w:r>
      <w:r>
        <w:t xml:space="preserve"> worthwhile </w:t>
      </w:r>
      <w:r w:rsidR="00403A7D">
        <w:t>examining</w:t>
      </w:r>
      <w:r>
        <w:t xml:space="preserve"> how sensitive these estimates </w:t>
      </w:r>
      <w:r w:rsidR="009E6ECB">
        <w:t xml:space="preserve">are </w:t>
      </w:r>
      <w:r w:rsidR="00476421">
        <w:t xml:space="preserve">to </w:t>
      </w:r>
      <w:r w:rsidR="009E6ECB">
        <w:t>different data and assumptions used</w:t>
      </w:r>
      <w:r w:rsidR="00D37CE8">
        <w:t xml:space="preserve"> in their estimat</w:t>
      </w:r>
      <w:r w:rsidR="00EA613E">
        <w:t>ion</w:t>
      </w:r>
      <w:r w:rsidR="00D37CE8">
        <w:t xml:space="preserve"> (given the limitations discussed in appendix A)</w:t>
      </w:r>
      <w:r>
        <w:t xml:space="preserve">. </w:t>
      </w:r>
      <w:r w:rsidR="00974675">
        <w:t>The first part of this</w:t>
      </w:r>
      <w:r w:rsidR="008A60C8">
        <w:t xml:space="preserve"> appendix </w:t>
      </w:r>
      <w:r w:rsidR="00E91784">
        <w:t>tests the sensitivity of the MFP estimates</w:t>
      </w:r>
      <w:r w:rsidR="00D00ABD">
        <w:t xml:space="preserve"> by recalculating them using </w:t>
      </w:r>
      <w:r w:rsidR="00E940C0">
        <w:t>alternate treatment</w:t>
      </w:r>
      <w:r w:rsidR="00B15229">
        <w:t>s</w:t>
      </w:r>
      <w:r w:rsidR="00E940C0">
        <w:t xml:space="preserve"> of </w:t>
      </w:r>
      <w:r w:rsidR="00D00ABD">
        <w:t>capital data.</w:t>
      </w:r>
      <w:r w:rsidR="00AE1D9D">
        <w:t xml:space="preserve"> </w:t>
      </w:r>
      <w:r w:rsidR="00BF1B8B">
        <w:t xml:space="preserve">The second part of this appendix </w:t>
      </w:r>
      <w:r w:rsidR="003C1B87">
        <w:t>discusses</w:t>
      </w:r>
      <w:r w:rsidR="00BF1B8B">
        <w:t xml:space="preserve"> </w:t>
      </w:r>
      <w:r w:rsidR="00D65E8C">
        <w:t xml:space="preserve">whether survey error in the measures of </w:t>
      </w:r>
      <w:r w:rsidR="000530AE">
        <w:t>inputs and outputs</w:t>
      </w:r>
      <w:r w:rsidR="00D65E8C">
        <w:t xml:space="preserve"> is a likely explanation of MFP growth rates over cycle 4 becoming negative</w:t>
      </w:r>
      <w:r w:rsidR="000530AE">
        <w:t xml:space="preserve">. </w:t>
      </w:r>
    </w:p>
    <w:p w:rsidR="00D100CD" w:rsidRDefault="003268AD" w:rsidP="000530AE">
      <w:pPr>
        <w:pStyle w:val="BodyText"/>
      </w:pPr>
      <w:r>
        <w:t>The analysis</w:t>
      </w:r>
      <w:r w:rsidR="00FD0B59">
        <w:t xml:space="preserve"> suggests that, regardless of the data source used or the scenario compared against, there was a notable decline in Manufacturing MFP from cycle 3 to cycle 4</w:t>
      </w:r>
      <w:r w:rsidR="00D16328">
        <w:t>, and that it was</w:t>
      </w:r>
      <w:r w:rsidR="00FD0B59">
        <w:t xml:space="preserve"> </w:t>
      </w:r>
      <w:r w:rsidR="00BD1411">
        <w:t xml:space="preserve">generally </w:t>
      </w:r>
      <w:r w:rsidR="00FD0B59">
        <w:t xml:space="preserve">driven by the </w:t>
      </w:r>
      <w:r w:rsidR="00DD1A0C">
        <w:t>three</w:t>
      </w:r>
      <w:r w:rsidR="00FD0B59">
        <w:t xml:space="preserve"> subsectors</w:t>
      </w:r>
      <w:r w:rsidR="008B409B">
        <w:t xml:space="preserve"> focused on in this paper.</w:t>
      </w:r>
    </w:p>
    <w:p w:rsidR="009D0F79" w:rsidRDefault="0025046A" w:rsidP="004A55A4">
      <w:pPr>
        <w:pStyle w:val="Heading2"/>
      </w:pPr>
      <w:proofErr w:type="spellStart"/>
      <w:r>
        <w:t>E.</w:t>
      </w:r>
      <w:r w:rsidR="0082768F">
        <w:rPr>
          <w:noProof/>
        </w:rPr>
        <w:t>1</w:t>
      </w:r>
      <w:proofErr w:type="spellEnd"/>
      <w:r w:rsidR="004A55A4">
        <w:tab/>
      </w:r>
      <w:r w:rsidR="006F4CB4">
        <w:t xml:space="preserve">Effects on MFP </w:t>
      </w:r>
      <w:r w:rsidR="001F2BAC">
        <w:t>of</w:t>
      </w:r>
      <w:r w:rsidR="006F4CB4">
        <w:t xml:space="preserve"> using different data and assumptions</w:t>
      </w:r>
    </w:p>
    <w:p w:rsidR="004A55A4" w:rsidRDefault="003A496A" w:rsidP="003A496A">
      <w:pPr>
        <w:pStyle w:val="Heading4"/>
      </w:pPr>
      <w:r>
        <w:t xml:space="preserve">Using an alternative </w:t>
      </w:r>
      <w:r w:rsidR="002368D9">
        <w:t>investment</w:t>
      </w:r>
      <w:r w:rsidR="004F0271">
        <w:t xml:space="preserve"> </w:t>
      </w:r>
      <w:r>
        <w:t>measure</w:t>
      </w:r>
    </w:p>
    <w:p w:rsidR="003A496A" w:rsidRPr="00490269" w:rsidRDefault="00436F71" w:rsidP="003A496A">
      <w:pPr>
        <w:pStyle w:val="BodyText"/>
      </w:pPr>
      <w:r>
        <w:t xml:space="preserve">As noted in </w:t>
      </w:r>
      <w:r w:rsidR="00E111F8">
        <w:t>the body of the report, and in more detail in</w:t>
      </w:r>
      <w:r w:rsidR="00220F16">
        <w:t xml:space="preserve"> </w:t>
      </w:r>
      <w:r>
        <w:t>appendix A</w:t>
      </w:r>
      <w:r>
        <w:rPr>
          <w:noProof/>
        </w:rPr>
        <w:t xml:space="preserve">, the two main capital investment series published </w:t>
      </w:r>
      <w:r w:rsidR="003A496A">
        <w:t xml:space="preserve">by the ABS diverge for </w:t>
      </w:r>
      <w:r w:rsidR="002625FF">
        <w:t>Manufacturing</w:t>
      </w:r>
      <w:r w:rsidR="003A496A">
        <w:t xml:space="preserve"> over the period of cycle 4 (2003-04 to 2007-08), before showing signs of convergence in the incomplete cycle</w:t>
      </w:r>
      <w:r w:rsidR="00490269">
        <w:t xml:space="preserve">. </w:t>
      </w:r>
      <w:r w:rsidR="00CD4EFE">
        <w:t>The gross fixed capital formation (</w:t>
      </w:r>
      <w:proofErr w:type="spellStart"/>
      <w:r w:rsidR="00CD4EFE">
        <w:t>GFCF</w:t>
      </w:r>
      <w:proofErr w:type="spellEnd"/>
      <w:r w:rsidR="00CD4EFE">
        <w:t>) series grows faster in cycle 4 relative to private</w:t>
      </w:r>
      <w:r w:rsidR="00635C92">
        <w:t xml:space="preserve"> new capital expenditure (</w:t>
      </w:r>
      <w:proofErr w:type="spellStart"/>
      <w:r w:rsidR="00635C92">
        <w:t>PNCE</w:t>
      </w:r>
      <w:proofErr w:type="spellEnd"/>
      <w:r w:rsidR="00635C92">
        <w:t>). The former is used by the ABS and in this paper to form the capital input used to derive MFP estimates</w:t>
      </w:r>
      <w:r w:rsidR="004F1A16">
        <w:rPr>
          <w:rStyle w:val="FootnoteReference"/>
        </w:rPr>
        <w:footnoteReference w:id="1"/>
      </w:r>
      <w:r w:rsidR="00635C92">
        <w:t xml:space="preserve">, but it does </w:t>
      </w:r>
      <w:r w:rsidR="00AF45E8">
        <w:t>raise</w:t>
      </w:r>
      <w:r w:rsidR="00635C92">
        <w:t xml:space="preserve"> the question as to whether MFP estimates would be materially different if the</w:t>
      </w:r>
      <w:r w:rsidR="00AC273B">
        <w:t xml:space="preserve"> </w:t>
      </w:r>
      <w:proofErr w:type="spellStart"/>
      <w:r w:rsidR="00635C92">
        <w:t>PNCE</w:t>
      </w:r>
      <w:proofErr w:type="spellEnd"/>
      <w:r w:rsidR="00464880">
        <w:t xml:space="preserve"> levels</w:t>
      </w:r>
      <w:r w:rsidR="00220F16">
        <w:t xml:space="preserve"> (rather than just its subsector shares)</w:t>
      </w:r>
      <w:r w:rsidR="00635C92">
        <w:t xml:space="preserve"> were used instead. </w:t>
      </w:r>
    </w:p>
    <w:p w:rsidR="004A55A4" w:rsidRDefault="006172E6" w:rsidP="004A55A4">
      <w:pPr>
        <w:pStyle w:val="BodyText"/>
      </w:pPr>
      <w:r>
        <w:t>The methodology for testing such an assumption is straightforward. Rather than using</w:t>
      </w:r>
      <w:r w:rsidR="00CD67C2">
        <w:t xml:space="preserve"> the</w:t>
      </w:r>
      <w:r>
        <w:t xml:space="preserve"> </w:t>
      </w:r>
      <w:proofErr w:type="spellStart"/>
      <w:r>
        <w:t>GFCF</w:t>
      </w:r>
      <w:proofErr w:type="spellEnd"/>
      <w:r>
        <w:t xml:space="preserve">-based measure of non-dwelling construction and machinery </w:t>
      </w:r>
      <w:r w:rsidR="004D3C47">
        <w:t>and</w:t>
      </w:r>
      <w:r>
        <w:t xml:space="preserve"> equipment (the two principal asset types that form the majority of </w:t>
      </w:r>
      <w:r w:rsidR="002625FF">
        <w:t>Manufacturing</w:t>
      </w:r>
      <w:r>
        <w:t xml:space="preserve"> </w:t>
      </w:r>
      <w:r>
        <w:lastRenderedPageBreak/>
        <w:t xml:space="preserve">investment), </w:t>
      </w:r>
      <w:proofErr w:type="spellStart"/>
      <w:r>
        <w:t>PNCE</w:t>
      </w:r>
      <w:proofErr w:type="spellEnd"/>
      <w:r>
        <w:t xml:space="preserve"> is used instead. No change is</w:t>
      </w:r>
      <w:r w:rsidR="00F95FCE">
        <w:t xml:space="preserve"> made for the other asset types </w:t>
      </w:r>
      <w:r w:rsidR="004C71A0">
        <w:t>—</w:t>
      </w:r>
      <w:r w:rsidR="00F95FCE">
        <w:t xml:space="preserve"> Research and Development (</w:t>
      </w:r>
      <w:r>
        <w:t>R&amp;D</w:t>
      </w:r>
      <w:r w:rsidR="00F95FCE">
        <w:t>)</w:t>
      </w:r>
      <w:r>
        <w:t xml:space="preserve"> and Software.</w:t>
      </w:r>
      <w:r>
        <w:rPr>
          <w:rStyle w:val="FootnoteReference"/>
        </w:rPr>
        <w:footnoteReference w:id="2"/>
      </w:r>
    </w:p>
    <w:p w:rsidR="00D42945" w:rsidRDefault="00F65322" w:rsidP="00F03465">
      <w:pPr>
        <w:pStyle w:val="BodyText"/>
      </w:pPr>
      <w:r>
        <w:t>T</w:t>
      </w:r>
      <w:r w:rsidR="00F03465">
        <w:t xml:space="preserve">he gap between </w:t>
      </w:r>
      <w:proofErr w:type="spellStart"/>
      <w:r w:rsidR="00F03465">
        <w:t>GFCF</w:t>
      </w:r>
      <w:proofErr w:type="spellEnd"/>
      <w:r w:rsidR="00F03465">
        <w:t xml:space="preserve"> and </w:t>
      </w:r>
      <w:proofErr w:type="spellStart"/>
      <w:r w:rsidR="00F03465">
        <w:t>PNCE</w:t>
      </w:r>
      <w:proofErr w:type="spellEnd"/>
      <w:r w:rsidR="00F03465">
        <w:t xml:space="preserve"> is largest in cycle 4 (the period of poor productivity) and so the choice of investment series used has the greatest effect over </w:t>
      </w:r>
      <w:r w:rsidR="00141C38">
        <w:t>the 2003-04 to 2007-08</w:t>
      </w:r>
      <w:r w:rsidR="00F03465">
        <w:t xml:space="preserve"> period.</w:t>
      </w:r>
      <w:r>
        <w:t xml:space="preserve"> Table </w:t>
      </w:r>
      <w:proofErr w:type="spellStart"/>
      <w:r w:rsidR="0025046A">
        <w:t>E.1</w:t>
      </w:r>
      <w:proofErr w:type="spellEnd"/>
      <w:r>
        <w:t xml:space="preserve"> shows the resulting change in (income-share weighted) capital services growth for each of the subsectors.</w:t>
      </w:r>
      <w:r w:rsidR="00913FDB">
        <w:t xml:space="preserve"> The effect, on aggregate, </w:t>
      </w:r>
      <w:r w:rsidR="00DE64C9">
        <w:t xml:space="preserve">is </w:t>
      </w:r>
      <w:r w:rsidR="00913FDB">
        <w:t xml:space="preserve">that income-share weighted capital services growth for </w:t>
      </w:r>
      <w:r w:rsidR="002625FF">
        <w:t>Manufacturing</w:t>
      </w:r>
      <w:r w:rsidR="00913FDB">
        <w:t xml:space="preserve"> in total is 1.1 percentage points slower (per year) over cycle 4 when the </w:t>
      </w:r>
      <w:proofErr w:type="spellStart"/>
      <w:r w:rsidR="00913FDB">
        <w:t>PNCE</w:t>
      </w:r>
      <w:proofErr w:type="spellEnd"/>
      <w:r w:rsidR="00913FDB">
        <w:t xml:space="preserve"> measure is used (relative to th</w:t>
      </w:r>
      <w:r w:rsidR="0017192D">
        <w:t xml:space="preserve">e </w:t>
      </w:r>
      <w:proofErr w:type="spellStart"/>
      <w:r w:rsidR="0017192D">
        <w:t>GFCF</w:t>
      </w:r>
      <w:proofErr w:type="spellEnd"/>
      <w:r w:rsidR="0017192D">
        <w:t xml:space="preserve"> measure).</w:t>
      </w:r>
    </w:p>
    <w:p w:rsidR="008B593F" w:rsidRDefault="008B593F">
      <w:pPr>
        <w:pStyle w:val="TableTitle"/>
      </w:pPr>
      <w:r>
        <w:rPr>
          <w:b w:val="0"/>
        </w:rPr>
        <w:t xml:space="preserve">Table </w:t>
      </w:r>
      <w:bookmarkStart w:id="4" w:name="OLE_LINK1"/>
      <w:proofErr w:type="spellStart"/>
      <w:r w:rsidR="0025046A">
        <w:rPr>
          <w:b w:val="0"/>
        </w:rPr>
        <w:t>E.</w:t>
      </w:r>
      <w:r w:rsidR="0082768F">
        <w:rPr>
          <w:b w:val="0"/>
          <w:noProof/>
        </w:rPr>
        <w:t>1</w:t>
      </w:r>
      <w:bookmarkEnd w:id="4"/>
      <w:proofErr w:type="spellEnd"/>
      <w:r>
        <w:tab/>
        <w:t>Growth in income-share weighted capital services in cycle 4</w:t>
      </w:r>
    </w:p>
    <w:p w:rsidR="008B593F" w:rsidRDefault="008B593F">
      <w:pPr>
        <w:pStyle w:val="Subtitle"/>
      </w:pPr>
      <w:r>
        <w:t>Average annual growth rate (</w:t>
      </w:r>
      <w:r w:rsidR="007D5F0E">
        <w:t>per cent</w:t>
      </w:r>
      <w:r>
        <w:t>)</w:t>
      </w:r>
    </w:p>
    <w:tbl>
      <w:tblPr>
        <w:tblW w:w="5000" w:type="pct"/>
        <w:tblCellMar>
          <w:left w:w="0" w:type="dxa"/>
          <w:right w:w="0" w:type="dxa"/>
        </w:tblCellMar>
        <w:tblLook w:val="0000" w:firstRow="0" w:lastRow="0" w:firstColumn="0" w:lastColumn="0" w:noHBand="0" w:noVBand="0"/>
      </w:tblPr>
      <w:tblGrid>
        <w:gridCol w:w="3855"/>
        <w:gridCol w:w="1835"/>
        <w:gridCol w:w="1550"/>
        <w:gridCol w:w="1549"/>
      </w:tblGrid>
      <w:tr w:rsidR="00DD5FE8" w:rsidTr="00DD5FE8">
        <w:tc>
          <w:tcPr>
            <w:tcW w:w="2193" w:type="pct"/>
            <w:tcBorders>
              <w:top w:val="single" w:sz="6" w:space="0" w:color="auto"/>
            </w:tcBorders>
            <w:shd w:val="clear" w:color="auto" w:fill="auto"/>
            <w:vAlign w:val="bottom"/>
          </w:tcPr>
          <w:p w:rsidR="008B593F" w:rsidRDefault="008B593F" w:rsidP="007D5F0E">
            <w:pPr>
              <w:pStyle w:val="TableColumnHeading"/>
              <w:jc w:val="left"/>
            </w:pPr>
            <w:r>
              <w:t>Subsector</w:t>
            </w:r>
          </w:p>
        </w:tc>
        <w:tc>
          <w:tcPr>
            <w:tcW w:w="1044" w:type="pct"/>
            <w:tcBorders>
              <w:top w:val="single" w:sz="6" w:space="0" w:color="auto"/>
            </w:tcBorders>
            <w:shd w:val="clear" w:color="auto" w:fill="auto"/>
            <w:vAlign w:val="bottom"/>
          </w:tcPr>
          <w:p w:rsidR="008B593F" w:rsidRDefault="008B593F" w:rsidP="00DD5FE8">
            <w:pPr>
              <w:pStyle w:val="TableColumnHeading"/>
              <w:ind w:right="20"/>
            </w:pPr>
            <w:proofErr w:type="spellStart"/>
            <w:r>
              <w:t>GFCF</w:t>
            </w:r>
            <w:proofErr w:type="spellEnd"/>
            <w:r>
              <w:t>-apportioned growth</w:t>
            </w:r>
          </w:p>
        </w:tc>
        <w:tc>
          <w:tcPr>
            <w:tcW w:w="882" w:type="pct"/>
            <w:tcBorders>
              <w:top w:val="single" w:sz="6" w:space="0" w:color="auto"/>
            </w:tcBorders>
            <w:shd w:val="clear" w:color="auto" w:fill="auto"/>
            <w:vAlign w:val="bottom"/>
          </w:tcPr>
          <w:p w:rsidR="008B593F" w:rsidRDefault="008B593F" w:rsidP="007D5F0E">
            <w:pPr>
              <w:pStyle w:val="TableColumnHeading"/>
            </w:pPr>
            <w:proofErr w:type="spellStart"/>
            <w:r>
              <w:t>PNCE</w:t>
            </w:r>
            <w:proofErr w:type="spellEnd"/>
            <w:r>
              <w:t>-derived growth</w:t>
            </w:r>
          </w:p>
        </w:tc>
        <w:tc>
          <w:tcPr>
            <w:tcW w:w="881" w:type="pct"/>
            <w:tcBorders>
              <w:top w:val="single" w:sz="6" w:space="0" w:color="auto"/>
            </w:tcBorders>
            <w:shd w:val="clear" w:color="auto" w:fill="auto"/>
            <w:vAlign w:val="bottom"/>
          </w:tcPr>
          <w:p w:rsidR="008B593F" w:rsidRDefault="008B593F" w:rsidP="007D5F0E">
            <w:pPr>
              <w:pStyle w:val="TableColumnHeading"/>
              <w:ind w:right="28"/>
            </w:pPr>
            <w:r>
              <w:t>Difference</w:t>
            </w:r>
          </w:p>
        </w:tc>
      </w:tr>
      <w:tr w:rsidR="00DD5FE8" w:rsidTr="00DD1A0C">
        <w:tc>
          <w:tcPr>
            <w:tcW w:w="2193" w:type="pct"/>
            <w:tcBorders>
              <w:top w:val="single" w:sz="4" w:space="0" w:color="auto"/>
            </w:tcBorders>
            <w:shd w:val="clear" w:color="auto" w:fill="D9D9D9" w:themeFill="background1" w:themeFillShade="D9"/>
            <w:vAlign w:val="bottom"/>
          </w:tcPr>
          <w:p w:rsidR="00DD5FE8" w:rsidRDefault="00DD5FE8" w:rsidP="00DD1A0C">
            <w:pPr>
              <w:pStyle w:val="TableBodyText"/>
              <w:spacing w:before="60"/>
              <w:jc w:val="left"/>
            </w:pPr>
            <w:r>
              <w:t>Food, beverage &amp; tobacco products</w:t>
            </w:r>
          </w:p>
        </w:tc>
        <w:tc>
          <w:tcPr>
            <w:tcW w:w="1044" w:type="pct"/>
            <w:tcBorders>
              <w:top w:val="single" w:sz="4" w:space="0" w:color="auto"/>
            </w:tcBorders>
            <w:shd w:val="clear" w:color="auto" w:fill="D9D9D9" w:themeFill="background1" w:themeFillShade="D9"/>
            <w:vAlign w:val="bottom"/>
          </w:tcPr>
          <w:p w:rsidR="00DD5FE8" w:rsidRDefault="00DD5FE8" w:rsidP="00DD1A0C">
            <w:pPr>
              <w:pStyle w:val="TableBodyText"/>
              <w:spacing w:before="60"/>
            </w:pPr>
            <w:r>
              <w:t>2.1</w:t>
            </w:r>
          </w:p>
        </w:tc>
        <w:tc>
          <w:tcPr>
            <w:tcW w:w="882" w:type="pct"/>
            <w:tcBorders>
              <w:top w:val="single" w:sz="4" w:space="0" w:color="auto"/>
            </w:tcBorders>
            <w:shd w:val="clear" w:color="auto" w:fill="D9D9D9" w:themeFill="background1" w:themeFillShade="D9"/>
            <w:vAlign w:val="bottom"/>
          </w:tcPr>
          <w:p w:rsidR="00DD5FE8" w:rsidRDefault="00DD5FE8" w:rsidP="00DD1A0C">
            <w:pPr>
              <w:pStyle w:val="TableBodyText"/>
              <w:spacing w:before="60"/>
            </w:pPr>
            <w:r>
              <w:t>1.0</w:t>
            </w:r>
          </w:p>
        </w:tc>
        <w:tc>
          <w:tcPr>
            <w:tcW w:w="881" w:type="pct"/>
            <w:tcBorders>
              <w:top w:val="single" w:sz="4" w:space="0" w:color="auto"/>
            </w:tcBorders>
            <w:shd w:val="clear" w:color="auto" w:fill="D9D9D9" w:themeFill="background1" w:themeFillShade="D9"/>
            <w:vAlign w:val="bottom"/>
          </w:tcPr>
          <w:p w:rsidR="00DD5FE8" w:rsidRDefault="00DD5FE8" w:rsidP="00DD1A0C">
            <w:pPr>
              <w:pStyle w:val="TableBodyText"/>
              <w:spacing w:before="60"/>
            </w:pPr>
            <w:r>
              <w:t>-1.1</w:t>
            </w:r>
          </w:p>
        </w:tc>
      </w:tr>
      <w:tr w:rsidR="00DD5FE8" w:rsidTr="00DD1A0C">
        <w:tc>
          <w:tcPr>
            <w:tcW w:w="2193" w:type="pct"/>
            <w:shd w:val="clear" w:color="auto" w:fill="auto"/>
            <w:vAlign w:val="bottom"/>
          </w:tcPr>
          <w:p w:rsidR="00DD5FE8" w:rsidRDefault="00DD5FE8" w:rsidP="00DD1A0C">
            <w:pPr>
              <w:pStyle w:val="TableBodyText"/>
              <w:spacing w:before="20"/>
              <w:jc w:val="left"/>
            </w:pPr>
            <w:r>
              <w:t xml:space="preserve">Textile, clothing &amp; other </w:t>
            </w:r>
            <w:proofErr w:type="spellStart"/>
            <w:r>
              <w:t>mfg</w:t>
            </w:r>
            <w:proofErr w:type="spellEnd"/>
          </w:p>
        </w:tc>
        <w:tc>
          <w:tcPr>
            <w:tcW w:w="1044" w:type="pct"/>
            <w:shd w:val="clear" w:color="auto" w:fill="auto"/>
            <w:vAlign w:val="bottom"/>
          </w:tcPr>
          <w:p w:rsidR="00DD5FE8" w:rsidRDefault="00DD5FE8" w:rsidP="00DD1A0C">
            <w:pPr>
              <w:pStyle w:val="TableBodyText"/>
              <w:spacing w:before="20"/>
            </w:pPr>
            <w:r>
              <w:t>0.5</w:t>
            </w:r>
          </w:p>
        </w:tc>
        <w:tc>
          <w:tcPr>
            <w:tcW w:w="882" w:type="pct"/>
            <w:shd w:val="clear" w:color="auto" w:fill="auto"/>
            <w:vAlign w:val="bottom"/>
          </w:tcPr>
          <w:p w:rsidR="00DD5FE8" w:rsidRDefault="00DD5FE8" w:rsidP="00DD1A0C">
            <w:pPr>
              <w:pStyle w:val="TableBodyText"/>
              <w:spacing w:before="20"/>
            </w:pPr>
            <w:r>
              <w:t>-0.1</w:t>
            </w:r>
          </w:p>
        </w:tc>
        <w:tc>
          <w:tcPr>
            <w:tcW w:w="881" w:type="pct"/>
            <w:shd w:val="clear" w:color="auto" w:fill="auto"/>
            <w:vAlign w:val="bottom"/>
          </w:tcPr>
          <w:p w:rsidR="00DD5FE8" w:rsidRDefault="00DD5FE8" w:rsidP="00DD1A0C">
            <w:pPr>
              <w:pStyle w:val="TableBodyText"/>
              <w:spacing w:before="20"/>
            </w:pPr>
            <w:r>
              <w:t>-0.6</w:t>
            </w:r>
          </w:p>
        </w:tc>
      </w:tr>
      <w:tr w:rsidR="00DD5FE8" w:rsidTr="00DD1A0C">
        <w:tc>
          <w:tcPr>
            <w:tcW w:w="2193" w:type="pct"/>
            <w:shd w:val="clear" w:color="auto" w:fill="D9D9D9" w:themeFill="background1" w:themeFillShade="D9"/>
            <w:vAlign w:val="bottom"/>
          </w:tcPr>
          <w:p w:rsidR="00DD5FE8" w:rsidRDefault="00DD5FE8" w:rsidP="00DD1A0C">
            <w:pPr>
              <w:pStyle w:val="TableBodyText"/>
              <w:spacing w:before="20"/>
              <w:jc w:val="left"/>
            </w:pPr>
            <w:r>
              <w:t>Wood &amp; paper products</w:t>
            </w:r>
          </w:p>
        </w:tc>
        <w:tc>
          <w:tcPr>
            <w:tcW w:w="1044" w:type="pct"/>
            <w:shd w:val="clear" w:color="auto" w:fill="D9D9D9" w:themeFill="background1" w:themeFillShade="D9"/>
            <w:vAlign w:val="bottom"/>
          </w:tcPr>
          <w:p w:rsidR="00DD5FE8" w:rsidRDefault="00DD5FE8" w:rsidP="00DD1A0C">
            <w:pPr>
              <w:pStyle w:val="TableBodyText"/>
              <w:spacing w:before="20"/>
            </w:pPr>
            <w:r>
              <w:t>1.7</w:t>
            </w:r>
          </w:p>
        </w:tc>
        <w:tc>
          <w:tcPr>
            <w:tcW w:w="882" w:type="pct"/>
            <w:shd w:val="clear" w:color="auto" w:fill="D9D9D9" w:themeFill="background1" w:themeFillShade="D9"/>
            <w:vAlign w:val="bottom"/>
          </w:tcPr>
          <w:p w:rsidR="00DD5FE8" w:rsidRDefault="00DD5FE8" w:rsidP="00DD1A0C">
            <w:pPr>
              <w:pStyle w:val="TableBodyText"/>
              <w:spacing w:before="20"/>
            </w:pPr>
            <w:r>
              <w:t>0.6</w:t>
            </w:r>
          </w:p>
        </w:tc>
        <w:tc>
          <w:tcPr>
            <w:tcW w:w="881" w:type="pct"/>
            <w:shd w:val="clear" w:color="auto" w:fill="D9D9D9" w:themeFill="background1" w:themeFillShade="D9"/>
            <w:vAlign w:val="bottom"/>
          </w:tcPr>
          <w:p w:rsidR="00DD5FE8" w:rsidRDefault="00DD5FE8" w:rsidP="00DD1A0C">
            <w:pPr>
              <w:pStyle w:val="TableBodyText"/>
              <w:spacing w:before="20"/>
            </w:pPr>
            <w:r>
              <w:t>-1.1</w:t>
            </w:r>
          </w:p>
        </w:tc>
      </w:tr>
      <w:tr w:rsidR="00DD5FE8" w:rsidTr="00DD1A0C">
        <w:tc>
          <w:tcPr>
            <w:tcW w:w="2193" w:type="pct"/>
            <w:shd w:val="clear" w:color="auto" w:fill="auto"/>
            <w:vAlign w:val="bottom"/>
          </w:tcPr>
          <w:p w:rsidR="00DD5FE8" w:rsidRDefault="00DD5FE8" w:rsidP="00DD1A0C">
            <w:pPr>
              <w:pStyle w:val="TableBodyText"/>
              <w:spacing w:before="20"/>
              <w:jc w:val="left"/>
            </w:pPr>
            <w:r>
              <w:t>Printing &amp; recorded media</w:t>
            </w:r>
          </w:p>
        </w:tc>
        <w:tc>
          <w:tcPr>
            <w:tcW w:w="1044" w:type="pct"/>
            <w:shd w:val="clear" w:color="auto" w:fill="auto"/>
            <w:vAlign w:val="bottom"/>
          </w:tcPr>
          <w:p w:rsidR="00DD5FE8" w:rsidRDefault="00DD5FE8" w:rsidP="00DD1A0C">
            <w:pPr>
              <w:pStyle w:val="TableBodyText"/>
              <w:spacing w:before="20"/>
            </w:pPr>
            <w:r>
              <w:t>1.8</w:t>
            </w:r>
          </w:p>
        </w:tc>
        <w:tc>
          <w:tcPr>
            <w:tcW w:w="882" w:type="pct"/>
            <w:shd w:val="clear" w:color="auto" w:fill="auto"/>
            <w:vAlign w:val="bottom"/>
          </w:tcPr>
          <w:p w:rsidR="00DD5FE8" w:rsidRDefault="00DD5FE8" w:rsidP="00DD1A0C">
            <w:pPr>
              <w:pStyle w:val="TableBodyText"/>
              <w:spacing w:before="20"/>
            </w:pPr>
            <w:r>
              <w:t>0.8</w:t>
            </w:r>
          </w:p>
        </w:tc>
        <w:tc>
          <w:tcPr>
            <w:tcW w:w="881" w:type="pct"/>
            <w:shd w:val="clear" w:color="auto" w:fill="auto"/>
            <w:vAlign w:val="bottom"/>
          </w:tcPr>
          <w:p w:rsidR="00DD5FE8" w:rsidRDefault="00DD5FE8" w:rsidP="00DD1A0C">
            <w:pPr>
              <w:pStyle w:val="TableBodyText"/>
              <w:spacing w:before="20"/>
            </w:pPr>
            <w:r>
              <w:t>-0.9</w:t>
            </w:r>
          </w:p>
        </w:tc>
      </w:tr>
      <w:tr w:rsidR="00DD5FE8" w:rsidTr="00DD1A0C">
        <w:tc>
          <w:tcPr>
            <w:tcW w:w="2193" w:type="pct"/>
            <w:shd w:val="clear" w:color="auto" w:fill="D9D9D9" w:themeFill="background1" w:themeFillShade="D9"/>
            <w:vAlign w:val="bottom"/>
          </w:tcPr>
          <w:p w:rsidR="00DD5FE8" w:rsidRDefault="00DD5FE8" w:rsidP="00DD1A0C">
            <w:pPr>
              <w:pStyle w:val="TableBodyText"/>
              <w:spacing w:before="20"/>
              <w:jc w:val="left"/>
            </w:pPr>
            <w:r>
              <w:t>Petroleum, coal, chemical &amp; rubber prod.</w:t>
            </w:r>
          </w:p>
        </w:tc>
        <w:tc>
          <w:tcPr>
            <w:tcW w:w="1044" w:type="pct"/>
            <w:shd w:val="clear" w:color="auto" w:fill="D9D9D9" w:themeFill="background1" w:themeFillShade="D9"/>
            <w:vAlign w:val="bottom"/>
          </w:tcPr>
          <w:p w:rsidR="00DD5FE8" w:rsidRDefault="00DD5FE8" w:rsidP="00DD1A0C">
            <w:pPr>
              <w:pStyle w:val="TableBodyText"/>
              <w:spacing w:before="20"/>
            </w:pPr>
            <w:r>
              <w:t>3.7</w:t>
            </w:r>
          </w:p>
        </w:tc>
        <w:tc>
          <w:tcPr>
            <w:tcW w:w="882" w:type="pct"/>
            <w:shd w:val="clear" w:color="auto" w:fill="D9D9D9" w:themeFill="background1" w:themeFillShade="D9"/>
            <w:vAlign w:val="bottom"/>
          </w:tcPr>
          <w:p w:rsidR="00DD5FE8" w:rsidRDefault="00DD5FE8" w:rsidP="00DD1A0C">
            <w:pPr>
              <w:pStyle w:val="TableBodyText"/>
              <w:spacing w:before="20"/>
            </w:pPr>
            <w:r>
              <w:t>2.6</w:t>
            </w:r>
          </w:p>
        </w:tc>
        <w:tc>
          <w:tcPr>
            <w:tcW w:w="881" w:type="pct"/>
            <w:shd w:val="clear" w:color="auto" w:fill="D9D9D9" w:themeFill="background1" w:themeFillShade="D9"/>
            <w:vAlign w:val="bottom"/>
          </w:tcPr>
          <w:p w:rsidR="00DD5FE8" w:rsidRDefault="00DD5FE8" w:rsidP="00DD1A0C">
            <w:pPr>
              <w:pStyle w:val="TableBodyText"/>
              <w:spacing w:before="20"/>
            </w:pPr>
            <w:r>
              <w:t>-1.1</w:t>
            </w:r>
          </w:p>
        </w:tc>
      </w:tr>
      <w:tr w:rsidR="00DD5FE8" w:rsidTr="00DD1A0C">
        <w:tc>
          <w:tcPr>
            <w:tcW w:w="2193" w:type="pct"/>
            <w:shd w:val="clear" w:color="auto" w:fill="auto"/>
            <w:vAlign w:val="bottom"/>
          </w:tcPr>
          <w:p w:rsidR="00DD5FE8" w:rsidRDefault="00DD5FE8" w:rsidP="00DD1A0C">
            <w:pPr>
              <w:pStyle w:val="TableBodyText"/>
              <w:spacing w:before="20"/>
              <w:jc w:val="left"/>
            </w:pPr>
            <w:r>
              <w:t>Non-metallic mineral products</w:t>
            </w:r>
          </w:p>
        </w:tc>
        <w:tc>
          <w:tcPr>
            <w:tcW w:w="1044" w:type="pct"/>
            <w:shd w:val="clear" w:color="auto" w:fill="auto"/>
            <w:vAlign w:val="bottom"/>
          </w:tcPr>
          <w:p w:rsidR="00DD5FE8" w:rsidRDefault="00DD5FE8" w:rsidP="00DD1A0C">
            <w:pPr>
              <w:pStyle w:val="TableBodyText"/>
              <w:spacing w:before="20"/>
            </w:pPr>
            <w:r>
              <w:t>0.4</w:t>
            </w:r>
          </w:p>
        </w:tc>
        <w:tc>
          <w:tcPr>
            <w:tcW w:w="882" w:type="pct"/>
            <w:shd w:val="clear" w:color="auto" w:fill="auto"/>
            <w:vAlign w:val="bottom"/>
          </w:tcPr>
          <w:p w:rsidR="00DD5FE8" w:rsidRDefault="00DD5FE8" w:rsidP="00DD1A0C">
            <w:pPr>
              <w:pStyle w:val="TableBodyText"/>
              <w:spacing w:before="20"/>
            </w:pPr>
            <w:r>
              <w:t>-0.6</w:t>
            </w:r>
          </w:p>
        </w:tc>
        <w:tc>
          <w:tcPr>
            <w:tcW w:w="881" w:type="pct"/>
            <w:shd w:val="clear" w:color="auto" w:fill="auto"/>
            <w:vAlign w:val="bottom"/>
          </w:tcPr>
          <w:p w:rsidR="00DD5FE8" w:rsidRDefault="00DD5FE8" w:rsidP="00DD1A0C">
            <w:pPr>
              <w:pStyle w:val="TableBodyText"/>
              <w:spacing w:before="20"/>
            </w:pPr>
            <w:r>
              <w:t>-1.0</w:t>
            </w:r>
          </w:p>
        </w:tc>
      </w:tr>
      <w:tr w:rsidR="00DD5FE8" w:rsidTr="00DD1A0C">
        <w:tc>
          <w:tcPr>
            <w:tcW w:w="2193" w:type="pct"/>
            <w:shd w:val="clear" w:color="auto" w:fill="D9D9D9" w:themeFill="background1" w:themeFillShade="D9"/>
            <w:vAlign w:val="bottom"/>
          </w:tcPr>
          <w:p w:rsidR="00DD5FE8" w:rsidRDefault="00DD5FE8" w:rsidP="00DD1A0C">
            <w:pPr>
              <w:pStyle w:val="TableBodyText"/>
              <w:spacing w:before="20"/>
              <w:jc w:val="left"/>
            </w:pPr>
            <w:r>
              <w:t>Metal products</w:t>
            </w:r>
          </w:p>
        </w:tc>
        <w:tc>
          <w:tcPr>
            <w:tcW w:w="1044" w:type="pct"/>
            <w:shd w:val="clear" w:color="auto" w:fill="D9D9D9" w:themeFill="background1" w:themeFillShade="D9"/>
            <w:vAlign w:val="bottom"/>
          </w:tcPr>
          <w:p w:rsidR="00DD5FE8" w:rsidRDefault="00DD5FE8" w:rsidP="00DD1A0C">
            <w:pPr>
              <w:pStyle w:val="TableBodyText"/>
              <w:spacing w:before="20"/>
            </w:pPr>
            <w:r>
              <w:t>4.6</w:t>
            </w:r>
          </w:p>
        </w:tc>
        <w:tc>
          <w:tcPr>
            <w:tcW w:w="882" w:type="pct"/>
            <w:shd w:val="clear" w:color="auto" w:fill="D9D9D9" w:themeFill="background1" w:themeFillShade="D9"/>
            <w:vAlign w:val="bottom"/>
          </w:tcPr>
          <w:p w:rsidR="00DD5FE8" w:rsidRDefault="00DD5FE8" w:rsidP="00DD1A0C">
            <w:pPr>
              <w:pStyle w:val="TableBodyText"/>
              <w:spacing w:before="20"/>
            </w:pPr>
            <w:r>
              <w:t>2.9</w:t>
            </w:r>
          </w:p>
        </w:tc>
        <w:tc>
          <w:tcPr>
            <w:tcW w:w="881" w:type="pct"/>
            <w:shd w:val="clear" w:color="auto" w:fill="D9D9D9" w:themeFill="background1" w:themeFillShade="D9"/>
            <w:vAlign w:val="bottom"/>
          </w:tcPr>
          <w:p w:rsidR="00DD5FE8" w:rsidRDefault="00DD5FE8" w:rsidP="00DD1A0C">
            <w:pPr>
              <w:pStyle w:val="TableBodyText"/>
              <w:spacing w:before="20"/>
            </w:pPr>
            <w:r>
              <w:t>-1.7</w:t>
            </w:r>
          </w:p>
        </w:tc>
      </w:tr>
      <w:tr w:rsidR="00DD5FE8" w:rsidTr="00DD1A0C">
        <w:tc>
          <w:tcPr>
            <w:tcW w:w="2193" w:type="pct"/>
            <w:shd w:val="clear" w:color="auto" w:fill="auto"/>
            <w:vAlign w:val="bottom"/>
          </w:tcPr>
          <w:p w:rsidR="00DD5FE8" w:rsidRDefault="00DD5FE8" w:rsidP="00DD1A0C">
            <w:pPr>
              <w:pStyle w:val="TableBodyText"/>
              <w:spacing w:before="20"/>
              <w:jc w:val="left"/>
            </w:pPr>
            <w:r>
              <w:t xml:space="preserve">Machinery &amp; equipment </w:t>
            </w:r>
            <w:proofErr w:type="spellStart"/>
            <w:r>
              <w:t>mfg</w:t>
            </w:r>
            <w:proofErr w:type="spellEnd"/>
          </w:p>
        </w:tc>
        <w:tc>
          <w:tcPr>
            <w:tcW w:w="1044" w:type="pct"/>
            <w:shd w:val="clear" w:color="auto" w:fill="auto"/>
            <w:vAlign w:val="bottom"/>
          </w:tcPr>
          <w:p w:rsidR="00DD5FE8" w:rsidRDefault="00DD5FE8" w:rsidP="00DD1A0C">
            <w:pPr>
              <w:pStyle w:val="TableBodyText"/>
              <w:spacing w:before="20"/>
            </w:pPr>
            <w:r>
              <w:t>1.4</w:t>
            </w:r>
          </w:p>
        </w:tc>
        <w:tc>
          <w:tcPr>
            <w:tcW w:w="882" w:type="pct"/>
            <w:shd w:val="clear" w:color="auto" w:fill="auto"/>
            <w:vAlign w:val="bottom"/>
          </w:tcPr>
          <w:p w:rsidR="00DD5FE8" w:rsidRDefault="00DD5FE8" w:rsidP="00DD1A0C">
            <w:pPr>
              <w:pStyle w:val="TableBodyText"/>
              <w:spacing w:before="20"/>
            </w:pPr>
            <w:r>
              <w:t>0.8</w:t>
            </w:r>
          </w:p>
        </w:tc>
        <w:tc>
          <w:tcPr>
            <w:tcW w:w="881" w:type="pct"/>
            <w:shd w:val="clear" w:color="auto" w:fill="auto"/>
            <w:vAlign w:val="bottom"/>
          </w:tcPr>
          <w:p w:rsidR="00DD5FE8" w:rsidRDefault="00DD5FE8" w:rsidP="00DD1A0C">
            <w:pPr>
              <w:pStyle w:val="TableBodyText"/>
              <w:spacing w:before="20"/>
            </w:pPr>
            <w:r>
              <w:t>-0.6</w:t>
            </w:r>
          </w:p>
        </w:tc>
      </w:tr>
      <w:tr w:rsidR="00DD5FE8" w:rsidRPr="00DD1A0C" w:rsidTr="00DD1A0C">
        <w:tc>
          <w:tcPr>
            <w:tcW w:w="2193" w:type="pct"/>
            <w:shd w:val="clear" w:color="auto" w:fill="D9D9D9" w:themeFill="background1" w:themeFillShade="D9"/>
            <w:vAlign w:val="bottom"/>
          </w:tcPr>
          <w:p w:rsidR="008B593F" w:rsidRPr="00DD1A0C" w:rsidRDefault="00AF45E8" w:rsidP="00DD1A0C">
            <w:pPr>
              <w:pStyle w:val="TableBodyText"/>
              <w:spacing w:before="20"/>
              <w:jc w:val="left"/>
              <w:rPr>
                <w:i/>
              </w:rPr>
            </w:pPr>
            <w:bookmarkStart w:id="5" w:name="OLE_LINK16"/>
            <w:r w:rsidRPr="00DD1A0C">
              <w:rPr>
                <w:i/>
              </w:rPr>
              <w:t>Aggregate of subsectors</w:t>
            </w:r>
            <w:bookmarkEnd w:id="5"/>
          </w:p>
        </w:tc>
        <w:tc>
          <w:tcPr>
            <w:tcW w:w="1044" w:type="pct"/>
            <w:shd w:val="clear" w:color="auto" w:fill="D9D9D9" w:themeFill="background1" w:themeFillShade="D9"/>
            <w:vAlign w:val="bottom"/>
          </w:tcPr>
          <w:p w:rsidR="008B593F" w:rsidRPr="00DD1A0C" w:rsidRDefault="008B593F" w:rsidP="00DD1A0C">
            <w:pPr>
              <w:pStyle w:val="TableBodyText"/>
              <w:spacing w:before="20"/>
              <w:rPr>
                <w:i/>
              </w:rPr>
            </w:pPr>
            <w:r w:rsidRPr="00DD1A0C">
              <w:rPr>
                <w:i/>
              </w:rPr>
              <w:t>2.5</w:t>
            </w:r>
          </w:p>
        </w:tc>
        <w:tc>
          <w:tcPr>
            <w:tcW w:w="882" w:type="pct"/>
            <w:shd w:val="clear" w:color="auto" w:fill="D9D9D9" w:themeFill="background1" w:themeFillShade="D9"/>
            <w:vAlign w:val="bottom"/>
          </w:tcPr>
          <w:p w:rsidR="008B593F" w:rsidRPr="00DD1A0C" w:rsidRDefault="0052199A" w:rsidP="00DD1A0C">
            <w:pPr>
              <w:pStyle w:val="TableBodyText"/>
              <w:spacing w:before="20"/>
              <w:rPr>
                <w:i/>
              </w:rPr>
            </w:pPr>
            <w:r w:rsidRPr="00DD1A0C">
              <w:rPr>
                <w:i/>
              </w:rPr>
              <w:t>1.4</w:t>
            </w:r>
          </w:p>
        </w:tc>
        <w:tc>
          <w:tcPr>
            <w:tcW w:w="881" w:type="pct"/>
            <w:shd w:val="clear" w:color="auto" w:fill="D9D9D9" w:themeFill="background1" w:themeFillShade="D9"/>
            <w:vAlign w:val="bottom"/>
          </w:tcPr>
          <w:p w:rsidR="008B593F" w:rsidRPr="00DD1A0C" w:rsidRDefault="003A073B" w:rsidP="00DD1A0C">
            <w:pPr>
              <w:pStyle w:val="TableBodyText"/>
              <w:spacing w:before="20"/>
              <w:rPr>
                <w:i/>
              </w:rPr>
            </w:pPr>
            <w:r w:rsidRPr="00DD1A0C">
              <w:rPr>
                <w:i/>
              </w:rPr>
              <w:t>-1.1</w:t>
            </w:r>
          </w:p>
        </w:tc>
      </w:tr>
      <w:tr w:rsidR="00DD5FE8" w:rsidRPr="00512231" w:rsidTr="00DD1A0C">
        <w:tc>
          <w:tcPr>
            <w:tcW w:w="2193" w:type="pct"/>
            <w:tcBorders>
              <w:bottom w:val="single" w:sz="4" w:space="0" w:color="auto"/>
            </w:tcBorders>
            <w:shd w:val="clear" w:color="auto" w:fill="auto"/>
            <w:vAlign w:val="bottom"/>
          </w:tcPr>
          <w:p w:rsidR="008B593F" w:rsidRPr="00512231" w:rsidRDefault="004C71A0" w:rsidP="00DD1A0C">
            <w:pPr>
              <w:pStyle w:val="TableBodyText"/>
              <w:spacing w:before="60"/>
              <w:jc w:val="left"/>
              <w:rPr>
                <w:b/>
              </w:rPr>
            </w:pPr>
            <w:r>
              <w:rPr>
                <w:b/>
              </w:rPr>
              <w:t>T</w:t>
            </w:r>
            <w:r w:rsidR="00AF45E8">
              <w:rPr>
                <w:b/>
              </w:rPr>
              <w:t xml:space="preserve">otal </w:t>
            </w:r>
            <w:r w:rsidR="002625FF">
              <w:rPr>
                <w:b/>
              </w:rPr>
              <w:t>Manufacturing</w:t>
            </w:r>
            <w:r>
              <w:rPr>
                <w:b/>
              </w:rPr>
              <w:t xml:space="preserve"> (ABS</w:t>
            </w:r>
            <w:r w:rsidRPr="00BF0336">
              <w:rPr>
                <w:b/>
              </w:rPr>
              <w:t>)</w:t>
            </w:r>
            <w:r w:rsidR="00713287" w:rsidRPr="008B593F">
              <w:rPr>
                <w:rStyle w:val="NoteLabel"/>
              </w:rPr>
              <w:t>a</w:t>
            </w:r>
          </w:p>
        </w:tc>
        <w:tc>
          <w:tcPr>
            <w:tcW w:w="1044" w:type="pct"/>
            <w:tcBorders>
              <w:bottom w:val="single" w:sz="4" w:space="0" w:color="auto"/>
            </w:tcBorders>
            <w:shd w:val="clear" w:color="auto" w:fill="auto"/>
            <w:vAlign w:val="bottom"/>
          </w:tcPr>
          <w:p w:rsidR="008B593F" w:rsidRPr="00512231" w:rsidRDefault="008B593F" w:rsidP="00DD1A0C">
            <w:pPr>
              <w:pStyle w:val="TableBodyText"/>
              <w:spacing w:before="60"/>
              <w:rPr>
                <w:b/>
              </w:rPr>
            </w:pPr>
            <w:r w:rsidRPr="00512231">
              <w:rPr>
                <w:b/>
              </w:rPr>
              <w:t>2.4</w:t>
            </w:r>
          </w:p>
        </w:tc>
        <w:tc>
          <w:tcPr>
            <w:tcW w:w="882" w:type="pct"/>
            <w:tcBorders>
              <w:bottom w:val="single" w:sz="4" w:space="0" w:color="auto"/>
            </w:tcBorders>
            <w:shd w:val="clear" w:color="auto" w:fill="auto"/>
            <w:vAlign w:val="bottom"/>
          </w:tcPr>
          <w:p w:rsidR="008B593F" w:rsidRPr="00512231" w:rsidRDefault="0052199A" w:rsidP="00DD1A0C">
            <w:pPr>
              <w:pStyle w:val="TableBodyText"/>
              <w:spacing w:before="60"/>
              <w:rPr>
                <w:b/>
              </w:rPr>
            </w:pPr>
            <w:r w:rsidRPr="00512231">
              <w:rPr>
                <w:b/>
              </w:rPr>
              <w:t>na</w:t>
            </w:r>
          </w:p>
        </w:tc>
        <w:tc>
          <w:tcPr>
            <w:tcW w:w="881" w:type="pct"/>
            <w:tcBorders>
              <w:bottom w:val="single" w:sz="4" w:space="0" w:color="auto"/>
            </w:tcBorders>
            <w:shd w:val="clear" w:color="auto" w:fill="auto"/>
            <w:vAlign w:val="bottom"/>
          </w:tcPr>
          <w:p w:rsidR="008B593F" w:rsidRPr="00512231" w:rsidRDefault="003A073B" w:rsidP="00DD1A0C">
            <w:pPr>
              <w:pStyle w:val="TableBodyText"/>
              <w:spacing w:before="60"/>
              <w:rPr>
                <w:b/>
              </w:rPr>
            </w:pPr>
            <w:r w:rsidRPr="00512231">
              <w:rPr>
                <w:b/>
              </w:rPr>
              <w:t>na</w:t>
            </w:r>
          </w:p>
        </w:tc>
      </w:tr>
    </w:tbl>
    <w:p w:rsidR="00F65322" w:rsidRDefault="008B593F" w:rsidP="008B593F">
      <w:pPr>
        <w:pStyle w:val="Note"/>
      </w:pPr>
      <w:r w:rsidRPr="008B593F">
        <w:rPr>
          <w:rStyle w:val="NoteLabel"/>
        </w:rPr>
        <w:t>a</w:t>
      </w:r>
      <w:r>
        <w:t xml:space="preserve"> </w:t>
      </w:r>
      <w:r w:rsidR="00713287">
        <w:t>Corresponding figure published by the ABS</w:t>
      </w:r>
      <w:r>
        <w:t>.</w:t>
      </w:r>
    </w:p>
    <w:p w:rsidR="008B593F" w:rsidRPr="00326FA7" w:rsidRDefault="008B593F" w:rsidP="008B593F">
      <w:pPr>
        <w:pStyle w:val="Source"/>
      </w:pPr>
      <w:r>
        <w:rPr>
          <w:i/>
        </w:rPr>
        <w:t>Sources</w:t>
      </w:r>
      <w:r>
        <w:t xml:space="preserve">: </w:t>
      </w:r>
      <w:r w:rsidR="00713287">
        <w:t>ABS (</w:t>
      </w:r>
      <w:r w:rsidR="00713287">
        <w:rPr>
          <w:i/>
        </w:rPr>
        <w:t>Estimates of Industry Multifactor Productivity</w:t>
      </w:r>
      <w:r w:rsidR="005407CB">
        <w:rPr>
          <w:i/>
        </w:rPr>
        <w:t>,</w:t>
      </w:r>
      <w:r w:rsidR="00700796">
        <w:rPr>
          <w:i/>
        </w:rPr>
        <w:t xml:space="preserve"> 2010-11</w:t>
      </w:r>
      <w:r w:rsidR="00713287">
        <w:rPr>
          <w:i/>
        </w:rPr>
        <w:t xml:space="preserve">, </w:t>
      </w:r>
      <w:r w:rsidR="00713287">
        <w:t>Cat. no. 5260.55.0.001)</w:t>
      </w:r>
      <w:r w:rsidR="00C370E6">
        <w:t>;</w:t>
      </w:r>
      <w:r w:rsidR="00713287">
        <w:t xml:space="preserve"> </w:t>
      </w:r>
      <w:r w:rsidR="004661C9">
        <w:t>a</w:t>
      </w:r>
      <w:r>
        <w:t>uthor</w:t>
      </w:r>
      <w:r w:rsidR="00713287">
        <w:t>s’ estimates based on ABS (</w:t>
      </w:r>
      <w:r w:rsidR="00326FA7">
        <w:rPr>
          <w:i/>
        </w:rPr>
        <w:t xml:space="preserve">Private New Capital Expenditure and Expected Expenditure, </w:t>
      </w:r>
      <w:r w:rsidR="00350480" w:rsidRPr="00350480">
        <w:t>various issues,</w:t>
      </w:r>
      <w:r w:rsidR="00350480">
        <w:rPr>
          <w:i/>
        </w:rPr>
        <w:t xml:space="preserve"> </w:t>
      </w:r>
      <w:r w:rsidR="00326FA7">
        <w:t>Cat.</w:t>
      </w:r>
      <w:r w:rsidR="004C71A0">
        <w:t> </w:t>
      </w:r>
      <w:r w:rsidR="00326FA7">
        <w:t>no. 5625.0).</w:t>
      </w:r>
    </w:p>
    <w:p w:rsidR="008B593F" w:rsidRDefault="00E17A7A" w:rsidP="004A55A4">
      <w:pPr>
        <w:pStyle w:val="BodyText"/>
      </w:pPr>
      <w:r>
        <w:t xml:space="preserve">The greatest effect in moving to a </w:t>
      </w:r>
      <w:proofErr w:type="spellStart"/>
      <w:r>
        <w:t>PNCE</w:t>
      </w:r>
      <w:proofErr w:type="spellEnd"/>
      <w:r>
        <w:t xml:space="preserve">-based measure is in Metal products, where capital services growth is much slower under the </w:t>
      </w:r>
      <w:proofErr w:type="spellStart"/>
      <w:r>
        <w:t>PNCE</w:t>
      </w:r>
      <w:proofErr w:type="spellEnd"/>
      <w:r>
        <w:t>-based measure.</w:t>
      </w:r>
      <w:r w:rsidR="0045770C">
        <w:t xml:space="preserve"> </w:t>
      </w:r>
      <w:r w:rsidR="00E11469">
        <w:t xml:space="preserve">In addition, the </w:t>
      </w:r>
      <w:proofErr w:type="spellStart"/>
      <w:r w:rsidR="00E11469">
        <w:t>PNCE</w:t>
      </w:r>
      <w:proofErr w:type="spellEnd"/>
      <w:r w:rsidR="00E11469">
        <w:t xml:space="preserve">-based measure gives </w:t>
      </w:r>
      <w:r w:rsidR="00262D73">
        <w:t>Non</w:t>
      </w:r>
      <w:r w:rsidR="0045770C">
        <w:t>-metallic mineral products and</w:t>
      </w:r>
      <w:r w:rsidR="00C22B1C">
        <w:t xml:space="preserve"> Textiles, clothing and other</w:t>
      </w:r>
      <w:r w:rsidR="0045770C">
        <w:t xml:space="preserve"> </w:t>
      </w:r>
      <w:r w:rsidR="00D25CD4">
        <w:t xml:space="preserve">manufacturing </w:t>
      </w:r>
      <w:r w:rsidR="0045770C">
        <w:t>negative capital services growth over cycle</w:t>
      </w:r>
      <w:r w:rsidR="00F40258">
        <w:t xml:space="preserve"> 4</w:t>
      </w:r>
      <w:r w:rsidR="0045770C">
        <w:t xml:space="preserve">, compared </w:t>
      </w:r>
      <w:r w:rsidR="000D30F3">
        <w:t xml:space="preserve">with </w:t>
      </w:r>
      <w:r w:rsidR="0045770C">
        <w:t xml:space="preserve">positive growth under the </w:t>
      </w:r>
      <w:proofErr w:type="spellStart"/>
      <w:r w:rsidR="0045770C">
        <w:t>GFCF</w:t>
      </w:r>
      <w:proofErr w:type="spellEnd"/>
      <w:r w:rsidR="0045770C">
        <w:t xml:space="preserve">-based measure. </w:t>
      </w:r>
    </w:p>
    <w:p w:rsidR="00EE6E8A" w:rsidRDefault="00315913" w:rsidP="004A55A4">
      <w:pPr>
        <w:pStyle w:val="BodyText"/>
      </w:pPr>
      <w:r>
        <w:t xml:space="preserve">The change in capital services has an effect on MFP growth, and in turn affects the contributions made </w:t>
      </w:r>
      <w:r w:rsidR="001C0A28">
        <w:t>by the different subsectors over the period from cycle 3 to cycle</w:t>
      </w:r>
      <w:r w:rsidR="00350480">
        <w:t> </w:t>
      </w:r>
      <w:r w:rsidR="001C0A28">
        <w:t xml:space="preserve">4. </w:t>
      </w:r>
      <w:r w:rsidR="007E71ED">
        <w:t xml:space="preserve">Table </w:t>
      </w:r>
      <w:proofErr w:type="spellStart"/>
      <w:r w:rsidR="001478C2">
        <w:t>E.2</w:t>
      </w:r>
      <w:proofErr w:type="spellEnd"/>
      <w:r w:rsidR="007E71ED">
        <w:t xml:space="preserve"> shows the </w:t>
      </w:r>
      <w:r w:rsidR="00590476">
        <w:t xml:space="preserve">capital contribution made to MFP growth for the </w:t>
      </w:r>
      <w:proofErr w:type="spellStart"/>
      <w:r w:rsidR="00590476">
        <w:t>GFCF</w:t>
      </w:r>
      <w:proofErr w:type="spellEnd"/>
      <w:r w:rsidR="00817D05">
        <w:t>-</w:t>
      </w:r>
      <w:r w:rsidR="00590476">
        <w:t xml:space="preserve"> and </w:t>
      </w:r>
      <w:proofErr w:type="spellStart"/>
      <w:r w:rsidR="00590476">
        <w:t>PNCE</w:t>
      </w:r>
      <w:proofErr w:type="spellEnd"/>
      <w:r w:rsidR="00237DC4">
        <w:t>-based</w:t>
      </w:r>
      <w:r w:rsidR="00590476">
        <w:t xml:space="preserve"> measures between cycles 3 and 4.</w:t>
      </w:r>
    </w:p>
    <w:p w:rsidR="004404D2" w:rsidRDefault="004404D2">
      <w:pPr>
        <w:pStyle w:val="TableTitle"/>
      </w:pPr>
      <w:r>
        <w:rPr>
          <w:b w:val="0"/>
        </w:rPr>
        <w:lastRenderedPageBreak/>
        <w:t xml:space="preserve">Table </w:t>
      </w:r>
      <w:bookmarkStart w:id="6" w:name="OLE_LINK2"/>
      <w:proofErr w:type="spellStart"/>
      <w:r w:rsidR="0025046A">
        <w:rPr>
          <w:b w:val="0"/>
        </w:rPr>
        <w:t>E.</w:t>
      </w:r>
      <w:r w:rsidR="0082768F">
        <w:rPr>
          <w:b w:val="0"/>
          <w:noProof/>
        </w:rPr>
        <w:t>2</w:t>
      </w:r>
      <w:bookmarkEnd w:id="6"/>
      <w:proofErr w:type="spellEnd"/>
      <w:r>
        <w:tab/>
      </w:r>
      <w:r w:rsidR="001F2BAC">
        <w:t>Subsector c</w:t>
      </w:r>
      <w:r w:rsidR="00783D0C">
        <w:t>ontribution</w:t>
      </w:r>
      <w:r w:rsidR="001F2BAC">
        <w:t>s</w:t>
      </w:r>
      <w:r w:rsidR="00783D0C">
        <w:t xml:space="preserve"> to</w:t>
      </w:r>
      <w:r w:rsidR="001F2BAC">
        <w:t xml:space="preserve"> the change in Manufacturing </w:t>
      </w:r>
      <w:r w:rsidR="00783D0C">
        <w:t xml:space="preserve">MFP growth </w:t>
      </w:r>
      <w:r w:rsidR="001F2BAC">
        <w:t xml:space="preserve">between </w:t>
      </w:r>
      <w:r w:rsidR="00783D0C">
        <w:t>cycle</w:t>
      </w:r>
      <w:r w:rsidR="001F2BAC">
        <w:t>s</w:t>
      </w:r>
      <w:r w:rsidR="00783D0C">
        <w:t xml:space="preserve"> 3 </w:t>
      </w:r>
      <w:r w:rsidR="001F2BAC">
        <w:t>and</w:t>
      </w:r>
      <w:r w:rsidR="00783D0C">
        <w:t xml:space="preserve"> 4, based on </w:t>
      </w:r>
      <w:proofErr w:type="spellStart"/>
      <w:r w:rsidR="00783D0C">
        <w:t>GFCF</w:t>
      </w:r>
      <w:proofErr w:type="spellEnd"/>
      <w:r w:rsidR="00783D0C">
        <w:t xml:space="preserve">-apportioned and </w:t>
      </w:r>
      <w:proofErr w:type="spellStart"/>
      <w:r w:rsidR="00783D0C">
        <w:t>PNCE</w:t>
      </w:r>
      <w:proofErr w:type="spellEnd"/>
      <w:r w:rsidR="00783D0C">
        <w:t>-based capital services measures</w:t>
      </w:r>
      <w:r w:rsidR="00690DDC" w:rsidRPr="00690DDC">
        <w:rPr>
          <w:rStyle w:val="NoteLabel"/>
          <w:b/>
        </w:rPr>
        <w:t>a</w:t>
      </w:r>
    </w:p>
    <w:p w:rsidR="004404D2" w:rsidRDefault="007D5F0E">
      <w:pPr>
        <w:pStyle w:val="Subtitle"/>
      </w:pPr>
      <w:r>
        <w:t>Percentage points</w:t>
      </w:r>
    </w:p>
    <w:tbl>
      <w:tblPr>
        <w:tblW w:w="5000" w:type="pct"/>
        <w:tblCellMar>
          <w:left w:w="0" w:type="dxa"/>
          <w:right w:w="0" w:type="dxa"/>
        </w:tblCellMar>
        <w:tblLook w:val="0000" w:firstRow="0" w:lastRow="0" w:firstColumn="0" w:lastColumn="0" w:noHBand="0" w:noVBand="0"/>
      </w:tblPr>
      <w:tblGrid>
        <w:gridCol w:w="3786"/>
        <w:gridCol w:w="1742"/>
        <w:gridCol w:w="1593"/>
        <w:gridCol w:w="1668"/>
      </w:tblGrid>
      <w:tr w:rsidR="004404D2" w:rsidTr="00D25CD4">
        <w:tc>
          <w:tcPr>
            <w:tcW w:w="2154" w:type="pct"/>
            <w:tcBorders>
              <w:top w:val="single" w:sz="6" w:space="0" w:color="auto"/>
              <w:bottom w:val="single" w:sz="6" w:space="0" w:color="auto"/>
            </w:tcBorders>
            <w:shd w:val="clear" w:color="auto" w:fill="auto"/>
            <w:vAlign w:val="bottom"/>
          </w:tcPr>
          <w:p w:rsidR="004404D2" w:rsidRDefault="007D5F0E" w:rsidP="00D25CD4">
            <w:pPr>
              <w:pStyle w:val="TableColumnHeading"/>
              <w:ind w:right="0"/>
              <w:jc w:val="left"/>
            </w:pPr>
            <w:r>
              <w:t>Subsector</w:t>
            </w:r>
          </w:p>
        </w:tc>
        <w:tc>
          <w:tcPr>
            <w:tcW w:w="991" w:type="pct"/>
            <w:tcBorders>
              <w:top w:val="single" w:sz="6" w:space="0" w:color="auto"/>
              <w:bottom w:val="single" w:sz="6" w:space="0" w:color="auto"/>
            </w:tcBorders>
            <w:shd w:val="clear" w:color="auto" w:fill="auto"/>
            <w:vAlign w:val="bottom"/>
          </w:tcPr>
          <w:p w:rsidR="004404D2" w:rsidRDefault="00783D0C" w:rsidP="00F57DE9">
            <w:pPr>
              <w:pStyle w:val="TableColumnHeading"/>
              <w:ind w:right="0"/>
            </w:pPr>
            <w:proofErr w:type="spellStart"/>
            <w:r>
              <w:t>GFCF</w:t>
            </w:r>
            <w:proofErr w:type="spellEnd"/>
            <w:r>
              <w:t>-apportioned MFP</w:t>
            </w:r>
          </w:p>
        </w:tc>
        <w:tc>
          <w:tcPr>
            <w:tcW w:w="906" w:type="pct"/>
            <w:tcBorders>
              <w:top w:val="single" w:sz="6" w:space="0" w:color="auto"/>
              <w:bottom w:val="single" w:sz="6" w:space="0" w:color="auto"/>
            </w:tcBorders>
            <w:shd w:val="clear" w:color="auto" w:fill="auto"/>
            <w:vAlign w:val="bottom"/>
          </w:tcPr>
          <w:p w:rsidR="004404D2" w:rsidRDefault="00783D0C" w:rsidP="007D5F0E">
            <w:pPr>
              <w:pStyle w:val="TableColumnHeading"/>
            </w:pPr>
            <w:proofErr w:type="spellStart"/>
            <w:r>
              <w:t>PNCE</w:t>
            </w:r>
            <w:proofErr w:type="spellEnd"/>
            <w:r>
              <w:t>-based MFP</w:t>
            </w:r>
          </w:p>
        </w:tc>
        <w:tc>
          <w:tcPr>
            <w:tcW w:w="949" w:type="pct"/>
            <w:tcBorders>
              <w:top w:val="single" w:sz="6" w:space="0" w:color="auto"/>
              <w:bottom w:val="single" w:sz="6" w:space="0" w:color="auto"/>
            </w:tcBorders>
            <w:shd w:val="clear" w:color="auto" w:fill="auto"/>
            <w:vAlign w:val="bottom"/>
          </w:tcPr>
          <w:p w:rsidR="004404D2" w:rsidRDefault="00783D0C" w:rsidP="007D5F0E">
            <w:pPr>
              <w:pStyle w:val="TableColumnHeading"/>
              <w:ind w:right="28"/>
            </w:pPr>
            <w:r>
              <w:t>Difference</w:t>
            </w:r>
          </w:p>
        </w:tc>
      </w:tr>
      <w:tr w:rsidR="00F57DE9" w:rsidTr="00D25CD4">
        <w:tc>
          <w:tcPr>
            <w:tcW w:w="2154" w:type="pct"/>
            <w:tcBorders>
              <w:top w:val="single" w:sz="4" w:space="0" w:color="auto"/>
            </w:tcBorders>
            <w:shd w:val="clear" w:color="auto" w:fill="D9D9D9" w:themeFill="background1" w:themeFillShade="D9"/>
            <w:vAlign w:val="bottom"/>
          </w:tcPr>
          <w:p w:rsidR="00DD5FE8" w:rsidRDefault="00DD5FE8" w:rsidP="001B1A87">
            <w:pPr>
              <w:pStyle w:val="TableBodyText"/>
              <w:spacing w:before="60"/>
              <w:jc w:val="left"/>
            </w:pPr>
            <w:r>
              <w:t>Food, beverage &amp; tobacco products</w:t>
            </w:r>
          </w:p>
        </w:tc>
        <w:tc>
          <w:tcPr>
            <w:tcW w:w="991" w:type="pct"/>
            <w:tcBorders>
              <w:top w:val="single" w:sz="4" w:space="0" w:color="auto"/>
            </w:tcBorders>
            <w:shd w:val="clear" w:color="auto" w:fill="D9D9D9" w:themeFill="background1" w:themeFillShade="D9"/>
            <w:vAlign w:val="bottom"/>
          </w:tcPr>
          <w:p w:rsidR="00DD5FE8" w:rsidRDefault="00DD5FE8" w:rsidP="001B1A87">
            <w:pPr>
              <w:pStyle w:val="TableBodyText"/>
              <w:spacing w:before="60"/>
            </w:pPr>
            <w:r>
              <w:t>-0.73</w:t>
            </w:r>
          </w:p>
        </w:tc>
        <w:tc>
          <w:tcPr>
            <w:tcW w:w="906" w:type="pct"/>
            <w:tcBorders>
              <w:top w:val="single" w:sz="4" w:space="0" w:color="auto"/>
            </w:tcBorders>
            <w:shd w:val="clear" w:color="auto" w:fill="D9D9D9" w:themeFill="background1" w:themeFillShade="D9"/>
            <w:vAlign w:val="bottom"/>
          </w:tcPr>
          <w:p w:rsidR="00DD5FE8" w:rsidRDefault="00DD5FE8" w:rsidP="001B1A87">
            <w:pPr>
              <w:pStyle w:val="TableBodyText"/>
              <w:spacing w:before="60"/>
            </w:pPr>
            <w:r>
              <w:t>-0.65</w:t>
            </w:r>
          </w:p>
        </w:tc>
        <w:tc>
          <w:tcPr>
            <w:tcW w:w="949" w:type="pct"/>
            <w:tcBorders>
              <w:top w:val="single" w:sz="4" w:space="0" w:color="auto"/>
            </w:tcBorders>
            <w:shd w:val="clear" w:color="auto" w:fill="D9D9D9" w:themeFill="background1" w:themeFillShade="D9"/>
            <w:vAlign w:val="bottom"/>
          </w:tcPr>
          <w:p w:rsidR="00DD5FE8" w:rsidRDefault="00DD5FE8" w:rsidP="001B1A87">
            <w:pPr>
              <w:pStyle w:val="TableBodyText"/>
              <w:spacing w:before="60"/>
            </w:pPr>
            <w:r>
              <w:t>0.08</w:t>
            </w:r>
          </w:p>
        </w:tc>
      </w:tr>
      <w:tr w:rsidR="00F57DE9" w:rsidTr="00D25CD4">
        <w:tc>
          <w:tcPr>
            <w:tcW w:w="2154" w:type="pct"/>
            <w:shd w:val="clear" w:color="auto" w:fill="auto"/>
            <w:vAlign w:val="bottom"/>
          </w:tcPr>
          <w:p w:rsidR="00DD5FE8" w:rsidRDefault="00DD5FE8" w:rsidP="001B1A87">
            <w:pPr>
              <w:pStyle w:val="TableBodyText"/>
              <w:spacing w:before="20"/>
              <w:jc w:val="left"/>
            </w:pPr>
            <w:r>
              <w:t xml:space="preserve">Textile, clothing &amp; other </w:t>
            </w:r>
            <w:proofErr w:type="spellStart"/>
            <w:r>
              <w:t>mfg</w:t>
            </w:r>
            <w:proofErr w:type="spellEnd"/>
          </w:p>
        </w:tc>
        <w:tc>
          <w:tcPr>
            <w:tcW w:w="991" w:type="pct"/>
            <w:shd w:val="clear" w:color="auto" w:fill="auto"/>
            <w:vAlign w:val="bottom"/>
          </w:tcPr>
          <w:p w:rsidR="00DD5FE8" w:rsidRDefault="00DD5FE8" w:rsidP="001B1A87">
            <w:pPr>
              <w:pStyle w:val="TableBodyText"/>
              <w:spacing w:before="20"/>
            </w:pPr>
            <w:r>
              <w:t>-0.40</w:t>
            </w:r>
          </w:p>
        </w:tc>
        <w:tc>
          <w:tcPr>
            <w:tcW w:w="906" w:type="pct"/>
            <w:shd w:val="clear" w:color="auto" w:fill="auto"/>
            <w:vAlign w:val="bottom"/>
          </w:tcPr>
          <w:p w:rsidR="00DD5FE8" w:rsidRDefault="00DD5FE8" w:rsidP="001B1A87">
            <w:pPr>
              <w:pStyle w:val="TableBodyText"/>
              <w:spacing w:before="20"/>
            </w:pPr>
            <w:r>
              <w:t>-0.38</w:t>
            </w:r>
          </w:p>
        </w:tc>
        <w:tc>
          <w:tcPr>
            <w:tcW w:w="949" w:type="pct"/>
            <w:shd w:val="clear" w:color="auto" w:fill="auto"/>
            <w:vAlign w:val="bottom"/>
          </w:tcPr>
          <w:p w:rsidR="00DD5FE8" w:rsidRDefault="00DD5FE8" w:rsidP="001B1A87">
            <w:pPr>
              <w:pStyle w:val="TableBodyText"/>
              <w:spacing w:before="20"/>
            </w:pPr>
            <w:r>
              <w:t>0.02</w:t>
            </w:r>
          </w:p>
        </w:tc>
      </w:tr>
      <w:tr w:rsidR="00F57DE9" w:rsidTr="00D25CD4">
        <w:tc>
          <w:tcPr>
            <w:tcW w:w="2154" w:type="pct"/>
            <w:shd w:val="clear" w:color="auto" w:fill="D9D9D9" w:themeFill="background1" w:themeFillShade="D9"/>
            <w:vAlign w:val="bottom"/>
          </w:tcPr>
          <w:p w:rsidR="00DD5FE8" w:rsidRDefault="00DD5FE8" w:rsidP="001B1A87">
            <w:pPr>
              <w:pStyle w:val="TableBodyText"/>
              <w:spacing w:before="20"/>
              <w:jc w:val="left"/>
            </w:pPr>
            <w:r>
              <w:t>Wood &amp; paper products</w:t>
            </w:r>
          </w:p>
        </w:tc>
        <w:tc>
          <w:tcPr>
            <w:tcW w:w="991" w:type="pct"/>
            <w:shd w:val="clear" w:color="auto" w:fill="D9D9D9" w:themeFill="background1" w:themeFillShade="D9"/>
            <w:vAlign w:val="bottom"/>
          </w:tcPr>
          <w:p w:rsidR="00DD5FE8" w:rsidRDefault="00DD5FE8" w:rsidP="001B1A87">
            <w:pPr>
              <w:pStyle w:val="TableBodyText"/>
              <w:spacing w:before="20"/>
            </w:pPr>
            <w:r>
              <w:t>0.03</w:t>
            </w:r>
          </w:p>
        </w:tc>
        <w:tc>
          <w:tcPr>
            <w:tcW w:w="906" w:type="pct"/>
            <w:shd w:val="clear" w:color="auto" w:fill="D9D9D9" w:themeFill="background1" w:themeFillShade="D9"/>
            <w:vAlign w:val="bottom"/>
          </w:tcPr>
          <w:p w:rsidR="00DD5FE8" w:rsidRDefault="00DD5FE8" w:rsidP="001B1A87">
            <w:pPr>
              <w:pStyle w:val="TableBodyText"/>
              <w:spacing w:before="20"/>
            </w:pPr>
            <w:r>
              <w:t>0.05</w:t>
            </w:r>
          </w:p>
        </w:tc>
        <w:tc>
          <w:tcPr>
            <w:tcW w:w="949" w:type="pct"/>
            <w:shd w:val="clear" w:color="auto" w:fill="D9D9D9" w:themeFill="background1" w:themeFillShade="D9"/>
            <w:vAlign w:val="bottom"/>
          </w:tcPr>
          <w:p w:rsidR="00DD5FE8" w:rsidRDefault="00DD5FE8" w:rsidP="001B1A87">
            <w:pPr>
              <w:pStyle w:val="TableBodyText"/>
              <w:spacing w:before="20"/>
            </w:pPr>
            <w:r>
              <w:t>0.02</w:t>
            </w:r>
          </w:p>
        </w:tc>
      </w:tr>
      <w:tr w:rsidR="00F57DE9" w:rsidTr="00D25CD4">
        <w:tc>
          <w:tcPr>
            <w:tcW w:w="2154" w:type="pct"/>
            <w:shd w:val="clear" w:color="auto" w:fill="auto"/>
            <w:vAlign w:val="bottom"/>
          </w:tcPr>
          <w:p w:rsidR="00DD5FE8" w:rsidRDefault="00DD5FE8" w:rsidP="001B1A87">
            <w:pPr>
              <w:pStyle w:val="TableBodyText"/>
              <w:spacing w:before="20"/>
              <w:jc w:val="left"/>
            </w:pPr>
            <w:r>
              <w:t>Printing &amp; recorded media</w:t>
            </w:r>
          </w:p>
        </w:tc>
        <w:tc>
          <w:tcPr>
            <w:tcW w:w="991" w:type="pct"/>
            <w:shd w:val="clear" w:color="auto" w:fill="auto"/>
            <w:vAlign w:val="bottom"/>
          </w:tcPr>
          <w:p w:rsidR="00DD5FE8" w:rsidRDefault="00DD5FE8" w:rsidP="001B1A87">
            <w:pPr>
              <w:pStyle w:val="TableBodyText"/>
              <w:spacing w:before="20"/>
            </w:pPr>
            <w:r>
              <w:t>-0.35</w:t>
            </w:r>
          </w:p>
        </w:tc>
        <w:tc>
          <w:tcPr>
            <w:tcW w:w="906" w:type="pct"/>
            <w:shd w:val="clear" w:color="auto" w:fill="auto"/>
            <w:vAlign w:val="bottom"/>
          </w:tcPr>
          <w:p w:rsidR="00DD5FE8" w:rsidRDefault="00DD5FE8" w:rsidP="001B1A87">
            <w:pPr>
              <w:pStyle w:val="TableBodyText"/>
              <w:spacing w:before="20"/>
            </w:pPr>
            <w:r>
              <w:t>-0.33</w:t>
            </w:r>
          </w:p>
        </w:tc>
        <w:tc>
          <w:tcPr>
            <w:tcW w:w="949" w:type="pct"/>
            <w:shd w:val="clear" w:color="auto" w:fill="auto"/>
            <w:vAlign w:val="bottom"/>
          </w:tcPr>
          <w:p w:rsidR="00DD5FE8" w:rsidRDefault="00DD5FE8" w:rsidP="001B1A87">
            <w:pPr>
              <w:pStyle w:val="TableBodyText"/>
              <w:spacing w:before="20"/>
            </w:pPr>
            <w:r>
              <w:t>0.02</w:t>
            </w:r>
          </w:p>
        </w:tc>
      </w:tr>
      <w:tr w:rsidR="00F57DE9" w:rsidTr="00D25CD4">
        <w:tc>
          <w:tcPr>
            <w:tcW w:w="2154" w:type="pct"/>
            <w:shd w:val="clear" w:color="auto" w:fill="D9D9D9" w:themeFill="background1" w:themeFillShade="D9"/>
            <w:vAlign w:val="bottom"/>
          </w:tcPr>
          <w:p w:rsidR="00DD5FE8" w:rsidRDefault="00DD5FE8" w:rsidP="001B1A87">
            <w:pPr>
              <w:pStyle w:val="TableBodyText"/>
              <w:spacing w:before="20"/>
              <w:jc w:val="left"/>
            </w:pPr>
            <w:r>
              <w:t>Petroleum, coal, chemical &amp; rubber prod.</w:t>
            </w:r>
          </w:p>
        </w:tc>
        <w:tc>
          <w:tcPr>
            <w:tcW w:w="991" w:type="pct"/>
            <w:shd w:val="clear" w:color="auto" w:fill="D9D9D9" w:themeFill="background1" w:themeFillShade="D9"/>
            <w:vAlign w:val="bottom"/>
          </w:tcPr>
          <w:p w:rsidR="00DD5FE8" w:rsidRDefault="00DD5FE8" w:rsidP="001B1A87">
            <w:pPr>
              <w:pStyle w:val="TableBodyText"/>
              <w:spacing w:before="20"/>
            </w:pPr>
            <w:r>
              <w:t>-0.81</w:t>
            </w:r>
          </w:p>
        </w:tc>
        <w:tc>
          <w:tcPr>
            <w:tcW w:w="906" w:type="pct"/>
            <w:shd w:val="clear" w:color="auto" w:fill="D9D9D9" w:themeFill="background1" w:themeFillShade="D9"/>
            <w:vAlign w:val="bottom"/>
          </w:tcPr>
          <w:p w:rsidR="00DD5FE8" w:rsidRDefault="00DD5FE8" w:rsidP="001B1A87">
            <w:pPr>
              <w:pStyle w:val="TableBodyText"/>
              <w:spacing w:before="20"/>
            </w:pPr>
            <w:r>
              <w:t>-0.81</w:t>
            </w:r>
          </w:p>
        </w:tc>
        <w:tc>
          <w:tcPr>
            <w:tcW w:w="949" w:type="pct"/>
            <w:shd w:val="clear" w:color="auto" w:fill="D9D9D9" w:themeFill="background1" w:themeFillShade="D9"/>
            <w:vAlign w:val="bottom"/>
          </w:tcPr>
          <w:p w:rsidR="00DD5FE8" w:rsidRDefault="00DD5FE8" w:rsidP="001B1A87">
            <w:pPr>
              <w:pStyle w:val="TableBodyText"/>
              <w:spacing w:before="20"/>
            </w:pPr>
            <w:r>
              <w:t>0.00</w:t>
            </w:r>
          </w:p>
        </w:tc>
      </w:tr>
      <w:tr w:rsidR="00F57DE9" w:rsidTr="00D25CD4">
        <w:tc>
          <w:tcPr>
            <w:tcW w:w="2154" w:type="pct"/>
            <w:shd w:val="clear" w:color="auto" w:fill="auto"/>
            <w:vAlign w:val="bottom"/>
          </w:tcPr>
          <w:p w:rsidR="00DD5FE8" w:rsidRDefault="00DD5FE8" w:rsidP="001B1A87">
            <w:pPr>
              <w:pStyle w:val="TableBodyText"/>
              <w:spacing w:before="20"/>
              <w:jc w:val="left"/>
            </w:pPr>
            <w:r>
              <w:t>Non-metallic mineral products</w:t>
            </w:r>
          </w:p>
        </w:tc>
        <w:tc>
          <w:tcPr>
            <w:tcW w:w="991" w:type="pct"/>
            <w:shd w:val="clear" w:color="auto" w:fill="auto"/>
            <w:vAlign w:val="bottom"/>
          </w:tcPr>
          <w:p w:rsidR="00DD5FE8" w:rsidRDefault="00DD5FE8" w:rsidP="001B1A87">
            <w:pPr>
              <w:pStyle w:val="TableBodyText"/>
              <w:spacing w:before="20"/>
            </w:pPr>
            <w:r>
              <w:t>-0.07</w:t>
            </w:r>
          </w:p>
        </w:tc>
        <w:tc>
          <w:tcPr>
            <w:tcW w:w="906" w:type="pct"/>
            <w:shd w:val="clear" w:color="auto" w:fill="auto"/>
            <w:vAlign w:val="bottom"/>
          </w:tcPr>
          <w:p w:rsidR="00DD5FE8" w:rsidRDefault="00DD5FE8" w:rsidP="001B1A87">
            <w:pPr>
              <w:pStyle w:val="TableBodyText"/>
              <w:spacing w:before="20"/>
            </w:pPr>
            <w:r>
              <w:t>-0.05</w:t>
            </w:r>
          </w:p>
        </w:tc>
        <w:tc>
          <w:tcPr>
            <w:tcW w:w="949" w:type="pct"/>
            <w:shd w:val="clear" w:color="auto" w:fill="auto"/>
            <w:vAlign w:val="bottom"/>
          </w:tcPr>
          <w:p w:rsidR="00DD5FE8" w:rsidRDefault="00DD5FE8" w:rsidP="001B1A87">
            <w:pPr>
              <w:pStyle w:val="TableBodyText"/>
              <w:spacing w:before="20"/>
            </w:pPr>
            <w:r>
              <w:t>0.02</w:t>
            </w:r>
          </w:p>
        </w:tc>
      </w:tr>
      <w:tr w:rsidR="00F57DE9" w:rsidTr="00D25CD4">
        <w:tc>
          <w:tcPr>
            <w:tcW w:w="2154" w:type="pct"/>
            <w:shd w:val="clear" w:color="auto" w:fill="D9D9D9" w:themeFill="background1" w:themeFillShade="D9"/>
            <w:vAlign w:val="bottom"/>
          </w:tcPr>
          <w:p w:rsidR="00DD5FE8" w:rsidRDefault="00DD5FE8" w:rsidP="001B1A87">
            <w:pPr>
              <w:pStyle w:val="TableBodyText"/>
              <w:spacing w:before="20"/>
              <w:jc w:val="left"/>
            </w:pPr>
            <w:r>
              <w:t>Metal products</w:t>
            </w:r>
          </w:p>
        </w:tc>
        <w:tc>
          <w:tcPr>
            <w:tcW w:w="991" w:type="pct"/>
            <w:shd w:val="clear" w:color="auto" w:fill="D9D9D9" w:themeFill="background1" w:themeFillShade="D9"/>
            <w:vAlign w:val="bottom"/>
          </w:tcPr>
          <w:p w:rsidR="00DD5FE8" w:rsidRDefault="00DD5FE8" w:rsidP="001B1A87">
            <w:pPr>
              <w:pStyle w:val="TableBodyText"/>
              <w:spacing w:before="20"/>
            </w:pPr>
            <w:r>
              <w:t>-0.42</w:t>
            </w:r>
          </w:p>
        </w:tc>
        <w:tc>
          <w:tcPr>
            <w:tcW w:w="906" w:type="pct"/>
            <w:shd w:val="clear" w:color="auto" w:fill="D9D9D9" w:themeFill="background1" w:themeFillShade="D9"/>
            <w:vAlign w:val="bottom"/>
          </w:tcPr>
          <w:p w:rsidR="00DD5FE8" w:rsidRDefault="00DD5FE8" w:rsidP="001B1A87">
            <w:pPr>
              <w:pStyle w:val="TableBodyText"/>
              <w:spacing w:before="20"/>
            </w:pPr>
            <w:r>
              <w:t>-0.25</w:t>
            </w:r>
          </w:p>
        </w:tc>
        <w:tc>
          <w:tcPr>
            <w:tcW w:w="949" w:type="pct"/>
            <w:shd w:val="clear" w:color="auto" w:fill="D9D9D9" w:themeFill="background1" w:themeFillShade="D9"/>
            <w:vAlign w:val="bottom"/>
          </w:tcPr>
          <w:p w:rsidR="00DD5FE8" w:rsidRDefault="00DD5FE8" w:rsidP="001B1A87">
            <w:pPr>
              <w:pStyle w:val="TableBodyText"/>
              <w:spacing w:before="20"/>
            </w:pPr>
            <w:r>
              <w:t>0.17</w:t>
            </w:r>
          </w:p>
        </w:tc>
      </w:tr>
      <w:tr w:rsidR="00F57DE9" w:rsidTr="00D25CD4">
        <w:tc>
          <w:tcPr>
            <w:tcW w:w="2154" w:type="pct"/>
            <w:shd w:val="clear" w:color="auto" w:fill="auto"/>
            <w:vAlign w:val="bottom"/>
          </w:tcPr>
          <w:p w:rsidR="00DD5FE8" w:rsidRDefault="00DD5FE8" w:rsidP="001B1A87">
            <w:pPr>
              <w:pStyle w:val="TableBodyText"/>
              <w:spacing w:before="20"/>
              <w:jc w:val="left"/>
            </w:pPr>
            <w:r>
              <w:t xml:space="preserve">Machinery &amp; equipment </w:t>
            </w:r>
            <w:proofErr w:type="spellStart"/>
            <w:r>
              <w:t>mfg</w:t>
            </w:r>
            <w:proofErr w:type="spellEnd"/>
          </w:p>
        </w:tc>
        <w:tc>
          <w:tcPr>
            <w:tcW w:w="991" w:type="pct"/>
            <w:shd w:val="clear" w:color="auto" w:fill="auto"/>
            <w:vAlign w:val="bottom"/>
          </w:tcPr>
          <w:p w:rsidR="00DD5FE8" w:rsidRDefault="00DD5FE8" w:rsidP="001B1A87">
            <w:pPr>
              <w:pStyle w:val="TableBodyText"/>
              <w:spacing w:before="20"/>
            </w:pPr>
            <w:r>
              <w:t>-0.32</w:t>
            </w:r>
          </w:p>
        </w:tc>
        <w:tc>
          <w:tcPr>
            <w:tcW w:w="906" w:type="pct"/>
            <w:shd w:val="clear" w:color="auto" w:fill="auto"/>
            <w:vAlign w:val="bottom"/>
          </w:tcPr>
          <w:p w:rsidR="00DD5FE8" w:rsidRDefault="00DD5FE8" w:rsidP="001B1A87">
            <w:pPr>
              <w:pStyle w:val="TableBodyText"/>
              <w:spacing w:before="20"/>
            </w:pPr>
            <w:r>
              <w:t>-0.28</w:t>
            </w:r>
          </w:p>
        </w:tc>
        <w:tc>
          <w:tcPr>
            <w:tcW w:w="949" w:type="pct"/>
            <w:shd w:val="clear" w:color="auto" w:fill="auto"/>
            <w:vAlign w:val="bottom"/>
          </w:tcPr>
          <w:p w:rsidR="00DD5FE8" w:rsidRDefault="00DD5FE8" w:rsidP="001B1A87">
            <w:pPr>
              <w:pStyle w:val="TableBodyText"/>
              <w:spacing w:before="20"/>
            </w:pPr>
            <w:r>
              <w:t>0.05</w:t>
            </w:r>
          </w:p>
        </w:tc>
      </w:tr>
      <w:tr w:rsidR="00F57DE9" w:rsidTr="00D25CD4">
        <w:tc>
          <w:tcPr>
            <w:tcW w:w="2154" w:type="pct"/>
            <w:tcBorders>
              <w:bottom w:val="single" w:sz="4" w:space="0" w:color="auto"/>
            </w:tcBorders>
            <w:shd w:val="clear" w:color="auto" w:fill="D9D9D9" w:themeFill="background1" w:themeFillShade="D9"/>
            <w:vAlign w:val="bottom"/>
          </w:tcPr>
          <w:p w:rsidR="00783D0C" w:rsidRPr="00512231" w:rsidRDefault="00B36662" w:rsidP="001B1A87">
            <w:pPr>
              <w:pStyle w:val="TableBodyText"/>
              <w:spacing w:before="60"/>
              <w:jc w:val="left"/>
              <w:rPr>
                <w:b/>
              </w:rPr>
            </w:pPr>
            <w:r>
              <w:rPr>
                <w:b/>
              </w:rPr>
              <w:t>Aggregate of subsectors</w:t>
            </w:r>
            <w:r w:rsidR="002E11A6">
              <w:rPr>
                <w:rStyle w:val="NoteLabel"/>
              </w:rPr>
              <w:t>b</w:t>
            </w:r>
          </w:p>
        </w:tc>
        <w:tc>
          <w:tcPr>
            <w:tcW w:w="991" w:type="pct"/>
            <w:tcBorders>
              <w:bottom w:val="single" w:sz="4" w:space="0" w:color="auto"/>
            </w:tcBorders>
            <w:shd w:val="clear" w:color="auto" w:fill="D9D9D9" w:themeFill="background1" w:themeFillShade="D9"/>
            <w:vAlign w:val="bottom"/>
          </w:tcPr>
          <w:p w:rsidR="00783D0C" w:rsidRPr="004E1315" w:rsidRDefault="00783D0C" w:rsidP="001B1A87">
            <w:pPr>
              <w:pStyle w:val="TableBodyText"/>
              <w:spacing w:before="60"/>
              <w:rPr>
                <w:b/>
              </w:rPr>
            </w:pPr>
            <w:r w:rsidRPr="004E1315">
              <w:rPr>
                <w:b/>
              </w:rPr>
              <w:t>-3.08</w:t>
            </w:r>
          </w:p>
        </w:tc>
        <w:tc>
          <w:tcPr>
            <w:tcW w:w="906" w:type="pct"/>
            <w:tcBorders>
              <w:bottom w:val="single" w:sz="4" w:space="0" w:color="auto"/>
            </w:tcBorders>
            <w:shd w:val="clear" w:color="auto" w:fill="D9D9D9" w:themeFill="background1" w:themeFillShade="D9"/>
            <w:vAlign w:val="bottom"/>
          </w:tcPr>
          <w:p w:rsidR="00783D0C" w:rsidRPr="004E1315" w:rsidRDefault="00783D0C" w:rsidP="001B1A87">
            <w:pPr>
              <w:pStyle w:val="TableBodyText"/>
              <w:spacing w:before="60"/>
              <w:rPr>
                <w:b/>
              </w:rPr>
            </w:pPr>
            <w:r w:rsidRPr="004E1315">
              <w:rPr>
                <w:b/>
              </w:rPr>
              <w:t>-2.70</w:t>
            </w:r>
          </w:p>
        </w:tc>
        <w:tc>
          <w:tcPr>
            <w:tcW w:w="949" w:type="pct"/>
            <w:tcBorders>
              <w:bottom w:val="single" w:sz="4" w:space="0" w:color="auto"/>
            </w:tcBorders>
            <w:shd w:val="clear" w:color="auto" w:fill="D9D9D9" w:themeFill="background1" w:themeFillShade="D9"/>
            <w:vAlign w:val="bottom"/>
          </w:tcPr>
          <w:p w:rsidR="00783D0C" w:rsidRPr="004E1315" w:rsidRDefault="00783D0C" w:rsidP="001B1A87">
            <w:pPr>
              <w:pStyle w:val="TableBodyText"/>
              <w:spacing w:before="60"/>
              <w:rPr>
                <w:b/>
              </w:rPr>
            </w:pPr>
            <w:r w:rsidRPr="004E1315">
              <w:rPr>
                <w:b/>
              </w:rPr>
              <w:t>0.38</w:t>
            </w:r>
          </w:p>
        </w:tc>
      </w:tr>
    </w:tbl>
    <w:p w:rsidR="00F52581" w:rsidRDefault="002E11A6" w:rsidP="004404D2">
      <w:pPr>
        <w:pStyle w:val="Note"/>
      </w:pPr>
      <w:r w:rsidRPr="004404D2">
        <w:rPr>
          <w:rStyle w:val="NoteLabel"/>
        </w:rPr>
        <w:t>a</w:t>
      </w:r>
      <w:r>
        <w:t xml:space="preserve"> Note that the contributions are negative, as growth in capital inputs </w:t>
      </w:r>
      <w:r w:rsidR="00280157">
        <w:t>reduces</w:t>
      </w:r>
      <w:r>
        <w:t xml:space="preserve"> MFP growth.</w:t>
      </w:r>
      <w:r w:rsidRPr="002E11A6">
        <w:rPr>
          <w:rStyle w:val="NoteLabel"/>
        </w:rPr>
        <w:t xml:space="preserve"> </w:t>
      </w:r>
      <w:r>
        <w:rPr>
          <w:rStyle w:val="NoteLabel"/>
        </w:rPr>
        <w:t>b</w:t>
      </w:r>
      <w:r>
        <w:t xml:space="preserve"> The sum of contributions. Based on methodology discussed in </w:t>
      </w:r>
      <w:r w:rsidRPr="00C02E7F">
        <w:t>Parham (2012).</w:t>
      </w:r>
    </w:p>
    <w:p w:rsidR="004404D2" w:rsidRPr="004404D2" w:rsidRDefault="004404D2" w:rsidP="004404D2">
      <w:pPr>
        <w:pStyle w:val="Source"/>
      </w:pPr>
      <w:r>
        <w:rPr>
          <w:i/>
        </w:rPr>
        <w:t>Source</w:t>
      </w:r>
      <w:r>
        <w:t xml:space="preserve">: </w:t>
      </w:r>
      <w:r w:rsidR="00783D0C">
        <w:t>Authors’ estimates.</w:t>
      </w:r>
    </w:p>
    <w:p w:rsidR="00BD396B" w:rsidRDefault="00CF57E7" w:rsidP="004A55A4">
      <w:pPr>
        <w:pStyle w:val="BodyText"/>
      </w:pPr>
      <w:r>
        <w:t xml:space="preserve">The use of a </w:t>
      </w:r>
      <w:proofErr w:type="spellStart"/>
      <w:r>
        <w:t>PNCE</w:t>
      </w:r>
      <w:proofErr w:type="spellEnd"/>
      <w:r>
        <w:t xml:space="preserve">-based capital services measures reduces the decline in productivity from cycle 3 to cycle 4, but there is still a marked decline in </w:t>
      </w:r>
      <w:r w:rsidR="00BD396B">
        <w:t xml:space="preserve">Manufacturing </w:t>
      </w:r>
      <w:r>
        <w:t xml:space="preserve">MFP regardless of which series is used. Within </w:t>
      </w:r>
      <w:r w:rsidR="00610A48">
        <w:t>M</w:t>
      </w:r>
      <w:r>
        <w:t xml:space="preserve">anufacturing, the use of the </w:t>
      </w:r>
      <w:proofErr w:type="spellStart"/>
      <w:r>
        <w:t>PNCE</w:t>
      </w:r>
      <w:proofErr w:type="spellEnd"/>
      <w:r>
        <w:t>-based measure of capital services does have an effect on contributions of the different subsectors</w:t>
      </w:r>
      <w:r w:rsidR="002509AF">
        <w:t>;</w:t>
      </w:r>
      <w:r>
        <w:t xml:space="preserve"> the l</w:t>
      </w:r>
      <w:r w:rsidR="00BD7299">
        <w:t>argest being on Metal products.</w:t>
      </w:r>
      <w:r w:rsidR="00BD7299">
        <w:rPr>
          <w:rStyle w:val="FootnoteReference"/>
        </w:rPr>
        <w:footnoteReference w:id="3"/>
      </w:r>
      <w:r w:rsidR="00BD7299">
        <w:t xml:space="preserve"> The </w:t>
      </w:r>
      <w:proofErr w:type="spellStart"/>
      <w:r w:rsidR="00BD7299">
        <w:t>PNCE</w:t>
      </w:r>
      <w:proofErr w:type="spellEnd"/>
      <w:r w:rsidR="00BD7299">
        <w:t xml:space="preserve">-based measure still indicates that </w:t>
      </w:r>
      <w:r w:rsidR="00D25CD4">
        <w:t xml:space="preserve">Petroleum, coal, chemical and rubber products </w:t>
      </w:r>
      <w:r w:rsidR="00BD7299">
        <w:t xml:space="preserve">and </w:t>
      </w:r>
      <w:r w:rsidR="00D25CD4">
        <w:t xml:space="preserve">Food, beverage and tobacco products </w:t>
      </w:r>
      <w:r w:rsidR="00BD7299">
        <w:t xml:space="preserve">contributed the most to the MFP decline from cycle 3 to cycle 4, while </w:t>
      </w:r>
      <w:r w:rsidR="001D26BC">
        <w:t xml:space="preserve">Metal products </w:t>
      </w:r>
      <w:r w:rsidR="00BD7299">
        <w:t xml:space="preserve">makes a lesser contribution compared </w:t>
      </w:r>
      <w:r w:rsidR="007C4F65">
        <w:t xml:space="preserve">with </w:t>
      </w:r>
      <w:r w:rsidR="00BD7299">
        <w:t>T</w:t>
      </w:r>
      <w:r w:rsidR="00D25CD4">
        <w:t>extiles, clothing and other manufacturing</w:t>
      </w:r>
      <w:r w:rsidR="00BD7299">
        <w:t xml:space="preserve">, </w:t>
      </w:r>
      <w:r w:rsidR="00E74456">
        <w:t xml:space="preserve">Printing and </w:t>
      </w:r>
      <w:r w:rsidR="004505E1">
        <w:t xml:space="preserve">recorded media </w:t>
      </w:r>
      <w:r w:rsidR="00BD7299">
        <w:t>and</w:t>
      </w:r>
      <w:r w:rsidR="004505E1">
        <w:t xml:space="preserve"> Machinery and equipment</w:t>
      </w:r>
      <w:r w:rsidR="00F95FCE">
        <w:t xml:space="preserve"> manufacturing</w:t>
      </w:r>
      <w:r w:rsidR="00BD7299">
        <w:t>.</w:t>
      </w:r>
    </w:p>
    <w:p w:rsidR="002A0482" w:rsidRDefault="0050035E" w:rsidP="004A55A4">
      <w:pPr>
        <w:pStyle w:val="BodyText"/>
      </w:pPr>
      <w:r>
        <w:t xml:space="preserve">In short, </w:t>
      </w:r>
      <w:proofErr w:type="spellStart"/>
      <w:r>
        <w:t>PNCE</w:t>
      </w:r>
      <w:proofErr w:type="spellEnd"/>
      <w:r>
        <w:t xml:space="preserve"> represents a lower level of investment relative to </w:t>
      </w:r>
      <w:proofErr w:type="spellStart"/>
      <w:r>
        <w:t>GFCF</w:t>
      </w:r>
      <w:proofErr w:type="spellEnd"/>
      <w:r w:rsidR="00C10952">
        <w:t xml:space="preserve"> and therefore raises the level of MFP in both cycles. In doing so, although it has a more positive effect</w:t>
      </w:r>
      <w:r w:rsidR="00391EEE">
        <w:t xml:space="preserve"> </w:t>
      </w:r>
      <w:r w:rsidR="00C10952">
        <w:t>on MFP in cycle 4, it preserves most of the difference between the two cycles and therefore does not significantly affect the decline in MFP that occurs from cycle 3 to cycle 4</w:t>
      </w:r>
      <w:r w:rsidR="002A0482">
        <w:t xml:space="preserve"> (figure </w:t>
      </w:r>
      <w:proofErr w:type="spellStart"/>
      <w:r w:rsidR="001478C2">
        <w:t>E.1</w:t>
      </w:r>
      <w:proofErr w:type="spellEnd"/>
      <w:r w:rsidR="002A0482">
        <w:t>).</w:t>
      </w:r>
      <w:r w:rsidR="00BD7299">
        <w:t xml:space="preserve"> </w:t>
      </w:r>
    </w:p>
    <w:p w:rsidR="002A0482" w:rsidRDefault="002A0482">
      <w:pPr>
        <w:pStyle w:val="FigureTitle"/>
      </w:pPr>
      <w:r>
        <w:rPr>
          <w:b w:val="0"/>
        </w:rPr>
        <w:lastRenderedPageBreak/>
        <w:t xml:space="preserve">Figure </w:t>
      </w:r>
      <w:bookmarkStart w:id="7" w:name="OLE_LINK3"/>
      <w:proofErr w:type="spellStart"/>
      <w:r w:rsidR="0025046A">
        <w:rPr>
          <w:b w:val="0"/>
        </w:rPr>
        <w:t>E.</w:t>
      </w:r>
      <w:r w:rsidR="0082768F">
        <w:rPr>
          <w:b w:val="0"/>
          <w:noProof/>
        </w:rPr>
        <w:t>1</w:t>
      </w:r>
      <w:bookmarkEnd w:id="7"/>
      <w:proofErr w:type="spellEnd"/>
      <w:r>
        <w:tab/>
        <w:t xml:space="preserve">Rates of MFP growth in </w:t>
      </w:r>
      <w:r w:rsidR="002625FF">
        <w:t>Manufacturing</w:t>
      </w:r>
      <w:r>
        <w:t xml:space="preserve"> based on capital measure used</w:t>
      </w:r>
    </w:p>
    <w:p w:rsidR="002A0482" w:rsidRDefault="002A0482">
      <w:pPr>
        <w:pStyle w:val="Subtitle"/>
      </w:pPr>
      <w:r>
        <w:t>Average annual growth rate (</w:t>
      </w:r>
      <w:r w:rsidR="00DD5100">
        <w:t>per cent</w:t>
      </w:r>
      <w: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A0482">
        <w:tc>
          <w:tcPr>
            <w:tcW w:w="8777" w:type="dxa"/>
          </w:tcPr>
          <w:p w:rsidR="002A0482" w:rsidRDefault="005E7306" w:rsidP="00AF0D74">
            <w:pPr>
              <w:pStyle w:val="Figure"/>
              <w:spacing w:before="0" w:after="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compares the average annual rate growth rate of MFP in manufacturing over cycles 3, 4 and the difference between the two cycles, depending on whether a GFCF-apportioned or PNCE-based measure of capital investment is used. It shows MFP growth is stronger in both cycles if a PNCE measures is used (relative to a GFCF measure), but that the change between cycles similar regardless of the investment measure chosen. " style="width:424.45pt;height:198.4pt">
                  <v:imagedata r:id="rId9" o:title=""/>
                </v:shape>
              </w:pict>
            </w:r>
          </w:p>
        </w:tc>
      </w:tr>
    </w:tbl>
    <w:p w:rsidR="002A0482" w:rsidRDefault="002A0482">
      <w:pPr>
        <w:pStyle w:val="Source"/>
      </w:pPr>
      <w:r>
        <w:rPr>
          <w:i/>
        </w:rPr>
        <w:t>Data source</w:t>
      </w:r>
      <w:r w:rsidRPr="00167F06">
        <w:t xml:space="preserve">: </w:t>
      </w:r>
      <w:r>
        <w:t>Authors’ estimates.</w:t>
      </w:r>
    </w:p>
    <w:p w:rsidR="002A0482" w:rsidRDefault="007047F0" w:rsidP="007047F0">
      <w:pPr>
        <w:pStyle w:val="Heading4"/>
      </w:pPr>
      <w:r>
        <w:t xml:space="preserve">Effect </w:t>
      </w:r>
      <w:r w:rsidR="00807BC9">
        <w:t>of removing R&amp;D from the capital services measure</w:t>
      </w:r>
    </w:p>
    <w:p w:rsidR="007F310D" w:rsidRDefault="0058463E" w:rsidP="007F310D">
      <w:pPr>
        <w:pStyle w:val="BodyText"/>
      </w:pPr>
      <w:r>
        <w:t>The estimates of MFP presented in this paper are consistent with the</w:t>
      </w:r>
      <w:r w:rsidR="00391EEE">
        <w:t xml:space="preserve"> present</w:t>
      </w:r>
      <w:r>
        <w:t xml:space="preserve"> ABS treatment of R&amp;D expenditure</w:t>
      </w:r>
      <w:r w:rsidR="00E819BA">
        <w:t>,</w:t>
      </w:r>
      <w:r>
        <w:t xml:space="preserve"> </w:t>
      </w:r>
      <w:r w:rsidR="0092493B">
        <w:t>which is to record</w:t>
      </w:r>
      <w:r>
        <w:t xml:space="preserve"> such expenditure as a capital input, rather than an intermediate input.</w:t>
      </w:r>
      <w:r w:rsidR="00B02268">
        <w:rPr>
          <w:rStyle w:val="FootnoteReference"/>
        </w:rPr>
        <w:footnoteReference w:id="4"/>
      </w:r>
      <w:r>
        <w:t xml:space="preserve"> </w:t>
      </w:r>
      <w:r w:rsidR="007F310D">
        <w:t xml:space="preserve">It is worthwhile checking </w:t>
      </w:r>
      <w:r w:rsidR="00120E43">
        <w:t xml:space="preserve">the extent to which growth in R&amp;D contributes to </w:t>
      </w:r>
      <w:r w:rsidR="000E2849">
        <w:t xml:space="preserve">growth in </w:t>
      </w:r>
      <w:r w:rsidR="00120E43">
        <w:t>subsector capital services</w:t>
      </w:r>
      <w:r w:rsidR="007F310D">
        <w:t>, given the variety of R&amp;D intensities at that level of disaggregation.</w:t>
      </w:r>
    </w:p>
    <w:p w:rsidR="003C1275" w:rsidRDefault="00807BC9" w:rsidP="00807BC9">
      <w:pPr>
        <w:pStyle w:val="BodyText"/>
      </w:pPr>
      <w:r>
        <w:t xml:space="preserve">R&amp;D expenditure makes up a small proportion of investment, but grew more quickly than the rest of investment over cycle 4. Because the </w:t>
      </w:r>
      <w:r w:rsidR="004F334E">
        <w:t>lag</w:t>
      </w:r>
      <w:r>
        <w:t xml:space="preserve"> between when R&amp;D is undertaken and when output associated with that R&amp;D occurs </w:t>
      </w:r>
      <w:r w:rsidR="006E576A">
        <w:t>can be large</w:t>
      </w:r>
      <w:r>
        <w:t>, it is possible that the growth in R&amp;D</w:t>
      </w:r>
      <w:r w:rsidR="00A57D57">
        <w:t xml:space="preserve"> expenditure</w:t>
      </w:r>
      <w:r>
        <w:t xml:space="preserve"> in cycle 4 could manifest as a productivity decline. </w:t>
      </w:r>
    </w:p>
    <w:p w:rsidR="00113BFC" w:rsidRDefault="00807BC9" w:rsidP="00807BC9">
      <w:pPr>
        <w:pStyle w:val="BodyText"/>
      </w:pPr>
      <w:r>
        <w:t xml:space="preserve">A way to test </w:t>
      </w:r>
      <w:r w:rsidR="003C1275">
        <w:t xml:space="preserve">this hypothesis is </w:t>
      </w:r>
      <w:r>
        <w:t>to remove R&amp;D fr</w:t>
      </w:r>
      <w:r w:rsidR="005F7C23">
        <w:t>om the capital services measure</w:t>
      </w:r>
      <w:r>
        <w:t xml:space="preserve"> </w:t>
      </w:r>
      <w:r w:rsidR="00113BFC">
        <w:t xml:space="preserve">published by the ABS for </w:t>
      </w:r>
      <w:r w:rsidR="002625FF">
        <w:t>M</w:t>
      </w:r>
      <w:r w:rsidR="00113BFC">
        <w:t>anufacturing</w:t>
      </w:r>
      <w:r w:rsidR="002625FF">
        <w:t xml:space="preserve"> in total</w:t>
      </w:r>
      <w:r w:rsidR="00113BFC">
        <w:t xml:space="preserve">. The effect on the resulting capital services index </w:t>
      </w:r>
      <w:r w:rsidR="005F7C23">
        <w:t>is very small (</w:t>
      </w:r>
      <w:r w:rsidR="00113BFC">
        <w:t xml:space="preserve">figure </w:t>
      </w:r>
      <w:proofErr w:type="spellStart"/>
      <w:r w:rsidR="001478C2">
        <w:t>E.2</w:t>
      </w:r>
      <w:proofErr w:type="spellEnd"/>
      <w:r w:rsidR="00923241">
        <w:t xml:space="preserve">), with capital services growth being marginally slower when R&amp;D is excluded. </w:t>
      </w:r>
    </w:p>
    <w:p w:rsidR="00113BFC" w:rsidRDefault="00113BFC">
      <w:pPr>
        <w:pStyle w:val="FigureTitle"/>
      </w:pPr>
      <w:r>
        <w:rPr>
          <w:b w:val="0"/>
        </w:rPr>
        <w:lastRenderedPageBreak/>
        <w:t xml:space="preserve">Figure </w:t>
      </w:r>
      <w:bookmarkStart w:id="8" w:name="OLE_LINK4"/>
      <w:proofErr w:type="spellStart"/>
      <w:r w:rsidR="0025046A">
        <w:rPr>
          <w:b w:val="0"/>
        </w:rPr>
        <w:t>E.</w:t>
      </w:r>
      <w:r w:rsidR="0082768F">
        <w:rPr>
          <w:b w:val="0"/>
          <w:noProof/>
        </w:rPr>
        <w:t>2</w:t>
      </w:r>
      <w:bookmarkEnd w:id="8"/>
      <w:proofErr w:type="spellEnd"/>
      <w:r>
        <w:tab/>
      </w:r>
      <w:r w:rsidR="004E1315">
        <w:t>Manufacturing c</w:t>
      </w:r>
      <w:r w:rsidR="00E74FF0">
        <w:t>apital services with and without R&amp;D</w:t>
      </w:r>
    </w:p>
    <w:p w:rsidR="00113BFC" w:rsidRDefault="00E74FF0">
      <w:pPr>
        <w:pStyle w:val="Subtitle"/>
      </w:pPr>
      <w:r>
        <w:t>Index 2009-10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3BFC">
        <w:tc>
          <w:tcPr>
            <w:tcW w:w="8777" w:type="dxa"/>
          </w:tcPr>
          <w:p w:rsidR="00113BFC" w:rsidRDefault="005E7306" w:rsidP="00AF0D74">
            <w:pPr>
              <w:pStyle w:val="Figure"/>
              <w:spacing w:before="0" w:after="0"/>
            </w:pPr>
            <w:r>
              <w:pict>
                <v:shape id="_x0000_i1026" type="#_x0000_t75" alt="This figure shows two series of capital services index values for Manufacturing  — one that includes R&amp;D and one that does not — over the period of 1985-86 to 2010-11. It shows that the trend in both indexes is very similar, although growth in the index without R&amp;D is slightly slower than the index that includes it." style="width:424.45pt;height:198.4pt">
                  <v:imagedata r:id="rId10" o:title=""/>
                </v:shape>
              </w:pict>
            </w:r>
          </w:p>
        </w:tc>
      </w:tr>
    </w:tbl>
    <w:p w:rsidR="00113BFC" w:rsidRDefault="00113BFC">
      <w:pPr>
        <w:pStyle w:val="Source"/>
      </w:pPr>
      <w:r>
        <w:rPr>
          <w:i/>
        </w:rPr>
        <w:t>Data source</w:t>
      </w:r>
      <w:r w:rsidRPr="00167F06">
        <w:t xml:space="preserve">: </w:t>
      </w:r>
      <w:r w:rsidR="00E74FF0">
        <w:t>Authors’ estimates based on ABS (</w:t>
      </w:r>
      <w:r w:rsidR="00DF32CA">
        <w:rPr>
          <w:i/>
        </w:rPr>
        <w:t>Experimental Estimates of Industry Multifactor Productivity</w:t>
      </w:r>
      <w:r w:rsidR="00102033">
        <w:rPr>
          <w:i/>
        </w:rPr>
        <w:t>,</w:t>
      </w:r>
      <w:r w:rsidR="00DF32CA">
        <w:rPr>
          <w:i/>
        </w:rPr>
        <w:t xml:space="preserve"> 2010-11, </w:t>
      </w:r>
      <w:r w:rsidR="00DF32CA">
        <w:t>Cat. no. 5260.0.55.002</w:t>
      </w:r>
      <w:r w:rsidR="00E74FF0">
        <w:t>).</w:t>
      </w:r>
    </w:p>
    <w:p w:rsidR="0035512E" w:rsidRDefault="00A376AE" w:rsidP="0035512E">
      <w:pPr>
        <w:pStyle w:val="BodyText"/>
      </w:pPr>
      <w:r>
        <w:t xml:space="preserve">While there is no great effect in aggregate, it could be possible that excluding R&amp;D could have a proportionally greater effect on particular R&amp;D intensive subsectors within </w:t>
      </w:r>
      <w:r w:rsidR="009D5FF4">
        <w:t>Manufacturing</w:t>
      </w:r>
      <w:r>
        <w:t xml:space="preserve">. </w:t>
      </w:r>
      <w:r w:rsidR="00D65AB8">
        <w:t xml:space="preserve">This is most readily shown by the contribution to capital services made by R&amp;D (table </w:t>
      </w:r>
      <w:proofErr w:type="spellStart"/>
      <w:r w:rsidR="001478C2">
        <w:t>E.3</w:t>
      </w:r>
      <w:proofErr w:type="spellEnd"/>
      <w:r w:rsidR="00D65AB8">
        <w:t>).</w:t>
      </w:r>
      <w:r w:rsidR="0035512E" w:rsidRPr="0035512E">
        <w:t xml:space="preserve"> </w:t>
      </w:r>
      <w:r w:rsidR="0035512E">
        <w:t xml:space="preserve">For example, in cycle 3, R&amp;D contributed a total of 0.07 to the 2.47 percentage points growth in </w:t>
      </w:r>
      <w:r w:rsidR="00D4012D">
        <w:t>M</w:t>
      </w:r>
      <w:r w:rsidR="0035512E">
        <w:t xml:space="preserve">anufacturing capital services. At the subsector level, there is little effect of R&amp;D on total capital services growth. </w:t>
      </w:r>
    </w:p>
    <w:p w:rsidR="00D65AB8" w:rsidRDefault="00D65AB8" w:rsidP="00D65AB8">
      <w:pPr>
        <w:pStyle w:val="TableTitle"/>
      </w:pPr>
      <w:r>
        <w:rPr>
          <w:b w:val="0"/>
        </w:rPr>
        <w:t xml:space="preserve">Table </w:t>
      </w:r>
      <w:bookmarkStart w:id="9" w:name="OLE_LINK5"/>
      <w:proofErr w:type="spellStart"/>
      <w:r w:rsidR="0025046A">
        <w:rPr>
          <w:b w:val="0"/>
        </w:rPr>
        <w:t>E.</w:t>
      </w:r>
      <w:r w:rsidR="0082768F">
        <w:rPr>
          <w:b w:val="0"/>
          <w:noProof/>
        </w:rPr>
        <w:t>3</w:t>
      </w:r>
      <w:bookmarkEnd w:id="9"/>
      <w:proofErr w:type="spellEnd"/>
      <w:r>
        <w:tab/>
        <w:t xml:space="preserve">Contributions to capital services </w:t>
      </w:r>
      <w:r w:rsidR="00E16F0C">
        <w:t xml:space="preserve">growth </w:t>
      </w:r>
      <w:r>
        <w:t>attributable to R&amp;D</w:t>
      </w:r>
    </w:p>
    <w:p w:rsidR="00D65AB8" w:rsidRDefault="00D65AB8" w:rsidP="00D65AB8">
      <w:pPr>
        <w:pStyle w:val="Subtitle"/>
      </w:pPr>
      <w:r>
        <w:t>Percentage points</w:t>
      </w:r>
    </w:p>
    <w:tbl>
      <w:tblPr>
        <w:tblW w:w="5000" w:type="pct"/>
        <w:tblCellMar>
          <w:left w:w="0" w:type="dxa"/>
          <w:right w:w="0" w:type="dxa"/>
        </w:tblCellMar>
        <w:tblLook w:val="0000" w:firstRow="0" w:lastRow="0" w:firstColumn="0" w:lastColumn="0" w:noHBand="0" w:noVBand="0"/>
      </w:tblPr>
      <w:tblGrid>
        <w:gridCol w:w="3856"/>
        <w:gridCol w:w="1233"/>
        <w:gridCol w:w="1234"/>
        <w:gridCol w:w="1232"/>
        <w:gridCol w:w="1234"/>
      </w:tblGrid>
      <w:tr w:rsidR="00D25CD4" w:rsidTr="00D25CD4">
        <w:tc>
          <w:tcPr>
            <w:tcW w:w="2193" w:type="pct"/>
            <w:tcBorders>
              <w:top w:val="single" w:sz="6" w:space="0" w:color="auto"/>
              <w:bottom w:val="single" w:sz="6" w:space="0" w:color="auto"/>
            </w:tcBorders>
            <w:shd w:val="clear" w:color="auto" w:fill="auto"/>
            <w:vAlign w:val="bottom"/>
          </w:tcPr>
          <w:p w:rsidR="00D65AB8" w:rsidRDefault="00DD5100" w:rsidP="00DD5100">
            <w:pPr>
              <w:pStyle w:val="TableColumnHeading"/>
              <w:jc w:val="left"/>
            </w:pPr>
            <w:r>
              <w:t>Subsector</w:t>
            </w:r>
          </w:p>
        </w:tc>
        <w:tc>
          <w:tcPr>
            <w:tcW w:w="701" w:type="pct"/>
            <w:tcBorders>
              <w:top w:val="single" w:sz="6" w:space="0" w:color="auto"/>
              <w:bottom w:val="single" w:sz="6" w:space="0" w:color="auto"/>
            </w:tcBorders>
            <w:shd w:val="clear" w:color="auto" w:fill="auto"/>
            <w:vAlign w:val="bottom"/>
          </w:tcPr>
          <w:p w:rsidR="00D65AB8" w:rsidRDefault="00D65AB8" w:rsidP="00DD5100">
            <w:pPr>
              <w:pStyle w:val="TableColumnHeading"/>
              <w:spacing w:line="240" w:lineRule="auto"/>
            </w:pPr>
            <w:r>
              <w:t>Cycle</w:t>
            </w:r>
            <w:r w:rsidR="00400C05">
              <w:t xml:space="preserve"> 1</w:t>
            </w:r>
            <w:r>
              <w:t xml:space="preserve">: </w:t>
            </w:r>
            <w:r>
              <w:br/>
              <w:t>1988-89 to 1993-94</w:t>
            </w:r>
          </w:p>
        </w:tc>
        <w:tc>
          <w:tcPr>
            <w:tcW w:w="702" w:type="pct"/>
            <w:tcBorders>
              <w:top w:val="single" w:sz="6" w:space="0" w:color="auto"/>
              <w:bottom w:val="single" w:sz="6" w:space="0" w:color="auto"/>
            </w:tcBorders>
            <w:shd w:val="clear" w:color="auto" w:fill="auto"/>
            <w:vAlign w:val="bottom"/>
          </w:tcPr>
          <w:p w:rsidR="00D65AB8" w:rsidRDefault="00D65AB8" w:rsidP="00DD5100">
            <w:pPr>
              <w:pStyle w:val="TableColumnHeading"/>
              <w:spacing w:line="240" w:lineRule="auto"/>
            </w:pPr>
            <w:r>
              <w:t>Cycle</w:t>
            </w:r>
            <w:r w:rsidR="00400C05">
              <w:t xml:space="preserve"> 2</w:t>
            </w:r>
            <w:r>
              <w:t xml:space="preserve">: </w:t>
            </w:r>
            <w:r>
              <w:br/>
              <w:t xml:space="preserve">1993-94 to </w:t>
            </w:r>
            <w:r w:rsidR="00641C1F">
              <w:br/>
            </w:r>
            <w:r>
              <w:t>1998-99</w:t>
            </w:r>
          </w:p>
        </w:tc>
        <w:tc>
          <w:tcPr>
            <w:tcW w:w="701" w:type="pct"/>
            <w:tcBorders>
              <w:top w:val="single" w:sz="6" w:space="0" w:color="auto"/>
              <w:bottom w:val="single" w:sz="6" w:space="0" w:color="auto"/>
            </w:tcBorders>
            <w:shd w:val="clear" w:color="auto" w:fill="auto"/>
            <w:vAlign w:val="bottom"/>
          </w:tcPr>
          <w:p w:rsidR="00D65AB8" w:rsidRDefault="00D65AB8" w:rsidP="00DD5100">
            <w:pPr>
              <w:pStyle w:val="TableColumnHeading"/>
              <w:spacing w:line="240" w:lineRule="auto"/>
            </w:pPr>
            <w:r>
              <w:t>Cycle</w:t>
            </w:r>
            <w:r w:rsidR="00400C05">
              <w:t xml:space="preserve"> 3</w:t>
            </w:r>
            <w:r>
              <w:t xml:space="preserve">: </w:t>
            </w:r>
            <w:r>
              <w:br/>
              <w:t xml:space="preserve">1998-99 to </w:t>
            </w:r>
            <w:r w:rsidR="00641C1F">
              <w:br/>
            </w:r>
            <w:r>
              <w:t>2003-04</w:t>
            </w:r>
          </w:p>
        </w:tc>
        <w:tc>
          <w:tcPr>
            <w:tcW w:w="702" w:type="pct"/>
            <w:tcBorders>
              <w:top w:val="single" w:sz="6" w:space="0" w:color="auto"/>
              <w:bottom w:val="single" w:sz="6" w:space="0" w:color="auto"/>
            </w:tcBorders>
            <w:shd w:val="clear" w:color="auto" w:fill="auto"/>
            <w:vAlign w:val="bottom"/>
          </w:tcPr>
          <w:p w:rsidR="00D65AB8" w:rsidRDefault="00D65AB8" w:rsidP="00DD5100">
            <w:pPr>
              <w:pStyle w:val="TableColumnHeading"/>
              <w:spacing w:line="240" w:lineRule="auto"/>
            </w:pPr>
            <w:r>
              <w:t>Cycle</w:t>
            </w:r>
            <w:r w:rsidR="00400C05">
              <w:t xml:space="preserve"> 4</w:t>
            </w:r>
            <w:r>
              <w:t xml:space="preserve">: </w:t>
            </w:r>
            <w:r>
              <w:br/>
              <w:t xml:space="preserve">2003-04 to </w:t>
            </w:r>
            <w:r w:rsidR="00641C1F">
              <w:br/>
            </w:r>
            <w:r>
              <w:t>2007-08</w:t>
            </w:r>
          </w:p>
        </w:tc>
      </w:tr>
      <w:tr w:rsidR="00D25CD4" w:rsidTr="00D25CD4">
        <w:tc>
          <w:tcPr>
            <w:tcW w:w="2193" w:type="pct"/>
            <w:shd w:val="clear" w:color="auto" w:fill="D9D9D9" w:themeFill="background1" w:themeFillShade="D9"/>
            <w:vAlign w:val="bottom"/>
          </w:tcPr>
          <w:p w:rsidR="00D25CD4" w:rsidRDefault="00D25CD4" w:rsidP="001B1A87">
            <w:pPr>
              <w:pStyle w:val="TableBodyText"/>
              <w:spacing w:before="60"/>
              <w:jc w:val="left"/>
            </w:pPr>
            <w:r>
              <w:t>Food, beverage &amp; tobacco products</w:t>
            </w:r>
          </w:p>
        </w:tc>
        <w:tc>
          <w:tcPr>
            <w:tcW w:w="701" w:type="pct"/>
            <w:shd w:val="clear" w:color="auto" w:fill="D9D9D9" w:themeFill="background1" w:themeFillShade="D9"/>
            <w:vAlign w:val="bottom"/>
          </w:tcPr>
          <w:p w:rsidR="00D25CD4" w:rsidRDefault="00D25CD4" w:rsidP="00C73A7F">
            <w:pPr>
              <w:pStyle w:val="TableBodyText"/>
            </w:pPr>
            <w:r>
              <w:t>0.01</w:t>
            </w:r>
          </w:p>
        </w:tc>
        <w:tc>
          <w:tcPr>
            <w:tcW w:w="702" w:type="pct"/>
            <w:shd w:val="clear" w:color="auto" w:fill="D9D9D9" w:themeFill="background1" w:themeFillShade="D9"/>
            <w:vAlign w:val="bottom"/>
          </w:tcPr>
          <w:p w:rsidR="00D25CD4" w:rsidRDefault="00D25CD4" w:rsidP="00C73A7F">
            <w:pPr>
              <w:pStyle w:val="TableBodyText"/>
            </w:pPr>
            <w:r>
              <w:t>0.00</w:t>
            </w:r>
          </w:p>
        </w:tc>
        <w:tc>
          <w:tcPr>
            <w:tcW w:w="701" w:type="pct"/>
            <w:shd w:val="clear" w:color="auto" w:fill="D9D9D9" w:themeFill="background1" w:themeFillShade="D9"/>
            <w:vAlign w:val="bottom"/>
          </w:tcPr>
          <w:p w:rsidR="00D25CD4" w:rsidRDefault="00D25CD4" w:rsidP="00C73A7F">
            <w:pPr>
              <w:pStyle w:val="TableBodyText"/>
            </w:pPr>
            <w:r>
              <w:t>0.01</w:t>
            </w:r>
          </w:p>
        </w:tc>
        <w:tc>
          <w:tcPr>
            <w:tcW w:w="702" w:type="pct"/>
            <w:shd w:val="clear" w:color="auto" w:fill="D9D9D9" w:themeFill="background1" w:themeFillShade="D9"/>
            <w:vAlign w:val="bottom"/>
          </w:tcPr>
          <w:p w:rsidR="00D25CD4" w:rsidRDefault="00D25CD4" w:rsidP="00C73A7F">
            <w:pPr>
              <w:pStyle w:val="TableBodyText"/>
            </w:pPr>
            <w:r>
              <w:t>0.01</w:t>
            </w:r>
          </w:p>
        </w:tc>
      </w:tr>
      <w:tr w:rsidR="00D25CD4" w:rsidTr="00D25CD4">
        <w:tc>
          <w:tcPr>
            <w:tcW w:w="2193" w:type="pct"/>
            <w:shd w:val="clear" w:color="auto" w:fill="auto"/>
            <w:vAlign w:val="bottom"/>
          </w:tcPr>
          <w:p w:rsidR="00D25CD4" w:rsidRDefault="00D25CD4" w:rsidP="001B1A87">
            <w:pPr>
              <w:pStyle w:val="TableBodyText"/>
              <w:spacing w:before="20"/>
              <w:jc w:val="left"/>
            </w:pPr>
            <w:r>
              <w:t xml:space="preserve">Textile, clothing &amp; other </w:t>
            </w:r>
            <w:proofErr w:type="spellStart"/>
            <w:r>
              <w:t>mfg</w:t>
            </w:r>
            <w:proofErr w:type="spellEnd"/>
          </w:p>
        </w:tc>
        <w:tc>
          <w:tcPr>
            <w:tcW w:w="701" w:type="pct"/>
            <w:shd w:val="clear" w:color="auto" w:fill="auto"/>
            <w:vAlign w:val="bottom"/>
          </w:tcPr>
          <w:p w:rsidR="00D25CD4" w:rsidRDefault="00D25CD4" w:rsidP="001B1A87">
            <w:pPr>
              <w:pStyle w:val="TableBodyText"/>
              <w:spacing w:before="20"/>
            </w:pPr>
            <w:r>
              <w:t>0.00</w:t>
            </w:r>
          </w:p>
        </w:tc>
        <w:tc>
          <w:tcPr>
            <w:tcW w:w="702" w:type="pct"/>
            <w:shd w:val="clear" w:color="auto" w:fill="auto"/>
            <w:vAlign w:val="bottom"/>
          </w:tcPr>
          <w:p w:rsidR="00D25CD4" w:rsidRDefault="00D25CD4" w:rsidP="001B1A87">
            <w:pPr>
              <w:pStyle w:val="TableBodyText"/>
              <w:spacing w:before="20"/>
            </w:pPr>
            <w:r>
              <w:t>0.00</w:t>
            </w:r>
          </w:p>
        </w:tc>
        <w:tc>
          <w:tcPr>
            <w:tcW w:w="701" w:type="pct"/>
            <w:shd w:val="clear" w:color="auto" w:fill="auto"/>
            <w:vAlign w:val="bottom"/>
          </w:tcPr>
          <w:p w:rsidR="00D25CD4" w:rsidRDefault="00D25CD4" w:rsidP="001B1A87">
            <w:pPr>
              <w:pStyle w:val="TableBodyText"/>
              <w:spacing w:before="20"/>
            </w:pPr>
            <w:r>
              <w:t>0.00</w:t>
            </w:r>
          </w:p>
        </w:tc>
        <w:tc>
          <w:tcPr>
            <w:tcW w:w="702" w:type="pct"/>
            <w:shd w:val="clear" w:color="auto" w:fill="auto"/>
            <w:vAlign w:val="bottom"/>
          </w:tcPr>
          <w:p w:rsidR="00D25CD4" w:rsidRDefault="00D25CD4" w:rsidP="001B1A87">
            <w:pPr>
              <w:pStyle w:val="TableBodyText"/>
              <w:spacing w:before="20"/>
            </w:pPr>
            <w:r>
              <w:t>0.00</w:t>
            </w:r>
          </w:p>
        </w:tc>
      </w:tr>
      <w:tr w:rsidR="00D25CD4" w:rsidTr="00D25CD4">
        <w:tc>
          <w:tcPr>
            <w:tcW w:w="2193" w:type="pct"/>
            <w:shd w:val="clear" w:color="auto" w:fill="D9D9D9" w:themeFill="background1" w:themeFillShade="D9"/>
            <w:vAlign w:val="bottom"/>
          </w:tcPr>
          <w:p w:rsidR="00D25CD4" w:rsidRDefault="00D25CD4" w:rsidP="001B1A87">
            <w:pPr>
              <w:pStyle w:val="TableBodyText"/>
              <w:spacing w:before="20"/>
              <w:jc w:val="left"/>
            </w:pPr>
            <w:r>
              <w:t>Wood &amp; paper products</w:t>
            </w:r>
          </w:p>
        </w:tc>
        <w:tc>
          <w:tcPr>
            <w:tcW w:w="701" w:type="pct"/>
            <w:shd w:val="clear" w:color="auto" w:fill="D9D9D9" w:themeFill="background1" w:themeFillShade="D9"/>
            <w:vAlign w:val="bottom"/>
          </w:tcPr>
          <w:p w:rsidR="00D25CD4" w:rsidRDefault="00D25CD4" w:rsidP="001B1A87">
            <w:pPr>
              <w:pStyle w:val="TableBodyText"/>
              <w:spacing w:before="20"/>
            </w:pPr>
            <w:r>
              <w:t>0.01</w:t>
            </w:r>
          </w:p>
        </w:tc>
        <w:tc>
          <w:tcPr>
            <w:tcW w:w="702" w:type="pct"/>
            <w:shd w:val="clear" w:color="auto" w:fill="D9D9D9" w:themeFill="background1" w:themeFillShade="D9"/>
            <w:vAlign w:val="bottom"/>
          </w:tcPr>
          <w:p w:rsidR="00D25CD4" w:rsidRDefault="00D25CD4" w:rsidP="001B1A87">
            <w:pPr>
              <w:pStyle w:val="TableBodyText"/>
              <w:spacing w:before="20"/>
            </w:pPr>
            <w:r>
              <w:t>0.00</w:t>
            </w:r>
          </w:p>
        </w:tc>
        <w:tc>
          <w:tcPr>
            <w:tcW w:w="701" w:type="pct"/>
            <w:shd w:val="clear" w:color="auto" w:fill="D9D9D9" w:themeFill="background1" w:themeFillShade="D9"/>
            <w:vAlign w:val="bottom"/>
          </w:tcPr>
          <w:p w:rsidR="00D25CD4" w:rsidRDefault="00D25CD4" w:rsidP="001B1A87">
            <w:pPr>
              <w:pStyle w:val="TableBodyText"/>
              <w:spacing w:before="20"/>
            </w:pPr>
            <w:r>
              <w:t>0.00</w:t>
            </w:r>
          </w:p>
        </w:tc>
        <w:tc>
          <w:tcPr>
            <w:tcW w:w="702" w:type="pct"/>
            <w:shd w:val="clear" w:color="auto" w:fill="D9D9D9" w:themeFill="background1" w:themeFillShade="D9"/>
            <w:vAlign w:val="bottom"/>
          </w:tcPr>
          <w:p w:rsidR="00D25CD4" w:rsidRDefault="00D25CD4" w:rsidP="001B1A87">
            <w:pPr>
              <w:pStyle w:val="TableBodyText"/>
              <w:spacing w:before="20"/>
            </w:pPr>
            <w:r>
              <w:t>0.00</w:t>
            </w:r>
          </w:p>
        </w:tc>
      </w:tr>
      <w:tr w:rsidR="00D25CD4" w:rsidTr="00D25CD4">
        <w:tc>
          <w:tcPr>
            <w:tcW w:w="2193" w:type="pct"/>
            <w:shd w:val="clear" w:color="auto" w:fill="auto"/>
            <w:vAlign w:val="bottom"/>
          </w:tcPr>
          <w:p w:rsidR="00D25CD4" w:rsidRDefault="00D25CD4" w:rsidP="001B1A87">
            <w:pPr>
              <w:pStyle w:val="TableBodyText"/>
              <w:spacing w:before="20"/>
              <w:jc w:val="left"/>
            </w:pPr>
            <w:r>
              <w:t>Printing &amp; recorded media</w:t>
            </w:r>
          </w:p>
        </w:tc>
        <w:tc>
          <w:tcPr>
            <w:tcW w:w="701" w:type="pct"/>
            <w:shd w:val="clear" w:color="auto" w:fill="auto"/>
            <w:vAlign w:val="bottom"/>
          </w:tcPr>
          <w:p w:rsidR="00D25CD4" w:rsidRDefault="00D25CD4" w:rsidP="001B1A87">
            <w:pPr>
              <w:pStyle w:val="TableBodyText"/>
              <w:spacing w:before="20"/>
            </w:pPr>
            <w:r>
              <w:t>0.00</w:t>
            </w:r>
          </w:p>
        </w:tc>
        <w:tc>
          <w:tcPr>
            <w:tcW w:w="702" w:type="pct"/>
            <w:shd w:val="clear" w:color="auto" w:fill="auto"/>
            <w:vAlign w:val="bottom"/>
          </w:tcPr>
          <w:p w:rsidR="00D25CD4" w:rsidRDefault="00D25CD4" w:rsidP="001B1A87">
            <w:pPr>
              <w:pStyle w:val="TableBodyText"/>
              <w:spacing w:before="20"/>
            </w:pPr>
            <w:r>
              <w:t>0.00</w:t>
            </w:r>
          </w:p>
        </w:tc>
        <w:tc>
          <w:tcPr>
            <w:tcW w:w="701" w:type="pct"/>
            <w:shd w:val="clear" w:color="auto" w:fill="auto"/>
            <w:vAlign w:val="bottom"/>
          </w:tcPr>
          <w:p w:rsidR="00D25CD4" w:rsidRDefault="00D25CD4" w:rsidP="001B1A87">
            <w:pPr>
              <w:pStyle w:val="TableBodyText"/>
              <w:spacing w:before="20"/>
            </w:pPr>
            <w:r>
              <w:t>0.00</w:t>
            </w:r>
          </w:p>
        </w:tc>
        <w:tc>
          <w:tcPr>
            <w:tcW w:w="702" w:type="pct"/>
            <w:shd w:val="clear" w:color="auto" w:fill="auto"/>
            <w:vAlign w:val="bottom"/>
          </w:tcPr>
          <w:p w:rsidR="00D25CD4" w:rsidRDefault="00D25CD4" w:rsidP="001B1A87">
            <w:pPr>
              <w:pStyle w:val="TableBodyText"/>
              <w:spacing w:before="20"/>
            </w:pPr>
            <w:r>
              <w:t>0.00</w:t>
            </w:r>
          </w:p>
        </w:tc>
      </w:tr>
      <w:tr w:rsidR="00D25CD4" w:rsidTr="00D25CD4">
        <w:tc>
          <w:tcPr>
            <w:tcW w:w="2193" w:type="pct"/>
            <w:shd w:val="clear" w:color="auto" w:fill="D9D9D9" w:themeFill="background1" w:themeFillShade="D9"/>
            <w:vAlign w:val="bottom"/>
          </w:tcPr>
          <w:p w:rsidR="00D25CD4" w:rsidRDefault="00D25CD4" w:rsidP="001B1A87">
            <w:pPr>
              <w:pStyle w:val="TableBodyText"/>
              <w:spacing w:before="20"/>
              <w:jc w:val="left"/>
            </w:pPr>
            <w:r>
              <w:t>Petroleum, coal, chemical &amp; rubber prod.</w:t>
            </w:r>
          </w:p>
        </w:tc>
        <w:tc>
          <w:tcPr>
            <w:tcW w:w="701" w:type="pct"/>
            <w:shd w:val="clear" w:color="auto" w:fill="D9D9D9" w:themeFill="background1" w:themeFillShade="D9"/>
            <w:vAlign w:val="bottom"/>
          </w:tcPr>
          <w:p w:rsidR="00D25CD4" w:rsidRDefault="00D25CD4" w:rsidP="001B1A87">
            <w:pPr>
              <w:pStyle w:val="TableBodyText"/>
              <w:spacing w:before="20"/>
            </w:pPr>
            <w:r>
              <w:t>0.01</w:t>
            </w:r>
          </w:p>
        </w:tc>
        <w:tc>
          <w:tcPr>
            <w:tcW w:w="702" w:type="pct"/>
            <w:shd w:val="clear" w:color="auto" w:fill="D9D9D9" w:themeFill="background1" w:themeFillShade="D9"/>
            <w:vAlign w:val="bottom"/>
          </w:tcPr>
          <w:p w:rsidR="00D25CD4" w:rsidRDefault="00D25CD4" w:rsidP="001B1A87">
            <w:pPr>
              <w:pStyle w:val="TableBodyText"/>
              <w:spacing w:before="20"/>
            </w:pPr>
            <w:r>
              <w:t>0.01</w:t>
            </w:r>
          </w:p>
        </w:tc>
        <w:tc>
          <w:tcPr>
            <w:tcW w:w="701" w:type="pct"/>
            <w:shd w:val="clear" w:color="auto" w:fill="D9D9D9" w:themeFill="background1" w:themeFillShade="D9"/>
            <w:vAlign w:val="bottom"/>
          </w:tcPr>
          <w:p w:rsidR="00D25CD4" w:rsidRDefault="00D25CD4" w:rsidP="001B1A87">
            <w:pPr>
              <w:pStyle w:val="TableBodyText"/>
              <w:spacing w:before="20"/>
            </w:pPr>
            <w:r>
              <w:t>0.02</w:t>
            </w:r>
          </w:p>
        </w:tc>
        <w:tc>
          <w:tcPr>
            <w:tcW w:w="702" w:type="pct"/>
            <w:shd w:val="clear" w:color="auto" w:fill="D9D9D9" w:themeFill="background1" w:themeFillShade="D9"/>
            <w:vAlign w:val="bottom"/>
          </w:tcPr>
          <w:p w:rsidR="00D25CD4" w:rsidRDefault="00D25CD4" w:rsidP="001B1A87">
            <w:pPr>
              <w:pStyle w:val="TableBodyText"/>
              <w:spacing w:before="20"/>
            </w:pPr>
            <w:r>
              <w:t>0.02</w:t>
            </w:r>
          </w:p>
        </w:tc>
      </w:tr>
      <w:tr w:rsidR="00D25CD4" w:rsidTr="00D25CD4">
        <w:tc>
          <w:tcPr>
            <w:tcW w:w="2193" w:type="pct"/>
            <w:shd w:val="clear" w:color="auto" w:fill="auto"/>
            <w:vAlign w:val="bottom"/>
          </w:tcPr>
          <w:p w:rsidR="00D25CD4" w:rsidRDefault="00D25CD4" w:rsidP="001B1A87">
            <w:pPr>
              <w:pStyle w:val="TableBodyText"/>
              <w:spacing w:before="20"/>
              <w:jc w:val="left"/>
            </w:pPr>
            <w:r>
              <w:t>Non-metallic mineral products</w:t>
            </w:r>
          </w:p>
        </w:tc>
        <w:tc>
          <w:tcPr>
            <w:tcW w:w="701" w:type="pct"/>
            <w:shd w:val="clear" w:color="auto" w:fill="auto"/>
            <w:vAlign w:val="bottom"/>
          </w:tcPr>
          <w:p w:rsidR="00D25CD4" w:rsidRDefault="00D25CD4" w:rsidP="001B1A87">
            <w:pPr>
              <w:pStyle w:val="TableBodyText"/>
              <w:spacing w:before="20"/>
            </w:pPr>
            <w:r>
              <w:t>0.00</w:t>
            </w:r>
          </w:p>
        </w:tc>
        <w:tc>
          <w:tcPr>
            <w:tcW w:w="702" w:type="pct"/>
            <w:shd w:val="clear" w:color="auto" w:fill="auto"/>
            <w:vAlign w:val="bottom"/>
          </w:tcPr>
          <w:p w:rsidR="00D25CD4" w:rsidRDefault="00D25CD4" w:rsidP="001B1A87">
            <w:pPr>
              <w:pStyle w:val="TableBodyText"/>
              <w:spacing w:before="20"/>
            </w:pPr>
            <w:r>
              <w:t>0.00</w:t>
            </w:r>
          </w:p>
        </w:tc>
        <w:tc>
          <w:tcPr>
            <w:tcW w:w="701" w:type="pct"/>
            <w:shd w:val="clear" w:color="auto" w:fill="auto"/>
            <w:vAlign w:val="bottom"/>
          </w:tcPr>
          <w:p w:rsidR="00D25CD4" w:rsidRDefault="00D25CD4" w:rsidP="001B1A87">
            <w:pPr>
              <w:pStyle w:val="TableBodyText"/>
              <w:spacing w:before="20"/>
            </w:pPr>
            <w:r>
              <w:t>0.00</w:t>
            </w:r>
          </w:p>
        </w:tc>
        <w:tc>
          <w:tcPr>
            <w:tcW w:w="702" w:type="pct"/>
            <w:shd w:val="clear" w:color="auto" w:fill="auto"/>
            <w:vAlign w:val="bottom"/>
          </w:tcPr>
          <w:p w:rsidR="00D25CD4" w:rsidRDefault="00D25CD4" w:rsidP="001B1A87">
            <w:pPr>
              <w:pStyle w:val="TableBodyText"/>
              <w:spacing w:before="20"/>
            </w:pPr>
            <w:r>
              <w:t>0.00</w:t>
            </w:r>
          </w:p>
        </w:tc>
      </w:tr>
      <w:tr w:rsidR="00D25CD4" w:rsidTr="00D25CD4">
        <w:tc>
          <w:tcPr>
            <w:tcW w:w="2193" w:type="pct"/>
            <w:shd w:val="clear" w:color="auto" w:fill="D9D9D9" w:themeFill="background1" w:themeFillShade="D9"/>
            <w:vAlign w:val="bottom"/>
          </w:tcPr>
          <w:p w:rsidR="00D25CD4" w:rsidRDefault="00D25CD4" w:rsidP="001B1A87">
            <w:pPr>
              <w:pStyle w:val="TableBodyText"/>
              <w:spacing w:before="20"/>
              <w:jc w:val="left"/>
            </w:pPr>
            <w:r>
              <w:t>Metal products</w:t>
            </w:r>
          </w:p>
        </w:tc>
        <w:tc>
          <w:tcPr>
            <w:tcW w:w="701" w:type="pct"/>
            <w:shd w:val="clear" w:color="auto" w:fill="D9D9D9" w:themeFill="background1" w:themeFillShade="D9"/>
            <w:vAlign w:val="bottom"/>
          </w:tcPr>
          <w:p w:rsidR="00D25CD4" w:rsidRDefault="00D25CD4" w:rsidP="001B1A87">
            <w:pPr>
              <w:pStyle w:val="TableBodyText"/>
              <w:spacing w:before="20"/>
            </w:pPr>
            <w:r>
              <w:t>0.02</w:t>
            </w:r>
          </w:p>
        </w:tc>
        <w:tc>
          <w:tcPr>
            <w:tcW w:w="702" w:type="pct"/>
            <w:shd w:val="clear" w:color="auto" w:fill="D9D9D9" w:themeFill="background1" w:themeFillShade="D9"/>
            <w:vAlign w:val="bottom"/>
          </w:tcPr>
          <w:p w:rsidR="00D25CD4" w:rsidRDefault="00D25CD4" w:rsidP="001B1A87">
            <w:pPr>
              <w:pStyle w:val="TableBodyText"/>
              <w:spacing w:before="20"/>
            </w:pPr>
            <w:r>
              <w:t>0.01</w:t>
            </w:r>
          </w:p>
        </w:tc>
        <w:tc>
          <w:tcPr>
            <w:tcW w:w="701" w:type="pct"/>
            <w:shd w:val="clear" w:color="auto" w:fill="D9D9D9" w:themeFill="background1" w:themeFillShade="D9"/>
            <w:vAlign w:val="bottom"/>
          </w:tcPr>
          <w:p w:rsidR="00D25CD4" w:rsidRDefault="00D25CD4" w:rsidP="001B1A87">
            <w:pPr>
              <w:pStyle w:val="TableBodyText"/>
              <w:spacing w:before="20"/>
            </w:pPr>
            <w:r>
              <w:t>0.01</w:t>
            </w:r>
          </w:p>
        </w:tc>
        <w:tc>
          <w:tcPr>
            <w:tcW w:w="702" w:type="pct"/>
            <w:shd w:val="clear" w:color="auto" w:fill="D9D9D9" w:themeFill="background1" w:themeFillShade="D9"/>
            <w:vAlign w:val="bottom"/>
          </w:tcPr>
          <w:p w:rsidR="00D25CD4" w:rsidRDefault="00D25CD4" w:rsidP="001B1A87">
            <w:pPr>
              <w:pStyle w:val="TableBodyText"/>
              <w:spacing w:before="20"/>
            </w:pPr>
            <w:r>
              <w:t>0.01</w:t>
            </w:r>
          </w:p>
        </w:tc>
      </w:tr>
      <w:tr w:rsidR="00D25CD4" w:rsidTr="00D25CD4">
        <w:tc>
          <w:tcPr>
            <w:tcW w:w="2193" w:type="pct"/>
            <w:shd w:val="clear" w:color="auto" w:fill="auto"/>
            <w:vAlign w:val="bottom"/>
          </w:tcPr>
          <w:p w:rsidR="00D25CD4" w:rsidRDefault="00D25CD4" w:rsidP="001B1A87">
            <w:pPr>
              <w:pStyle w:val="TableBodyText"/>
              <w:spacing w:before="20"/>
              <w:jc w:val="left"/>
            </w:pPr>
            <w:r>
              <w:t xml:space="preserve">Machinery &amp; equipment </w:t>
            </w:r>
            <w:proofErr w:type="spellStart"/>
            <w:r>
              <w:t>mfg</w:t>
            </w:r>
            <w:proofErr w:type="spellEnd"/>
          </w:p>
        </w:tc>
        <w:tc>
          <w:tcPr>
            <w:tcW w:w="701" w:type="pct"/>
            <w:shd w:val="clear" w:color="auto" w:fill="auto"/>
            <w:vAlign w:val="bottom"/>
          </w:tcPr>
          <w:p w:rsidR="00D25CD4" w:rsidRDefault="00D25CD4" w:rsidP="001B1A87">
            <w:pPr>
              <w:pStyle w:val="TableBodyText"/>
              <w:spacing w:before="20"/>
            </w:pPr>
            <w:r>
              <w:t>0.03</w:t>
            </w:r>
          </w:p>
        </w:tc>
        <w:tc>
          <w:tcPr>
            <w:tcW w:w="702" w:type="pct"/>
            <w:shd w:val="clear" w:color="auto" w:fill="auto"/>
            <w:vAlign w:val="bottom"/>
          </w:tcPr>
          <w:p w:rsidR="00D25CD4" w:rsidRDefault="00D25CD4" w:rsidP="001B1A87">
            <w:pPr>
              <w:pStyle w:val="TableBodyText"/>
              <w:spacing w:before="20"/>
            </w:pPr>
            <w:r>
              <w:t>0.02</w:t>
            </w:r>
          </w:p>
        </w:tc>
        <w:tc>
          <w:tcPr>
            <w:tcW w:w="701" w:type="pct"/>
            <w:shd w:val="clear" w:color="auto" w:fill="auto"/>
            <w:vAlign w:val="bottom"/>
          </w:tcPr>
          <w:p w:rsidR="00D25CD4" w:rsidRDefault="00D25CD4" w:rsidP="001B1A87">
            <w:pPr>
              <w:pStyle w:val="TableBodyText"/>
              <w:spacing w:before="20"/>
            </w:pPr>
            <w:r>
              <w:t>0.03</w:t>
            </w:r>
          </w:p>
        </w:tc>
        <w:tc>
          <w:tcPr>
            <w:tcW w:w="702" w:type="pct"/>
            <w:shd w:val="clear" w:color="auto" w:fill="auto"/>
            <w:vAlign w:val="bottom"/>
          </w:tcPr>
          <w:p w:rsidR="00D25CD4" w:rsidRDefault="00D25CD4" w:rsidP="001B1A87">
            <w:pPr>
              <w:pStyle w:val="TableBodyText"/>
              <w:spacing w:before="20"/>
            </w:pPr>
            <w:r>
              <w:t>0.02</w:t>
            </w:r>
          </w:p>
        </w:tc>
      </w:tr>
      <w:tr w:rsidR="00D25CD4" w:rsidTr="00D25CD4">
        <w:tc>
          <w:tcPr>
            <w:tcW w:w="2193" w:type="pct"/>
            <w:shd w:val="clear" w:color="auto" w:fill="D9D9D9" w:themeFill="background1" w:themeFillShade="D9"/>
            <w:vAlign w:val="bottom"/>
          </w:tcPr>
          <w:p w:rsidR="00D65AB8" w:rsidRDefault="00264BC7" w:rsidP="001B1A87">
            <w:pPr>
              <w:pStyle w:val="TableBodyText"/>
              <w:spacing w:before="20"/>
              <w:jc w:val="left"/>
              <w:rPr>
                <w:i/>
                <w:iCs/>
              </w:rPr>
            </w:pPr>
            <w:r>
              <w:rPr>
                <w:i/>
                <w:iCs/>
              </w:rPr>
              <w:t>Manufacturing</w:t>
            </w:r>
          </w:p>
        </w:tc>
        <w:tc>
          <w:tcPr>
            <w:tcW w:w="701" w:type="pct"/>
            <w:shd w:val="clear" w:color="auto" w:fill="D9D9D9" w:themeFill="background1" w:themeFillShade="D9"/>
            <w:vAlign w:val="bottom"/>
          </w:tcPr>
          <w:p w:rsidR="00D65AB8" w:rsidRDefault="00D65AB8" w:rsidP="001B1A87">
            <w:pPr>
              <w:pStyle w:val="TableBodyText"/>
              <w:spacing w:before="20"/>
            </w:pPr>
            <w:r>
              <w:t>0.07</w:t>
            </w:r>
          </w:p>
        </w:tc>
        <w:tc>
          <w:tcPr>
            <w:tcW w:w="702" w:type="pct"/>
            <w:shd w:val="clear" w:color="auto" w:fill="D9D9D9" w:themeFill="background1" w:themeFillShade="D9"/>
            <w:vAlign w:val="bottom"/>
          </w:tcPr>
          <w:p w:rsidR="00D65AB8" w:rsidRDefault="00D65AB8" w:rsidP="001B1A87">
            <w:pPr>
              <w:pStyle w:val="TableBodyText"/>
              <w:spacing w:before="20"/>
            </w:pPr>
            <w:r>
              <w:t>0.05</w:t>
            </w:r>
          </w:p>
        </w:tc>
        <w:tc>
          <w:tcPr>
            <w:tcW w:w="701" w:type="pct"/>
            <w:shd w:val="clear" w:color="auto" w:fill="D9D9D9" w:themeFill="background1" w:themeFillShade="D9"/>
            <w:vAlign w:val="bottom"/>
          </w:tcPr>
          <w:p w:rsidR="00D65AB8" w:rsidRDefault="00D65AB8" w:rsidP="001B1A87">
            <w:pPr>
              <w:pStyle w:val="TableBodyText"/>
              <w:spacing w:before="20"/>
            </w:pPr>
            <w:r>
              <w:t>0.07</w:t>
            </w:r>
          </w:p>
        </w:tc>
        <w:tc>
          <w:tcPr>
            <w:tcW w:w="702" w:type="pct"/>
            <w:shd w:val="clear" w:color="auto" w:fill="D9D9D9" w:themeFill="background1" w:themeFillShade="D9"/>
            <w:vAlign w:val="bottom"/>
          </w:tcPr>
          <w:p w:rsidR="00D65AB8" w:rsidRDefault="00D65AB8" w:rsidP="001B1A87">
            <w:pPr>
              <w:pStyle w:val="TableBodyText"/>
              <w:spacing w:before="20"/>
            </w:pPr>
            <w:r>
              <w:t>0.03</w:t>
            </w:r>
          </w:p>
        </w:tc>
      </w:tr>
      <w:tr w:rsidR="00D25CD4" w:rsidRPr="00A73C20" w:rsidTr="00D25CD4">
        <w:tc>
          <w:tcPr>
            <w:tcW w:w="2193" w:type="pct"/>
            <w:tcBorders>
              <w:bottom w:val="single" w:sz="6" w:space="0" w:color="auto"/>
            </w:tcBorders>
            <w:shd w:val="clear" w:color="auto" w:fill="auto"/>
            <w:vAlign w:val="bottom"/>
          </w:tcPr>
          <w:p w:rsidR="00A73C20" w:rsidRPr="00DD5100" w:rsidRDefault="00A73C20" w:rsidP="001B1A87">
            <w:pPr>
              <w:pStyle w:val="TableBodyText"/>
              <w:spacing w:before="60"/>
              <w:jc w:val="left"/>
              <w:rPr>
                <w:b/>
                <w:iCs/>
              </w:rPr>
            </w:pPr>
            <w:r w:rsidRPr="00DD5100">
              <w:rPr>
                <w:b/>
                <w:iCs/>
              </w:rPr>
              <w:t>M</w:t>
            </w:r>
            <w:r w:rsidR="00264BC7" w:rsidRPr="00DD5100">
              <w:rPr>
                <w:b/>
                <w:iCs/>
              </w:rPr>
              <w:t>anufacturing</w:t>
            </w:r>
            <w:r w:rsidR="00897DE5" w:rsidRPr="00DD5100">
              <w:rPr>
                <w:rStyle w:val="NoteLabel"/>
              </w:rPr>
              <w:t>a</w:t>
            </w:r>
            <w:r w:rsidR="00897DE5" w:rsidRPr="00DD5100">
              <w:rPr>
                <w:b/>
                <w:iCs/>
              </w:rPr>
              <w:t xml:space="preserve"> </w:t>
            </w:r>
            <w:r w:rsidRPr="00DD5100">
              <w:rPr>
                <w:b/>
                <w:iCs/>
              </w:rPr>
              <w:t>(all assets)</w:t>
            </w:r>
            <w:r w:rsidR="00897DE5" w:rsidRPr="00DD5100">
              <w:rPr>
                <w:rStyle w:val="NoteLabel"/>
              </w:rPr>
              <w:t xml:space="preserve"> </w:t>
            </w:r>
          </w:p>
        </w:tc>
        <w:tc>
          <w:tcPr>
            <w:tcW w:w="701" w:type="pct"/>
            <w:tcBorders>
              <w:bottom w:val="single" w:sz="6" w:space="0" w:color="auto"/>
            </w:tcBorders>
            <w:shd w:val="clear" w:color="auto" w:fill="auto"/>
            <w:vAlign w:val="bottom"/>
          </w:tcPr>
          <w:p w:rsidR="00A73C20" w:rsidRPr="00A73C20" w:rsidRDefault="00A73C20" w:rsidP="001B1A87">
            <w:pPr>
              <w:pStyle w:val="TableBodyText"/>
              <w:spacing w:before="60"/>
              <w:rPr>
                <w:b/>
              </w:rPr>
            </w:pPr>
            <w:r w:rsidRPr="00A73C20">
              <w:rPr>
                <w:b/>
              </w:rPr>
              <w:t>1.25</w:t>
            </w:r>
          </w:p>
        </w:tc>
        <w:tc>
          <w:tcPr>
            <w:tcW w:w="702" w:type="pct"/>
            <w:tcBorders>
              <w:bottom w:val="single" w:sz="6" w:space="0" w:color="auto"/>
            </w:tcBorders>
            <w:shd w:val="clear" w:color="auto" w:fill="auto"/>
            <w:vAlign w:val="bottom"/>
          </w:tcPr>
          <w:p w:rsidR="00A73C20" w:rsidRPr="00A73C20" w:rsidRDefault="00A73C20" w:rsidP="001B1A87">
            <w:pPr>
              <w:pStyle w:val="TableBodyText"/>
              <w:spacing w:before="60"/>
              <w:rPr>
                <w:b/>
              </w:rPr>
            </w:pPr>
            <w:r w:rsidRPr="00A73C20">
              <w:rPr>
                <w:b/>
              </w:rPr>
              <w:t>1.40</w:t>
            </w:r>
          </w:p>
        </w:tc>
        <w:tc>
          <w:tcPr>
            <w:tcW w:w="701" w:type="pct"/>
            <w:tcBorders>
              <w:bottom w:val="single" w:sz="6" w:space="0" w:color="auto"/>
            </w:tcBorders>
            <w:shd w:val="clear" w:color="auto" w:fill="auto"/>
            <w:vAlign w:val="bottom"/>
          </w:tcPr>
          <w:p w:rsidR="00A73C20" w:rsidRPr="00A73C20" w:rsidRDefault="00A73C20" w:rsidP="001B1A87">
            <w:pPr>
              <w:pStyle w:val="TableBodyText"/>
              <w:spacing w:before="60"/>
              <w:rPr>
                <w:b/>
              </w:rPr>
            </w:pPr>
            <w:r w:rsidRPr="00A73C20">
              <w:rPr>
                <w:b/>
              </w:rPr>
              <w:t>2.47</w:t>
            </w:r>
          </w:p>
        </w:tc>
        <w:tc>
          <w:tcPr>
            <w:tcW w:w="702" w:type="pct"/>
            <w:tcBorders>
              <w:bottom w:val="single" w:sz="6" w:space="0" w:color="auto"/>
            </w:tcBorders>
            <w:shd w:val="clear" w:color="auto" w:fill="auto"/>
            <w:vAlign w:val="bottom"/>
          </w:tcPr>
          <w:p w:rsidR="00A73C20" w:rsidRPr="00A73C20" w:rsidRDefault="00A73C20" w:rsidP="001B1A87">
            <w:pPr>
              <w:pStyle w:val="TableBodyText"/>
              <w:spacing w:before="60"/>
              <w:rPr>
                <w:b/>
              </w:rPr>
            </w:pPr>
            <w:r w:rsidRPr="00A73C20">
              <w:rPr>
                <w:b/>
              </w:rPr>
              <w:t>1.17</w:t>
            </w:r>
          </w:p>
        </w:tc>
      </w:tr>
    </w:tbl>
    <w:p w:rsidR="00897DE5" w:rsidRPr="00614C0B" w:rsidRDefault="00897DE5" w:rsidP="00897DE5">
      <w:pPr>
        <w:pStyle w:val="Note"/>
      </w:pPr>
      <w:r>
        <w:rPr>
          <w:rStyle w:val="NoteLabel"/>
        </w:rPr>
        <w:t xml:space="preserve">a </w:t>
      </w:r>
      <w:r>
        <w:t xml:space="preserve">Denotes the total capital services growth for </w:t>
      </w:r>
      <w:r w:rsidR="002625FF">
        <w:t>M</w:t>
      </w:r>
      <w:r>
        <w:t>anufacturing</w:t>
      </w:r>
      <w:r w:rsidR="002625FF">
        <w:t xml:space="preserve"> as a whole</w:t>
      </w:r>
      <w:r>
        <w:t>.</w:t>
      </w:r>
    </w:p>
    <w:p w:rsidR="00D65AB8" w:rsidRDefault="00D65AB8" w:rsidP="00D65AB8">
      <w:pPr>
        <w:pStyle w:val="Source"/>
      </w:pPr>
      <w:r>
        <w:rPr>
          <w:i/>
        </w:rPr>
        <w:t>Source</w:t>
      </w:r>
      <w:r>
        <w:t>: Authors’ estimates.</w:t>
      </w:r>
    </w:p>
    <w:p w:rsidR="00500BDC" w:rsidRPr="00500BDC" w:rsidRDefault="00306286" w:rsidP="00500BDC">
      <w:pPr>
        <w:pStyle w:val="BodyText"/>
      </w:pPr>
      <w:r>
        <w:lastRenderedPageBreak/>
        <w:t>It seems reasonable to conclude, then, that</w:t>
      </w:r>
      <w:r w:rsidR="0005043E">
        <w:t xml:space="preserve"> R&amp;D has not had a large effect on capital services growth, and so even if there were a lag between investment and output linked to R&amp;D, the effect of the investment is so small as not to alter the observed trends in MFP in </w:t>
      </w:r>
      <w:r w:rsidR="00B73C3E">
        <w:t xml:space="preserve">Manufacturing </w:t>
      </w:r>
      <w:r w:rsidR="0005043E">
        <w:t>at either the aggregate or subsector level.</w:t>
      </w:r>
    </w:p>
    <w:p w:rsidR="004A55A4" w:rsidRDefault="0025046A" w:rsidP="006510F9">
      <w:pPr>
        <w:pStyle w:val="Heading2"/>
      </w:pPr>
      <w:proofErr w:type="spellStart"/>
      <w:r>
        <w:t>E.</w:t>
      </w:r>
      <w:r w:rsidR="0082768F">
        <w:rPr>
          <w:noProof/>
        </w:rPr>
        <w:t>2</w:t>
      </w:r>
      <w:proofErr w:type="spellEnd"/>
      <w:r w:rsidR="006510F9">
        <w:tab/>
      </w:r>
      <w:r w:rsidR="008D5F55">
        <w:t>Is survey error a likely explanation of MFP growth falling below zero?</w:t>
      </w:r>
    </w:p>
    <w:p w:rsidR="00186FBA" w:rsidRDefault="00186FBA" w:rsidP="00186FBA">
      <w:pPr>
        <w:pStyle w:val="BodyText"/>
      </w:pPr>
      <w:r>
        <w:t xml:space="preserve">A statistical error can be introduced when data derived from a survey are used to represent a population. </w:t>
      </w:r>
      <w:r w:rsidR="00127505">
        <w:t xml:space="preserve">This error can be quite large (depending on the survey sample design). </w:t>
      </w:r>
    </w:p>
    <w:p w:rsidR="00186FBA" w:rsidRDefault="00186FBA" w:rsidP="00186FBA">
      <w:pPr>
        <w:pStyle w:val="BodyText"/>
      </w:pPr>
      <w:r>
        <w:t xml:space="preserve">Because </w:t>
      </w:r>
      <w:r w:rsidR="00352E7B">
        <w:t>many</w:t>
      </w:r>
      <w:r>
        <w:t xml:space="preserve"> variables used to calculate MFP are derived from survey data, there is a question as to whether the observed trends are what actually happened in the economy, or are the result of </w:t>
      </w:r>
      <w:r w:rsidR="007841F0">
        <w:t>sampling or other measurement</w:t>
      </w:r>
      <w:r w:rsidR="00D84B6D">
        <w:t xml:space="preserve"> error</w:t>
      </w:r>
      <w:r>
        <w:t xml:space="preserve">. This section determines what the size of the error would have to be in order for MFP growth in Manufacturing to have been zero over cycle 4. This </w:t>
      </w:r>
      <w:r w:rsidR="00BF327A">
        <w:t>benchmark</w:t>
      </w:r>
      <w:r w:rsidR="001D3221">
        <w:t xml:space="preserve"> of zero MFP growth</w:t>
      </w:r>
      <w:r>
        <w:t xml:space="preserve"> is chosen because the absolute decline in MFP in cycle 4 is the focus of this paper.</w:t>
      </w:r>
    </w:p>
    <w:p w:rsidR="00186FBA" w:rsidRDefault="00186FBA" w:rsidP="00186FBA">
      <w:pPr>
        <w:pStyle w:val="BodyText"/>
      </w:pPr>
      <w:r>
        <w:t xml:space="preserve">It follows that if the change needed for MFP growth to have been zero over cycle 4 is </w:t>
      </w:r>
      <w:r w:rsidR="00507459">
        <w:t xml:space="preserve">unreasonably </w:t>
      </w:r>
      <w:r>
        <w:t>large, then it is less likely to have been the result of error</w:t>
      </w:r>
      <w:r w:rsidR="001F6A52">
        <w:t>s</w:t>
      </w:r>
      <w:r>
        <w:t>. If, however, the change required is small, then the likelihood of the result being driven by error</w:t>
      </w:r>
      <w:r w:rsidR="00B0064D">
        <w:t xml:space="preserve"> is more likely</w:t>
      </w:r>
      <w:r w:rsidR="004F6963">
        <w:t xml:space="preserve"> — meaning the estimates may be </w:t>
      </w:r>
      <w:r w:rsidR="00835EE8">
        <w:t>less reliable.</w:t>
      </w:r>
    </w:p>
    <w:p w:rsidR="00D20F3A" w:rsidRPr="0029050C" w:rsidRDefault="002368C7" w:rsidP="0073217D">
      <w:pPr>
        <w:pStyle w:val="BodyText"/>
      </w:pPr>
      <w:r>
        <w:t xml:space="preserve">Because MFP growth was less than zero in cycle 4 for </w:t>
      </w:r>
      <w:r w:rsidR="00D25CD4">
        <w:t>Food, beverage and tobacco products</w:t>
      </w:r>
      <w:r>
        <w:t xml:space="preserve">, </w:t>
      </w:r>
      <w:r w:rsidR="00D25CD4">
        <w:t>Petroleum, coal, chemical and rubber products</w:t>
      </w:r>
      <w:r>
        <w:t xml:space="preserve">, </w:t>
      </w:r>
      <w:r w:rsidR="00D25CD4">
        <w:t>Metal products</w:t>
      </w:r>
      <w:r w:rsidR="000F5B7F">
        <w:t>,</w:t>
      </w:r>
      <w:r>
        <w:t xml:space="preserve"> and for </w:t>
      </w:r>
      <w:r w:rsidR="002625FF">
        <w:t>M</w:t>
      </w:r>
      <w:r>
        <w:t xml:space="preserve">anufacturing as a whole, </w:t>
      </w:r>
      <w:r w:rsidR="008A4A53">
        <w:t>an</w:t>
      </w:r>
      <w:r>
        <w:t xml:space="preserve"> increase in value added or a large decline in hours worked and capital services </w:t>
      </w:r>
      <w:r w:rsidR="007061D6">
        <w:t>would have been</w:t>
      </w:r>
      <w:r>
        <w:t xml:space="preserve"> necessary </w:t>
      </w:r>
      <w:r w:rsidR="004E0700">
        <w:t>in</w:t>
      </w:r>
      <w:r>
        <w:t xml:space="preserve"> each </w:t>
      </w:r>
      <w:r w:rsidR="0073217D">
        <w:t>to achieve zero MFP growth over the same period.</w:t>
      </w:r>
      <w:r w:rsidR="00815722" w:rsidRPr="003E79F2">
        <w:t xml:space="preserve"> The magnitude of these changes</w:t>
      </w:r>
      <w:r w:rsidR="0067613D">
        <w:t xml:space="preserve"> required</w:t>
      </w:r>
      <w:r w:rsidR="00815722" w:rsidRPr="003E79F2">
        <w:t xml:space="preserve"> </w:t>
      </w:r>
      <w:r w:rsidR="0010202E" w:rsidRPr="003E79F2">
        <w:t>are</w:t>
      </w:r>
      <w:r w:rsidR="00815722" w:rsidRPr="003E79F2">
        <w:t xml:space="preserve"> sufficiently large</w:t>
      </w:r>
      <w:r w:rsidR="006F3EC4" w:rsidRPr="003E79F2">
        <w:t xml:space="preserve"> in </w:t>
      </w:r>
      <w:r w:rsidR="00086180">
        <w:t xml:space="preserve">each </w:t>
      </w:r>
      <w:r w:rsidR="00554EA0" w:rsidRPr="003E79F2">
        <w:t xml:space="preserve">these subsectors so as to indicate that the decline in productivity is unlikely to be </w:t>
      </w:r>
      <w:r w:rsidR="00D674C1" w:rsidRPr="003E79F2">
        <w:t xml:space="preserve">the result of </w:t>
      </w:r>
      <w:r w:rsidR="001303D0" w:rsidRPr="00641C1F">
        <w:t>statistical</w:t>
      </w:r>
      <w:r w:rsidR="00D674C1" w:rsidRPr="003E79F2">
        <w:t xml:space="preserve"> error </w:t>
      </w:r>
      <w:r w:rsidR="00554EA0" w:rsidRPr="003E79F2">
        <w:t>in the data</w:t>
      </w:r>
      <w:r w:rsidR="005C2C92" w:rsidRPr="00641C1F">
        <w:t xml:space="preserve">. </w:t>
      </w:r>
      <w:r w:rsidR="00E13BD3" w:rsidRPr="003E79F2">
        <w:t xml:space="preserve">(Note that this </w:t>
      </w:r>
      <w:r w:rsidR="008313E1">
        <w:t>analysis</w:t>
      </w:r>
      <w:r w:rsidR="00E13BD3" w:rsidRPr="003E79F2">
        <w:t xml:space="preserve"> does not address other measurement </w:t>
      </w:r>
      <w:r w:rsidR="00BE08D8">
        <w:t>issues</w:t>
      </w:r>
      <w:r w:rsidR="00E13BD3" w:rsidRPr="003E79F2">
        <w:t xml:space="preserve"> that may </w:t>
      </w:r>
      <w:r w:rsidR="00BE08D8">
        <w:t>affect</w:t>
      </w:r>
      <w:r w:rsidR="00E13BD3" w:rsidRPr="003E79F2">
        <w:t xml:space="preserve"> the data, such as </w:t>
      </w:r>
      <w:r w:rsidR="00BE08D8">
        <w:t>un</w:t>
      </w:r>
      <w:r w:rsidR="00F90EE7" w:rsidRPr="003E79F2">
        <w:t>measured quality</w:t>
      </w:r>
      <w:r w:rsidR="00BE08D8">
        <w:t xml:space="preserve"> improvements</w:t>
      </w:r>
      <w:r w:rsidR="00F90EE7" w:rsidRPr="003E79F2">
        <w:t xml:space="preserve"> or the effect of capital lags.)</w:t>
      </w:r>
    </w:p>
    <w:p w:rsidR="00801A67" w:rsidRDefault="00B26C8F" w:rsidP="006510F9">
      <w:pPr>
        <w:pStyle w:val="BodyText"/>
      </w:pPr>
      <w:r>
        <w:t>Table</w:t>
      </w:r>
      <w:r w:rsidR="00DE1E7A">
        <w:t xml:space="preserve"> </w:t>
      </w:r>
      <w:proofErr w:type="spellStart"/>
      <w:r w:rsidR="001478C2">
        <w:t>E.4</w:t>
      </w:r>
      <w:proofErr w:type="spellEnd"/>
      <w:r w:rsidR="00844F14">
        <w:t xml:space="preserve"> shows the changes needed for 2007-08 relative to what occurred in that year.</w:t>
      </w:r>
      <w:r w:rsidR="00844F14">
        <w:rPr>
          <w:rStyle w:val="FootnoteReference"/>
        </w:rPr>
        <w:footnoteReference w:id="5"/>
      </w:r>
      <w:r w:rsidR="006564E8">
        <w:t xml:space="preserve"> </w:t>
      </w:r>
      <w:r w:rsidR="00801A67">
        <w:t xml:space="preserve">For example, in order for </w:t>
      </w:r>
      <w:r w:rsidR="00D25CD4">
        <w:t xml:space="preserve">Food, beverage and tobacco products </w:t>
      </w:r>
      <w:r w:rsidR="00801A67">
        <w:t xml:space="preserve">to have had zero MFP growth in cycle 4, its value added would needed to have been greater by </w:t>
      </w:r>
      <w:r w:rsidR="00801A67">
        <w:lastRenderedPageBreak/>
        <w:t>$4.1</w:t>
      </w:r>
      <w:r w:rsidR="00F95FCE">
        <w:t xml:space="preserve"> billion</w:t>
      </w:r>
      <w:r w:rsidR="00801A67">
        <w:t xml:space="preserve"> in 2007-08 (or an additional 18 per cent relative to what actually occurred).</w:t>
      </w:r>
    </w:p>
    <w:p w:rsidR="001409B5" w:rsidRPr="004F496C" w:rsidRDefault="007C0B28" w:rsidP="002D1EE5">
      <w:pPr>
        <w:pStyle w:val="TableTitle"/>
        <w:rPr>
          <w:rStyle w:val="NoteLabel"/>
        </w:rPr>
      </w:pPr>
      <w:r>
        <w:rPr>
          <w:b w:val="0"/>
        </w:rPr>
        <w:t xml:space="preserve">Table </w:t>
      </w:r>
      <w:bookmarkStart w:id="10" w:name="OLE_LINK17"/>
      <w:proofErr w:type="spellStart"/>
      <w:r w:rsidR="0025046A">
        <w:rPr>
          <w:b w:val="0"/>
        </w:rPr>
        <w:t>E.</w:t>
      </w:r>
      <w:r w:rsidR="0082768F">
        <w:rPr>
          <w:b w:val="0"/>
          <w:noProof/>
        </w:rPr>
        <w:t>4</w:t>
      </w:r>
      <w:bookmarkEnd w:id="10"/>
      <w:proofErr w:type="spellEnd"/>
      <w:r>
        <w:tab/>
      </w:r>
      <w:r w:rsidR="00B06130">
        <w:t>Changes needed in selected subsectors and Manufacturing in total to achieve zero MFP growth in cycle 4</w:t>
      </w:r>
      <w:r w:rsidR="004F496C" w:rsidRPr="00F54875">
        <w:rPr>
          <w:rStyle w:val="NoteLabel"/>
          <w:b/>
        </w:rPr>
        <w:t>a</w:t>
      </w:r>
    </w:p>
    <w:tbl>
      <w:tblPr>
        <w:tblW w:w="5000" w:type="pct"/>
        <w:tblCellMar>
          <w:left w:w="0" w:type="dxa"/>
          <w:right w:w="0" w:type="dxa"/>
        </w:tblCellMar>
        <w:tblLook w:val="0000" w:firstRow="0" w:lastRow="0" w:firstColumn="0" w:lastColumn="0" w:noHBand="0" w:noVBand="0"/>
      </w:tblPr>
      <w:tblGrid>
        <w:gridCol w:w="3969"/>
        <w:gridCol w:w="3401"/>
        <w:gridCol w:w="1419"/>
      </w:tblGrid>
      <w:tr w:rsidR="00E50482" w:rsidTr="00643D30">
        <w:tc>
          <w:tcPr>
            <w:tcW w:w="2258" w:type="pct"/>
            <w:tcBorders>
              <w:top w:val="single" w:sz="6" w:space="0" w:color="auto"/>
              <w:bottom w:val="single" w:sz="6" w:space="0" w:color="auto"/>
            </w:tcBorders>
            <w:shd w:val="clear" w:color="auto" w:fill="auto"/>
            <w:vAlign w:val="bottom"/>
          </w:tcPr>
          <w:p w:rsidR="00E50482" w:rsidRDefault="00E50482" w:rsidP="00643D30">
            <w:pPr>
              <w:pStyle w:val="TableColumnHeading"/>
              <w:jc w:val="left"/>
            </w:pPr>
          </w:p>
        </w:tc>
        <w:tc>
          <w:tcPr>
            <w:tcW w:w="1935" w:type="pct"/>
            <w:tcBorders>
              <w:top w:val="single" w:sz="6" w:space="0" w:color="auto"/>
              <w:bottom w:val="single" w:sz="6" w:space="0" w:color="auto"/>
            </w:tcBorders>
            <w:vAlign w:val="bottom"/>
          </w:tcPr>
          <w:p w:rsidR="00E50482" w:rsidRDefault="00E50482" w:rsidP="007716E6">
            <w:pPr>
              <w:pStyle w:val="TableColumnHeading"/>
              <w:ind w:right="28"/>
            </w:pPr>
            <w:r>
              <w:t xml:space="preserve">Change </w:t>
            </w:r>
            <w:r w:rsidR="007716E6">
              <w:t>to</w:t>
            </w:r>
            <w:r>
              <w:t xml:space="preserve"> 2007-08 </w:t>
            </w:r>
            <w:r w:rsidR="007716E6">
              <w:t>estimate</w:t>
            </w:r>
          </w:p>
        </w:tc>
        <w:tc>
          <w:tcPr>
            <w:tcW w:w="807" w:type="pct"/>
            <w:tcBorders>
              <w:top w:val="single" w:sz="6" w:space="0" w:color="auto"/>
              <w:bottom w:val="single" w:sz="6" w:space="0" w:color="auto"/>
            </w:tcBorders>
            <w:shd w:val="clear" w:color="auto" w:fill="auto"/>
            <w:vAlign w:val="bottom"/>
          </w:tcPr>
          <w:p w:rsidR="00E50482" w:rsidRDefault="00102D5F" w:rsidP="00643D30">
            <w:pPr>
              <w:pStyle w:val="TableColumnHeading"/>
              <w:ind w:right="28"/>
            </w:pPr>
            <w:r>
              <w:t>D</w:t>
            </w:r>
            <w:r w:rsidR="00E50482">
              <w:t>ifference</w:t>
            </w:r>
            <w:r w:rsidR="007D320E" w:rsidRPr="00614C0B">
              <w:rPr>
                <w:rStyle w:val="NoteLabel"/>
                <w:i w:val="0"/>
              </w:rPr>
              <w:t>b</w:t>
            </w:r>
          </w:p>
        </w:tc>
      </w:tr>
      <w:tr w:rsidR="00E50482" w:rsidTr="00643D30">
        <w:tc>
          <w:tcPr>
            <w:tcW w:w="2258" w:type="pct"/>
            <w:tcBorders>
              <w:top w:val="single" w:sz="6" w:space="0" w:color="auto"/>
            </w:tcBorders>
            <w:vAlign w:val="bottom"/>
          </w:tcPr>
          <w:p w:rsidR="00E50482" w:rsidRPr="007C0B28" w:rsidRDefault="00D25CD4" w:rsidP="00643D30">
            <w:pPr>
              <w:pStyle w:val="TableUnitsRow"/>
              <w:jc w:val="left"/>
              <w:rPr>
                <w:b/>
              </w:rPr>
            </w:pPr>
            <w:r>
              <w:rPr>
                <w:b/>
              </w:rPr>
              <w:br/>
            </w:r>
            <w:r w:rsidR="00E50482" w:rsidRPr="007C0B28">
              <w:rPr>
                <w:b/>
              </w:rPr>
              <w:t>Value added</w:t>
            </w:r>
          </w:p>
        </w:tc>
        <w:tc>
          <w:tcPr>
            <w:tcW w:w="1935" w:type="pct"/>
            <w:tcBorders>
              <w:top w:val="single" w:sz="6" w:space="0" w:color="auto"/>
            </w:tcBorders>
            <w:vAlign w:val="bottom"/>
          </w:tcPr>
          <w:p w:rsidR="00E50482" w:rsidRDefault="00E50482" w:rsidP="00643D30">
            <w:pPr>
              <w:pStyle w:val="TableUnitsRow"/>
              <w:ind w:right="28"/>
            </w:pPr>
            <w:r>
              <w:t xml:space="preserve">Additional value added </w:t>
            </w:r>
            <w:r w:rsidR="00C13989">
              <w:br/>
            </w:r>
            <w:r>
              <w:t>(</w:t>
            </w:r>
            <w:r w:rsidR="00C13989">
              <w:t xml:space="preserve">2009-10 </w:t>
            </w:r>
            <w:r>
              <w:t>$m)</w:t>
            </w:r>
          </w:p>
        </w:tc>
        <w:tc>
          <w:tcPr>
            <w:tcW w:w="807" w:type="pct"/>
            <w:tcBorders>
              <w:top w:val="single" w:sz="6" w:space="0" w:color="auto"/>
            </w:tcBorders>
            <w:vAlign w:val="bottom"/>
          </w:tcPr>
          <w:p w:rsidR="00E50482" w:rsidRDefault="00931208" w:rsidP="00643D30">
            <w:pPr>
              <w:pStyle w:val="TableUnitsRow"/>
              <w:ind w:right="28"/>
            </w:pPr>
            <w:r>
              <w:br/>
            </w:r>
            <w:r w:rsidR="00102D5F">
              <w:t>Per cent</w:t>
            </w:r>
          </w:p>
        </w:tc>
      </w:tr>
      <w:tr w:rsidR="00E50482" w:rsidTr="00643D30">
        <w:tc>
          <w:tcPr>
            <w:tcW w:w="2258" w:type="pct"/>
            <w:shd w:val="clear" w:color="auto" w:fill="D9D9D9" w:themeFill="background1" w:themeFillShade="D9"/>
            <w:vAlign w:val="bottom"/>
          </w:tcPr>
          <w:p w:rsidR="00E50482" w:rsidRDefault="00D25CD4" w:rsidP="00643D30">
            <w:pPr>
              <w:pStyle w:val="TableBodyText"/>
              <w:jc w:val="left"/>
            </w:pPr>
            <w:r>
              <w:t>Food, beverage &amp; tobacco products</w:t>
            </w:r>
          </w:p>
        </w:tc>
        <w:tc>
          <w:tcPr>
            <w:tcW w:w="1935" w:type="pct"/>
            <w:shd w:val="clear" w:color="auto" w:fill="D9D9D9" w:themeFill="background1" w:themeFillShade="D9"/>
            <w:vAlign w:val="bottom"/>
          </w:tcPr>
          <w:p w:rsidR="00E50482" w:rsidRDefault="00BB779B" w:rsidP="00643D30">
            <w:pPr>
              <w:pStyle w:val="TableBodyText"/>
              <w:ind w:right="28"/>
            </w:pPr>
            <w:r w:rsidRPr="00A70996">
              <w:t>4</w:t>
            </w:r>
            <w:r w:rsidR="00990F9D" w:rsidRPr="00A70996">
              <w:t xml:space="preserve"> </w:t>
            </w:r>
            <w:r w:rsidRPr="00A70996">
              <w:t>154</w:t>
            </w:r>
          </w:p>
        </w:tc>
        <w:tc>
          <w:tcPr>
            <w:tcW w:w="807" w:type="pct"/>
            <w:shd w:val="clear" w:color="auto" w:fill="D9D9D9" w:themeFill="background1" w:themeFillShade="D9"/>
            <w:vAlign w:val="bottom"/>
          </w:tcPr>
          <w:p w:rsidR="00E50482" w:rsidRDefault="00BB779B" w:rsidP="00643D30">
            <w:pPr>
              <w:pStyle w:val="TableBodyText"/>
              <w:ind w:right="28"/>
            </w:pPr>
            <w:r w:rsidRPr="00A70996">
              <w:t>18</w:t>
            </w:r>
          </w:p>
        </w:tc>
      </w:tr>
      <w:tr w:rsidR="00E50482" w:rsidTr="00643D30">
        <w:tc>
          <w:tcPr>
            <w:tcW w:w="2258" w:type="pct"/>
            <w:vAlign w:val="bottom"/>
          </w:tcPr>
          <w:p w:rsidR="00E50482" w:rsidRDefault="00D25CD4" w:rsidP="00643D30">
            <w:pPr>
              <w:pStyle w:val="TableBodyText"/>
              <w:jc w:val="left"/>
            </w:pPr>
            <w:r>
              <w:t>Petroleum, coal, chemical &amp; rubber prod.</w:t>
            </w:r>
          </w:p>
        </w:tc>
        <w:tc>
          <w:tcPr>
            <w:tcW w:w="1935" w:type="pct"/>
            <w:vAlign w:val="bottom"/>
          </w:tcPr>
          <w:p w:rsidR="00E50482" w:rsidRDefault="00BB779B" w:rsidP="00643D30">
            <w:pPr>
              <w:pStyle w:val="TableBodyText"/>
              <w:ind w:right="28"/>
            </w:pPr>
            <w:r w:rsidRPr="00A70996">
              <w:t>3</w:t>
            </w:r>
            <w:r w:rsidR="00990F9D" w:rsidRPr="00A70996">
              <w:t xml:space="preserve"> </w:t>
            </w:r>
            <w:r w:rsidRPr="00A70996">
              <w:t>345</w:t>
            </w:r>
          </w:p>
        </w:tc>
        <w:tc>
          <w:tcPr>
            <w:tcW w:w="807" w:type="pct"/>
            <w:vAlign w:val="bottom"/>
          </w:tcPr>
          <w:p w:rsidR="00E50482" w:rsidRDefault="002219D1" w:rsidP="00643D30">
            <w:pPr>
              <w:pStyle w:val="TableBodyText"/>
              <w:ind w:right="28"/>
            </w:pPr>
            <w:r>
              <w:t>17</w:t>
            </w:r>
          </w:p>
        </w:tc>
      </w:tr>
      <w:tr w:rsidR="00E50482" w:rsidTr="00643D30">
        <w:tc>
          <w:tcPr>
            <w:tcW w:w="2258" w:type="pct"/>
            <w:shd w:val="clear" w:color="auto" w:fill="D9D9D9" w:themeFill="background1" w:themeFillShade="D9"/>
            <w:vAlign w:val="bottom"/>
          </w:tcPr>
          <w:p w:rsidR="00E50482" w:rsidRDefault="00D25CD4" w:rsidP="00643D30">
            <w:pPr>
              <w:pStyle w:val="TableBodyText"/>
              <w:jc w:val="left"/>
            </w:pPr>
            <w:r>
              <w:t>Metal products</w:t>
            </w:r>
          </w:p>
        </w:tc>
        <w:tc>
          <w:tcPr>
            <w:tcW w:w="1935" w:type="pct"/>
            <w:shd w:val="clear" w:color="auto" w:fill="D9D9D9" w:themeFill="background1" w:themeFillShade="D9"/>
            <w:vAlign w:val="bottom"/>
          </w:tcPr>
          <w:p w:rsidR="00E50482" w:rsidRDefault="00BB779B" w:rsidP="00643D30">
            <w:pPr>
              <w:pStyle w:val="TableBodyText"/>
              <w:ind w:right="28"/>
            </w:pPr>
            <w:r w:rsidRPr="00A70996">
              <w:t>753</w:t>
            </w:r>
          </w:p>
        </w:tc>
        <w:tc>
          <w:tcPr>
            <w:tcW w:w="807" w:type="pct"/>
            <w:shd w:val="clear" w:color="auto" w:fill="D9D9D9" w:themeFill="background1" w:themeFillShade="D9"/>
            <w:vAlign w:val="bottom"/>
          </w:tcPr>
          <w:p w:rsidR="00E50482" w:rsidRDefault="002219D1" w:rsidP="00643D30">
            <w:pPr>
              <w:pStyle w:val="TableBodyText"/>
              <w:ind w:right="28"/>
            </w:pPr>
            <w:r>
              <w:t>3</w:t>
            </w:r>
          </w:p>
        </w:tc>
      </w:tr>
      <w:tr w:rsidR="00E50482" w:rsidRPr="00643D30" w:rsidTr="00643D30">
        <w:tc>
          <w:tcPr>
            <w:tcW w:w="2258" w:type="pct"/>
            <w:tcBorders>
              <w:bottom w:val="dotted" w:sz="4" w:space="0" w:color="auto"/>
            </w:tcBorders>
            <w:vAlign w:val="bottom"/>
          </w:tcPr>
          <w:p w:rsidR="00E50482" w:rsidRPr="00643D30" w:rsidRDefault="00E50482" w:rsidP="00643D30">
            <w:pPr>
              <w:pStyle w:val="TableBodyText"/>
              <w:jc w:val="left"/>
              <w:rPr>
                <w:i/>
              </w:rPr>
            </w:pPr>
            <w:r w:rsidRPr="00643D30">
              <w:rPr>
                <w:i/>
              </w:rPr>
              <w:t>Aggregate of subsectors</w:t>
            </w:r>
          </w:p>
        </w:tc>
        <w:tc>
          <w:tcPr>
            <w:tcW w:w="1935" w:type="pct"/>
            <w:tcBorders>
              <w:bottom w:val="dotted" w:sz="4" w:space="0" w:color="auto"/>
            </w:tcBorders>
            <w:vAlign w:val="bottom"/>
          </w:tcPr>
          <w:p w:rsidR="00E50482" w:rsidRPr="00643D30" w:rsidRDefault="00BB779B" w:rsidP="00643D30">
            <w:pPr>
              <w:pStyle w:val="TableBodyText"/>
              <w:ind w:right="28"/>
              <w:rPr>
                <w:i/>
              </w:rPr>
            </w:pPr>
            <w:r w:rsidRPr="00643D30">
              <w:rPr>
                <w:i/>
              </w:rPr>
              <w:t>6</w:t>
            </w:r>
            <w:r w:rsidR="00990F9D" w:rsidRPr="00643D30">
              <w:rPr>
                <w:i/>
              </w:rPr>
              <w:t xml:space="preserve"> </w:t>
            </w:r>
            <w:r w:rsidRPr="00643D30">
              <w:rPr>
                <w:i/>
              </w:rPr>
              <w:t>951</w:t>
            </w:r>
          </w:p>
        </w:tc>
        <w:tc>
          <w:tcPr>
            <w:tcW w:w="807" w:type="pct"/>
            <w:tcBorders>
              <w:bottom w:val="dotted" w:sz="4" w:space="0" w:color="auto"/>
            </w:tcBorders>
            <w:vAlign w:val="bottom"/>
          </w:tcPr>
          <w:p w:rsidR="00E50482" w:rsidRPr="00643D30" w:rsidRDefault="002219D1" w:rsidP="00643D30">
            <w:pPr>
              <w:pStyle w:val="TableBodyText"/>
              <w:ind w:right="28"/>
              <w:rPr>
                <w:i/>
              </w:rPr>
            </w:pPr>
            <w:r w:rsidRPr="00643D30">
              <w:rPr>
                <w:i/>
              </w:rPr>
              <w:t>6</w:t>
            </w:r>
          </w:p>
        </w:tc>
      </w:tr>
      <w:tr w:rsidR="00E50482" w:rsidTr="00643D30">
        <w:tc>
          <w:tcPr>
            <w:tcW w:w="2258" w:type="pct"/>
            <w:tcBorders>
              <w:top w:val="dotted" w:sz="4" w:space="0" w:color="auto"/>
            </w:tcBorders>
            <w:vAlign w:val="bottom"/>
          </w:tcPr>
          <w:p w:rsidR="00E50482" w:rsidRDefault="00D25CD4" w:rsidP="00643D30">
            <w:pPr>
              <w:pStyle w:val="TableBodyText"/>
              <w:jc w:val="left"/>
            </w:pPr>
            <w:r>
              <w:rPr>
                <w:b/>
              </w:rPr>
              <w:br/>
            </w:r>
            <w:r w:rsidR="00E50482">
              <w:rPr>
                <w:b/>
              </w:rPr>
              <w:t>Hours worked</w:t>
            </w:r>
          </w:p>
        </w:tc>
        <w:tc>
          <w:tcPr>
            <w:tcW w:w="1935" w:type="pct"/>
            <w:tcBorders>
              <w:top w:val="dotted" w:sz="4" w:space="0" w:color="auto"/>
            </w:tcBorders>
            <w:vAlign w:val="bottom"/>
          </w:tcPr>
          <w:p w:rsidR="00E50482" w:rsidRDefault="00E50482" w:rsidP="00643D30">
            <w:pPr>
              <w:pStyle w:val="TableBodyText"/>
              <w:spacing w:before="60"/>
              <w:ind w:right="28"/>
            </w:pPr>
            <w:r>
              <w:t xml:space="preserve">Additional hours worked </w:t>
            </w:r>
            <w:r w:rsidR="00B65252">
              <w:br/>
            </w:r>
            <w:r>
              <w:t>(‘000)</w:t>
            </w:r>
          </w:p>
        </w:tc>
        <w:tc>
          <w:tcPr>
            <w:tcW w:w="807" w:type="pct"/>
            <w:tcBorders>
              <w:top w:val="dotted" w:sz="4" w:space="0" w:color="auto"/>
            </w:tcBorders>
            <w:vAlign w:val="bottom"/>
          </w:tcPr>
          <w:p w:rsidR="00E50482" w:rsidRDefault="00931208" w:rsidP="00643D30">
            <w:pPr>
              <w:pStyle w:val="TableBodyText"/>
              <w:ind w:right="28"/>
            </w:pPr>
            <w:r>
              <w:br/>
              <w:t>Per cent</w:t>
            </w:r>
            <w:r w:rsidR="00E50482">
              <w:t xml:space="preserve"> </w:t>
            </w:r>
          </w:p>
        </w:tc>
      </w:tr>
      <w:tr w:rsidR="00D25CD4" w:rsidTr="00643D30">
        <w:tc>
          <w:tcPr>
            <w:tcW w:w="2258" w:type="pct"/>
            <w:shd w:val="clear" w:color="auto" w:fill="D9D9D9" w:themeFill="background1" w:themeFillShade="D9"/>
            <w:vAlign w:val="bottom"/>
          </w:tcPr>
          <w:p w:rsidR="00D25CD4" w:rsidRDefault="00D25CD4" w:rsidP="00643D30">
            <w:pPr>
              <w:pStyle w:val="TableBodyText"/>
              <w:jc w:val="left"/>
            </w:pPr>
            <w:r>
              <w:t>Food, beverage &amp; tobacco products</w:t>
            </w:r>
          </w:p>
        </w:tc>
        <w:tc>
          <w:tcPr>
            <w:tcW w:w="1935" w:type="pct"/>
            <w:shd w:val="clear" w:color="auto" w:fill="D9D9D9" w:themeFill="background1" w:themeFillShade="D9"/>
            <w:vAlign w:val="bottom"/>
          </w:tcPr>
          <w:p w:rsidR="00D25CD4" w:rsidRPr="00A70996" w:rsidRDefault="00D25CD4" w:rsidP="00643D30">
            <w:pPr>
              <w:pStyle w:val="TableBodyText"/>
            </w:pPr>
            <w:r w:rsidRPr="00A70996">
              <w:t>-108.1</w:t>
            </w:r>
          </w:p>
        </w:tc>
        <w:tc>
          <w:tcPr>
            <w:tcW w:w="807" w:type="pct"/>
            <w:shd w:val="clear" w:color="auto" w:fill="D9D9D9" w:themeFill="background1" w:themeFillShade="D9"/>
            <w:vAlign w:val="bottom"/>
          </w:tcPr>
          <w:p w:rsidR="00D25CD4" w:rsidRDefault="00D25CD4" w:rsidP="00643D30">
            <w:pPr>
              <w:pStyle w:val="TableBodyText"/>
              <w:ind w:right="28"/>
            </w:pPr>
            <w:r>
              <w:t>-25</w:t>
            </w:r>
          </w:p>
        </w:tc>
      </w:tr>
      <w:tr w:rsidR="00D25CD4" w:rsidTr="00643D30">
        <w:tc>
          <w:tcPr>
            <w:tcW w:w="2258" w:type="pct"/>
            <w:vAlign w:val="bottom"/>
          </w:tcPr>
          <w:p w:rsidR="00D25CD4" w:rsidRDefault="00D25CD4" w:rsidP="00643D30">
            <w:pPr>
              <w:pStyle w:val="TableBodyText"/>
              <w:jc w:val="left"/>
            </w:pPr>
            <w:r>
              <w:t>Petroleum, coal, chemical &amp; rubber prod.</w:t>
            </w:r>
          </w:p>
        </w:tc>
        <w:tc>
          <w:tcPr>
            <w:tcW w:w="1935" w:type="pct"/>
            <w:vAlign w:val="bottom"/>
          </w:tcPr>
          <w:p w:rsidR="00D25CD4" w:rsidRDefault="00D25CD4" w:rsidP="00643D30">
            <w:pPr>
              <w:pStyle w:val="TableBodyText"/>
            </w:pPr>
            <w:r w:rsidRPr="00A70996">
              <w:t>-64.0</w:t>
            </w:r>
          </w:p>
        </w:tc>
        <w:tc>
          <w:tcPr>
            <w:tcW w:w="807" w:type="pct"/>
            <w:vAlign w:val="bottom"/>
          </w:tcPr>
          <w:p w:rsidR="00D25CD4" w:rsidRDefault="00D25CD4" w:rsidP="00643D30">
            <w:pPr>
              <w:pStyle w:val="TableBodyText"/>
              <w:ind w:right="28"/>
            </w:pPr>
            <w:r w:rsidRPr="00A70996">
              <w:t>-3</w:t>
            </w:r>
            <w:r>
              <w:t>2</w:t>
            </w:r>
          </w:p>
        </w:tc>
      </w:tr>
      <w:tr w:rsidR="00D25CD4" w:rsidTr="00643D30">
        <w:tc>
          <w:tcPr>
            <w:tcW w:w="2258" w:type="pct"/>
            <w:shd w:val="clear" w:color="auto" w:fill="D9D9D9" w:themeFill="background1" w:themeFillShade="D9"/>
            <w:vAlign w:val="bottom"/>
          </w:tcPr>
          <w:p w:rsidR="00D25CD4" w:rsidRDefault="00D25CD4" w:rsidP="00643D30">
            <w:pPr>
              <w:pStyle w:val="TableBodyText"/>
              <w:jc w:val="left"/>
            </w:pPr>
            <w:r>
              <w:t>Metal products</w:t>
            </w:r>
          </w:p>
        </w:tc>
        <w:tc>
          <w:tcPr>
            <w:tcW w:w="1935" w:type="pct"/>
            <w:shd w:val="clear" w:color="auto" w:fill="D9D9D9" w:themeFill="background1" w:themeFillShade="D9"/>
            <w:vAlign w:val="bottom"/>
          </w:tcPr>
          <w:p w:rsidR="00D25CD4" w:rsidRDefault="00D25CD4" w:rsidP="00643D30">
            <w:pPr>
              <w:pStyle w:val="TableBodyText"/>
            </w:pPr>
            <w:r w:rsidRPr="00A70996">
              <w:t>-22.0</w:t>
            </w:r>
          </w:p>
        </w:tc>
        <w:tc>
          <w:tcPr>
            <w:tcW w:w="807" w:type="pct"/>
            <w:shd w:val="clear" w:color="auto" w:fill="D9D9D9" w:themeFill="background1" w:themeFillShade="D9"/>
            <w:vAlign w:val="bottom"/>
          </w:tcPr>
          <w:p w:rsidR="00D25CD4" w:rsidRDefault="00D25CD4" w:rsidP="00643D30">
            <w:pPr>
              <w:pStyle w:val="TableBodyText"/>
              <w:ind w:right="28"/>
            </w:pPr>
            <w:r>
              <w:t>-7</w:t>
            </w:r>
          </w:p>
        </w:tc>
      </w:tr>
      <w:tr w:rsidR="00E50482" w:rsidRPr="00643D30" w:rsidTr="00643D30">
        <w:tc>
          <w:tcPr>
            <w:tcW w:w="2258" w:type="pct"/>
            <w:tcBorders>
              <w:bottom w:val="dotted" w:sz="4" w:space="0" w:color="auto"/>
            </w:tcBorders>
            <w:vAlign w:val="bottom"/>
          </w:tcPr>
          <w:p w:rsidR="00E50482" w:rsidRPr="00643D30" w:rsidRDefault="00E50482" w:rsidP="00643D30">
            <w:pPr>
              <w:pStyle w:val="TableBodyText"/>
              <w:jc w:val="left"/>
              <w:rPr>
                <w:i/>
              </w:rPr>
            </w:pPr>
            <w:r w:rsidRPr="00643D30">
              <w:rPr>
                <w:i/>
              </w:rPr>
              <w:t>Aggregate of subsectors</w:t>
            </w:r>
          </w:p>
        </w:tc>
        <w:tc>
          <w:tcPr>
            <w:tcW w:w="1935" w:type="pct"/>
            <w:tcBorders>
              <w:bottom w:val="dotted" w:sz="4" w:space="0" w:color="auto"/>
            </w:tcBorders>
            <w:vAlign w:val="bottom"/>
          </w:tcPr>
          <w:p w:rsidR="00E50482" w:rsidRPr="00643D30" w:rsidRDefault="00772FD5" w:rsidP="00643D30">
            <w:pPr>
              <w:pStyle w:val="TableBodyText"/>
              <w:rPr>
                <w:i/>
              </w:rPr>
            </w:pPr>
            <w:r w:rsidRPr="00643D30">
              <w:rPr>
                <w:i/>
              </w:rPr>
              <w:t>-201.2</w:t>
            </w:r>
          </w:p>
        </w:tc>
        <w:tc>
          <w:tcPr>
            <w:tcW w:w="807" w:type="pct"/>
            <w:tcBorders>
              <w:bottom w:val="dotted" w:sz="4" w:space="0" w:color="auto"/>
            </w:tcBorders>
            <w:vAlign w:val="bottom"/>
          </w:tcPr>
          <w:p w:rsidR="00E50482" w:rsidRPr="00643D30" w:rsidRDefault="002219D1" w:rsidP="00643D30">
            <w:pPr>
              <w:pStyle w:val="TableBodyText"/>
              <w:ind w:right="28"/>
              <w:rPr>
                <w:i/>
              </w:rPr>
            </w:pPr>
            <w:r w:rsidRPr="00643D30">
              <w:rPr>
                <w:i/>
              </w:rPr>
              <w:t>-10</w:t>
            </w:r>
          </w:p>
        </w:tc>
      </w:tr>
      <w:tr w:rsidR="00E50482" w:rsidTr="00643D30">
        <w:tc>
          <w:tcPr>
            <w:tcW w:w="2258" w:type="pct"/>
            <w:tcBorders>
              <w:top w:val="dotted" w:sz="4" w:space="0" w:color="auto"/>
            </w:tcBorders>
            <w:vAlign w:val="bottom"/>
          </w:tcPr>
          <w:p w:rsidR="00E50482" w:rsidRDefault="00D25CD4" w:rsidP="00643D30">
            <w:pPr>
              <w:pStyle w:val="TableBodyText"/>
              <w:jc w:val="left"/>
            </w:pPr>
            <w:r>
              <w:rPr>
                <w:b/>
              </w:rPr>
              <w:br/>
            </w:r>
            <w:r w:rsidR="00910BFE">
              <w:rPr>
                <w:b/>
              </w:rPr>
              <w:t>Net capital stock</w:t>
            </w:r>
            <w:r w:rsidR="007D320E">
              <w:rPr>
                <w:rStyle w:val="NoteLabel"/>
              </w:rPr>
              <w:t>c</w:t>
            </w:r>
          </w:p>
        </w:tc>
        <w:tc>
          <w:tcPr>
            <w:tcW w:w="1935" w:type="pct"/>
            <w:tcBorders>
              <w:top w:val="dotted" w:sz="4" w:space="0" w:color="auto"/>
            </w:tcBorders>
            <w:vAlign w:val="bottom"/>
          </w:tcPr>
          <w:p w:rsidR="00E50482" w:rsidRDefault="00C13989" w:rsidP="00643D30">
            <w:pPr>
              <w:pStyle w:val="TableBodyText"/>
              <w:spacing w:before="60"/>
              <w:ind w:right="28"/>
            </w:pPr>
            <w:r>
              <w:t>Additional net capital stock</w:t>
            </w:r>
            <w:r w:rsidR="00B65252">
              <w:br/>
            </w:r>
            <w:r>
              <w:t>(2009-10 $m</w:t>
            </w:r>
            <w:r w:rsidR="005D008C">
              <w:t>)</w:t>
            </w:r>
          </w:p>
        </w:tc>
        <w:tc>
          <w:tcPr>
            <w:tcW w:w="807" w:type="pct"/>
            <w:tcBorders>
              <w:top w:val="dotted" w:sz="4" w:space="0" w:color="auto"/>
            </w:tcBorders>
            <w:vAlign w:val="bottom"/>
          </w:tcPr>
          <w:p w:rsidR="00E50482" w:rsidRDefault="007D2D57" w:rsidP="00643D30">
            <w:pPr>
              <w:pStyle w:val="TableBodyText"/>
              <w:ind w:right="28"/>
            </w:pPr>
            <w:r>
              <w:t>Per cent</w:t>
            </w:r>
          </w:p>
        </w:tc>
      </w:tr>
      <w:tr w:rsidR="00D25CD4" w:rsidTr="00643D30">
        <w:tc>
          <w:tcPr>
            <w:tcW w:w="2258" w:type="pct"/>
            <w:shd w:val="clear" w:color="auto" w:fill="D9D9D9" w:themeFill="background1" w:themeFillShade="D9"/>
            <w:vAlign w:val="bottom"/>
          </w:tcPr>
          <w:p w:rsidR="00D25CD4" w:rsidRDefault="00D25CD4" w:rsidP="00643D30">
            <w:pPr>
              <w:pStyle w:val="TableBodyText"/>
              <w:jc w:val="left"/>
            </w:pPr>
            <w:r>
              <w:t>Food, beverage &amp; tobacco products</w:t>
            </w:r>
          </w:p>
        </w:tc>
        <w:tc>
          <w:tcPr>
            <w:tcW w:w="1935" w:type="pct"/>
            <w:shd w:val="clear" w:color="auto" w:fill="D9D9D9" w:themeFill="background1" w:themeFillShade="D9"/>
            <w:vAlign w:val="bottom"/>
          </w:tcPr>
          <w:p w:rsidR="00D25CD4" w:rsidRDefault="00D25CD4" w:rsidP="00643D30">
            <w:pPr>
              <w:pStyle w:val="TableBodyText"/>
            </w:pPr>
            <w:r w:rsidRPr="00A70996">
              <w:t>-11 251</w:t>
            </w:r>
          </w:p>
        </w:tc>
        <w:tc>
          <w:tcPr>
            <w:tcW w:w="807" w:type="pct"/>
            <w:shd w:val="clear" w:color="auto" w:fill="D9D9D9" w:themeFill="background1" w:themeFillShade="D9"/>
            <w:vAlign w:val="bottom"/>
          </w:tcPr>
          <w:p w:rsidR="00D25CD4" w:rsidRDefault="00D25CD4" w:rsidP="00643D30">
            <w:pPr>
              <w:pStyle w:val="TableBodyText"/>
              <w:ind w:right="28"/>
            </w:pPr>
            <w:r>
              <w:t>-38</w:t>
            </w:r>
          </w:p>
        </w:tc>
      </w:tr>
      <w:tr w:rsidR="00D25CD4" w:rsidTr="00643D30">
        <w:tc>
          <w:tcPr>
            <w:tcW w:w="2258" w:type="pct"/>
            <w:vAlign w:val="bottom"/>
          </w:tcPr>
          <w:p w:rsidR="00D25CD4" w:rsidRDefault="00D25CD4" w:rsidP="00643D30">
            <w:pPr>
              <w:pStyle w:val="TableBodyText"/>
              <w:jc w:val="left"/>
            </w:pPr>
            <w:r>
              <w:t>Petroleum, coal, chemical &amp; rubber prod.</w:t>
            </w:r>
          </w:p>
        </w:tc>
        <w:tc>
          <w:tcPr>
            <w:tcW w:w="1935" w:type="pct"/>
            <w:vAlign w:val="bottom"/>
          </w:tcPr>
          <w:p w:rsidR="00D25CD4" w:rsidRDefault="00D25CD4" w:rsidP="00643D30">
            <w:pPr>
              <w:pStyle w:val="TableBodyText"/>
            </w:pPr>
            <w:r w:rsidRPr="00A70996">
              <w:t>-8 144</w:t>
            </w:r>
          </w:p>
        </w:tc>
        <w:tc>
          <w:tcPr>
            <w:tcW w:w="807" w:type="pct"/>
            <w:vAlign w:val="bottom"/>
          </w:tcPr>
          <w:p w:rsidR="00D25CD4" w:rsidRDefault="00D25CD4" w:rsidP="00643D30">
            <w:pPr>
              <w:pStyle w:val="TableBodyText"/>
              <w:ind w:right="28"/>
            </w:pPr>
            <w:r>
              <w:t>-29</w:t>
            </w:r>
          </w:p>
        </w:tc>
      </w:tr>
      <w:tr w:rsidR="00D25CD4" w:rsidTr="00643D30">
        <w:tc>
          <w:tcPr>
            <w:tcW w:w="2258" w:type="pct"/>
            <w:shd w:val="clear" w:color="auto" w:fill="D9D9D9" w:themeFill="background1" w:themeFillShade="D9"/>
            <w:vAlign w:val="bottom"/>
          </w:tcPr>
          <w:p w:rsidR="00D25CD4" w:rsidRDefault="00D25CD4" w:rsidP="00643D30">
            <w:pPr>
              <w:pStyle w:val="TableBodyText"/>
              <w:jc w:val="left"/>
            </w:pPr>
            <w:r>
              <w:t>Metal products</w:t>
            </w:r>
          </w:p>
        </w:tc>
        <w:tc>
          <w:tcPr>
            <w:tcW w:w="1935" w:type="pct"/>
            <w:shd w:val="clear" w:color="auto" w:fill="D9D9D9" w:themeFill="background1" w:themeFillShade="D9"/>
            <w:vAlign w:val="bottom"/>
          </w:tcPr>
          <w:p w:rsidR="00D25CD4" w:rsidRDefault="00D25CD4" w:rsidP="00643D30">
            <w:pPr>
              <w:pStyle w:val="TableBodyText"/>
            </w:pPr>
            <w:r w:rsidRPr="00A70996">
              <w:t>-3 597</w:t>
            </w:r>
          </w:p>
        </w:tc>
        <w:tc>
          <w:tcPr>
            <w:tcW w:w="807" w:type="pct"/>
            <w:shd w:val="clear" w:color="auto" w:fill="D9D9D9" w:themeFill="background1" w:themeFillShade="D9"/>
            <w:vAlign w:val="bottom"/>
          </w:tcPr>
          <w:p w:rsidR="00D25CD4" w:rsidRDefault="00D25CD4" w:rsidP="00643D30">
            <w:pPr>
              <w:pStyle w:val="TableBodyText"/>
              <w:ind w:right="28"/>
            </w:pPr>
            <w:r>
              <w:t>-8</w:t>
            </w:r>
          </w:p>
        </w:tc>
      </w:tr>
      <w:tr w:rsidR="00E50482" w:rsidTr="00643D30">
        <w:tc>
          <w:tcPr>
            <w:tcW w:w="2258" w:type="pct"/>
            <w:tcBorders>
              <w:bottom w:val="single" w:sz="4" w:space="0" w:color="auto"/>
            </w:tcBorders>
            <w:vAlign w:val="bottom"/>
          </w:tcPr>
          <w:p w:rsidR="00E50482" w:rsidRPr="00643D30" w:rsidRDefault="00E50482" w:rsidP="00643D30">
            <w:pPr>
              <w:pStyle w:val="TableBodyText"/>
              <w:jc w:val="left"/>
              <w:rPr>
                <w:i/>
              </w:rPr>
            </w:pPr>
            <w:r w:rsidRPr="00643D30">
              <w:rPr>
                <w:i/>
              </w:rPr>
              <w:t>Aggregate of subsectors</w:t>
            </w:r>
          </w:p>
        </w:tc>
        <w:tc>
          <w:tcPr>
            <w:tcW w:w="1935" w:type="pct"/>
            <w:tcBorders>
              <w:bottom w:val="single" w:sz="4" w:space="0" w:color="auto"/>
            </w:tcBorders>
            <w:vAlign w:val="bottom"/>
          </w:tcPr>
          <w:p w:rsidR="00E50482" w:rsidRPr="00643D30" w:rsidRDefault="00354BEB" w:rsidP="00643D30">
            <w:pPr>
              <w:pStyle w:val="TableBodyText"/>
              <w:rPr>
                <w:i/>
              </w:rPr>
            </w:pPr>
            <w:r w:rsidRPr="00643D30">
              <w:rPr>
                <w:i/>
              </w:rPr>
              <w:t>-23</w:t>
            </w:r>
            <w:r w:rsidR="00990F9D" w:rsidRPr="00643D30">
              <w:rPr>
                <w:i/>
              </w:rPr>
              <w:t xml:space="preserve"> </w:t>
            </w:r>
            <w:r w:rsidRPr="00643D30">
              <w:rPr>
                <w:i/>
              </w:rPr>
              <w:t>230</w:t>
            </w:r>
          </w:p>
        </w:tc>
        <w:tc>
          <w:tcPr>
            <w:tcW w:w="807" w:type="pct"/>
            <w:tcBorders>
              <w:bottom w:val="single" w:sz="4" w:space="0" w:color="auto"/>
            </w:tcBorders>
            <w:vAlign w:val="bottom"/>
          </w:tcPr>
          <w:p w:rsidR="00E50482" w:rsidRPr="00643D30" w:rsidRDefault="00C06772" w:rsidP="00643D30">
            <w:pPr>
              <w:pStyle w:val="TableBodyText"/>
              <w:ind w:right="28"/>
              <w:rPr>
                <w:i/>
              </w:rPr>
            </w:pPr>
            <w:r w:rsidRPr="00643D30">
              <w:rPr>
                <w:i/>
              </w:rPr>
              <w:t>-15</w:t>
            </w:r>
          </w:p>
        </w:tc>
      </w:tr>
    </w:tbl>
    <w:p w:rsidR="000C4B1C" w:rsidRPr="000C4B1C" w:rsidRDefault="007D320E" w:rsidP="000C4B1C">
      <w:pPr>
        <w:pStyle w:val="Note"/>
      </w:pPr>
      <w:r>
        <w:rPr>
          <w:rStyle w:val="NoteLabel"/>
        </w:rPr>
        <w:t>a</w:t>
      </w:r>
      <w:r>
        <w:t xml:space="preserve"> </w:t>
      </w:r>
      <w:r w:rsidR="00F835CA">
        <w:t>Specifically, the changes needed to achieve zero MFP growth f</w:t>
      </w:r>
      <w:r w:rsidR="002625FF">
        <w:t xml:space="preserve">or </w:t>
      </w:r>
      <w:r w:rsidR="001D26BC">
        <w:t>Food, beverage &amp; tobacco products</w:t>
      </w:r>
      <w:r w:rsidR="002625FF">
        <w:t xml:space="preserve">, </w:t>
      </w:r>
      <w:r w:rsidR="001D26BC">
        <w:t>Petroleum, coal, chemical &amp; rubber products</w:t>
      </w:r>
      <w:r w:rsidR="002625FF">
        <w:t xml:space="preserve">, </w:t>
      </w:r>
      <w:r w:rsidR="001D26BC">
        <w:t xml:space="preserve">Metal products </w:t>
      </w:r>
      <w:r w:rsidR="002625FF">
        <w:t>and aggregate M</w:t>
      </w:r>
      <w:r w:rsidR="00F835CA">
        <w:t>anufacturing are shown here, separately</w:t>
      </w:r>
      <w:r>
        <w:t>.</w:t>
      </w:r>
      <w:r>
        <w:rPr>
          <w:rStyle w:val="NoteLabel"/>
        </w:rPr>
        <w:t xml:space="preserve"> </w:t>
      </w:r>
      <w:r w:rsidR="001D26BC">
        <w:rPr>
          <w:rStyle w:val="NoteLabel"/>
        </w:rPr>
        <w:t>b</w:t>
      </w:r>
      <w:r w:rsidR="001D26BC">
        <w:t> </w:t>
      </w:r>
      <w:r w:rsidR="00712D16">
        <w:t>Percentage difference relative to actual 2007-08 values.</w:t>
      </w:r>
      <w:r w:rsidR="000C4B1C" w:rsidRPr="000C4B1C">
        <w:rPr>
          <w:rStyle w:val="NoteLabel"/>
        </w:rPr>
        <w:t xml:space="preserve"> </w:t>
      </w:r>
      <w:r>
        <w:rPr>
          <w:rStyle w:val="NoteLabel"/>
        </w:rPr>
        <w:t>c</w:t>
      </w:r>
      <w:r w:rsidR="00614C0B">
        <w:t> </w:t>
      </w:r>
      <w:r w:rsidR="000C4B1C" w:rsidRPr="000C4B1C">
        <w:t>Capital inputs are calculated using capital services indexes, which in turn relate to a weighting of productive capital stock (appendix A). Rather than present the weighted productive capital stock, changes in the net capital stock are used here instead to show the magnitude of capital change needed to achieve the outcomes under each of the relevant scenarios.</w:t>
      </w:r>
    </w:p>
    <w:p w:rsidR="007C0B28" w:rsidRPr="007C0B28" w:rsidRDefault="007C0B28" w:rsidP="007C0B28">
      <w:pPr>
        <w:pStyle w:val="Source"/>
      </w:pPr>
      <w:r>
        <w:rPr>
          <w:i/>
        </w:rPr>
        <w:t>Source</w:t>
      </w:r>
      <w:r>
        <w:t xml:space="preserve">: </w:t>
      </w:r>
      <w:r w:rsidR="00FF4BD8">
        <w:t>Authors’ estimates.</w:t>
      </w:r>
    </w:p>
    <w:p w:rsidR="007C0B28" w:rsidRDefault="00542908" w:rsidP="006510F9">
      <w:pPr>
        <w:pStyle w:val="BodyText"/>
      </w:pPr>
      <w:r>
        <w:t xml:space="preserve">In terms of value added, the amount of additional output needed to have had </w:t>
      </w:r>
      <w:r w:rsidR="00650A2D">
        <w:t>zero</w:t>
      </w:r>
      <w:r>
        <w:t xml:space="preserve"> MFP growth over cycle 4</w:t>
      </w:r>
      <w:r w:rsidR="000E6871">
        <w:t xml:space="preserve"> </w:t>
      </w:r>
      <w:r w:rsidR="00840EEF">
        <w:t xml:space="preserve">(rather than negative MFP growth) </w:t>
      </w:r>
      <w:r w:rsidR="000E6871">
        <w:t xml:space="preserve">is quite large for </w:t>
      </w:r>
      <w:r w:rsidR="007C0131">
        <w:t>aggregate</w:t>
      </w:r>
      <w:r w:rsidR="000E6871">
        <w:t xml:space="preserve"> </w:t>
      </w:r>
      <w:r w:rsidR="00F40221">
        <w:t xml:space="preserve">Manufacturing </w:t>
      </w:r>
      <w:r w:rsidR="000E6871">
        <w:t xml:space="preserve">(an additional 6 per cent), but is even larger for </w:t>
      </w:r>
      <w:r w:rsidR="001D26BC">
        <w:t>Food, beverage and tobacco products</w:t>
      </w:r>
      <w:r w:rsidR="000E6871">
        <w:t xml:space="preserve"> and </w:t>
      </w:r>
      <w:r w:rsidR="001D26BC">
        <w:t>Petroleum, coal, chemical and rubber products</w:t>
      </w:r>
      <w:r w:rsidR="000E6871">
        <w:t xml:space="preserve"> (18 and 17 per cent, respectively). </w:t>
      </w:r>
      <w:r w:rsidR="00F35515">
        <w:t xml:space="preserve">Because </w:t>
      </w:r>
      <w:r w:rsidR="001D26BC">
        <w:t xml:space="preserve">Metal products </w:t>
      </w:r>
      <w:r w:rsidR="00AD1AFC">
        <w:t>is</w:t>
      </w:r>
      <w:r w:rsidR="00F35515">
        <w:t xml:space="preserve"> close</w:t>
      </w:r>
      <w:r w:rsidR="00AD1AFC">
        <w:t>r</w:t>
      </w:r>
      <w:r w:rsidR="00F35515">
        <w:t xml:space="preserve"> to zero MFP growth to begin with, it requires</w:t>
      </w:r>
      <w:r w:rsidR="007067CF">
        <w:t xml:space="preserve"> a</w:t>
      </w:r>
      <w:r w:rsidR="00F35515">
        <w:t xml:space="preserve"> comparatively smaller amount of additional </w:t>
      </w:r>
      <w:r w:rsidR="00971813">
        <w:t xml:space="preserve">value added </w:t>
      </w:r>
      <w:r w:rsidR="00F35515">
        <w:t xml:space="preserve">growth </w:t>
      </w:r>
      <w:r w:rsidR="005F52C5">
        <w:t>(3 per cent)</w:t>
      </w:r>
      <w:r w:rsidR="00AE32AC">
        <w:t xml:space="preserve"> </w:t>
      </w:r>
      <w:r w:rsidR="00F35515">
        <w:t>to achieve zero MFP growth</w:t>
      </w:r>
      <w:r w:rsidR="00AE32AC">
        <w:t>.</w:t>
      </w:r>
    </w:p>
    <w:p w:rsidR="00957534" w:rsidRDefault="00356D9E" w:rsidP="00957534">
      <w:pPr>
        <w:pStyle w:val="BodyText"/>
      </w:pPr>
      <w:r>
        <w:t xml:space="preserve">A 10 per cent reduction in </w:t>
      </w:r>
      <w:r w:rsidR="009246D3">
        <w:t xml:space="preserve">hours worked would have been necessary in 2007-08 </w:t>
      </w:r>
      <w:r w:rsidR="00F022EF">
        <w:t xml:space="preserve">for </w:t>
      </w:r>
      <w:r w:rsidR="002625FF">
        <w:t>M</w:t>
      </w:r>
      <w:r w:rsidR="00F022EF">
        <w:t>anufacturing</w:t>
      </w:r>
      <w:r w:rsidR="002625FF">
        <w:t xml:space="preserve"> in total</w:t>
      </w:r>
      <w:r w:rsidR="00F022EF">
        <w:t xml:space="preserve"> to have achieved </w:t>
      </w:r>
      <w:r w:rsidR="009246D3">
        <w:t>zero MFP growth</w:t>
      </w:r>
      <w:r w:rsidR="00E0085F">
        <w:t xml:space="preserve"> during</w:t>
      </w:r>
      <w:r w:rsidR="009246D3">
        <w:t xml:space="preserve"> for cycle 4. </w:t>
      </w:r>
      <w:r w:rsidR="00900C78">
        <w:t>A l</w:t>
      </w:r>
      <w:r w:rsidR="008553EC">
        <w:t>arge</w:t>
      </w:r>
      <w:r w:rsidR="001B04EA">
        <w:t>r</w:t>
      </w:r>
      <w:r w:rsidR="00C030A4">
        <w:t xml:space="preserve"> reduction</w:t>
      </w:r>
      <w:r w:rsidR="001B04EA">
        <w:t xml:space="preserve"> in hours worked for 2007-08</w:t>
      </w:r>
      <w:r w:rsidR="00C030A4">
        <w:t xml:space="preserve"> are necessary to </w:t>
      </w:r>
      <w:r w:rsidR="000303C7">
        <w:t xml:space="preserve">have </w:t>
      </w:r>
      <w:r w:rsidR="00C030A4">
        <w:t>achieve</w:t>
      </w:r>
      <w:r w:rsidR="000303C7">
        <w:t>d</w:t>
      </w:r>
      <w:r w:rsidR="00C030A4">
        <w:t xml:space="preserve"> </w:t>
      </w:r>
      <w:r w:rsidR="001103EB">
        <w:t>zero MFP growth</w:t>
      </w:r>
      <w:r w:rsidR="00C030A4">
        <w:t xml:space="preserve"> in </w:t>
      </w:r>
      <w:r w:rsidR="001D26BC">
        <w:t>Food, beverage and tobacco products</w:t>
      </w:r>
      <w:r w:rsidR="00900C78">
        <w:t xml:space="preserve"> — in the order of 25 per cent relative to what ac</w:t>
      </w:r>
      <w:r w:rsidR="008B487A">
        <w:t xml:space="preserve">tually occurred. This reduction is large as it </w:t>
      </w:r>
      <w:r w:rsidR="00C94D18">
        <w:t>effectively reverses</w:t>
      </w:r>
      <w:r w:rsidR="008B487A">
        <w:t xml:space="preserve"> </w:t>
      </w:r>
      <w:r w:rsidR="008B487A">
        <w:lastRenderedPageBreak/>
        <w:t xml:space="preserve">the particularly strong growth of hours worked that </w:t>
      </w:r>
      <w:r w:rsidR="001D26BC">
        <w:t>Food, beverage and tobacco products</w:t>
      </w:r>
      <w:r w:rsidR="008B487A">
        <w:t xml:space="preserve"> experienced over cycle 4.</w:t>
      </w:r>
      <w:r w:rsidR="00957534">
        <w:t xml:space="preserve"> </w:t>
      </w:r>
    </w:p>
    <w:p w:rsidR="000E7B18" w:rsidRDefault="00957534" w:rsidP="002A5F54">
      <w:pPr>
        <w:pStyle w:val="BodyText"/>
      </w:pPr>
      <w:r>
        <w:t xml:space="preserve">A </w:t>
      </w:r>
      <w:r w:rsidR="001F7010">
        <w:t xml:space="preserve">reduction of 32 per cent of hours worked in 2007-08 (relative to what actually occurred) would have been necessary for </w:t>
      </w:r>
      <w:r w:rsidR="001D26BC">
        <w:t>Petroleum, coal, chemical and rubber products</w:t>
      </w:r>
      <w:r>
        <w:t xml:space="preserve"> to have achieved zero MFP growth</w:t>
      </w:r>
      <w:r w:rsidR="00B352CC">
        <w:t xml:space="preserve"> </w:t>
      </w:r>
      <w:r w:rsidR="001F7010">
        <w:t>in cycle 4.</w:t>
      </w:r>
      <w:r w:rsidR="00745528">
        <w:t xml:space="preserve"> </w:t>
      </w:r>
      <w:r w:rsidR="002A5F54">
        <w:t xml:space="preserve">The reason why this reduction is so proportionately large is that </w:t>
      </w:r>
      <w:r w:rsidR="001D26BC">
        <w:t>Petroleum, coal, chemical and rubber products</w:t>
      </w:r>
      <w:r w:rsidR="002A5F54">
        <w:t xml:space="preserve"> is particularly capital intensive, and so a reduction in hours worked has a smaller effect on increasing MFP, relative to other subsectors. </w:t>
      </w:r>
    </w:p>
    <w:p w:rsidR="00116788" w:rsidRDefault="00910BFE" w:rsidP="006510F9">
      <w:pPr>
        <w:pStyle w:val="BodyText"/>
      </w:pPr>
      <w:r>
        <w:t xml:space="preserve">In terms of </w:t>
      </w:r>
      <w:r w:rsidR="001C73C0">
        <w:t xml:space="preserve">capital services, in order to achieve zero MFP growth for </w:t>
      </w:r>
      <w:r w:rsidR="002625FF">
        <w:t>Manufacturing</w:t>
      </w:r>
      <w:r w:rsidR="001C73C0">
        <w:t xml:space="preserve"> in cycle 4 there would have had to have been a reduction in capital services growth that equates to around 15 per cent of net capital stock. </w:t>
      </w:r>
      <w:r w:rsidR="00AD5F6B">
        <w:t xml:space="preserve">The reductions are comparatively larger for </w:t>
      </w:r>
      <w:r w:rsidR="001D26BC">
        <w:t>Food, beverage and tobacco products</w:t>
      </w:r>
      <w:r w:rsidR="00AD5F6B">
        <w:t xml:space="preserve"> and </w:t>
      </w:r>
      <w:r w:rsidR="001D26BC">
        <w:t>Petroleum, coal, chemical and rubber products</w:t>
      </w:r>
      <w:r w:rsidR="00AD5F6B">
        <w:t xml:space="preserve"> to </w:t>
      </w:r>
      <w:r w:rsidR="00190B03">
        <w:t xml:space="preserve">have </w:t>
      </w:r>
      <w:r w:rsidR="00AD5F6B">
        <w:t>achieve</w:t>
      </w:r>
      <w:r w:rsidR="00190B03">
        <w:t>d</w:t>
      </w:r>
      <w:r w:rsidR="00AD5F6B">
        <w:t xml:space="preserve"> </w:t>
      </w:r>
      <w:r w:rsidR="004B6AE2">
        <w:t>zero</w:t>
      </w:r>
      <w:r w:rsidR="00AD5F6B">
        <w:t xml:space="preserve"> MFP growth in cycle 4 (38 and 29 per cent, respectively).</w:t>
      </w:r>
      <w:r w:rsidR="00091738">
        <w:t xml:space="preserve"> </w:t>
      </w:r>
      <w:r w:rsidR="00241D30">
        <w:t xml:space="preserve">The reduction necessary in </w:t>
      </w:r>
      <w:r w:rsidR="001D26BC">
        <w:t>Food, beverage and tobacco products</w:t>
      </w:r>
      <w:r w:rsidR="00241D30">
        <w:t xml:space="preserve"> is large</w:t>
      </w:r>
      <w:r w:rsidR="00DC38B2">
        <w:t xml:space="preserve"> as the subsector is relatively labour intensive (and so, reductions in capital inputs have a smaller effect on increasing MFP). </w:t>
      </w:r>
      <w:r w:rsidR="00DA4936">
        <w:t xml:space="preserve">The reduction in </w:t>
      </w:r>
      <w:r w:rsidR="001D26BC">
        <w:t>Petroleum, coal, chemical and rubber products</w:t>
      </w:r>
      <w:r w:rsidR="00DA4936">
        <w:t xml:space="preserve"> is large as it effectively reduces the very strong capital services growth that occurred in the subsector over cycle 4.</w:t>
      </w:r>
      <w:r w:rsidR="00333C1F">
        <w:t xml:space="preserve"> </w:t>
      </w:r>
      <w:r w:rsidR="00091738">
        <w:t xml:space="preserve">The net capital stock of Metal products would have needed to have been 8 per cent smaller in 2007-08 for that subsector to </w:t>
      </w:r>
      <w:r w:rsidR="004B6AE2">
        <w:t xml:space="preserve">have </w:t>
      </w:r>
      <w:r w:rsidR="00091738">
        <w:t>achieve</w:t>
      </w:r>
      <w:r w:rsidR="004B6AE2">
        <w:t>d</w:t>
      </w:r>
      <w:r w:rsidR="00091738">
        <w:t xml:space="preserve"> zero MFP growth.</w:t>
      </w:r>
    </w:p>
    <w:p w:rsidR="00C02E7F" w:rsidRDefault="002632A7" w:rsidP="006510F9">
      <w:pPr>
        <w:pStyle w:val="BodyText"/>
      </w:pPr>
      <w:r>
        <w:t xml:space="preserve">The changes in proximate causes that would have been necessary to achieve zero MFP growth in cycle 4 are large for aggregate </w:t>
      </w:r>
      <w:r w:rsidR="000D7CD6">
        <w:t xml:space="preserve">Manufacturing </w:t>
      </w:r>
      <w:r>
        <w:t xml:space="preserve">and even larger for </w:t>
      </w:r>
      <w:r w:rsidR="001D26BC">
        <w:t xml:space="preserve">Food, beverage and tobacco products </w:t>
      </w:r>
      <w:r>
        <w:t xml:space="preserve">and </w:t>
      </w:r>
      <w:r w:rsidR="001D26BC">
        <w:t>Petroleum, coal, chemical and rubber products</w:t>
      </w:r>
      <w:r>
        <w:t xml:space="preserve">. </w:t>
      </w:r>
      <w:r w:rsidR="00344547">
        <w:t>For those two subsectors, the scale of how much additional value added or reduced hours worked and capital services</w:t>
      </w:r>
      <w:r w:rsidR="005A7ED4">
        <w:t xml:space="preserve"> </w:t>
      </w:r>
      <w:r w:rsidR="00567672">
        <w:t xml:space="preserve">suggests </w:t>
      </w:r>
      <w:r w:rsidR="005A7ED4">
        <w:t>that</w:t>
      </w:r>
      <w:r w:rsidR="00A8450C">
        <w:t xml:space="preserve"> the negative MFP estimate</w:t>
      </w:r>
      <w:r w:rsidR="00F95FCE">
        <w:t xml:space="preserve"> </w:t>
      </w:r>
      <w:r w:rsidR="005A7ED4">
        <w:t xml:space="preserve">is unlikely to have been caused </w:t>
      </w:r>
      <w:r w:rsidR="00E860C3">
        <w:t xml:space="preserve">simply </w:t>
      </w:r>
      <w:r w:rsidR="005A7ED4">
        <w:t>by</w:t>
      </w:r>
      <w:r w:rsidR="00E860C3">
        <w:t xml:space="preserve"> random</w:t>
      </w:r>
      <w:r w:rsidR="005A7ED4">
        <w:t xml:space="preserve"> </w:t>
      </w:r>
      <w:r w:rsidR="00F86874">
        <w:t>statistical</w:t>
      </w:r>
      <w:r w:rsidR="000D7CD6">
        <w:t xml:space="preserve"> </w:t>
      </w:r>
      <w:r w:rsidR="005A7ED4">
        <w:t>error in the data.</w:t>
      </w:r>
      <w:r w:rsidR="00DD779E">
        <w:t xml:space="preserve"> </w:t>
      </w:r>
      <w:r w:rsidR="00473BC7">
        <w:t>The</w:t>
      </w:r>
      <w:r w:rsidR="00DD779E">
        <w:t xml:space="preserve"> changes necessary for </w:t>
      </w:r>
      <w:r w:rsidR="001D26BC">
        <w:t xml:space="preserve">Metal products </w:t>
      </w:r>
      <w:r w:rsidR="00F85B21">
        <w:t xml:space="preserve">to have achieved zero MFP growth over cycle 4 </w:t>
      </w:r>
      <w:r w:rsidR="00DD779E">
        <w:t>are smaller</w:t>
      </w:r>
      <w:r w:rsidR="00463EAC">
        <w:t xml:space="preserve"> relative to </w:t>
      </w:r>
      <w:r w:rsidR="001D26BC">
        <w:t>Food, beverage and tobacco products</w:t>
      </w:r>
      <w:r w:rsidR="00463EAC">
        <w:t xml:space="preserve"> and </w:t>
      </w:r>
      <w:r w:rsidR="001D26BC">
        <w:t>Petroleum, coal, chemical and rubber products</w:t>
      </w:r>
      <w:r w:rsidR="00DD779E">
        <w:t>,</w:t>
      </w:r>
      <w:r w:rsidR="00024443">
        <w:t xml:space="preserve"> and are therefore more</w:t>
      </w:r>
      <w:r w:rsidR="004D77A3">
        <w:t xml:space="preserve"> likely to be</w:t>
      </w:r>
      <w:r w:rsidR="00024443">
        <w:t xml:space="preserve"> </w:t>
      </w:r>
      <w:r w:rsidR="00FB71A1">
        <w:t>sensitive</w:t>
      </w:r>
      <w:r w:rsidR="00024443">
        <w:t xml:space="preserve"> to </w:t>
      </w:r>
      <w:r w:rsidR="00641C1F">
        <w:t xml:space="preserve">any statistical error in </w:t>
      </w:r>
      <w:r w:rsidR="00024443">
        <w:t xml:space="preserve">the underlying statistics. Nevertheless, the required changes for </w:t>
      </w:r>
      <w:r w:rsidR="001D26BC">
        <w:t xml:space="preserve">Metal products </w:t>
      </w:r>
      <w:r w:rsidR="00024443">
        <w:t>are still substantial</w:t>
      </w:r>
      <w:r w:rsidR="008267B1">
        <w:t xml:space="preserve"> in absolute terms</w:t>
      </w:r>
      <w:r w:rsidR="009D1EE2">
        <w:t>.</w:t>
      </w:r>
    </w:p>
    <w:sectPr w:rsidR="00C02E7F" w:rsidSect="0051258E">
      <w:headerReference w:type="even" r:id="rId11"/>
      <w:headerReference w:type="default" r:id="rId12"/>
      <w:footerReference w:type="even" r:id="rId13"/>
      <w:footerReference w:type="default" r:id="rId14"/>
      <w:pgSz w:w="11907" w:h="16840" w:code="9"/>
      <w:pgMar w:top="1985" w:right="1304" w:bottom="1418" w:left="1814" w:header="1701" w:footer="567" w:gutter="0"/>
      <w:pgNumType w:start="25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C1F" w:rsidRDefault="00641C1F">
      <w:r>
        <w:separator/>
      </w:r>
    </w:p>
  </w:endnote>
  <w:endnote w:type="continuationSeparator" w:id="0">
    <w:p w:rsidR="00641C1F" w:rsidRDefault="0064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41C1F">
      <w:trPr>
        <w:trHeight w:hRule="exact" w:val="740"/>
      </w:trPr>
      <w:tc>
        <w:tcPr>
          <w:tcW w:w="510" w:type="dxa"/>
          <w:tcBorders>
            <w:top w:val="single" w:sz="6" w:space="0" w:color="auto"/>
          </w:tcBorders>
        </w:tcPr>
        <w:p w:rsidR="00641C1F" w:rsidRDefault="0025046A" w:rsidP="00866949">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B4DBB">
            <w:rPr>
              <w:rStyle w:val="PageNumber"/>
              <w:noProof/>
            </w:rPr>
            <w:t>254</w:t>
          </w:r>
          <w:r>
            <w:rPr>
              <w:rStyle w:val="PageNumber"/>
            </w:rPr>
            <w:fldChar w:fldCharType="end"/>
          </w:r>
        </w:p>
      </w:tc>
      <w:tc>
        <w:tcPr>
          <w:tcW w:w="1644" w:type="dxa"/>
          <w:tcBorders>
            <w:top w:val="single" w:sz="6" w:space="0" w:color="auto"/>
          </w:tcBorders>
        </w:tcPr>
        <w:p w:rsidR="00641C1F" w:rsidRDefault="00632A89" w:rsidP="0019293B">
          <w:pPr>
            <w:pStyle w:val="Footer"/>
          </w:pPr>
          <w:r>
            <w:fldChar w:fldCharType="begin"/>
          </w:r>
          <w:r>
            <w:instrText xml:space="preserve"> SUBJECT  \* MERGEFORMAT </w:instrText>
          </w:r>
          <w:r>
            <w:fldChar w:fldCharType="separate"/>
          </w:r>
          <w:r w:rsidR="00A27D73">
            <w:t>Productivity in Manufacturing</w:t>
          </w:r>
          <w:r>
            <w:fldChar w:fldCharType="end"/>
          </w:r>
        </w:p>
      </w:tc>
      <w:tc>
        <w:tcPr>
          <w:tcW w:w="6634" w:type="dxa"/>
        </w:tcPr>
        <w:p w:rsidR="00641C1F" w:rsidRDefault="00641C1F" w:rsidP="0019293B">
          <w:pPr>
            <w:pStyle w:val="Footer"/>
          </w:pPr>
        </w:p>
      </w:tc>
    </w:tr>
  </w:tbl>
  <w:p w:rsidR="00641C1F" w:rsidRDefault="00641C1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41C1F">
      <w:trPr>
        <w:trHeight w:hRule="exact" w:val="740"/>
      </w:trPr>
      <w:tc>
        <w:tcPr>
          <w:tcW w:w="6634" w:type="dxa"/>
        </w:tcPr>
        <w:p w:rsidR="00641C1F" w:rsidRDefault="00641C1F">
          <w:pPr>
            <w:pStyle w:val="Footer"/>
            <w:ind w:right="360" w:firstLine="360"/>
          </w:pPr>
        </w:p>
      </w:tc>
      <w:tc>
        <w:tcPr>
          <w:tcW w:w="1644" w:type="dxa"/>
          <w:tcBorders>
            <w:top w:val="single" w:sz="6" w:space="0" w:color="auto"/>
          </w:tcBorders>
        </w:tcPr>
        <w:p w:rsidR="00641C1F" w:rsidRDefault="00632A89">
          <w:pPr>
            <w:pStyle w:val="Footer"/>
          </w:pPr>
          <w:r>
            <w:fldChar w:fldCharType="begin"/>
          </w:r>
          <w:r>
            <w:instrText xml:space="preserve"> TITLE  \* MERGEFORMAT </w:instrText>
          </w:r>
          <w:r>
            <w:fldChar w:fldCharType="separate"/>
          </w:r>
          <w:r w:rsidR="00A27D73">
            <w:t>Sensitivity analysis</w:t>
          </w:r>
          <w:r>
            <w:fldChar w:fldCharType="end"/>
          </w:r>
        </w:p>
      </w:tc>
      <w:tc>
        <w:tcPr>
          <w:tcW w:w="510" w:type="dxa"/>
          <w:tcBorders>
            <w:top w:val="single" w:sz="6" w:space="0" w:color="auto"/>
          </w:tcBorders>
        </w:tcPr>
        <w:p w:rsidR="00641C1F" w:rsidRDefault="00641C1F">
          <w:pPr>
            <w:pStyle w:val="Footer"/>
            <w:jc w:val="right"/>
          </w:pPr>
          <w:r>
            <w:rPr>
              <w:rStyle w:val="PageNumber"/>
            </w:rPr>
            <w:fldChar w:fldCharType="begin"/>
          </w:r>
          <w:r>
            <w:rPr>
              <w:rStyle w:val="PageNumber"/>
            </w:rPr>
            <w:instrText xml:space="preserve">PAGE  </w:instrText>
          </w:r>
          <w:r>
            <w:rPr>
              <w:rStyle w:val="PageNumber"/>
            </w:rPr>
            <w:fldChar w:fldCharType="separate"/>
          </w:r>
          <w:r w:rsidR="00C826D1">
            <w:rPr>
              <w:rStyle w:val="PageNumber"/>
              <w:noProof/>
            </w:rPr>
            <w:t>253</w:t>
          </w:r>
          <w:r>
            <w:rPr>
              <w:rStyle w:val="PageNumber"/>
            </w:rPr>
            <w:fldChar w:fldCharType="end"/>
          </w:r>
        </w:p>
      </w:tc>
    </w:tr>
  </w:tbl>
  <w:p w:rsidR="00641C1F" w:rsidRDefault="00641C1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C1F" w:rsidRDefault="00641C1F">
      <w:r>
        <w:separator/>
      </w:r>
    </w:p>
  </w:footnote>
  <w:footnote w:type="continuationSeparator" w:id="0">
    <w:p w:rsidR="00641C1F" w:rsidRDefault="00641C1F">
      <w:r>
        <w:continuationSeparator/>
      </w:r>
    </w:p>
  </w:footnote>
  <w:footnote w:id="1">
    <w:p w:rsidR="00641C1F" w:rsidRDefault="00641C1F">
      <w:pPr>
        <w:pStyle w:val="FootnoteText"/>
      </w:pPr>
      <w:r>
        <w:rPr>
          <w:rStyle w:val="FootnoteReference"/>
        </w:rPr>
        <w:footnoteRef/>
      </w:r>
      <w:r>
        <w:t xml:space="preserve"> </w:t>
      </w:r>
      <w:r w:rsidR="00B74098">
        <w:tab/>
      </w:r>
      <w:r w:rsidR="00DD5FE8">
        <w:t>T</w:t>
      </w:r>
      <w:r>
        <w:t xml:space="preserve">otal </w:t>
      </w:r>
      <w:proofErr w:type="spellStart"/>
      <w:r>
        <w:t>GFCF</w:t>
      </w:r>
      <w:proofErr w:type="spellEnd"/>
      <w:r>
        <w:t xml:space="preserve"> for </w:t>
      </w:r>
      <w:r w:rsidR="002625FF">
        <w:t>Manufacturing</w:t>
      </w:r>
      <w:r>
        <w:t xml:space="preserve"> is apportioned to the </w:t>
      </w:r>
      <w:r w:rsidR="002625FF">
        <w:t>Manufacturing</w:t>
      </w:r>
      <w:r>
        <w:t xml:space="preserve"> subsectors by the use of </w:t>
      </w:r>
      <w:proofErr w:type="spellStart"/>
      <w:r>
        <w:t>PNCE</w:t>
      </w:r>
      <w:proofErr w:type="spellEnd"/>
      <w:r>
        <w:t xml:space="preserve"> shares in this paper. See appendix A for more detail.</w:t>
      </w:r>
    </w:p>
  </w:footnote>
  <w:footnote w:id="2">
    <w:p w:rsidR="00641C1F" w:rsidRDefault="00641C1F">
      <w:pPr>
        <w:pStyle w:val="FootnoteText"/>
      </w:pPr>
      <w:r>
        <w:rPr>
          <w:rStyle w:val="FootnoteReference"/>
        </w:rPr>
        <w:footnoteRef/>
      </w:r>
      <w:r>
        <w:t xml:space="preserve"> </w:t>
      </w:r>
      <w:r>
        <w:tab/>
        <w:t xml:space="preserve">That is, </w:t>
      </w:r>
      <w:proofErr w:type="spellStart"/>
      <w:r>
        <w:t>GFCF</w:t>
      </w:r>
      <w:proofErr w:type="spellEnd"/>
      <w:r>
        <w:t>-a</w:t>
      </w:r>
      <w:r w:rsidR="00F95FCE">
        <w:t>pportioned measures of R&amp;D and S</w:t>
      </w:r>
      <w:r>
        <w:t xml:space="preserve">oftware are used. There are no </w:t>
      </w:r>
      <w:proofErr w:type="spellStart"/>
      <w:r>
        <w:t>PNCE</w:t>
      </w:r>
      <w:proofErr w:type="spellEnd"/>
      <w:r>
        <w:t xml:space="preserve"> data for these asset classes. </w:t>
      </w:r>
    </w:p>
  </w:footnote>
  <w:footnote w:id="3">
    <w:p w:rsidR="00641C1F" w:rsidRDefault="00641C1F" w:rsidP="00BD7299">
      <w:pPr>
        <w:pStyle w:val="FootnoteText"/>
      </w:pPr>
      <w:r>
        <w:rPr>
          <w:rStyle w:val="FootnoteReference"/>
        </w:rPr>
        <w:footnoteRef/>
      </w:r>
      <w:r>
        <w:t xml:space="preserve"> </w:t>
      </w:r>
      <w:r>
        <w:tab/>
      </w:r>
      <w:r w:rsidR="00D25CD4">
        <w:t xml:space="preserve">Metal products </w:t>
      </w:r>
      <w:r>
        <w:t xml:space="preserve">is more sensitive to the use of the </w:t>
      </w:r>
      <w:proofErr w:type="spellStart"/>
      <w:r>
        <w:t>PNCE</w:t>
      </w:r>
      <w:proofErr w:type="spellEnd"/>
      <w:r>
        <w:t xml:space="preserve">-based relative to other subsectors because its share of </w:t>
      </w:r>
      <w:proofErr w:type="spellStart"/>
      <w:r>
        <w:t>PNCE</w:t>
      </w:r>
      <w:proofErr w:type="spellEnd"/>
      <w:r>
        <w:t xml:space="preserve"> was rising over cycle 4. Under the </w:t>
      </w:r>
      <w:proofErr w:type="spellStart"/>
      <w:r>
        <w:t>GFCF</w:t>
      </w:r>
      <w:proofErr w:type="spellEnd"/>
      <w:r>
        <w:t xml:space="preserve">-apportionment method used in the body of this paper, this meant its share of </w:t>
      </w:r>
      <w:proofErr w:type="spellStart"/>
      <w:r>
        <w:t>GFCF</w:t>
      </w:r>
      <w:proofErr w:type="spellEnd"/>
      <w:r>
        <w:t xml:space="preserve"> was rising over cycle 4 — effectively giving the subsector a rising share of a rising investment series. </w:t>
      </w:r>
    </w:p>
  </w:footnote>
  <w:footnote w:id="4">
    <w:p w:rsidR="00641C1F" w:rsidRDefault="00641C1F">
      <w:pPr>
        <w:pStyle w:val="FootnoteText"/>
      </w:pPr>
      <w:r>
        <w:rPr>
          <w:rStyle w:val="FootnoteReference"/>
        </w:rPr>
        <w:footnoteRef/>
      </w:r>
      <w:r>
        <w:t xml:space="preserve"> </w:t>
      </w:r>
      <w:r w:rsidR="00B74098">
        <w:tab/>
      </w:r>
      <w:r>
        <w:t xml:space="preserve">Prior to 2008-09, current R&amp;D expenditure was recorded as intermediate inputs by the ABS. The ABS has </w:t>
      </w:r>
      <w:proofErr w:type="spellStart"/>
      <w:r>
        <w:t>backcast</w:t>
      </w:r>
      <w:proofErr w:type="spellEnd"/>
      <w:r>
        <w:t xml:space="preserve"> its capital measures to reflect the change in the treatment of R&amp;D so that its measures remain comparable over time.</w:t>
      </w:r>
    </w:p>
  </w:footnote>
  <w:footnote w:id="5">
    <w:p w:rsidR="00641C1F" w:rsidRDefault="00641C1F">
      <w:pPr>
        <w:pStyle w:val="FootnoteText"/>
      </w:pPr>
      <w:r>
        <w:rPr>
          <w:rStyle w:val="FootnoteReference"/>
        </w:rPr>
        <w:footnoteRef/>
      </w:r>
      <w:r>
        <w:t xml:space="preserve"> </w:t>
      </w:r>
      <w:r>
        <w:tab/>
        <w:t>2007-08 is the end-point of the aggregate Manufacturing productivity cycle, and so changes in the rate of growth over cycle 4 can be effected by changing the level of value</w:t>
      </w:r>
      <w:r w:rsidR="00C2729C">
        <w:t xml:space="preserve"> </w:t>
      </w:r>
      <w:r>
        <w:t xml:space="preserve">added, hours worked and capital services for that year.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41C1F">
      <w:tc>
        <w:tcPr>
          <w:tcW w:w="2155" w:type="dxa"/>
          <w:tcBorders>
            <w:top w:val="single" w:sz="24" w:space="0" w:color="auto"/>
          </w:tcBorders>
        </w:tcPr>
        <w:p w:rsidR="00641C1F" w:rsidRDefault="00641C1F" w:rsidP="0019293B">
          <w:pPr>
            <w:pStyle w:val="HeaderEven"/>
          </w:pPr>
        </w:p>
      </w:tc>
      <w:tc>
        <w:tcPr>
          <w:tcW w:w="6634" w:type="dxa"/>
          <w:tcBorders>
            <w:top w:val="single" w:sz="6" w:space="0" w:color="auto"/>
          </w:tcBorders>
        </w:tcPr>
        <w:p w:rsidR="00641C1F" w:rsidRDefault="00641C1F" w:rsidP="0019293B">
          <w:pPr>
            <w:pStyle w:val="HeaderEven"/>
          </w:pPr>
        </w:p>
      </w:tc>
    </w:tr>
  </w:tbl>
  <w:p w:rsidR="00641C1F" w:rsidRDefault="00641C1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41C1F">
      <w:tc>
        <w:tcPr>
          <w:tcW w:w="6634" w:type="dxa"/>
          <w:tcBorders>
            <w:top w:val="single" w:sz="6" w:space="0" w:color="auto"/>
          </w:tcBorders>
        </w:tcPr>
        <w:p w:rsidR="00641C1F" w:rsidRDefault="00641C1F" w:rsidP="00E669E2">
          <w:pPr>
            <w:pStyle w:val="HeaderOdd"/>
          </w:pPr>
        </w:p>
      </w:tc>
      <w:tc>
        <w:tcPr>
          <w:tcW w:w="2155" w:type="dxa"/>
          <w:tcBorders>
            <w:top w:val="single" w:sz="24" w:space="0" w:color="auto"/>
          </w:tcBorders>
        </w:tcPr>
        <w:p w:rsidR="00641C1F" w:rsidRDefault="00641C1F" w:rsidP="00E669E2">
          <w:pPr>
            <w:pStyle w:val="HeaderOdd"/>
          </w:pPr>
        </w:p>
      </w:tc>
    </w:tr>
  </w:tbl>
  <w:p w:rsidR="00641C1F" w:rsidRDefault="00641C1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E"/>
    <w:docVar w:name="FindingOptions" w:val="1"/>
    <w:docVar w:name="RecOptions" w:val="111"/>
    <w:docVar w:name="ShortChapterTitle" w:val="Sensitivity analysis"/>
    <w:docVar w:name="ShortReportTitle" w:val="Productivity in Manufacturing"/>
  </w:docVars>
  <w:rsids>
    <w:rsidRoot w:val="009D5BC1"/>
    <w:rsid w:val="00001F37"/>
    <w:rsid w:val="00003B60"/>
    <w:rsid w:val="000069E5"/>
    <w:rsid w:val="000075DB"/>
    <w:rsid w:val="00010B5B"/>
    <w:rsid w:val="000227D5"/>
    <w:rsid w:val="00024443"/>
    <w:rsid w:val="000245AA"/>
    <w:rsid w:val="00026442"/>
    <w:rsid w:val="000303C7"/>
    <w:rsid w:val="00031366"/>
    <w:rsid w:val="00031470"/>
    <w:rsid w:val="000334F9"/>
    <w:rsid w:val="00035B22"/>
    <w:rsid w:val="0003664B"/>
    <w:rsid w:val="00037A6F"/>
    <w:rsid w:val="0004111F"/>
    <w:rsid w:val="00044C47"/>
    <w:rsid w:val="00047698"/>
    <w:rsid w:val="0005043E"/>
    <w:rsid w:val="00050B52"/>
    <w:rsid w:val="000530AE"/>
    <w:rsid w:val="000557FE"/>
    <w:rsid w:val="000565B3"/>
    <w:rsid w:val="00062F67"/>
    <w:rsid w:val="000665AE"/>
    <w:rsid w:val="00066837"/>
    <w:rsid w:val="00070F37"/>
    <w:rsid w:val="0007150B"/>
    <w:rsid w:val="000751B0"/>
    <w:rsid w:val="00086180"/>
    <w:rsid w:val="00086DAF"/>
    <w:rsid w:val="000902C2"/>
    <w:rsid w:val="00091738"/>
    <w:rsid w:val="000938F5"/>
    <w:rsid w:val="00096E55"/>
    <w:rsid w:val="000A3174"/>
    <w:rsid w:val="000B3EB1"/>
    <w:rsid w:val="000B4B02"/>
    <w:rsid w:val="000B601B"/>
    <w:rsid w:val="000C0FC0"/>
    <w:rsid w:val="000C207E"/>
    <w:rsid w:val="000C20CA"/>
    <w:rsid w:val="000C4B1C"/>
    <w:rsid w:val="000C55D0"/>
    <w:rsid w:val="000C5CC4"/>
    <w:rsid w:val="000C70BC"/>
    <w:rsid w:val="000D1B93"/>
    <w:rsid w:val="000D30F3"/>
    <w:rsid w:val="000D51BD"/>
    <w:rsid w:val="000D5EF5"/>
    <w:rsid w:val="000D7CD6"/>
    <w:rsid w:val="000E2849"/>
    <w:rsid w:val="000E31F4"/>
    <w:rsid w:val="000E343D"/>
    <w:rsid w:val="000E35E6"/>
    <w:rsid w:val="000E4DF4"/>
    <w:rsid w:val="000E6871"/>
    <w:rsid w:val="000E7B18"/>
    <w:rsid w:val="000F0035"/>
    <w:rsid w:val="000F2EDC"/>
    <w:rsid w:val="000F420B"/>
    <w:rsid w:val="000F5B7F"/>
    <w:rsid w:val="000F6192"/>
    <w:rsid w:val="000F7238"/>
    <w:rsid w:val="000F7765"/>
    <w:rsid w:val="0010202E"/>
    <w:rsid w:val="00102033"/>
    <w:rsid w:val="00102D5F"/>
    <w:rsid w:val="00103034"/>
    <w:rsid w:val="00103FA9"/>
    <w:rsid w:val="001066B8"/>
    <w:rsid w:val="00106B18"/>
    <w:rsid w:val="00110116"/>
    <w:rsid w:val="001103EB"/>
    <w:rsid w:val="00110500"/>
    <w:rsid w:val="001126B9"/>
    <w:rsid w:val="00113BFC"/>
    <w:rsid w:val="0011580B"/>
    <w:rsid w:val="00116788"/>
    <w:rsid w:val="00120072"/>
    <w:rsid w:val="00120E43"/>
    <w:rsid w:val="00122333"/>
    <w:rsid w:val="00126EB8"/>
    <w:rsid w:val="001274D4"/>
    <w:rsid w:val="00127505"/>
    <w:rsid w:val="00130338"/>
    <w:rsid w:val="001303D0"/>
    <w:rsid w:val="0013261E"/>
    <w:rsid w:val="00134CD6"/>
    <w:rsid w:val="001363AA"/>
    <w:rsid w:val="001366FB"/>
    <w:rsid w:val="001409B5"/>
    <w:rsid w:val="00141C38"/>
    <w:rsid w:val="00144677"/>
    <w:rsid w:val="001478C2"/>
    <w:rsid w:val="00156E48"/>
    <w:rsid w:val="001662F2"/>
    <w:rsid w:val="001701E4"/>
    <w:rsid w:val="0017192D"/>
    <w:rsid w:val="0017395D"/>
    <w:rsid w:val="00182877"/>
    <w:rsid w:val="00182E4D"/>
    <w:rsid w:val="00183E82"/>
    <w:rsid w:val="00184F15"/>
    <w:rsid w:val="001859D3"/>
    <w:rsid w:val="00186FBA"/>
    <w:rsid w:val="001878BB"/>
    <w:rsid w:val="00190B03"/>
    <w:rsid w:val="00191AE0"/>
    <w:rsid w:val="00191CA7"/>
    <w:rsid w:val="0019293B"/>
    <w:rsid w:val="001A093F"/>
    <w:rsid w:val="001A40EF"/>
    <w:rsid w:val="001B04EA"/>
    <w:rsid w:val="001B1A87"/>
    <w:rsid w:val="001B2F92"/>
    <w:rsid w:val="001B3302"/>
    <w:rsid w:val="001B4090"/>
    <w:rsid w:val="001C0865"/>
    <w:rsid w:val="001C0A28"/>
    <w:rsid w:val="001C32C7"/>
    <w:rsid w:val="001C3ABA"/>
    <w:rsid w:val="001C40D9"/>
    <w:rsid w:val="001C592C"/>
    <w:rsid w:val="001C73C0"/>
    <w:rsid w:val="001D0D50"/>
    <w:rsid w:val="001D26BC"/>
    <w:rsid w:val="001D3221"/>
    <w:rsid w:val="001D7ACF"/>
    <w:rsid w:val="001E4BB5"/>
    <w:rsid w:val="001E574D"/>
    <w:rsid w:val="001E5DE6"/>
    <w:rsid w:val="001E7BE8"/>
    <w:rsid w:val="001F0248"/>
    <w:rsid w:val="001F2BAC"/>
    <w:rsid w:val="001F3997"/>
    <w:rsid w:val="001F3EB3"/>
    <w:rsid w:val="001F4F86"/>
    <w:rsid w:val="001F6A52"/>
    <w:rsid w:val="001F7010"/>
    <w:rsid w:val="001F7642"/>
    <w:rsid w:val="00201BF6"/>
    <w:rsid w:val="00202C2C"/>
    <w:rsid w:val="002135AB"/>
    <w:rsid w:val="002144BE"/>
    <w:rsid w:val="00214D00"/>
    <w:rsid w:val="00220F16"/>
    <w:rsid w:val="002219D1"/>
    <w:rsid w:val="00221BBB"/>
    <w:rsid w:val="00226F19"/>
    <w:rsid w:val="0022744B"/>
    <w:rsid w:val="00232609"/>
    <w:rsid w:val="002366C7"/>
    <w:rsid w:val="002368C7"/>
    <w:rsid w:val="002368D9"/>
    <w:rsid w:val="00237DC4"/>
    <w:rsid w:val="00241D30"/>
    <w:rsid w:val="00242279"/>
    <w:rsid w:val="002428A3"/>
    <w:rsid w:val="00245C82"/>
    <w:rsid w:val="002501D6"/>
    <w:rsid w:val="0025046A"/>
    <w:rsid w:val="002509AF"/>
    <w:rsid w:val="00251A9B"/>
    <w:rsid w:val="00255B4C"/>
    <w:rsid w:val="002570D7"/>
    <w:rsid w:val="002625FF"/>
    <w:rsid w:val="00262D73"/>
    <w:rsid w:val="002632A7"/>
    <w:rsid w:val="00264BC7"/>
    <w:rsid w:val="00264D6B"/>
    <w:rsid w:val="0026561D"/>
    <w:rsid w:val="00267ECA"/>
    <w:rsid w:val="00270543"/>
    <w:rsid w:val="002720CE"/>
    <w:rsid w:val="00274286"/>
    <w:rsid w:val="00280157"/>
    <w:rsid w:val="00281F60"/>
    <w:rsid w:val="00284841"/>
    <w:rsid w:val="00286DB9"/>
    <w:rsid w:val="0029050C"/>
    <w:rsid w:val="00291B40"/>
    <w:rsid w:val="00297338"/>
    <w:rsid w:val="00297E4F"/>
    <w:rsid w:val="002A0482"/>
    <w:rsid w:val="002A5F54"/>
    <w:rsid w:val="002B4008"/>
    <w:rsid w:val="002B5D63"/>
    <w:rsid w:val="002C0AE9"/>
    <w:rsid w:val="002C1F3A"/>
    <w:rsid w:val="002C34D1"/>
    <w:rsid w:val="002D0481"/>
    <w:rsid w:val="002D04FD"/>
    <w:rsid w:val="002D0E8E"/>
    <w:rsid w:val="002D0F24"/>
    <w:rsid w:val="002D1EE4"/>
    <w:rsid w:val="002D1EE5"/>
    <w:rsid w:val="002D432A"/>
    <w:rsid w:val="002D58C8"/>
    <w:rsid w:val="002E11A6"/>
    <w:rsid w:val="002E5B58"/>
    <w:rsid w:val="002F15A2"/>
    <w:rsid w:val="00301189"/>
    <w:rsid w:val="00301F73"/>
    <w:rsid w:val="00302BDB"/>
    <w:rsid w:val="00306286"/>
    <w:rsid w:val="00315913"/>
    <w:rsid w:val="00322634"/>
    <w:rsid w:val="00323DDE"/>
    <w:rsid w:val="00323E09"/>
    <w:rsid w:val="003268AD"/>
    <w:rsid w:val="00326FA7"/>
    <w:rsid w:val="003321FA"/>
    <w:rsid w:val="00333932"/>
    <w:rsid w:val="00333BD6"/>
    <w:rsid w:val="00333C1F"/>
    <w:rsid w:val="00334328"/>
    <w:rsid w:val="00341944"/>
    <w:rsid w:val="00344300"/>
    <w:rsid w:val="00344547"/>
    <w:rsid w:val="00350480"/>
    <w:rsid w:val="003518AA"/>
    <w:rsid w:val="00352165"/>
    <w:rsid w:val="00352E7B"/>
    <w:rsid w:val="00353182"/>
    <w:rsid w:val="00354BEB"/>
    <w:rsid w:val="0035512E"/>
    <w:rsid w:val="0035530A"/>
    <w:rsid w:val="003565D9"/>
    <w:rsid w:val="00356D9E"/>
    <w:rsid w:val="003602E1"/>
    <w:rsid w:val="00360C59"/>
    <w:rsid w:val="00362ADC"/>
    <w:rsid w:val="00366791"/>
    <w:rsid w:val="00366E8F"/>
    <w:rsid w:val="0037026F"/>
    <w:rsid w:val="00371240"/>
    <w:rsid w:val="00373A3F"/>
    <w:rsid w:val="00374731"/>
    <w:rsid w:val="003758C5"/>
    <w:rsid w:val="00376E59"/>
    <w:rsid w:val="003815A5"/>
    <w:rsid w:val="00384CD9"/>
    <w:rsid w:val="003919F9"/>
    <w:rsid w:val="00391EEE"/>
    <w:rsid w:val="0039607C"/>
    <w:rsid w:val="003A073B"/>
    <w:rsid w:val="003A496A"/>
    <w:rsid w:val="003B362E"/>
    <w:rsid w:val="003C1275"/>
    <w:rsid w:val="003C1B87"/>
    <w:rsid w:val="003C38B5"/>
    <w:rsid w:val="003C48EE"/>
    <w:rsid w:val="003C5D99"/>
    <w:rsid w:val="003C6310"/>
    <w:rsid w:val="003C6C6D"/>
    <w:rsid w:val="003D0210"/>
    <w:rsid w:val="003D1247"/>
    <w:rsid w:val="003D5760"/>
    <w:rsid w:val="003D70B8"/>
    <w:rsid w:val="003E2F59"/>
    <w:rsid w:val="003E36BD"/>
    <w:rsid w:val="003E42B7"/>
    <w:rsid w:val="003E79F2"/>
    <w:rsid w:val="003F0789"/>
    <w:rsid w:val="003F487E"/>
    <w:rsid w:val="003F4FD9"/>
    <w:rsid w:val="003F5429"/>
    <w:rsid w:val="00400C05"/>
    <w:rsid w:val="00401882"/>
    <w:rsid w:val="00403A7D"/>
    <w:rsid w:val="004100C8"/>
    <w:rsid w:val="00411DBD"/>
    <w:rsid w:val="00411E15"/>
    <w:rsid w:val="00412ACE"/>
    <w:rsid w:val="004236A1"/>
    <w:rsid w:val="00430BF8"/>
    <w:rsid w:val="00431249"/>
    <w:rsid w:val="00434088"/>
    <w:rsid w:val="00434C19"/>
    <w:rsid w:val="00436F71"/>
    <w:rsid w:val="004404D2"/>
    <w:rsid w:val="004467DC"/>
    <w:rsid w:val="004505E1"/>
    <w:rsid w:val="00450810"/>
    <w:rsid w:val="0045770C"/>
    <w:rsid w:val="00463EAC"/>
    <w:rsid w:val="004646A8"/>
    <w:rsid w:val="00464880"/>
    <w:rsid w:val="00465B90"/>
    <w:rsid w:val="004661C9"/>
    <w:rsid w:val="004727E5"/>
    <w:rsid w:val="00473B06"/>
    <w:rsid w:val="00473BC7"/>
    <w:rsid w:val="004745F6"/>
    <w:rsid w:val="0047525A"/>
    <w:rsid w:val="00476421"/>
    <w:rsid w:val="00477144"/>
    <w:rsid w:val="00485B6F"/>
    <w:rsid w:val="004877B0"/>
    <w:rsid w:val="00490269"/>
    <w:rsid w:val="00490F9E"/>
    <w:rsid w:val="00491380"/>
    <w:rsid w:val="00492847"/>
    <w:rsid w:val="0049459F"/>
    <w:rsid w:val="004A2F7A"/>
    <w:rsid w:val="004A38DD"/>
    <w:rsid w:val="004A55A4"/>
    <w:rsid w:val="004B27A2"/>
    <w:rsid w:val="004B3721"/>
    <w:rsid w:val="004B43AE"/>
    <w:rsid w:val="004B5C9E"/>
    <w:rsid w:val="004B6A82"/>
    <w:rsid w:val="004B6AE2"/>
    <w:rsid w:val="004C1618"/>
    <w:rsid w:val="004C19C0"/>
    <w:rsid w:val="004C30ED"/>
    <w:rsid w:val="004C71A0"/>
    <w:rsid w:val="004D3027"/>
    <w:rsid w:val="004D3C47"/>
    <w:rsid w:val="004D5662"/>
    <w:rsid w:val="004D5675"/>
    <w:rsid w:val="004D571F"/>
    <w:rsid w:val="004D77A3"/>
    <w:rsid w:val="004E0700"/>
    <w:rsid w:val="004E1315"/>
    <w:rsid w:val="004E73AC"/>
    <w:rsid w:val="004E741A"/>
    <w:rsid w:val="004F0271"/>
    <w:rsid w:val="004F1A16"/>
    <w:rsid w:val="004F2E3A"/>
    <w:rsid w:val="004F334E"/>
    <w:rsid w:val="004F496C"/>
    <w:rsid w:val="004F4B6E"/>
    <w:rsid w:val="004F6963"/>
    <w:rsid w:val="004F6CFE"/>
    <w:rsid w:val="004F71AA"/>
    <w:rsid w:val="0050035E"/>
    <w:rsid w:val="00500BDC"/>
    <w:rsid w:val="0050251F"/>
    <w:rsid w:val="00505DF5"/>
    <w:rsid w:val="00507459"/>
    <w:rsid w:val="00512231"/>
    <w:rsid w:val="0051258E"/>
    <w:rsid w:val="005175E3"/>
    <w:rsid w:val="00517C40"/>
    <w:rsid w:val="0052199A"/>
    <w:rsid w:val="005233EC"/>
    <w:rsid w:val="00523639"/>
    <w:rsid w:val="00523D99"/>
    <w:rsid w:val="00526BB1"/>
    <w:rsid w:val="005303D0"/>
    <w:rsid w:val="00531FE5"/>
    <w:rsid w:val="00532578"/>
    <w:rsid w:val="00537871"/>
    <w:rsid w:val="005402FA"/>
    <w:rsid w:val="005407CB"/>
    <w:rsid w:val="00542908"/>
    <w:rsid w:val="0054521B"/>
    <w:rsid w:val="00553FDC"/>
    <w:rsid w:val="00554433"/>
    <w:rsid w:val="00554EA0"/>
    <w:rsid w:val="00556E69"/>
    <w:rsid w:val="00556F4C"/>
    <w:rsid w:val="00557DA0"/>
    <w:rsid w:val="005602EC"/>
    <w:rsid w:val="005608AF"/>
    <w:rsid w:val="005655CB"/>
    <w:rsid w:val="00566475"/>
    <w:rsid w:val="005667C2"/>
    <w:rsid w:val="00567672"/>
    <w:rsid w:val="005712CA"/>
    <w:rsid w:val="00575573"/>
    <w:rsid w:val="0057633E"/>
    <w:rsid w:val="005823CD"/>
    <w:rsid w:val="005831B0"/>
    <w:rsid w:val="005832FD"/>
    <w:rsid w:val="00583C39"/>
    <w:rsid w:val="0058463E"/>
    <w:rsid w:val="00586B99"/>
    <w:rsid w:val="00586C21"/>
    <w:rsid w:val="005878B3"/>
    <w:rsid w:val="00587EC3"/>
    <w:rsid w:val="00587F28"/>
    <w:rsid w:val="00590476"/>
    <w:rsid w:val="005909CF"/>
    <w:rsid w:val="005911DC"/>
    <w:rsid w:val="00591E71"/>
    <w:rsid w:val="005945B0"/>
    <w:rsid w:val="005A0C3F"/>
    <w:rsid w:val="005A0D41"/>
    <w:rsid w:val="005A674F"/>
    <w:rsid w:val="005A74B9"/>
    <w:rsid w:val="005A7D01"/>
    <w:rsid w:val="005A7ED4"/>
    <w:rsid w:val="005B456B"/>
    <w:rsid w:val="005B5FC7"/>
    <w:rsid w:val="005C0E29"/>
    <w:rsid w:val="005C2C92"/>
    <w:rsid w:val="005C6188"/>
    <w:rsid w:val="005D008C"/>
    <w:rsid w:val="005D3C74"/>
    <w:rsid w:val="005E30D9"/>
    <w:rsid w:val="005E56A1"/>
    <w:rsid w:val="005E7306"/>
    <w:rsid w:val="005F507F"/>
    <w:rsid w:val="005F52C5"/>
    <w:rsid w:val="005F6A61"/>
    <w:rsid w:val="005F7C23"/>
    <w:rsid w:val="00604AAD"/>
    <w:rsid w:val="00605737"/>
    <w:rsid w:val="0060796A"/>
    <w:rsid w:val="00607B39"/>
    <w:rsid w:val="00607BF1"/>
    <w:rsid w:val="00610A48"/>
    <w:rsid w:val="00614C0B"/>
    <w:rsid w:val="00615C29"/>
    <w:rsid w:val="00616C5C"/>
    <w:rsid w:val="006172E6"/>
    <w:rsid w:val="00620B53"/>
    <w:rsid w:val="00622A76"/>
    <w:rsid w:val="00622AC3"/>
    <w:rsid w:val="00626D67"/>
    <w:rsid w:val="00630D4D"/>
    <w:rsid w:val="00632A74"/>
    <w:rsid w:val="00632D10"/>
    <w:rsid w:val="006344A2"/>
    <w:rsid w:val="00635C92"/>
    <w:rsid w:val="0063746D"/>
    <w:rsid w:val="00641C1F"/>
    <w:rsid w:val="00643D30"/>
    <w:rsid w:val="006454BC"/>
    <w:rsid w:val="00645D2D"/>
    <w:rsid w:val="00646219"/>
    <w:rsid w:val="0064632C"/>
    <w:rsid w:val="0064753D"/>
    <w:rsid w:val="00650A2D"/>
    <w:rsid w:val="006510F9"/>
    <w:rsid w:val="006564E8"/>
    <w:rsid w:val="00657D42"/>
    <w:rsid w:val="00660BA3"/>
    <w:rsid w:val="006629C3"/>
    <w:rsid w:val="00671192"/>
    <w:rsid w:val="006735E1"/>
    <w:rsid w:val="0067613D"/>
    <w:rsid w:val="006763B4"/>
    <w:rsid w:val="00680930"/>
    <w:rsid w:val="0068247E"/>
    <w:rsid w:val="00683171"/>
    <w:rsid w:val="006846CA"/>
    <w:rsid w:val="00690D1C"/>
    <w:rsid w:val="00690DDC"/>
    <w:rsid w:val="00691477"/>
    <w:rsid w:val="00694B6B"/>
    <w:rsid w:val="0069661B"/>
    <w:rsid w:val="006A0CCC"/>
    <w:rsid w:val="006A146A"/>
    <w:rsid w:val="006A4655"/>
    <w:rsid w:val="006B0504"/>
    <w:rsid w:val="006B2B3C"/>
    <w:rsid w:val="006B68D7"/>
    <w:rsid w:val="006C123B"/>
    <w:rsid w:val="006C1D81"/>
    <w:rsid w:val="006C2872"/>
    <w:rsid w:val="006C7038"/>
    <w:rsid w:val="006D0F8F"/>
    <w:rsid w:val="006D1FA3"/>
    <w:rsid w:val="006E01BF"/>
    <w:rsid w:val="006E576A"/>
    <w:rsid w:val="006E73EF"/>
    <w:rsid w:val="006F2733"/>
    <w:rsid w:val="006F3EC4"/>
    <w:rsid w:val="006F4CB4"/>
    <w:rsid w:val="007002EC"/>
    <w:rsid w:val="00700796"/>
    <w:rsid w:val="007047F0"/>
    <w:rsid w:val="00705686"/>
    <w:rsid w:val="007061D6"/>
    <w:rsid w:val="007067CF"/>
    <w:rsid w:val="007103ED"/>
    <w:rsid w:val="00712D16"/>
    <w:rsid w:val="00713287"/>
    <w:rsid w:val="00714D4D"/>
    <w:rsid w:val="007236F9"/>
    <w:rsid w:val="0073217D"/>
    <w:rsid w:val="00733FEE"/>
    <w:rsid w:val="007350AF"/>
    <w:rsid w:val="0073749D"/>
    <w:rsid w:val="00737C01"/>
    <w:rsid w:val="00745528"/>
    <w:rsid w:val="00747490"/>
    <w:rsid w:val="00747566"/>
    <w:rsid w:val="00750BA2"/>
    <w:rsid w:val="0075276C"/>
    <w:rsid w:val="00752815"/>
    <w:rsid w:val="00752FFE"/>
    <w:rsid w:val="007547A8"/>
    <w:rsid w:val="007604BB"/>
    <w:rsid w:val="007604E1"/>
    <w:rsid w:val="00760E7F"/>
    <w:rsid w:val="007612A9"/>
    <w:rsid w:val="00761592"/>
    <w:rsid w:val="00761B84"/>
    <w:rsid w:val="00761D1D"/>
    <w:rsid w:val="00764AFC"/>
    <w:rsid w:val="0076516D"/>
    <w:rsid w:val="007716E6"/>
    <w:rsid w:val="00772FD5"/>
    <w:rsid w:val="007730EE"/>
    <w:rsid w:val="00777578"/>
    <w:rsid w:val="0078159F"/>
    <w:rsid w:val="00782AB9"/>
    <w:rsid w:val="00783D0C"/>
    <w:rsid w:val="007841F0"/>
    <w:rsid w:val="00785232"/>
    <w:rsid w:val="0079000A"/>
    <w:rsid w:val="007900A9"/>
    <w:rsid w:val="0079551E"/>
    <w:rsid w:val="007A05BE"/>
    <w:rsid w:val="007A21EB"/>
    <w:rsid w:val="007A5A34"/>
    <w:rsid w:val="007B1A93"/>
    <w:rsid w:val="007B60F8"/>
    <w:rsid w:val="007C0131"/>
    <w:rsid w:val="007C0B28"/>
    <w:rsid w:val="007C2036"/>
    <w:rsid w:val="007C36C9"/>
    <w:rsid w:val="007C4F65"/>
    <w:rsid w:val="007D1244"/>
    <w:rsid w:val="007D1376"/>
    <w:rsid w:val="007D2D57"/>
    <w:rsid w:val="007D320E"/>
    <w:rsid w:val="007D3D94"/>
    <w:rsid w:val="007D410B"/>
    <w:rsid w:val="007D5F0E"/>
    <w:rsid w:val="007D6401"/>
    <w:rsid w:val="007D7EFC"/>
    <w:rsid w:val="007E01E4"/>
    <w:rsid w:val="007E0BE7"/>
    <w:rsid w:val="007E71ED"/>
    <w:rsid w:val="007F1502"/>
    <w:rsid w:val="007F310D"/>
    <w:rsid w:val="007F3F7B"/>
    <w:rsid w:val="007F5134"/>
    <w:rsid w:val="007F7003"/>
    <w:rsid w:val="007F7107"/>
    <w:rsid w:val="00800D4C"/>
    <w:rsid w:val="00801A67"/>
    <w:rsid w:val="008067A0"/>
    <w:rsid w:val="00807BC9"/>
    <w:rsid w:val="0081030F"/>
    <w:rsid w:val="00811105"/>
    <w:rsid w:val="00815722"/>
    <w:rsid w:val="00817D05"/>
    <w:rsid w:val="0082087D"/>
    <w:rsid w:val="00825562"/>
    <w:rsid w:val="008267B1"/>
    <w:rsid w:val="0082768F"/>
    <w:rsid w:val="008313E1"/>
    <w:rsid w:val="00831BFE"/>
    <w:rsid w:val="00835771"/>
    <w:rsid w:val="00835EE8"/>
    <w:rsid w:val="00837DD5"/>
    <w:rsid w:val="00840B89"/>
    <w:rsid w:val="00840EEF"/>
    <w:rsid w:val="00842933"/>
    <w:rsid w:val="00842D6F"/>
    <w:rsid w:val="008446FA"/>
    <w:rsid w:val="00844F14"/>
    <w:rsid w:val="00847F47"/>
    <w:rsid w:val="008532B0"/>
    <w:rsid w:val="008553EC"/>
    <w:rsid w:val="00857E91"/>
    <w:rsid w:val="00860596"/>
    <w:rsid w:val="0086082C"/>
    <w:rsid w:val="0086383F"/>
    <w:rsid w:val="00864ADC"/>
    <w:rsid w:val="00866949"/>
    <w:rsid w:val="00871857"/>
    <w:rsid w:val="00872D33"/>
    <w:rsid w:val="00877846"/>
    <w:rsid w:val="00880153"/>
    <w:rsid w:val="00880F97"/>
    <w:rsid w:val="0088133A"/>
    <w:rsid w:val="00882A03"/>
    <w:rsid w:val="00885CEC"/>
    <w:rsid w:val="00887C6D"/>
    <w:rsid w:val="00891EB1"/>
    <w:rsid w:val="0089285E"/>
    <w:rsid w:val="0089436C"/>
    <w:rsid w:val="00894876"/>
    <w:rsid w:val="00895C86"/>
    <w:rsid w:val="00897DE5"/>
    <w:rsid w:val="008A10EF"/>
    <w:rsid w:val="008A4A53"/>
    <w:rsid w:val="008A60C8"/>
    <w:rsid w:val="008A6E15"/>
    <w:rsid w:val="008A7475"/>
    <w:rsid w:val="008B0415"/>
    <w:rsid w:val="008B21B4"/>
    <w:rsid w:val="008B409B"/>
    <w:rsid w:val="008B470F"/>
    <w:rsid w:val="008B487A"/>
    <w:rsid w:val="008B593F"/>
    <w:rsid w:val="008D0320"/>
    <w:rsid w:val="008D365C"/>
    <w:rsid w:val="008D5F55"/>
    <w:rsid w:val="008E10B6"/>
    <w:rsid w:val="008E2606"/>
    <w:rsid w:val="008E4703"/>
    <w:rsid w:val="008E5501"/>
    <w:rsid w:val="008F1914"/>
    <w:rsid w:val="00900C78"/>
    <w:rsid w:val="009030BF"/>
    <w:rsid w:val="00904FAA"/>
    <w:rsid w:val="00905023"/>
    <w:rsid w:val="009066EA"/>
    <w:rsid w:val="0091032F"/>
    <w:rsid w:val="00910BFE"/>
    <w:rsid w:val="00913FDB"/>
    <w:rsid w:val="00914368"/>
    <w:rsid w:val="00914C3B"/>
    <w:rsid w:val="009179A5"/>
    <w:rsid w:val="009225B2"/>
    <w:rsid w:val="00923241"/>
    <w:rsid w:val="009246D3"/>
    <w:rsid w:val="009248C7"/>
    <w:rsid w:val="0092493B"/>
    <w:rsid w:val="00925607"/>
    <w:rsid w:val="00930B0B"/>
    <w:rsid w:val="00931076"/>
    <w:rsid w:val="00931208"/>
    <w:rsid w:val="00933B0E"/>
    <w:rsid w:val="009345D9"/>
    <w:rsid w:val="009349E7"/>
    <w:rsid w:val="00934B15"/>
    <w:rsid w:val="00940C87"/>
    <w:rsid w:val="009413DB"/>
    <w:rsid w:val="009413F7"/>
    <w:rsid w:val="00942774"/>
    <w:rsid w:val="00942B62"/>
    <w:rsid w:val="0095323B"/>
    <w:rsid w:val="009547B5"/>
    <w:rsid w:val="00955B75"/>
    <w:rsid w:val="00956A0C"/>
    <w:rsid w:val="00956BD9"/>
    <w:rsid w:val="00957077"/>
    <w:rsid w:val="00957534"/>
    <w:rsid w:val="00962489"/>
    <w:rsid w:val="00967357"/>
    <w:rsid w:val="00971813"/>
    <w:rsid w:val="009734AE"/>
    <w:rsid w:val="00974675"/>
    <w:rsid w:val="0097766C"/>
    <w:rsid w:val="00981C5B"/>
    <w:rsid w:val="00985259"/>
    <w:rsid w:val="00985FDB"/>
    <w:rsid w:val="00990878"/>
    <w:rsid w:val="00990C2C"/>
    <w:rsid w:val="00990F9D"/>
    <w:rsid w:val="0099640A"/>
    <w:rsid w:val="009A13F0"/>
    <w:rsid w:val="009B3871"/>
    <w:rsid w:val="009C4850"/>
    <w:rsid w:val="009C7BBC"/>
    <w:rsid w:val="009D0B70"/>
    <w:rsid w:val="009D0F79"/>
    <w:rsid w:val="009D1EE2"/>
    <w:rsid w:val="009D5BC1"/>
    <w:rsid w:val="009D5FF4"/>
    <w:rsid w:val="009E02F3"/>
    <w:rsid w:val="009E1844"/>
    <w:rsid w:val="009E4F7D"/>
    <w:rsid w:val="009E6ECB"/>
    <w:rsid w:val="009F0D1B"/>
    <w:rsid w:val="009F51CE"/>
    <w:rsid w:val="009F696D"/>
    <w:rsid w:val="009F6BC6"/>
    <w:rsid w:val="009F7563"/>
    <w:rsid w:val="00A13A3B"/>
    <w:rsid w:val="00A14958"/>
    <w:rsid w:val="00A16B2E"/>
    <w:rsid w:val="00A17328"/>
    <w:rsid w:val="00A21235"/>
    <w:rsid w:val="00A21781"/>
    <w:rsid w:val="00A22EA7"/>
    <w:rsid w:val="00A23A20"/>
    <w:rsid w:val="00A268B9"/>
    <w:rsid w:val="00A2703A"/>
    <w:rsid w:val="00A27D73"/>
    <w:rsid w:val="00A31531"/>
    <w:rsid w:val="00A33DFF"/>
    <w:rsid w:val="00A35115"/>
    <w:rsid w:val="00A366BA"/>
    <w:rsid w:val="00A36D9A"/>
    <w:rsid w:val="00A376AE"/>
    <w:rsid w:val="00A42DE9"/>
    <w:rsid w:val="00A554AB"/>
    <w:rsid w:val="00A5703D"/>
    <w:rsid w:val="00A57062"/>
    <w:rsid w:val="00A57944"/>
    <w:rsid w:val="00A57D57"/>
    <w:rsid w:val="00A62D1E"/>
    <w:rsid w:val="00A64838"/>
    <w:rsid w:val="00A66FAA"/>
    <w:rsid w:val="00A67D5F"/>
    <w:rsid w:val="00A67EB6"/>
    <w:rsid w:val="00A70996"/>
    <w:rsid w:val="00A73C20"/>
    <w:rsid w:val="00A7495F"/>
    <w:rsid w:val="00A76D6C"/>
    <w:rsid w:val="00A8450C"/>
    <w:rsid w:val="00A91928"/>
    <w:rsid w:val="00A92B53"/>
    <w:rsid w:val="00A93C00"/>
    <w:rsid w:val="00A94921"/>
    <w:rsid w:val="00A94FA6"/>
    <w:rsid w:val="00A97C05"/>
    <w:rsid w:val="00AA230C"/>
    <w:rsid w:val="00AA49A0"/>
    <w:rsid w:val="00AA6710"/>
    <w:rsid w:val="00AB0681"/>
    <w:rsid w:val="00AB1000"/>
    <w:rsid w:val="00AB305E"/>
    <w:rsid w:val="00AC273B"/>
    <w:rsid w:val="00AC3DDE"/>
    <w:rsid w:val="00AD1AFC"/>
    <w:rsid w:val="00AD520B"/>
    <w:rsid w:val="00AD5BCD"/>
    <w:rsid w:val="00AD5F6B"/>
    <w:rsid w:val="00AE0ABE"/>
    <w:rsid w:val="00AE1D9D"/>
    <w:rsid w:val="00AE3055"/>
    <w:rsid w:val="00AE32AC"/>
    <w:rsid w:val="00AE36F9"/>
    <w:rsid w:val="00AF0D74"/>
    <w:rsid w:val="00AF45E8"/>
    <w:rsid w:val="00AF7D20"/>
    <w:rsid w:val="00B0064D"/>
    <w:rsid w:val="00B02268"/>
    <w:rsid w:val="00B03720"/>
    <w:rsid w:val="00B06130"/>
    <w:rsid w:val="00B15229"/>
    <w:rsid w:val="00B20DA6"/>
    <w:rsid w:val="00B2361A"/>
    <w:rsid w:val="00B26C8F"/>
    <w:rsid w:val="00B352CC"/>
    <w:rsid w:val="00B35D54"/>
    <w:rsid w:val="00B36662"/>
    <w:rsid w:val="00B425C3"/>
    <w:rsid w:val="00B440AD"/>
    <w:rsid w:val="00B46C27"/>
    <w:rsid w:val="00B53E7E"/>
    <w:rsid w:val="00B56024"/>
    <w:rsid w:val="00B56F1A"/>
    <w:rsid w:val="00B579A0"/>
    <w:rsid w:val="00B60071"/>
    <w:rsid w:val="00B6342E"/>
    <w:rsid w:val="00B65252"/>
    <w:rsid w:val="00B70E00"/>
    <w:rsid w:val="00B7113F"/>
    <w:rsid w:val="00B733F6"/>
    <w:rsid w:val="00B73C3E"/>
    <w:rsid w:val="00B74098"/>
    <w:rsid w:val="00B8071D"/>
    <w:rsid w:val="00B94289"/>
    <w:rsid w:val="00BA21C5"/>
    <w:rsid w:val="00BA73B6"/>
    <w:rsid w:val="00BA7E27"/>
    <w:rsid w:val="00BB2603"/>
    <w:rsid w:val="00BB31A2"/>
    <w:rsid w:val="00BB4FCD"/>
    <w:rsid w:val="00BB779B"/>
    <w:rsid w:val="00BC04E9"/>
    <w:rsid w:val="00BC07D4"/>
    <w:rsid w:val="00BC337C"/>
    <w:rsid w:val="00BD13EA"/>
    <w:rsid w:val="00BD1411"/>
    <w:rsid w:val="00BD396B"/>
    <w:rsid w:val="00BD3F6D"/>
    <w:rsid w:val="00BD7299"/>
    <w:rsid w:val="00BE08D8"/>
    <w:rsid w:val="00BE1746"/>
    <w:rsid w:val="00BE3808"/>
    <w:rsid w:val="00BE61A7"/>
    <w:rsid w:val="00BF0336"/>
    <w:rsid w:val="00BF141A"/>
    <w:rsid w:val="00BF1B8B"/>
    <w:rsid w:val="00BF327A"/>
    <w:rsid w:val="00C02E7F"/>
    <w:rsid w:val="00C030A4"/>
    <w:rsid w:val="00C03B76"/>
    <w:rsid w:val="00C05EE1"/>
    <w:rsid w:val="00C062E9"/>
    <w:rsid w:val="00C06772"/>
    <w:rsid w:val="00C07B64"/>
    <w:rsid w:val="00C10168"/>
    <w:rsid w:val="00C10952"/>
    <w:rsid w:val="00C13721"/>
    <w:rsid w:val="00C13989"/>
    <w:rsid w:val="00C14FE4"/>
    <w:rsid w:val="00C16FE1"/>
    <w:rsid w:val="00C17056"/>
    <w:rsid w:val="00C22B1C"/>
    <w:rsid w:val="00C24BD8"/>
    <w:rsid w:val="00C2729C"/>
    <w:rsid w:val="00C3066D"/>
    <w:rsid w:val="00C3366D"/>
    <w:rsid w:val="00C342E8"/>
    <w:rsid w:val="00C370E6"/>
    <w:rsid w:val="00C4029C"/>
    <w:rsid w:val="00C40CAB"/>
    <w:rsid w:val="00C43B12"/>
    <w:rsid w:val="00C50FA9"/>
    <w:rsid w:val="00C52416"/>
    <w:rsid w:val="00C543F4"/>
    <w:rsid w:val="00C60108"/>
    <w:rsid w:val="00C60899"/>
    <w:rsid w:val="00C6283B"/>
    <w:rsid w:val="00C6291C"/>
    <w:rsid w:val="00C633CB"/>
    <w:rsid w:val="00C736B7"/>
    <w:rsid w:val="00C7383C"/>
    <w:rsid w:val="00C73A7F"/>
    <w:rsid w:val="00C80048"/>
    <w:rsid w:val="00C80E27"/>
    <w:rsid w:val="00C81D4A"/>
    <w:rsid w:val="00C8269D"/>
    <w:rsid w:val="00C826D1"/>
    <w:rsid w:val="00C84EF0"/>
    <w:rsid w:val="00C8762C"/>
    <w:rsid w:val="00C91E94"/>
    <w:rsid w:val="00C9340B"/>
    <w:rsid w:val="00C94D18"/>
    <w:rsid w:val="00CA00F9"/>
    <w:rsid w:val="00CA1D2E"/>
    <w:rsid w:val="00CA2961"/>
    <w:rsid w:val="00CA4D22"/>
    <w:rsid w:val="00CA53A0"/>
    <w:rsid w:val="00CA72AD"/>
    <w:rsid w:val="00CA7BCF"/>
    <w:rsid w:val="00CB08A5"/>
    <w:rsid w:val="00CB4494"/>
    <w:rsid w:val="00CB50D7"/>
    <w:rsid w:val="00CB684D"/>
    <w:rsid w:val="00CB7177"/>
    <w:rsid w:val="00CB7D0A"/>
    <w:rsid w:val="00CC1998"/>
    <w:rsid w:val="00CC2597"/>
    <w:rsid w:val="00CC37CA"/>
    <w:rsid w:val="00CC4946"/>
    <w:rsid w:val="00CC4B0E"/>
    <w:rsid w:val="00CC7DA8"/>
    <w:rsid w:val="00CD1E7F"/>
    <w:rsid w:val="00CD1EC2"/>
    <w:rsid w:val="00CD375F"/>
    <w:rsid w:val="00CD4EFE"/>
    <w:rsid w:val="00CD67C2"/>
    <w:rsid w:val="00CD69E8"/>
    <w:rsid w:val="00CE4A79"/>
    <w:rsid w:val="00CF00BE"/>
    <w:rsid w:val="00CF31CD"/>
    <w:rsid w:val="00CF57E7"/>
    <w:rsid w:val="00D00ABD"/>
    <w:rsid w:val="00D00B68"/>
    <w:rsid w:val="00D02719"/>
    <w:rsid w:val="00D0533B"/>
    <w:rsid w:val="00D0642D"/>
    <w:rsid w:val="00D100CD"/>
    <w:rsid w:val="00D11114"/>
    <w:rsid w:val="00D137AB"/>
    <w:rsid w:val="00D15826"/>
    <w:rsid w:val="00D16328"/>
    <w:rsid w:val="00D16B0A"/>
    <w:rsid w:val="00D201E3"/>
    <w:rsid w:val="00D20F3A"/>
    <w:rsid w:val="00D233A2"/>
    <w:rsid w:val="00D24E8F"/>
    <w:rsid w:val="00D256D4"/>
    <w:rsid w:val="00D25CD4"/>
    <w:rsid w:val="00D270A4"/>
    <w:rsid w:val="00D31AEB"/>
    <w:rsid w:val="00D31FE9"/>
    <w:rsid w:val="00D3235C"/>
    <w:rsid w:val="00D34E1B"/>
    <w:rsid w:val="00D376BA"/>
    <w:rsid w:val="00D37CE8"/>
    <w:rsid w:val="00D4012D"/>
    <w:rsid w:val="00D42945"/>
    <w:rsid w:val="00D44140"/>
    <w:rsid w:val="00D45634"/>
    <w:rsid w:val="00D52528"/>
    <w:rsid w:val="00D5568A"/>
    <w:rsid w:val="00D57172"/>
    <w:rsid w:val="00D62E65"/>
    <w:rsid w:val="00D63032"/>
    <w:rsid w:val="00D63D73"/>
    <w:rsid w:val="00D64452"/>
    <w:rsid w:val="00D65AB8"/>
    <w:rsid w:val="00D65E8C"/>
    <w:rsid w:val="00D66E1E"/>
    <w:rsid w:val="00D674C1"/>
    <w:rsid w:val="00D75722"/>
    <w:rsid w:val="00D80CF5"/>
    <w:rsid w:val="00D84539"/>
    <w:rsid w:val="00D84B6D"/>
    <w:rsid w:val="00D85195"/>
    <w:rsid w:val="00D879B9"/>
    <w:rsid w:val="00D93AEE"/>
    <w:rsid w:val="00D954D2"/>
    <w:rsid w:val="00DA1DE7"/>
    <w:rsid w:val="00DA4936"/>
    <w:rsid w:val="00DA4DEA"/>
    <w:rsid w:val="00DA5BBA"/>
    <w:rsid w:val="00DB26D2"/>
    <w:rsid w:val="00DB67C9"/>
    <w:rsid w:val="00DC0C95"/>
    <w:rsid w:val="00DC308E"/>
    <w:rsid w:val="00DC38B2"/>
    <w:rsid w:val="00DC3CB2"/>
    <w:rsid w:val="00DC535E"/>
    <w:rsid w:val="00DD1A0C"/>
    <w:rsid w:val="00DD5100"/>
    <w:rsid w:val="00DD5FE8"/>
    <w:rsid w:val="00DD6580"/>
    <w:rsid w:val="00DD68CC"/>
    <w:rsid w:val="00DD779E"/>
    <w:rsid w:val="00DE1E7A"/>
    <w:rsid w:val="00DE64C9"/>
    <w:rsid w:val="00DF04C6"/>
    <w:rsid w:val="00DF32CA"/>
    <w:rsid w:val="00DF7EF6"/>
    <w:rsid w:val="00E0085F"/>
    <w:rsid w:val="00E050C3"/>
    <w:rsid w:val="00E06A3B"/>
    <w:rsid w:val="00E111F8"/>
    <w:rsid w:val="00E11469"/>
    <w:rsid w:val="00E13BD3"/>
    <w:rsid w:val="00E13FD5"/>
    <w:rsid w:val="00E16F0C"/>
    <w:rsid w:val="00E17A7A"/>
    <w:rsid w:val="00E17C72"/>
    <w:rsid w:val="00E206E3"/>
    <w:rsid w:val="00E21FC6"/>
    <w:rsid w:val="00E24BF8"/>
    <w:rsid w:val="00E26C12"/>
    <w:rsid w:val="00E26FE7"/>
    <w:rsid w:val="00E27D91"/>
    <w:rsid w:val="00E42FEE"/>
    <w:rsid w:val="00E431A9"/>
    <w:rsid w:val="00E438AF"/>
    <w:rsid w:val="00E45600"/>
    <w:rsid w:val="00E50482"/>
    <w:rsid w:val="00E53D6A"/>
    <w:rsid w:val="00E5427E"/>
    <w:rsid w:val="00E62B6D"/>
    <w:rsid w:val="00E63529"/>
    <w:rsid w:val="00E64DB9"/>
    <w:rsid w:val="00E669E2"/>
    <w:rsid w:val="00E70FC7"/>
    <w:rsid w:val="00E73623"/>
    <w:rsid w:val="00E739C9"/>
    <w:rsid w:val="00E74456"/>
    <w:rsid w:val="00E74FF0"/>
    <w:rsid w:val="00E76135"/>
    <w:rsid w:val="00E819BA"/>
    <w:rsid w:val="00E82F4F"/>
    <w:rsid w:val="00E860C3"/>
    <w:rsid w:val="00E91784"/>
    <w:rsid w:val="00E91DD3"/>
    <w:rsid w:val="00E92B34"/>
    <w:rsid w:val="00E93F2C"/>
    <w:rsid w:val="00E940C0"/>
    <w:rsid w:val="00EA1267"/>
    <w:rsid w:val="00EA1D75"/>
    <w:rsid w:val="00EA613E"/>
    <w:rsid w:val="00EB1358"/>
    <w:rsid w:val="00EB4DBB"/>
    <w:rsid w:val="00EB707D"/>
    <w:rsid w:val="00EC2844"/>
    <w:rsid w:val="00EC28B1"/>
    <w:rsid w:val="00EC5500"/>
    <w:rsid w:val="00ED7838"/>
    <w:rsid w:val="00EE3535"/>
    <w:rsid w:val="00EE4F18"/>
    <w:rsid w:val="00EE6E8A"/>
    <w:rsid w:val="00EE7990"/>
    <w:rsid w:val="00EF1B2F"/>
    <w:rsid w:val="00EF3193"/>
    <w:rsid w:val="00EF479A"/>
    <w:rsid w:val="00EF4861"/>
    <w:rsid w:val="00EF6C6C"/>
    <w:rsid w:val="00EF6CB1"/>
    <w:rsid w:val="00F002AC"/>
    <w:rsid w:val="00F022EF"/>
    <w:rsid w:val="00F03168"/>
    <w:rsid w:val="00F03465"/>
    <w:rsid w:val="00F03D12"/>
    <w:rsid w:val="00F056FC"/>
    <w:rsid w:val="00F10476"/>
    <w:rsid w:val="00F135D8"/>
    <w:rsid w:val="00F1618E"/>
    <w:rsid w:val="00F240CD"/>
    <w:rsid w:val="00F25261"/>
    <w:rsid w:val="00F279BA"/>
    <w:rsid w:val="00F31299"/>
    <w:rsid w:val="00F31334"/>
    <w:rsid w:val="00F33375"/>
    <w:rsid w:val="00F34285"/>
    <w:rsid w:val="00F348B1"/>
    <w:rsid w:val="00F3534A"/>
    <w:rsid w:val="00F35515"/>
    <w:rsid w:val="00F35DD4"/>
    <w:rsid w:val="00F40221"/>
    <w:rsid w:val="00F40258"/>
    <w:rsid w:val="00F409C6"/>
    <w:rsid w:val="00F4799F"/>
    <w:rsid w:val="00F51609"/>
    <w:rsid w:val="00F52581"/>
    <w:rsid w:val="00F5379E"/>
    <w:rsid w:val="00F54875"/>
    <w:rsid w:val="00F57DE9"/>
    <w:rsid w:val="00F65322"/>
    <w:rsid w:val="00F80EB1"/>
    <w:rsid w:val="00F81006"/>
    <w:rsid w:val="00F835CA"/>
    <w:rsid w:val="00F85112"/>
    <w:rsid w:val="00F85325"/>
    <w:rsid w:val="00F85B21"/>
    <w:rsid w:val="00F8620F"/>
    <w:rsid w:val="00F86874"/>
    <w:rsid w:val="00F90EE7"/>
    <w:rsid w:val="00F929A8"/>
    <w:rsid w:val="00F95FCE"/>
    <w:rsid w:val="00FA1183"/>
    <w:rsid w:val="00FA685E"/>
    <w:rsid w:val="00FB039D"/>
    <w:rsid w:val="00FB3799"/>
    <w:rsid w:val="00FB4795"/>
    <w:rsid w:val="00FB71A1"/>
    <w:rsid w:val="00FB7BA7"/>
    <w:rsid w:val="00FC6404"/>
    <w:rsid w:val="00FD073A"/>
    <w:rsid w:val="00FD0B59"/>
    <w:rsid w:val="00FD1452"/>
    <w:rsid w:val="00FD22B1"/>
    <w:rsid w:val="00FD276A"/>
    <w:rsid w:val="00FD61E8"/>
    <w:rsid w:val="00FE2535"/>
    <w:rsid w:val="00FE5397"/>
    <w:rsid w:val="00FF0BD3"/>
    <w:rsid w:val="00FF49D2"/>
    <w:rsid w:val="00FF4BD8"/>
    <w:rsid w:val="00FF6E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891EB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91EB1"/>
    <w:rPr>
      <w:szCs w:val="24"/>
    </w:rPr>
  </w:style>
  <w:style w:type="character" w:customStyle="1" w:styleId="CommentSubjectChar">
    <w:name w:val="Comment Subject Char"/>
    <w:basedOn w:val="CommentTextChar"/>
    <w:link w:val="CommentSubject"/>
    <w:rsid w:val="00891EB1"/>
    <w:rPr>
      <w:b/>
      <w:bCs/>
      <w:szCs w:val="24"/>
    </w:rPr>
  </w:style>
  <w:style w:type="character" w:customStyle="1" w:styleId="BodyTextChar">
    <w:name w:val="Body Text Char"/>
    <w:basedOn w:val="DefaultParagraphFont"/>
    <w:link w:val="BodyText"/>
    <w:rsid w:val="00C02E7F"/>
    <w:rPr>
      <w:sz w:val="26"/>
    </w:rPr>
  </w:style>
  <w:style w:type="paragraph" w:styleId="Revision">
    <w:name w:val="Revision"/>
    <w:hidden/>
    <w:uiPriority w:val="99"/>
    <w:semiHidden/>
    <w:rsid w:val="002D1EE5"/>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891EB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91EB1"/>
    <w:rPr>
      <w:szCs w:val="24"/>
    </w:rPr>
  </w:style>
  <w:style w:type="character" w:customStyle="1" w:styleId="CommentSubjectChar">
    <w:name w:val="Comment Subject Char"/>
    <w:basedOn w:val="CommentTextChar"/>
    <w:link w:val="CommentSubject"/>
    <w:rsid w:val="00891EB1"/>
    <w:rPr>
      <w:b/>
      <w:bCs/>
      <w:szCs w:val="24"/>
    </w:rPr>
  </w:style>
  <w:style w:type="character" w:customStyle="1" w:styleId="BodyTextChar">
    <w:name w:val="Body Text Char"/>
    <w:basedOn w:val="DefaultParagraphFont"/>
    <w:link w:val="BodyText"/>
    <w:rsid w:val="00C02E7F"/>
    <w:rPr>
      <w:sz w:val="26"/>
    </w:rPr>
  </w:style>
  <w:style w:type="paragraph" w:styleId="Revision">
    <w:name w:val="Revision"/>
    <w:hidden/>
    <w:uiPriority w:val="99"/>
    <w:semiHidden/>
    <w:rsid w:val="002D1EE5"/>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77189">
      <w:bodyDiv w:val="1"/>
      <w:marLeft w:val="0"/>
      <w:marRight w:val="0"/>
      <w:marTop w:val="0"/>
      <w:marBottom w:val="0"/>
      <w:divBdr>
        <w:top w:val="none" w:sz="0" w:space="0" w:color="auto"/>
        <w:left w:val="none" w:sz="0" w:space="0" w:color="auto"/>
        <w:bottom w:val="none" w:sz="0" w:space="0" w:color="auto"/>
        <w:right w:val="none" w:sz="0" w:space="0" w:color="auto"/>
      </w:divBdr>
    </w:div>
    <w:div w:id="114111692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E80D4-3D6F-4E46-91B7-B74BDBF32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8</Pages>
  <Words>2607</Words>
  <Characters>13533</Characters>
  <Application>Microsoft Office Word</Application>
  <DocSecurity>0</DocSecurity>
  <Lines>410</Lines>
  <Paragraphs>283</Paragraphs>
  <ScaleCrop>false</ScaleCrop>
  <HeadingPairs>
    <vt:vector size="2" baseType="variant">
      <vt:variant>
        <vt:lpstr>Title</vt:lpstr>
      </vt:variant>
      <vt:variant>
        <vt:i4>1</vt:i4>
      </vt:variant>
    </vt:vector>
  </HeadingPairs>
  <TitlesOfParts>
    <vt:vector size="1" baseType="lpstr">
      <vt:lpstr>Sensitivity analysis</vt:lpstr>
    </vt:vector>
  </TitlesOfParts>
  <Company>Productivity Commission</Company>
  <LinksUpToDate>false</LinksUpToDate>
  <CharactersWithSpaces>15857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Sensitivity analysis</dc:title>
  <dc:subject>Productivity in Manufacturing</dc:subject>
  <dc:creator>Productivity Commission</dc:creator>
  <dc:description>E.</dc:description>
  <cp:lastModifiedBy>Productivity Commission</cp:lastModifiedBy>
  <cp:revision>2</cp:revision>
  <cp:lastPrinted>2013-11-28T00:06:00Z</cp:lastPrinted>
  <dcterms:created xsi:type="dcterms:W3CDTF">2013-12-03T23:51:00Z</dcterms:created>
  <dcterms:modified xsi:type="dcterms:W3CDTF">2013-12-03T23:51:00Z</dcterms:modified>
</cp:coreProperties>
</file>