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Pr="00E11F03" w:rsidRDefault="00E11F03" w:rsidP="00E11F03">
      <w:pPr>
        <w:pStyle w:val="Heading1"/>
        <w:rPr>
          <w:rFonts w:ascii="Times New Roman" w:hAnsi="Times New Roman" w:cs="Times New Roman"/>
        </w:rPr>
      </w:pPr>
      <w:bookmarkStart w:id="0" w:name="_AppendixNotByChapter"/>
      <w:bookmarkStart w:id="1" w:name="ChapterNumber"/>
      <w:bookmarkEnd w:id="0"/>
      <w:r w:rsidRPr="00E11F03">
        <w:rPr>
          <w:rFonts w:ascii="Times New Roman" w:hAnsi="Times New Roman" w:cs="Times New Roman"/>
        </w:rPr>
        <w:t>F</w:t>
      </w:r>
      <w:bookmarkEnd w:id="1"/>
      <w:r w:rsidRPr="00E11F03">
        <w:rPr>
          <w:rFonts w:ascii="Times New Roman" w:hAnsi="Times New Roman" w:cs="Times New Roman"/>
        </w:rPr>
        <w:tab/>
      </w:r>
      <w:bookmarkStart w:id="2" w:name="ChapterTitle"/>
      <w:r w:rsidRPr="00E11F03">
        <w:rPr>
          <w:rFonts w:ascii="Times New Roman" w:hAnsi="Times New Roman" w:cs="Times New Roman"/>
        </w:rPr>
        <w:t>Additional information on Petroleum, coal, chemical and rubber products</w:t>
      </w:r>
      <w:bookmarkEnd w:id="2"/>
    </w:p>
    <w:p w:rsidR="007A5639" w:rsidRPr="00B96127" w:rsidRDefault="007A5639" w:rsidP="00A072A1">
      <w:pPr>
        <w:pStyle w:val="BodyText"/>
      </w:pPr>
      <w:bookmarkStart w:id="3" w:name="begin"/>
      <w:bookmarkEnd w:id="3"/>
      <w:r w:rsidRPr="00B96127">
        <w:t xml:space="preserve">Additional data about the </w:t>
      </w:r>
      <w:r w:rsidR="00E566D6" w:rsidRPr="00B96127">
        <w:t>Petroleum, coal, chemical and rubber products (</w:t>
      </w:r>
      <w:proofErr w:type="spellStart"/>
      <w:r w:rsidRPr="00B96127">
        <w:t>PCCR</w:t>
      </w:r>
      <w:proofErr w:type="spellEnd"/>
      <w:r w:rsidR="00E566D6" w:rsidRPr="00B96127">
        <w:t>)</w:t>
      </w:r>
      <w:r w:rsidRPr="00B96127">
        <w:t xml:space="preserve"> subsector (which is chiefly discussed in chapter 4) </w:t>
      </w:r>
      <w:r w:rsidR="00446866" w:rsidRPr="00B96127">
        <w:t>are</w:t>
      </w:r>
      <w:r w:rsidRPr="00B96127">
        <w:t xml:space="preserve"> presented in this appendix. </w:t>
      </w:r>
      <w:r w:rsidR="00A94F1E" w:rsidRPr="00B96127">
        <w:t>These additional data include a</w:t>
      </w:r>
      <w:r w:rsidR="007A1FFC" w:rsidRPr="00B96127">
        <w:t xml:space="preserve"> longer-term view of how the composition of </w:t>
      </w:r>
      <w:proofErr w:type="spellStart"/>
      <w:r w:rsidR="007A1FFC" w:rsidRPr="00B96127">
        <w:t>PCCR</w:t>
      </w:r>
      <w:proofErr w:type="spellEnd"/>
      <w:r w:rsidR="007A1FFC" w:rsidRPr="00B96127">
        <w:t xml:space="preserve"> </w:t>
      </w:r>
      <w:bookmarkStart w:id="4" w:name="_GoBack"/>
      <w:bookmarkEnd w:id="4"/>
      <w:r w:rsidR="007A1FFC" w:rsidRPr="00B96127">
        <w:t xml:space="preserve">has changed through time, some trade and </w:t>
      </w:r>
      <w:r w:rsidR="00A00FB3" w:rsidRPr="00B96127">
        <w:t xml:space="preserve">assistance </w:t>
      </w:r>
      <w:r w:rsidR="007A1FFC" w:rsidRPr="00B96127">
        <w:t xml:space="preserve">data, and more detailed </w:t>
      </w:r>
      <w:r w:rsidR="006C2E00" w:rsidRPr="00B96127">
        <w:t>hours worked information</w:t>
      </w:r>
      <w:r w:rsidR="00BB32FC" w:rsidRPr="00B96127">
        <w:t>.</w:t>
      </w:r>
    </w:p>
    <w:p w:rsidR="00333D30" w:rsidRPr="00B96127" w:rsidRDefault="00E11F03" w:rsidP="00333D30">
      <w:pPr>
        <w:pStyle w:val="Heading2"/>
      </w:pPr>
      <w:proofErr w:type="spellStart"/>
      <w:r w:rsidRPr="00B96127">
        <w:t>F.</w:t>
      </w:r>
      <w:r w:rsidR="00E03438" w:rsidRPr="00B96127">
        <w:t>1</w:t>
      </w:r>
      <w:proofErr w:type="spellEnd"/>
      <w:r w:rsidR="00333D30" w:rsidRPr="00B96127">
        <w:tab/>
        <w:t xml:space="preserve">A longer-term view of the composition of </w:t>
      </w:r>
      <w:proofErr w:type="spellStart"/>
      <w:r w:rsidR="00C13B1D" w:rsidRPr="00B96127">
        <w:t>PCCR</w:t>
      </w:r>
      <w:proofErr w:type="spellEnd"/>
    </w:p>
    <w:p w:rsidR="005D2CBB" w:rsidRDefault="007034BB" w:rsidP="005D2CBB">
      <w:pPr>
        <w:pStyle w:val="BodyText"/>
        <w:rPr>
          <w:lang w:eastAsia="en-US"/>
        </w:rPr>
      </w:pPr>
      <w:r>
        <w:rPr>
          <w:lang w:eastAsia="en-US"/>
        </w:rPr>
        <w:t xml:space="preserve">The composition of the </w:t>
      </w:r>
      <w:proofErr w:type="spellStart"/>
      <w:r>
        <w:rPr>
          <w:lang w:eastAsia="en-US"/>
        </w:rPr>
        <w:t>PCCR</w:t>
      </w:r>
      <w:proofErr w:type="spellEnd"/>
      <w:r>
        <w:rPr>
          <w:lang w:eastAsia="en-US"/>
        </w:rPr>
        <w:t xml:space="preserve"> subsector was discussed in terms of the share that each subdivision comprised of value added, hours worked and </w:t>
      </w:r>
      <w:r w:rsidR="00CF2E92">
        <w:rPr>
          <w:lang w:eastAsia="en-US"/>
        </w:rPr>
        <w:t>investment</w:t>
      </w:r>
      <w:r>
        <w:rPr>
          <w:lang w:eastAsia="en-US"/>
        </w:rPr>
        <w:t xml:space="preserve"> in 2009</w:t>
      </w:r>
      <w:r w:rsidR="00BB1243">
        <w:rPr>
          <w:lang w:eastAsia="en-US"/>
        </w:rPr>
        <w:noBreakHyphen/>
      </w:r>
      <w:r>
        <w:rPr>
          <w:lang w:eastAsia="en-US"/>
        </w:rPr>
        <w:t xml:space="preserve">10. Figure </w:t>
      </w:r>
      <w:proofErr w:type="spellStart"/>
      <w:r w:rsidR="00E11F03">
        <w:t>F.1</w:t>
      </w:r>
      <w:proofErr w:type="spellEnd"/>
      <w:r>
        <w:rPr>
          <w:lang w:eastAsia="en-US"/>
        </w:rPr>
        <w:t xml:space="preserve"> shows how these shares have changed</w:t>
      </w:r>
      <w:r w:rsidR="00875563">
        <w:rPr>
          <w:lang w:eastAsia="en-US"/>
        </w:rPr>
        <w:t>,</w:t>
      </w:r>
      <w:r>
        <w:rPr>
          <w:lang w:eastAsia="en-US"/>
        </w:rPr>
        <w:t xml:space="preserve"> over the period </w:t>
      </w:r>
      <w:r w:rsidR="00875563">
        <w:rPr>
          <w:lang w:eastAsia="en-US"/>
        </w:rPr>
        <w:t>covering</w:t>
      </w:r>
      <w:r>
        <w:rPr>
          <w:lang w:eastAsia="en-US"/>
        </w:rPr>
        <w:t xml:space="preserve"> cycle</w:t>
      </w:r>
      <w:r w:rsidR="00446866">
        <w:rPr>
          <w:lang w:eastAsia="en-US"/>
        </w:rPr>
        <w:t> </w:t>
      </w:r>
      <w:r>
        <w:rPr>
          <w:lang w:eastAsia="en-US"/>
        </w:rPr>
        <w:t>3 through to the incomplete cycle</w:t>
      </w:r>
      <w:r w:rsidR="00875563">
        <w:rPr>
          <w:lang w:eastAsia="en-US"/>
        </w:rPr>
        <w:t>,</w:t>
      </w:r>
      <w:r w:rsidR="00AA7315">
        <w:rPr>
          <w:lang w:eastAsia="en-US"/>
        </w:rPr>
        <w:t xml:space="preserve"> for each of the three </w:t>
      </w:r>
      <w:proofErr w:type="spellStart"/>
      <w:r w:rsidR="00AA7315">
        <w:rPr>
          <w:lang w:eastAsia="en-US"/>
        </w:rPr>
        <w:t>PCCR</w:t>
      </w:r>
      <w:proofErr w:type="spellEnd"/>
      <w:r w:rsidR="00AA7315">
        <w:rPr>
          <w:lang w:eastAsia="en-US"/>
        </w:rPr>
        <w:t xml:space="preserve"> subdivisions: Petroleum and coal product manufacturing (‘Petroleum’)</w:t>
      </w:r>
      <w:r w:rsidR="00DE7D33">
        <w:rPr>
          <w:lang w:eastAsia="en-US"/>
        </w:rPr>
        <w:t>,</w:t>
      </w:r>
      <w:r w:rsidR="001D7E18">
        <w:rPr>
          <w:lang w:eastAsia="en-US"/>
        </w:rPr>
        <w:t xml:space="preserve"> </w:t>
      </w:r>
      <w:r w:rsidR="00AA7315">
        <w:rPr>
          <w:lang w:eastAsia="en-US"/>
        </w:rPr>
        <w:t xml:space="preserve">Basic chemical and chemical production manufacturing (‘Chemicals’), </w:t>
      </w:r>
      <w:r w:rsidR="00DE7D33">
        <w:rPr>
          <w:lang w:eastAsia="en-US"/>
        </w:rPr>
        <w:t>and</w:t>
      </w:r>
      <w:r w:rsidR="00AA7315">
        <w:rPr>
          <w:lang w:eastAsia="en-US"/>
        </w:rPr>
        <w:t xml:space="preserve"> Polymer product and rubber product manufacturing (‘Polymers’)</w:t>
      </w:r>
      <w:r w:rsidR="00022CCD">
        <w:rPr>
          <w:lang w:eastAsia="en-US"/>
        </w:rPr>
        <w:t>.</w:t>
      </w:r>
      <w:r w:rsidR="00E15219">
        <w:rPr>
          <w:lang w:eastAsia="en-US"/>
        </w:rPr>
        <w:t xml:space="preserve"> </w:t>
      </w:r>
    </w:p>
    <w:p w:rsidR="00DF715A" w:rsidRDefault="00DF715A" w:rsidP="00DF715A">
      <w:pPr>
        <w:pStyle w:val="BodyText"/>
        <w:rPr>
          <w:lang w:eastAsia="en-US"/>
        </w:rPr>
      </w:pPr>
      <w:r>
        <w:rPr>
          <w:lang w:eastAsia="en-US"/>
        </w:rPr>
        <w:t xml:space="preserve">Disaggregating the </w:t>
      </w:r>
      <w:proofErr w:type="spellStart"/>
      <w:r>
        <w:rPr>
          <w:lang w:eastAsia="en-US"/>
        </w:rPr>
        <w:t>PCCR</w:t>
      </w:r>
      <w:proofErr w:type="spellEnd"/>
      <w:r>
        <w:rPr>
          <w:lang w:eastAsia="en-US"/>
        </w:rPr>
        <w:t xml:space="preserve"> value added (from the </w:t>
      </w:r>
      <w:r w:rsidR="001B30CA">
        <w:rPr>
          <w:lang w:eastAsia="en-US"/>
        </w:rPr>
        <w:t>ABS National Accounts</w:t>
      </w:r>
      <w:r>
        <w:rPr>
          <w:lang w:eastAsia="en-US"/>
        </w:rPr>
        <w:t xml:space="preserve">) is difficult as there is no real measure published for the </w:t>
      </w:r>
      <w:proofErr w:type="spellStart"/>
      <w:r>
        <w:rPr>
          <w:lang w:eastAsia="en-US"/>
        </w:rPr>
        <w:t>PCCR</w:t>
      </w:r>
      <w:proofErr w:type="spellEnd"/>
      <w:r>
        <w:rPr>
          <w:lang w:eastAsia="en-US"/>
        </w:rPr>
        <w:t xml:space="preserve"> subdivisions. </w:t>
      </w:r>
      <w:r w:rsidR="00E41D63">
        <w:rPr>
          <w:lang w:eastAsia="en-US"/>
        </w:rPr>
        <w:t>A</w:t>
      </w:r>
      <w:r>
        <w:rPr>
          <w:lang w:eastAsia="en-US"/>
        </w:rPr>
        <w:t>ttempts to derive estimates for real value added at the subdivision level by deflating nominal values using producer price indexes</w:t>
      </w:r>
      <w:r w:rsidR="001D7E18">
        <w:rPr>
          <w:lang w:eastAsia="en-US"/>
        </w:rPr>
        <w:t xml:space="preserve"> (</w:t>
      </w:r>
      <w:proofErr w:type="spellStart"/>
      <w:r w:rsidR="001D7E18">
        <w:rPr>
          <w:lang w:eastAsia="en-US"/>
        </w:rPr>
        <w:t>PPIs</w:t>
      </w:r>
      <w:proofErr w:type="spellEnd"/>
      <w:r w:rsidR="001D7E18">
        <w:rPr>
          <w:lang w:eastAsia="en-US"/>
        </w:rPr>
        <w:t>)</w:t>
      </w:r>
      <w:r>
        <w:rPr>
          <w:lang w:eastAsia="en-US"/>
        </w:rPr>
        <w:t xml:space="preserve"> yielded measures</w:t>
      </w:r>
      <w:r>
        <w:rPr>
          <w:rStyle w:val="FootnoteReference"/>
        </w:rPr>
        <w:footnoteReference w:id="1"/>
      </w:r>
      <w:r>
        <w:rPr>
          <w:lang w:eastAsia="en-US"/>
        </w:rPr>
        <w:t xml:space="preserve"> that are not consistent with the </w:t>
      </w:r>
      <w:r w:rsidR="0080396D">
        <w:rPr>
          <w:lang w:eastAsia="en-US"/>
        </w:rPr>
        <w:t>estimates</w:t>
      </w:r>
      <w:r>
        <w:rPr>
          <w:lang w:eastAsia="en-US"/>
        </w:rPr>
        <w:t xml:space="preserve"> from the </w:t>
      </w:r>
      <w:r w:rsidR="001B30CA">
        <w:rPr>
          <w:lang w:eastAsia="en-US"/>
        </w:rPr>
        <w:t>National Accounts</w:t>
      </w:r>
      <w:r>
        <w:rPr>
          <w:lang w:eastAsia="en-US"/>
        </w:rPr>
        <w:t xml:space="preserve"> (table</w:t>
      </w:r>
      <w:r w:rsidR="00E11F03">
        <w:rPr>
          <w:lang w:eastAsia="en-US"/>
        </w:rPr>
        <w:t> </w:t>
      </w:r>
      <w:proofErr w:type="spellStart"/>
      <w:r w:rsidR="00E11F03">
        <w:t>F.1</w:t>
      </w:r>
      <w:proofErr w:type="spellEnd"/>
      <w:r>
        <w:rPr>
          <w:lang w:eastAsia="en-US"/>
        </w:rPr>
        <w:t xml:space="preserve">). </w:t>
      </w:r>
    </w:p>
    <w:p w:rsidR="001B2D52" w:rsidRDefault="001B2D52" w:rsidP="001B2D52">
      <w:pPr>
        <w:pStyle w:val="FigureTitle"/>
      </w:pPr>
      <w:r>
        <w:rPr>
          <w:b w:val="0"/>
        </w:rPr>
        <w:lastRenderedPageBreak/>
        <w:t xml:space="preserve">Figure </w:t>
      </w:r>
      <w:bookmarkStart w:id="5" w:name="OLE_LINK21"/>
      <w:proofErr w:type="spellStart"/>
      <w:r w:rsidR="00E11F03">
        <w:rPr>
          <w:b w:val="0"/>
        </w:rPr>
        <w:t>F.</w:t>
      </w:r>
      <w:r w:rsidR="00E03438">
        <w:rPr>
          <w:b w:val="0"/>
          <w:noProof/>
        </w:rPr>
        <w:t>1</w:t>
      </w:r>
      <w:bookmarkEnd w:id="5"/>
      <w:proofErr w:type="spellEnd"/>
      <w:r>
        <w:tab/>
        <w:t xml:space="preserve">Composition of </w:t>
      </w:r>
      <w:proofErr w:type="spellStart"/>
      <w:r>
        <w:t>PCCR</w:t>
      </w:r>
      <w:proofErr w:type="spellEnd"/>
      <w:r>
        <w:t xml:space="preserve"> — </w:t>
      </w:r>
      <w:r w:rsidR="00C13B1D">
        <w:t>value added</w:t>
      </w:r>
      <w:r>
        <w:t>, hours worked and investment</w:t>
      </w:r>
      <w:r w:rsidRPr="00A96D62">
        <w:rPr>
          <w:rStyle w:val="NoteLabel"/>
          <w:b/>
        </w:rPr>
        <w:t>a</w:t>
      </w:r>
    </w:p>
    <w:p w:rsidR="001B2D52" w:rsidRDefault="008123D2" w:rsidP="001B2D52">
      <w:pPr>
        <w:pStyle w:val="Subtitle"/>
      </w:pPr>
      <w:r>
        <w:t>Percentage shares</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4388"/>
        <w:gridCol w:w="4389"/>
      </w:tblGrid>
      <w:tr w:rsidR="00D6607B" w:rsidRPr="00027107" w:rsidTr="00FF1FA9">
        <w:tc>
          <w:tcPr>
            <w:tcW w:w="4388" w:type="dxa"/>
          </w:tcPr>
          <w:p w:rsidR="00D6607B" w:rsidRPr="00027107" w:rsidRDefault="00D6607B" w:rsidP="00027107">
            <w:pPr>
              <w:pStyle w:val="Figure"/>
              <w:spacing w:after="0"/>
              <w:rPr>
                <w:i/>
                <w:sz w:val="22"/>
                <w:szCs w:val="22"/>
              </w:rPr>
            </w:pPr>
            <w:r w:rsidRPr="00027107">
              <w:rPr>
                <w:i/>
                <w:sz w:val="22"/>
                <w:szCs w:val="22"/>
              </w:rPr>
              <w:t>Value added</w:t>
            </w:r>
          </w:p>
        </w:tc>
        <w:tc>
          <w:tcPr>
            <w:tcW w:w="4389" w:type="dxa"/>
          </w:tcPr>
          <w:p w:rsidR="00D6607B" w:rsidRPr="00027107" w:rsidRDefault="00D6607B" w:rsidP="00027107">
            <w:pPr>
              <w:pStyle w:val="Figure"/>
              <w:spacing w:after="0"/>
              <w:rPr>
                <w:i/>
                <w:sz w:val="22"/>
                <w:szCs w:val="22"/>
              </w:rPr>
            </w:pPr>
            <w:r w:rsidRPr="00027107">
              <w:rPr>
                <w:i/>
                <w:sz w:val="22"/>
                <w:szCs w:val="22"/>
              </w:rPr>
              <w:t>Hours worked</w:t>
            </w:r>
          </w:p>
        </w:tc>
      </w:tr>
      <w:tr w:rsidR="001B2D52" w:rsidTr="00FF1FA9">
        <w:tc>
          <w:tcPr>
            <w:tcW w:w="4388" w:type="dxa"/>
          </w:tcPr>
          <w:p w:rsidR="001B2D52" w:rsidRDefault="00D1236A" w:rsidP="00D6607B">
            <w:pPr>
              <w:pStyle w:val="Figure"/>
              <w:spacing w:before="0" w:after="0"/>
              <w:ind w:left="-97" w:right="-109"/>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This figure shows the proportions of value added, hours worked and private new capital expenditure in PCCR made up by each of its three subdivisions (Petroleum and coal product manufacturing, Basic chemical and chemical product manufacturing, and Polymer product and rubber product manufacturing), over the period of 1998-99 to 2010-11." style="width:205.95pt;height:196.75pt">
                  <v:imagedata r:id="rId9" o:title=""/>
                </v:shape>
              </w:pict>
            </w:r>
          </w:p>
        </w:tc>
        <w:tc>
          <w:tcPr>
            <w:tcW w:w="4389" w:type="dxa"/>
          </w:tcPr>
          <w:p w:rsidR="001B2D52" w:rsidRDefault="00D1236A" w:rsidP="00D6607B">
            <w:pPr>
              <w:pStyle w:val="Figure"/>
              <w:spacing w:before="0" w:after="0"/>
              <w:ind w:left="-97" w:right="-109"/>
              <w:rPr>
                <w:noProof/>
              </w:rPr>
            </w:pPr>
            <w:r>
              <w:rPr>
                <w:noProof/>
              </w:rPr>
              <w:pict>
                <v:shape id="_x0000_i1026" type="#_x0000_t75" alt="This figure shows the proportions of value added, hours worked and private new capital expenditure in PCCR made up by each of its three subdivisions (Petroleum and coal product manufacturing, Basic chemical and chemical product manufacturing, and Polymer product and rubber product manufacturing), over the period of 1998-99 to 2010-11." style="width:205.95pt;height:198.4pt">
                  <v:imagedata r:id="rId10" o:title=""/>
                </v:shape>
              </w:pict>
            </w:r>
          </w:p>
        </w:tc>
      </w:tr>
      <w:tr w:rsidR="00D6607B" w:rsidRPr="00027107" w:rsidTr="00FF1FA9">
        <w:tc>
          <w:tcPr>
            <w:tcW w:w="4388" w:type="dxa"/>
          </w:tcPr>
          <w:p w:rsidR="00D6607B" w:rsidRPr="00027107" w:rsidRDefault="00D6607B" w:rsidP="00027107">
            <w:pPr>
              <w:pStyle w:val="Figure"/>
              <w:spacing w:after="0"/>
              <w:rPr>
                <w:i/>
                <w:sz w:val="22"/>
                <w:szCs w:val="22"/>
              </w:rPr>
            </w:pPr>
            <w:r w:rsidRPr="00027107">
              <w:rPr>
                <w:i/>
                <w:sz w:val="22"/>
                <w:szCs w:val="22"/>
              </w:rPr>
              <w:t>Private new capital expenditure</w:t>
            </w:r>
          </w:p>
        </w:tc>
        <w:tc>
          <w:tcPr>
            <w:tcW w:w="4389" w:type="dxa"/>
            <w:vAlign w:val="center"/>
          </w:tcPr>
          <w:p w:rsidR="00D6607B" w:rsidRPr="00027107" w:rsidRDefault="00D6607B" w:rsidP="00027107">
            <w:pPr>
              <w:pStyle w:val="Figure"/>
              <w:rPr>
                <w:noProof/>
                <w:sz w:val="22"/>
                <w:szCs w:val="22"/>
              </w:rPr>
            </w:pPr>
          </w:p>
        </w:tc>
      </w:tr>
      <w:tr w:rsidR="001B2D52" w:rsidTr="00FF1FA9">
        <w:tc>
          <w:tcPr>
            <w:tcW w:w="4388" w:type="dxa"/>
          </w:tcPr>
          <w:p w:rsidR="001B2D52" w:rsidRPr="00D6607B" w:rsidRDefault="00D1236A" w:rsidP="00D6607B">
            <w:pPr>
              <w:pStyle w:val="Figure"/>
              <w:spacing w:before="0" w:after="0"/>
              <w:ind w:left="-97" w:right="-109"/>
              <w:rPr>
                <w:noProof/>
              </w:rPr>
            </w:pPr>
            <w:r>
              <w:rPr>
                <w:noProof/>
              </w:rPr>
              <w:pict>
                <v:shape id="_x0000_i1027" type="#_x0000_t75" alt="This figure shows the proportions of value added, hours worked and private new capital expenditure in PCCR made up by each of its three subdivisions (Petroleum and coal product manufacturing, Basic chemical and chemical product manufacturing, and Polymer product and rubber product manufacturing), over the period of 1998-99 to 2010-11." style="width:217.65pt;height:191.7pt">
                  <v:imagedata r:id="rId11" o:title=""/>
                </v:shape>
              </w:pict>
            </w:r>
          </w:p>
        </w:tc>
        <w:tc>
          <w:tcPr>
            <w:tcW w:w="4389" w:type="dxa"/>
            <w:vAlign w:val="center"/>
          </w:tcPr>
          <w:p w:rsidR="001B2D52" w:rsidRPr="00D6607B" w:rsidRDefault="00D1236A" w:rsidP="00D6607B">
            <w:pPr>
              <w:pStyle w:val="Figure"/>
              <w:spacing w:before="0" w:after="0"/>
              <w:ind w:left="-97" w:right="-109"/>
              <w:rPr>
                <w:noProof/>
              </w:rPr>
            </w:pPr>
            <w:r>
              <w:rPr>
                <w:noProof/>
              </w:rPr>
              <w:pict>
                <v:shape id="_x0000_i1028" type="#_x0000_t75" alt="This figure shows the proportions of value added, hours worked and private new capital expenditure in PCCR made up by each of its three subdivisions (Petroleum and coal product manufacturing, Basic chemical and chemical product manufacturing, and Polymer product and rubber product manufacturing), over the period of 1998-99 to 2010-11." style="width:217.65pt;height:110.5pt">
                  <v:imagedata r:id="rId12" o:title=""/>
                </v:shape>
              </w:pict>
            </w:r>
          </w:p>
        </w:tc>
      </w:tr>
    </w:tbl>
    <w:p w:rsidR="001B2D52" w:rsidRDefault="001B2D52" w:rsidP="001B2D52">
      <w:pPr>
        <w:pStyle w:val="Note"/>
      </w:pPr>
      <w:r>
        <w:rPr>
          <w:rStyle w:val="NoteLabel"/>
        </w:rPr>
        <w:t>a</w:t>
      </w:r>
      <w:r>
        <w:t xml:space="preserve"> Current price data used for value added and private new capital expenditure. Data for net capital stock </w:t>
      </w:r>
      <w:r w:rsidR="005C7151">
        <w:t>are</w:t>
      </w:r>
      <w:r>
        <w:t xml:space="preserve"> not available at this level of disaggregation.</w:t>
      </w:r>
    </w:p>
    <w:p w:rsidR="001B2D52" w:rsidRDefault="001B2D52" w:rsidP="001B2D52">
      <w:pPr>
        <w:pStyle w:val="Source"/>
        <w:spacing w:after="0"/>
      </w:pPr>
      <w:r>
        <w:rPr>
          <w:i/>
        </w:rPr>
        <w:t>Data source</w:t>
      </w:r>
      <w:r w:rsidR="00242F34">
        <w:rPr>
          <w:i/>
        </w:rPr>
        <w:t>s</w:t>
      </w:r>
      <w:r w:rsidRPr="00167F06">
        <w:t xml:space="preserve">: </w:t>
      </w:r>
      <w:r>
        <w:t>ABS (</w:t>
      </w:r>
      <w:r w:rsidR="00DE7165">
        <w:t xml:space="preserve">unpublished Survey of New Capital Expenditure data); </w:t>
      </w:r>
      <w:r>
        <w:t>ABS (</w:t>
      </w:r>
      <w:r>
        <w:rPr>
          <w:i/>
        </w:rPr>
        <w:t>Australian Industry,</w:t>
      </w:r>
      <w:r w:rsidR="00DE7165">
        <w:t xml:space="preserve"> various issues,</w:t>
      </w:r>
      <w:r>
        <w:rPr>
          <w:i/>
        </w:rPr>
        <w:t xml:space="preserve"> </w:t>
      </w:r>
      <w:r>
        <w:t>Cat. no</w:t>
      </w:r>
      <w:r w:rsidR="00402349">
        <w:t>.</w:t>
      </w:r>
      <w:r>
        <w:t xml:space="preserve"> 8155.0)</w:t>
      </w:r>
      <w:r w:rsidR="00DE7165">
        <w:t>;</w:t>
      </w:r>
      <w:r>
        <w:t xml:space="preserve"> ABS (</w:t>
      </w:r>
      <w:r>
        <w:rPr>
          <w:i/>
        </w:rPr>
        <w:t>Australian Manufacturing,</w:t>
      </w:r>
      <w:r w:rsidR="00DE7165">
        <w:rPr>
          <w:i/>
        </w:rPr>
        <w:t xml:space="preserve"> </w:t>
      </w:r>
      <w:r w:rsidR="00DE7165">
        <w:t>various issues,</w:t>
      </w:r>
      <w:r>
        <w:rPr>
          <w:i/>
        </w:rPr>
        <w:t xml:space="preserve"> </w:t>
      </w:r>
      <w:r>
        <w:t>Cat. no. 8221.0)</w:t>
      </w:r>
      <w:r w:rsidR="00DE7165">
        <w:t>;</w:t>
      </w:r>
      <w:r>
        <w:t xml:space="preserve"> ABS (</w:t>
      </w:r>
      <w:r w:rsidR="00EA7276">
        <w:t>unpublished Labour Force Survey data</w:t>
      </w:r>
      <w:r>
        <w:t>).</w:t>
      </w:r>
    </w:p>
    <w:p w:rsidR="00DF7462" w:rsidRDefault="00DF7462">
      <w:pPr>
        <w:pStyle w:val="TableTitle"/>
      </w:pPr>
      <w:r>
        <w:rPr>
          <w:b w:val="0"/>
        </w:rPr>
        <w:lastRenderedPageBreak/>
        <w:t xml:space="preserve">Table </w:t>
      </w:r>
      <w:bookmarkStart w:id="6" w:name="OLE_LINK15"/>
      <w:proofErr w:type="spellStart"/>
      <w:r w:rsidR="00E11F03">
        <w:rPr>
          <w:b w:val="0"/>
        </w:rPr>
        <w:t>F.</w:t>
      </w:r>
      <w:r w:rsidR="00E03438">
        <w:rPr>
          <w:b w:val="0"/>
          <w:noProof/>
        </w:rPr>
        <w:t>1</w:t>
      </w:r>
      <w:bookmarkEnd w:id="6"/>
      <w:proofErr w:type="spellEnd"/>
      <w:r>
        <w:tab/>
      </w:r>
      <w:r w:rsidR="00BA1547">
        <w:t xml:space="preserve">Comparison of </w:t>
      </w:r>
      <w:proofErr w:type="spellStart"/>
      <w:r w:rsidR="00C13B1D">
        <w:t>PCCR</w:t>
      </w:r>
      <w:proofErr w:type="spellEnd"/>
      <w:r w:rsidR="00C13B1D">
        <w:t xml:space="preserve"> </w:t>
      </w:r>
      <w:r w:rsidR="00BA1547">
        <w:t>output measures and prices</w:t>
      </w:r>
    </w:p>
    <w:p w:rsidR="00DF7462" w:rsidRDefault="00BA1547">
      <w:pPr>
        <w:pStyle w:val="Subtitle"/>
      </w:pPr>
      <w:r>
        <w:t>Ave</w:t>
      </w:r>
      <w:r w:rsidR="00877885">
        <w:t>rage annual growth rate (per cent)</w:t>
      </w:r>
    </w:p>
    <w:tbl>
      <w:tblPr>
        <w:tblW w:w="5000" w:type="pct"/>
        <w:tblLayout w:type="fixed"/>
        <w:tblCellMar>
          <w:left w:w="0" w:type="dxa"/>
          <w:right w:w="0" w:type="dxa"/>
        </w:tblCellMar>
        <w:tblLook w:val="0000" w:firstRow="0" w:lastRow="0" w:firstColumn="0" w:lastColumn="0" w:noHBand="0" w:noVBand="0"/>
      </w:tblPr>
      <w:tblGrid>
        <w:gridCol w:w="5123"/>
        <w:gridCol w:w="1222"/>
        <w:gridCol w:w="1222"/>
        <w:gridCol w:w="1222"/>
      </w:tblGrid>
      <w:tr w:rsidR="00DF7462" w:rsidTr="00503BF9">
        <w:tc>
          <w:tcPr>
            <w:tcW w:w="2914" w:type="pct"/>
            <w:tcBorders>
              <w:top w:val="single" w:sz="4" w:space="0" w:color="auto"/>
              <w:bottom w:val="single" w:sz="4" w:space="0" w:color="auto"/>
            </w:tcBorders>
            <w:vAlign w:val="bottom"/>
          </w:tcPr>
          <w:p w:rsidR="00DF7462" w:rsidRPr="00CD7549" w:rsidRDefault="00DF7462" w:rsidP="00503BF9">
            <w:pPr>
              <w:pStyle w:val="TableColumnHeading"/>
              <w:spacing w:before="40" w:after="40"/>
            </w:pPr>
          </w:p>
        </w:tc>
        <w:tc>
          <w:tcPr>
            <w:tcW w:w="695" w:type="pct"/>
            <w:tcBorders>
              <w:top w:val="single" w:sz="4" w:space="0" w:color="auto"/>
              <w:bottom w:val="single" w:sz="4" w:space="0" w:color="auto"/>
            </w:tcBorders>
            <w:vAlign w:val="bottom"/>
          </w:tcPr>
          <w:p w:rsidR="00DF7462" w:rsidRDefault="00D41DC1" w:rsidP="00503BF9">
            <w:pPr>
              <w:pStyle w:val="TableColumnHeading"/>
              <w:spacing w:before="40" w:after="40"/>
            </w:pPr>
            <w:r>
              <w:t>Cycle 3</w:t>
            </w:r>
          </w:p>
        </w:tc>
        <w:tc>
          <w:tcPr>
            <w:tcW w:w="695" w:type="pct"/>
            <w:tcBorders>
              <w:top w:val="single" w:sz="4" w:space="0" w:color="auto"/>
              <w:bottom w:val="single" w:sz="4" w:space="0" w:color="auto"/>
            </w:tcBorders>
            <w:vAlign w:val="bottom"/>
          </w:tcPr>
          <w:p w:rsidR="00DF7462" w:rsidRDefault="00D41DC1" w:rsidP="00503BF9">
            <w:pPr>
              <w:pStyle w:val="TableColumnHeading"/>
              <w:spacing w:before="40" w:after="40"/>
            </w:pPr>
            <w:r>
              <w:t>Cycle 4</w:t>
            </w:r>
          </w:p>
        </w:tc>
        <w:tc>
          <w:tcPr>
            <w:tcW w:w="695" w:type="pct"/>
            <w:tcBorders>
              <w:top w:val="single" w:sz="4" w:space="0" w:color="auto"/>
              <w:bottom w:val="single" w:sz="4" w:space="0" w:color="auto"/>
            </w:tcBorders>
            <w:vAlign w:val="bottom"/>
          </w:tcPr>
          <w:p w:rsidR="00DF7462" w:rsidRDefault="00D41DC1" w:rsidP="00402349">
            <w:pPr>
              <w:pStyle w:val="TableColumnHeading"/>
              <w:spacing w:before="40" w:after="40"/>
              <w:ind w:right="28"/>
            </w:pPr>
            <w:r>
              <w:t>Inc</w:t>
            </w:r>
            <w:r w:rsidR="00503BF9">
              <w:t>omplete</w:t>
            </w:r>
            <w:r>
              <w:t xml:space="preserve"> </w:t>
            </w:r>
            <w:r w:rsidR="00402349">
              <w:t>c</w:t>
            </w:r>
            <w:r>
              <w:t>ycle</w:t>
            </w:r>
          </w:p>
        </w:tc>
      </w:tr>
      <w:tr w:rsidR="00322DDF" w:rsidRPr="00EE3E2A" w:rsidTr="003420E4">
        <w:trPr>
          <w:trHeight w:val="391"/>
        </w:trPr>
        <w:tc>
          <w:tcPr>
            <w:tcW w:w="2914" w:type="pct"/>
            <w:vAlign w:val="bottom"/>
          </w:tcPr>
          <w:p w:rsidR="00322DDF" w:rsidRPr="00EE3E2A" w:rsidRDefault="00322DDF" w:rsidP="003420E4">
            <w:pPr>
              <w:pStyle w:val="TableBodyText"/>
              <w:jc w:val="left"/>
              <w:rPr>
                <w:b/>
                <w:i/>
              </w:rPr>
            </w:pPr>
            <w:r w:rsidRPr="00EE3E2A">
              <w:rPr>
                <w:b/>
              </w:rPr>
              <w:t>Value added</w:t>
            </w:r>
          </w:p>
        </w:tc>
        <w:tc>
          <w:tcPr>
            <w:tcW w:w="695" w:type="pct"/>
            <w:vAlign w:val="bottom"/>
          </w:tcPr>
          <w:p w:rsidR="00322DDF" w:rsidRPr="00EE3E2A" w:rsidRDefault="00322DDF" w:rsidP="003420E4">
            <w:pPr>
              <w:pStyle w:val="TableBodyText"/>
              <w:jc w:val="left"/>
              <w:rPr>
                <w:b/>
                <w:i/>
              </w:rPr>
            </w:pPr>
          </w:p>
        </w:tc>
        <w:tc>
          <w:tcPr>
            <w:tcW w:w="695" w:type="pct"/>
            <w:vAlign w:val="bottom"/>
          </w:tcPr>
          <w:p w:rsidR="00322DDF" w:rsidRPr="00EE3E2A" w:rsidRDefault="00322DDF" w:rsidP="003420E4">
            <w:pPr>
              <w:pStyle w:val="TableBodyText"/>
              <w:jc w:val="left"/>
              <w:rPr>
                <w:b/>
                <w:i/>
              </w:rPr>
            </w:pPr>
          </w:p>
        </w:tc>
        <w:tc>
          <w:tcPr>
            <w:tcW w:w="695" w:type="pct"/>
            <w:vAlign w:val="bottom"/>
          </w:tcPr>
          <w:p w:rsidR="00322DDF" w:rsidRPr="00EE3E2A" w:rsidRDefault="00322DDF" w:rsidP="003420E4">
            <w:pPr>
              <w:pStyle w:val="TableBodyText"/>
              <w:jc w:val="left"/>
              <w:rPr>
                <w:b/>
                <w:i/>
              </w:rPr>
            </w:pPr>
          </w:p>
        </w:tc>
      </w:tr>
      <w:tr w:rsidR="00A16A74" w:rsidRPr="003420E4" w:rsidTr="003420E4">
        <w:tc>
          <w:tcPr>
            <w:tcW w:w="2914" w:type="pct"/>
            <w:shd w:val="clear" w:color="auto" w:fill="D9D9D9" w:themeFill="background1" w:themeFillShade="D9"/>
          </w:tcPr>
          <w:p w:rsidR="00A16A74" w:rsidRPr="003420E4" w:rsidRDefault="00A16A74" w:rsidP="00E1706C">
            <w:pPr>
              <w:pStyle w:val="TableBodyText"/>
              <w:jc w:val="left"/>
              <w:rPr>
                <w:b/>
              </w:rPr>
            </w:pPr>
            <w:r w:rsidRPr="003420E4">
              <w:rPr>
                <w:b/>
              </w:rPr>
              <w:t xml:space="preserve">    </w:t>
            </w:r>
            <w:proofErr w:type="spellStart"/>
            <w:r w:rsidRPr="003420E4">
              <w:rPr>
                <w:b/>
              </w:rPr>
              <w:t>PCCR</w:t>
            </w:r>
            <w:proofErr w:type="spellEnd"/>
            <w:r w:rsidRPr="003420E4">
              <w:rPr>
                <w:b/>
              </w:rPr>
              <w:t xml:space="preserve"> (real)</w:t>
            </w:r>
            <w:r w:rsidR="00E1706C" w:rsidRPr="003420E4">
              <w:rPr>
                <w:rStyle w:val="NoteLabel"/>
              </w:rPr>
              <w:t>a</w:t>
            </w:r>
          </w:p>
        </w:tc>
        <w:tc>
          <w:tcPr>
            <w:tcW w:w="695" w:type="pct"/>
            <w:shd w:val="clear" w:color="auto" w:fill="D9D9D9" w:themeFill="background1" w:themeFillShade="D9"/>
            <w:vAlign w:val="bottom"/>
          </w:tcPr>
          <w:p w:rsidR="00A16A74" w:rsidRPr="003420E4" w:rsidRDefault="00A16A74" w:rsidP="00FF1FA9">
            <w:pPr>
              <w:pStyle w:val="TableBodyText"/>
              <w:rPr>
                <w:b/>
              </w:rPr>
            </w:pPr>
            <w:r w:rsidRPr="003420E4">
              <w:rPr>
                <w:b/>
              </w:rPr>
              <w:t>1.8</w:t>
            </w:r>
          </w:p>
        </w:tc>
        <w:tc>
          <w:tcPr>
            <w:tcW w:w="695" w:type="pct"/>
            <w:shd w:val="clear" w:color="auto" w:fill="D9D9D9" w:themeFill="background1" w:themeFillShade="D9"/>
            <w:vAlign w:val="bottom"/>
          </w:tcPr>
          <w:p w:rsidR="00A16A74" w:rsidRPr="003420E4" w:rsidRDefault="00A16A74" w:rsidP="00FF1FA9">
            <w:pPr>
              <w:pStyle w:val="TableBodyText"/>
              <w:rPr>
                <w:b/>
              </w:rPr>
            </w:pPr>
            <w:r w:rsidRPr="003420E4">
              <w:rPr>
                <w:b/>
              </w:rPr>
              <w:t>-0.6</w:t>
            </w:r>
          </w:p>
        </w:tc>
        <w:tc>
          <w:tcPr>
            <w:tcW w:w="695" w:type="pct"/>
            <w:shd w:val="clear" w:color="auto" w:fill="D9D9D9" w:themeFill="background1" w:themeFillShade="D9"/>
            <w:vAlign w:val="bottom"/>
          </w:tcPr>
          <w:p w:rsidR="00A16A74" w:rsidRPr="003420E4" w:rsidRDefault="00A16A74" w:rsidP="00FF1FA9">
            <w:pPr>
              <w:pStyle w:val="TableBodyText"/>
              <w:rPr>
                <w:b/>
              </w:rPr>
            </w:pPr>
            <w:r w:rsidRPr="003420E4">
              <w:rPr>
                <w:b/>
              </w:rPr>
              <w:t>-2.3</w:t>
            </w:r>
          </w:p>
        </w:tc>
      </w:tr>
      <w:tr w:rsidR="00A16A74" w:rsidTr="00BA1547">
        <w:tc>
          <w:tcPr>
            <w:tcW w:w="2914" w:type="pct"/>
          </w:tcPr>
          <w:p w:rsidR="00A16A74" w:rsidRDefault="00A16A74" w:rsidP="00FF1FA9">
            <w:pPr>
              <w:pStyle w:val="TableBodyText"/>
              <w:spacing w:after="0"/>
              <w:jc w:val="left"/>
            </w:pPr>
          </w:p>
        </w:tc>
        <w:tc>
          <w:tcPr>
            <w:tcW w:w="695" w:type="pct"/>
            <w:vAlign w:val="bottom"/>
          </w:tcPr>
          <w:p w:rsidR="00A16A74" w:rsidRDefault="00A16A74" w:rsidP="00FF1FA9">
            <w:pPr>
              <w:pStyle w:val="TableBodyText"/>
              <w:rPr>
                <w:rFonts w:cs="Arial"/>
                <w:color w:val="000000"/>
              </w:rPr>
            </w:pPr>
          </w:p>
        </w:tc>
        <w:tc>
          <w:tcPr>
            <w:tcW w:w="695" w:type="pct"/>
            <w:vAlign w:val="bottom"/>
          </w:tcPr>
          <w:p w:rsidR="00A16A74" w:rsidRDefault="00A16A74" w:rsidP="00FF1FA9">
            <w:pPr>
              <w:pStyle w:val="TableBodyText"/>
              <w:rPr>
                <w:rFonts w:cs="Arial"/>
                <w:color w:val="000000"/>
              </w:rPr>
            </w:pPr>
          </w:p>
        </w:tc>
        <w:tc>
          <w:tcPr>
            <w:tcW w:w="695" w:type="pct"/>
            <w:vAlign w:val="bottom"/>
          </w:tcPr>
          <w:p w:rsidR="00A16A74" w:rsidRDefault="00A16A74" w:rsidP="00FF1FA9">
            <w:pPr>
              <w:pStyle w:val="TableBodyText"/>
              <w:rPr>
                <w:rFonts w:cs="Arial"/>
                <w:color w:val="000000"/>
              </w:rPr>
            </w:pPr>
          </w:p>
        </w:tc>
      </w:tr>
      <w:tr w:rsidR="00A16A74" w:rsidTr="003420E4">
        <w:tc>
          <w:tcPr>
            <w:tcW w:w="2914" w:type="pct"/>
            <w:shd w:val="clear" w:color="auto" w:fill="D9D9D9" w:themeFill="background1" w:themeFillShade="D9"/>
          </w:tcPr>
          <w:p w:rsidR="00A16A74" w:rsidRDefault="00A16A74" w:rsidP="00FF1FA9">
            <w:pPr>
              <w:pStyle w:val="TableBodyText"/>
              <w:jc w:val="left"/>
            </w:pPr>
            <w:r>
              <w:t xml:space="preserve">    Petroleum and coal product </w:t>
            </w:r>
            <w:proofErr w:type="spellStart"/>
            <w:r>
              <w:t>mfg</w:t>
            </w:r>
            <w:proofErr w:type="spellEnd"/>
            <w:r>
              <w:t xml:space="preserve"> (nominal)</w:t>
            </w:r>
          </w:p>
        </w:tc>
        <w:tc>
          <w:tcPr>
            <w:tcW w:w="695" w:type="pct"/>
            <w:shd w:val="clear" w:color="auto" w:fill="D9D9D9" w:themeFill="background1" w:themeFillShade="D9"/>
            <w:vAlign w:val="bottom"/>
          </w:tcPr>
          <w:p w:rsidR="00A16A74" w:rsidRDefault="00A16A74" w:rsidP="00FF1FA9">
            <w:pPr>
              <w:pStyle w:val="TableBodyText"/>
            </w:pPr>
            <w:r>
              <w:t>0.5</w:t>
            </w:r>
          </w:p>
        </w:tc>
        <w:tc>
          <w:tcPr>
            <w:tcW w:w="695" w:type="pct"/>
            <w:shd w:val="clear" w:color="auto" w:fill="D9D9D9" w:themeFill="background1" w:themeFillShade="D9"/>
            <w:vAlign w:val="bottom"/>
          </w:tcPr>
          <w:p w:rsidR="00A16A74" w:rsidRDefault="00A16A74" w:rsidP="00FF1FA9">
            <w:pPr>
              <w:pStyle w:val="TableBodyText"/>
            </w:pPr>
            <w:r>
              <w:t>32.9</w:t>
            </w:r>
          </w:p>
        </w:tc>
        <w:tc>
          <w:tcPr>
            <w:tcW w:w="695" w:type="pct"/>
            <w:shd w:val="clear" w:color="auto" w:fill="D9D9D9" w:themeFill="background1" w:themeFillShade="D9"/>
            <w:vAlign w:val="bottom"/>
          </w:tcPr>
          <w:p w:rsidR="00A16A74" w:rsidRDefault="00A16A74" w:rsidP="00FF1FA9">
            <w:pPr>
              <w:pStyle w:val="TableBodyText"/>
            </w:pPr>
            <w:r>
              <w:t>-24.9</w:t>
            </w:r>
          </w:p>
        </w:tc>
      </w:tr>
      <w:tr w:rsidR="00A16A74" w:rsidTr="00BA1547">
        <w:tc>
          <w:tcPr>
            <w:tcW w:w="2914" w:type="pct"/>
          </w:tcPr>
          <w:p w:rsidR="00A16A74" w:rsidRDefault="00A16A74" w:rsidP="00FF1FA9">
            <w:pPr>
              <w:pStyle w:val="TableBodyText"/>
              <w:jc w:val="left"/>
            </w:pPr>
            <w:r>
              <w:t xml:space="preserve">    Basic chemical and chemical product </w:t>
            </w:r>
            <w:proofErr w:type="spellStart"/>
            <w:r>
              <w:t>mfg</w:t>
            </w:r>
            <w:proofErr w:type="spellEnd"/>
            <w:r>
              <w:t xml:space="preserve"> (nominal)</w:t>
            </w:r>
          </w:p>
        </w:tc>
        <w:tc>
          <w:tcPr>
            <w:tcW w:w="695" w:type="pct"/>
            <w:vAlign w:val="bottom"/>
          </w:tcPr>
          <w:p w:rsidR="00A16A74" w:rsidRDefault="00A16A74" w:rsidP="00FF1FA9">
            <w:pPr>
              <w:pStyle w:val="TableBodyText"/>
            </w:pPr>
            <w:r>
              <w:t>3.3</w:t>
            </w:r>
          </w:p>
        </w:tc>
        <w:tc>
          <w:tcPr>
            <w:tcW w:w="695" w:type="pct"/>
            <w:vAlign w:val="bottom"/>
          </w:tcPr>
          <w:p w:rsidR="00A16A74" w:rsidRDefault="00A16A74" w:rsidP="00FF1FA9">
            <w:pPr>
              <w:pStyle w:val="TableBodyText"/>
            </w:pPr>
            <w:r>
              <w:t>4.0</w:t>
            </w:r>
          </w:p>
        </w:tc>
        <w:tc>
          <w:tcPr>
            <w:tcW w:w="695" w:type="pct"/>
            <w:vAlign w:val="bottom"/>
          </w:tcPr>
          <w:p w:rsidR="00A16A74" w:rsidRDefault="00A16A74" w:rsidP="00FF1FA9">
            <w:pPr>
              <w:pStyle w:val="TableBodyText"/>
            </w:pPr>
            <w:r>
              <w:t>5.1</w:t>
            </w:r>
          </w:p>
        </w:tc>
      </w:tr>
      <w:tr w:rsidR="00A16A74" w:rsidTr="003420E4">
        <w:tc>
          <w:tcPr>
            <w:tcW w:w="2914" w:type="pct"/>
            <w:shd w:val="clear" w:color="auto" w:fill="D9D9D9" w:themeFill="background1" w:themeFillShade="D9"/>
          </w:tcPr>
          <w:p w:rsidR="00A16A74" w:rsidRDefault="00A16A74" w:rsidP="00FF1FA9">
            <w:pPr>
              <w:pStyle w:val="TableBodyText"/>
              <w:jc w:val="left"/>
            </w:pPr>
            <w:r>
              <w:t xml:space="preserve">    Polymer product and rubber product </w:t>
            </w:r>
            <w:proofErr w:type="spellStart"/>
            <w:r>
              <w:t>mfg</w:t>
            </w:r>
            <w:proofErr w:type="spellEnd"/>
            <w:r w:rsidDel="008F41F0">
              <w:t xml:space="preserve"> </w:t>
            </w:r>
            <w:r>
              <w:t>(nominal)</w:t>
            </w:r>
          </w:p>
        </w:tc>
        <w:tc>
          <w:tcPr>
            <w:tcW w:w="695" w:type="pct"/>
            <w:shd w:val="clear" w:color="auto" w:fill="D9D9D9" w:themeFill="background1" w:themeFillShade="D9"/>
            <w:vAlign w:val="bottom"/>
          </w:tcPr>
          <w:p w:rsidR="00A16A74" w:rsidRDefault="00A16A74" w:rsidP="00FF1FA9">
            <w:pPr>
              <w:pStyle w:val="TableBodyText"/>
            </w:pPr>
            <w:r>
              <w:t>2.8</w:t>
            </w:r>
          </w:p>
        </w:tc>
        <w:tc>
          <w:tcPr>
            <w:tcW w:w="695" w:type="pct"/>
            <w:shd w:val="clear" w:color="auto" w:fill="D9D9D9" w:themeFill="background1" w:themeFillShade="D9"/>
            <w:vAlign w:val="bottom"/>
          </w:tcPr>
          <w:p w:rsidR="00A16A74" w:rsidRDefault="00A16A74" w:rsidP="00FF1FA9">
            <w:pPr>
              <w:pStyle w:val="TableBodyText"/>
            </w:pPr>
            <w:r>
              <w:t>14.3</w:t>
            </w:r>
          </w:p>
        </w:tc>
        <w:tc>
          <w:tcPr>
            <w:tcW w:w="695" w:type="pct"/>
            <w:shd w:val="clear" w:color="auto" w:fill="D9D9D9" w:themeFill="background1" w:themeFillShade="D9"/>
            <w:vAlign w:val="bottom"/>
          </w:tcPr>
          <w:p w:rsidR="00A16A74" w:rsidRDefault="00A16A74" w:rsidP="00FF1FA9">
            <w:pPr>
              <w:pStyle w:val="TableBodyText"/>
            </w:pPr>
            <w:r>
              <w:t>-5.9</w:t>
            </w:r>
          </w:p>
        </w:tc>
      </w:tr>
      <w:tr w:rsidR="00A16A74" w:rsidRPr="00322DDF" w:rsidTr="00BA1547">
        <w:tc>
          <w:tcPr>
            <w:tcW w:w="2914" w:type="pct"/>
          </w:tcPr>
          <w:p w:rsidR="00A16A74" w:rsidRPr="00322DDF" w:rsidRDefault="00A16A74" w:rsidP="00FF1FA9">
            <w:pPr>
              <w:pStyle w:val="TableBodyText"/>
              <w:jc w:val="left"/>
              <w:rPr>
                <w:i/>
              </w:rPr>
            </w:pPr>
            <w:r w:rsidRPr="00322DDF">
              <w:rPr>
                <w:i/>
              </w:rPr>
              <w:t xml:space="preserve">    Sum of subdivisions (nominal)</w:t>
            </w:r>
          </w:p>
        </w:tc>
        <w:tc>
          <w:tcPr>
            <w:tcW w:w="695" w:type="pct"/>
            <w:vAlign w:val="bottom"/>
          </w:tcPr>
          <w:p w:rsidR="00A16A74" w:rsidRPr="00322DDF" w:rsidRDefault="00A16A74" w:rsidP="00FF1FA9">
            <w:pPr>
              <w:pStyle w:val="TableBodyText"/>
              <w:rPr>
                <w:i/>
              </w:rPr>
            </w:pPr>
            <w:r w:rsidRPr="00322DDF">
              <w:rPr>
                <w:i/>
              </w:rPr>
              <w:t>2.8</w:t>
            </w:r>
          </w:p>
        </w:tc>
        <w:tc>
          <w:tcPr>
            <w:tcW w:w="695" w:type="pct"/>
            <w:vAlign w:val="bottom"/>
          </w:tcPr>
          <w:p w:rsidR="00A16A74" w:rsidRPr="00322DDF" w:rsidRDefault="00A16A74" w:rsidP="00FF1FA9">
            <w:pPr>
              <w:pStyle w:val="TableBodyText"/>
              <w:rPr>
                <w:i/>
              </w:rPr>
            </w:pPr>
            <w:r w:rsidRPr="00322DDF">
              <w:rPr>
                <w:i/>
              </w:rPr>
              <w:t>11.9</w:t>
            </w:r>
          </w:p>
        </w:tc>
        <w:tc>
          <w:tcPr>
            <w:tcW w:w="695" w:type="pct"/>
            <w:vAlign w:val="bottom"/>
          </w:tcPr>
          <w:p w:rsidR="00A16A74" w:rsidRPr="00322DDF" w:rsidRDefault="00A16A74" w:rsidP="00FF1FA9">
            <w:pPr>
              <w:pStyle w:val="TableBodyText"/>
              <w:rPr>
                <w:i/>
              </w:rPr>
            </w:pPr>
            <w:r w:rsidRPr="00322DDF">
              <w:rPr>
                <w:i/>
              </w:rPr>
              <w:t>-4.3</w:t>
            </w:r>
          </w:p>
        </w:tc>
      </w:tr>
      <w:tr w:rsidR="00A16A74" w:rsidTr="003420E4">
        <w:tc>
          <w:tcPr>
            <w:tcW w:w="2914" w:type="pct"/>
            <w:shd w:val="clear" w:color="auto" w:fill="D9D9D9" w:themeFill="background1" w:themeFillShade="D9"/>
          </w:tcPr>
          <w:p w:rsidR="00A16A74" w:rsidRPr="00FC0D52" w:rsidRDefault="00A16A74" w:rsidP="00FF1FA9">
            <w:pPr>
              <w:pStyle w:val="TableBodyText"/>
              <w:spacing w:after="0"/>
              <w:jc w:val="left"/>
            </w:pPr>
          </w:p>
        </w:tc>
        <w:tc>
          <w:tcPr>
            <w:tcW w:w="695" w:type="pct"/>
            <w:shd w:val="clear" w:color="auto" w:fill="D9D9D9" w:themeFill="background1" w:themeFillShade="D9"/>
          </w:tcPr>
          <w:p w:rsidR="00A16A74" w:rsidRDefault="00A16A74" w:rsidP="00FF1FA9">
            <w:pPr>
              <w:pStyle w:val="TableBodyText"/>
              <w:spacing w:after="0" w:line="160" w:lineRule="atLeast"/>
            </w:pPr>
          </w:p>
        </w:tc>
        <w:tc>
          <w:tcPr>
            <w:tcW w:w="695" w:type="pct"/>
            <w:shd w:val="clear" w:color="auto" w:fill="D9D9D9" w:themeFill="background1" w:themeFillShade="D9"/>
          </w:tcPr>
          <w:p w:rsidR="00A16A74" w:rsidRDefault="00A16A74" w:rsidP="00FF1FA9">
            <w:pPr>
              <w:pStyle w:val="TableBodyText"/>
              <w:spacing w:after="0" w:line="160" w:lineRule="atLeast"/>
            </w:pPr>
          </w:p>
        </w:tc>
        <w:tc>
          <w:tcPr>
            <w:tcW w:w="695" w:type="pct"/>
            <w:shd w:val="clear" w:color="auto" w:fill="D9D9D9" w:themeFill="background1" w:themeFillShade="D9"/>
          </w:tcPr>
          <w:p w:rsidR="00A16A74" w:rsidRDefault="00A16A74" w:rsidP="00FF1FA9">
            <w:pPr>
              <w:pStyle w:val="TableBodyText"/>
              <w:spacing w:after="0" w:line="160" w:lineRule="atLeast"/>
            </w:pPr>
          </w:p>
        </w:tc>
      </w:tr>
      <w:tr w:rsidR="00A16A74" w:rsidTr="00BA1547">
        <w:tc>
          <w:tcPr>
            <w:tcW w:w="2914" w:type="pct"/>
          </w:tcPr>
          <w:p w:rsidR="00A16A74" w:rsidRDefault="00A16A74" w:rsidP="00E1706C">
            <w:pPr>
              <w:pStyle w:val="TableBodyText"/>
              <w:jc w:val="left"/>
            </w:pPr>
            <w:r>
              <w:t xml:space="preserve">    Petroleum and coal product </w:t>
            </w:r>
            <w:proofErr w:type="spellStart"/>
            <w:r>
              <w:t>mfg</w:t>
            </w:r>
            <w:proofErr w:type="spellEnd"/>
            <w:r>
              <w:t xml:space="preserve"> (real)</w:t>
            </w:r>
            <w:r w:rsidR="00E1706C">
              <w:rPr>
                <w:rStyle w:val="NoteLabel"/>
              </w:rPr>
              <w:t>b</w:t>
            </w:r>
          </w:p>
        </w:tc>
        <w:tc>
          <w:tcPr>
            <w:tcW w:w="695" w:type="pct"/>
            <w:vAlign w:val="bottom"/>
          </w:tcPr>
          <w:p w:rsidR="00A16A74" w:rsidRDefault="00A16A74" w:rsidP="00FF1FA9">
            <w:pPr>
              <w:pStyle w:val="TableBodyText"/>
            </w:pPr>
            <w:r>
              <w:t>-12.5</w:t>
            </w:r>
          </w:p>
        </w:tc>
        <w:tc>
          <w:tcPr>
            <w:tcW w:w="695" w:type="pct"/>
            <w:vAlign w:val="bottom"/>
          </w:tcPr>
          <w:p w:rsidR="00A16A74" w:rsidRDefault="00A16A74" w:rsidP="00FF1FA9">
            <w:pPr>
              <w:pStyle w:val="TableBodyText"/>
            </w:pPr>
            <w:r>
              <w:t>10.0</w:t>
            </w:r>
          </w:p>
        </w:tc>
        <w:tc>
          <w:tcPr>
            <w:tcW w:w="695" w:type="pct"/>
            <w:vAlign w:val="bottom"/>
          </w:tcPr>
          <w:p w:rsidR="00A16A74" w:rsidRDefault="00A16A74" w:rsidP="00FF1FA9">
            <w:pPr>
              <w:pStyle w:val="TableBodyText"/>
            </w:pPr>
            <w:r>
              <w:t>-21.3</w:t>
            </w:r>
          </w:p>
        </w:tc>
      </w:tr>
      <w:tr w:rsidR="00A16A74" w:rsidTr="003420E4">
        <w:tc>
          <w:tcPr>
            <w:tcW w:w="2914" w:type="pct"/>
            <w:shd w:val="clear" w:color="auto" w:fill="D9D9D9" w:themeFill="background1" w:themeFillShade="D9"/>
          </w:tcPr>
          <w:p w:rsidR="00A16A74" w:rsidRDefault="00A16A74" w:rsidP="00FF1FA9">
            <w:pPr>
              <w:pStyle w:val="TableBodyText"/>
              <w:jc w:val="left"/>
            </w:pPr>
            <w:r>
              <w:t xml:space="preserve">    Basic chemical and chemical product </w:t>
            </w:r>
            <w:proofErr w:type="spellStart"/>
            <w:r>
              <w:t>mfg</w:t>
            </w:r>
            <w:proofErr w:type="spellEnd"/>
            <w:r>
              <w:t xml:space="preserve"> (real)</w:t>
            </w:r>
          </w:p>
        </w:tc>
        <w:tc>
          <w:tcPr>
            <w:tcW w:w="695" w:type="pct"/>
            <w:shd w:val="clear" w:color="auto" w:fill="D9D9D9" w:themeFill="background1" w:themeFillShade="D9"/>
            <w:vAlign w:val="bottom"/>
          </w:tcPr>
          <w:p w:rsidR="00A16A74" w:rsidRDefault="00A16A74" w:rsidP="00FF1FA9">
            <w:pPr>
              <w:pStyle w:val="TableBodyText"/>
            </w:pPr>
            <w:r>
              <w:t>2.7</w:t>
            </w:r>
          </w:p>
        </w:tc>
        <w:tc>
          <w:tcPr>
            <w:tcW w:w="695" w:type="pct"/>
            <w:shd w:val="clear" w:color="auto" w:fill="D9D9D9" w:themeFill="background1" w:themeFillShade="D9"/>
            <w:vAlign w:val="bottom"/>
          </w:tcPr>
          <w:p w:rsidR="00A16A74" w:rsidRDefault="00A16A74" w:rsidP="00FF1FA9">
            <w:pPr>
              <w:pStyle w:val="TableBodyText"/>
            </w:pPr>
            <w:r>
              <w:t>0.4</w:t>
            </w:r>
          </w:p>
        </w:tc>
        <w:tc>
          <w:tcPr>
            <w:tcW w:w="695" w:type="pct"/>
            <w:shd w:val="clear" w:color="auto" w:fill="D9D9D9" w:themeFill="background1" w:themeFillShade="D9"/>
            <w:vAlign w:val="bottom"/>
          </w:tcPr>
          <w:p w:rsidR="00A16A74" w:rsidRDefault="00A16A74" w:rsidP="00FF1FA9">
            <w:pPr>
              <w:pStyle w:val="TableBodyText"/>
            </w:pPr>
            <w:r>
              <w:t>3.0</w:t>
            </w:r>
          </w:p>
        </w:tc>
      </w:tr>
      <w:tr w:rsidR="00A16A74" w:rsidTr="00BA1547">
        <w:tc>
          <w:tcPr>
            <w:tcW w:w="2914" w:type="pct"/>
          </w:tcPr>
          <w:p w:rsidR="00A16A74" w:rsidRDefault="00A16A74" w:rsidP="00FF1FA9">
            <w:pPr>
              <w:pStyle w:val="TableBodyText"/>
              <w:jc w:val="left"/>
            </w:pPr>
            <w:r>
              <w:t xml:space="preserve">    Polymer product and rubber product </w:t>
            </w:r>
            <w:proofErr w:type="spellStart"/>
            <w:r>
              <w:t>mfg</w:t>
            </w:r>
            <w:proofErr w:type="spellEnd"/>
            <w:r w:rsidDel="008F41F0">
              <w:t xml:space="preserve"> </w:t>
            </w:r>
            <w:r>
              <w:t>(real)</w:t>
            </w:r>
          </w:p>
        </w:tc>
        <w:tc>
          <w:tcPr>
            <w:tcW w:w="695" w:type="pct"/>
            <w:vAlign w:val="bottom"/>
          </w:tcPr>
          <w:p w:rsidR="00A16A74" w:rsidRDefault="00A16A74" w:rsidP="00FF1FA9">
            <w:pPr>
              <w:pStyle w:val="TableBodyText"/>
            </w:pPr>
            <w:r>
              <w:t>1.0</w:t>
            </w:r>
          </w:p>
        </w:tc>
        <w:tc>
          <w:tcPr>
            <w:tcW w:w="695" w:type="pct"/>
            <w:vAlign w:val="bottom"/>
          </w:tcPr>
          <w:p w:rsidR="00A16A74" w:rsidRDefault="00A16A74" w:rsidP="00FF1FA9">
            <w:pPr>
              <w:pStyle w:val="TableBodyText"/>
            </w:pPr>
            <w:r>
              <w:t>9.8</w:t>
            </w:r>
          </w:p>
        </w:tc>
        <w:tc>
          <w:tcPr>
            <w:tcW w:w="695" w:type="pct"/>
            <w:vAlign w:val="bottom"/>
          </w:tcPr>
          <w:p w:rsidR="00A16A74" w:rsidRDefault="00A16A74" w:rsidP="00FF1FA9">
            <w:pPr>
              <w:pStyle w:val="TableBodyText"/>
            </w:pPr>
            <w:r>
              <w:t>-7.2</w:t>
            </w:r>
          </w:p>
        </w:tc>
      </w:tr>
      <w:tr w:rsidR="00A16A74" w:rsidRPr="00322DDF" w:rsidTr="003420E4">
        <w:tc>
          <w:tcPr>
            <w:tcW w:w="2914" w:type="pct"/>
            <w:shd w:val="clear" w:color="auto" w:fill="D9D9D9" w:themeFill="background1" w:themeFillShade="D9"/>
          </w:tcPr>
          <w:p w:rsidR="00A16A74" w:rsidRPr="00322DDF" w:rsidRDefault="00A16A74" w:rsidP="00FF1FA9">
            <w:pPr>
              <w:pStyle w:val="TableBodyText"/>
              <w:jc w:val="left"/>
              <w:rPr>
                <w:i/>
              </w:rPr>
            </w:pPr>
            <w:r w:rsidRPr="00322DDF">
              <w:rPr>
                <w:i/>
              </w:rPr>
              <w:t xml:space="preserve">    Sum of subdivisions (real)</w:t>
            </w:r>
          </w:p>
        </w:tc>
        <w:tc>
          <w:tcPr>
            <w:tcW w:w="695" w:type="pct"/>
            <w:shd w:val="clear" w:color="auto" w:fill="D9D9D9" w:themeFill="background1" w:themeFillShade="D9"/>
            <w:vAlign w:val="bottom"/>
          </w:tcPr>
          <w:p w:rsidR="00A16A74" w:rsidRPr="00322DDF" w:rsidRDefault="00A16A74" w:rsidP="00FF1FA9">
            <w:pPr>
              <w:pStyle w:val="TableBodyText"/>
              <w:rPr>
                <w:i/>
              </w:rPr>
            </w:pPr>
            <w:r w:rsidRPr="00322DDF">
              <w:rPr>
                <w:i/>
              </w:rPr>
              <w:t>-2.4</w:t>
            </w:r>
          </w:p>
        </w:tc>
        <w:tc>
          <w:tcPr>
            <w:tcW w:w="695" w:type="pct"/>
            <w:shd w:val="clear" w:color="auto" w:fill="D9D9D9" w:themeFill="background1" w:themeFillShade="D9"/>
            <w:vAlign w:val="bottom"/>
          </w:tcPr>
          <w:p w:rsidR="00A16A74" w:rsidRPr="00322DDF" w:rsidRDefault="00A16A74" w:rsidP="00FF1FA9">
            <w:pPr>
              <w:pStyle w:val="TableBodyText"/>
              <w:rPr>
                <w:i/>
              </w:rPr>
            </w:pPr>
            <w:r w:rsidRPr="00322DDF">
              <w:rPr>
                <w:i/>
              </w:rPr>
              <w:t>0.9</w:t>
            </w:r>
          </w:p>
        </w:tc>
        <w:tc>
          <w:tcPr>
            <w:tcW w:w="695" w:type="pct"/>
            <w:shd w:val="clear" w:color="auto" w:fill="D9D9D9" w:themeFill="background1" w:themeFillShade="D9"/>
            <w:vAlign w:val="bottom"/>
          </w:tcPr>
          <w:p w:rsidR="00A16A74" w:rsidRPr="00322DDF" w:rsidRDefault="00A16A74" w:rsidP="00FF1FA9">
            <w:pPr>
              <w:pStyle w:val="TableBodyText"/>
              <w:rPr>
                <w:i/>
              </w:rPr>
            </w:pPr>
            <w:r w:rsidRPr="00322DDF">
              <w:rPr>
                <w:i/>
              </w:rPr>
              <w:t>-3.6</w:t>
            </w:r>
          </w:p>
        </w:tc>
      </w:tr>
      <w:tr w:rsidR="00A16A74" w:rsidRPr="00EE3E2A" w:rsidTr="003420E4">
        <w:trPr>
          <w:trHeight w:val="391"/>
        </w:trPr>
        <w:tc>
          <w:tcPr>
            <w:tcW w:w="2914" w:type="pct"/>
            <w:vAlign w:val="bottom"/>
          </w:tcPr>
          <w:p w:rsidR="00A16A74" w:rsidRPr="00EE3E2A" w:rsidRDefault="00A16A74" w:rsidP="003420E4">
            <w:pPr>
              <w:pStyle w:val="TableBodyText"/>
              <w:jc w:val="left"/>
              <w:rPr>
                <w:b/>
              </w:rPr>
            </w:pPr>
            <w:r w:rsidRPr="00EE3E2A">
              <w:rPr>
                <w:b/>
              </w:rPr>
              <w:t>Sales and service income</w:t>
            </w:r>
            <w:r w:rsidR="00E1706C" w:rsidRPr="00EE3E2A">
              <w:rPr>
                <w:rStyle w:val="NoteLabel"/>
              </w:rPr>
              <w:t>c</w:t>
            </w:r>
          </w:p>
        </w:tc>
        <w:tc>
          <w:tcPr>
            <w:tcW w:w="695" w:type="pct"/>
            <w:vAlign w:val="bottom"/>
          </w:tcPr>
          <w:p w:rsidR="00A16A74" w:rsidRPr="00EE3E2A" w:rsidRDefault="00A16A74" w:rsidP="003420E4">
            <w:pPr>
              <w:pStyle w:val="TableBodyText"/>
              <w:jc w:val="left"/>
              <w:rPr>
                <w:b/>
              </w:rPr>
            </w:pPr>
          </w:p>
        </w:tc>
        <w:tc>
          <w:tcPr>
            <w:tcW w:w="695" w:type="pct"/>
            <w:vAlign w:val="bottom"/>
          </w:tcPr>
          <w:p w:rsidR="00A16A74" w:rsidRPr="00EE3E2A" w:rsidRDefault="00A16A74" w:rsidP="003420E4">
            <w:pPr>
              <w:pStyle w:val="TableBodyText"/>
              <w:jc w:val="left"/>
              <w:rPr>
                <w:b/>
              </w:rPr>
            </w:pPr>
          </w:p>
        </w:tc>
        <w:tc>
          <w:tcPr>
            <w:tcW w:w="695" w:type="pct"/>
            <w:vAlign w:val="bottom"/>
          </w:tcPr>
          <w:p w:rsidR="00A16A74" w:rsidRPr="00EE3E2A" w:rsidRDefault="00A16A74" w:rsidP="003420E4">
            <w:pPr>
              <w:pStyle w:val="TableBodyText"/>
              <w:jc w:val="left"/>
              <w:rPr>
                <w:b/>
              </w:rPr>
            </w:pPr>
          </w:p>
        </w:tc>
      </w:tr>
      <w:tr w:rsidR="00A16A74" w:rsidRPr="00147004" w:rsidTr="003420E4">
        <w:tc>
          <w:tcPr>
            <w:tcW w:w="2914" w:type="pct"/>
            <w:shd w:val="clear" w:color="auto" w:fill="D9D9D9" w:themeFill="background1" w:themeFillShade="D9"/>
          </w:tcPr>
          <w:p w:rsidR="00A16A74" w:rsidRPr="00147004" w:rsidRDefault="00A16A74" w:rsidP="00FF1FA9">
            <w:pPr>
              <w:pStyle w:val="TableBodyText"/>
              <w:jc w:val="left"/>
            </w:pPr>
            <w:r w:rsidRPr="00147004">
              <w:t xml:space="preserve">    Petroleum and coal product </w:t>
            </w:r>
            <w:proofErr w:type="spellStart"/>
            <w:r w:rsidRPr="00147004">
              <w:t>mfg</w:t>
            </w:r>
            <w:proofErr w:type="spellEnd"/>
            <w:r w:rsidRPr="00147004">
              <w:t xml:space="preserve"> (nominal)</w:t>
            </w:r>
          </w:p>
        </w:tc>
        <w:tc>
          <w:tcPr>
            <w:tcW w:w="695" w:type="pct"/>
            <w:shd w:val="clear" w:color="auto" w:fill="D9D9D9" w:themeFill="background1" w:themeFillShade="D9"/>
            <w:vAlign w:val="bottom"/>
          </w:tcPr>
          <w:p w:rsidR="00A16A74" w:rsidRPr="00147004" w:rsidRDefault="00A16A74" w:rsidP="00FF1FA9">
            <w:pPr>
              <w:pStyle w:val="TableBodyText"/>
            </w:pPr>
            <w:r w:rsidRPr="00147004">
              <w:t>9.1</w:t>
            </w:r>
          </w:p>
        </w:tc>
        <w:tc>
          <w:tcPr>
            <w:tcW w:w="695" w:type="pct"/>
            <w:shd w:val="clear" w:color="auto" w:fill="D9D9D9" w:themeFill="background1" w:themeFillShade="D9"/>
            <w:vAlign w:val="bottom"/>
          </w:tcPr>
          <w:p w:rsidR="00A16A74" w:rsidRPr="00147004" w:rsidRDefault="00A16A74" w:rsidP="00FF1FA9">
            <w:pPr>
              <w:pStyle w:val="TableBodyText"/>
            </w:pPr>
            <w:r w:rsidRPr="00147004">
              <w:t>7.9</w:t>
            </w:r>
          </w:p>
        </w:tc>
        <w:tc>
          <w:tcPr>
            <w:tcW w:w="695" w:type="pct"/>
            <w:shd w:val="clear" w:color="auto" w:fill="D9D9D9" w:themeFill="background1" w:themeFillShade="D9"/>
            <w:vAlign w:val="bottom"/>
          </w:tcPr>
          <w:p w:rsidR="00A16A74" w:rsidRPr="00147004" w:rsidRDefault="00A16A74" w:rsidP="00FF1FA9">
            <w:pPr>
              <w:pStyle w:val="TableBodyText"/>
            </w:pPr>
            <w:r w:rsidRPr="00147004">
              <w:t>-5.9</w:t>
            </w:r>
          </w:p>
        </w:tc>
      </w:tr>
      <w:tr w:rsidR="00A16A74" w:rsidRPr="00147004" w:rsidTr="00BA1547">
        <w:tc>
          <w:tcPr>
            <w:tcW w:w="2914" w:type="pct"/>
          </w:tcPr>
          <w:p w:rsidR="00A16A74" w:rsidRPr="00147004" w:rsidRDefault="00A16A74" w:rsidP="00FF1FA9">
            <w:pPr>
              <w:pStyle w:val="TableBodyText"/>
              <w:jc w:val="left"/>
            </w:pPr>
            <w:r w:rsidRPr="00147004">
              <w:t xml:space="preserve">    Basic chemical and chemical product </w:t>
            </w:r>
            <w:proofErr w:type="spellStart"/>
            <w:r w:rsidRPr="00147004">
              <w:t>mfg</w:t>
            </w:r>
            <w:proofErr w:type="spellEnd"/>
            <w:r w:rsidRPr="00147004">
              <w:t xml:space="preserve"> (nominal)</w:t>
            </w:r>
          </w:p>
        </w:tc>
        <w:tc>
          <w:tcPr>
            <w:tcW w:w="695" w:type="pct"/>
            <w:vAlign w:val="bottom"/>
          </w:tcPr>
          <w:p w:rsidR="00A16A74" w:rsidRPr="00147004" w:rsidRDefault="00A16A74" w:rsidP="00FF1FA9">
            <w:pPr>
              <w:pStyle w:val="TableBodyText"/>
            </w:pPr>
            <w:r w:rsidRPr="00147004">
              <w:t>9.8</w:t>
            </w:r>
          </w:p>
        </w:tc>
        <w:tc>
          <w:tcPr>
            <w:tcW w:w="695" w:type="pct"/>
            <w:vAlign w:val="bottom"/>
          </w:tcPr>
          <w:p w:rsidR="00A16A74" w:rsidRPr="00147004" w:rsidRDefault="00A16A74" w:rsidP="00FF1FA9">
            <w:pPr>
              <w:pStyle w:val="TableBodyText"/>
            </w:pPr>
            <w:r w:rsidRPr="00147004">
              <w:t>11.7</w:t>
            </w:r>
          </w:p>
        </w:tc>
        <w:tc>
          <w:tcPr>
            <w:tcW w:w="695" w:type="pct"/>
            <w:vAlign w:val="bottom"/>
          </w:tcPr>
          <w:p w:rsidR="00A16A74" w:rsidRPr="00147004" w:rsidRDefault="00A16A74" w:rsidP="00FF1FA9">
            <w:pPr>
              <w:pStyle w:val="TableBodyText"/>
            </w:pPr>
            <w:r w:rsidRPr="00147004">
              <w:t>3.8</w:t>
            </w:r>
          </w:p>
        </w:tc>
      </w:tr>
      <w:tr w:rsidR="00A16A74" w:rsidRPr="00147004" w:rsidTr="003420E4">
        <w:tc>
          <w:tcPr>
            <w:tcW w:w="2914" w:type="pct"/>
            <w:shd w:val="clear" w:color="auto" w:fill="D9D9D9" w:themeFill="background1" w:themeFillShade="D9"/>
          </w:tcPr>
          <w:p w:rsidR="00A16A74" w:rsidRPr="00147004" w:rsidRDefault="00A16A74" w:rsidP="00FF1FA9">
            <w:pPr>
              <w:pStyle w:val="TableBodyText"/>
              <w:jc w:val="left"/>
            </w:pPr>
            <w:r w:rsidRPr="00147004">
              <w:t xml:space="preserve">    Polymer product and rubber product </w:t>
            </w:r>
            <w:proofErr w:type="spellStart"/>
            <w:r w:rsidRPr="00147004">
              <w:t>mfg</w:t>
            </w:r>
            <w:proofErr w:type="spellEnd"/>
            <w:r w:rsidRPr="00147004" w:rsidDel="008F41F0">
              <w:t xml:space="preserve"> </w:t>
            </w:r>
            <w:r w:rsidRPr="00147004">
              <w:t>(nominal)</w:t>
            </w:r>
          </w:p>
        </w:tc>
        <w:tc>
          <w:tcPr>
            <w:tcW w:w="695" w:type="pct"/>
            <w:shd w:val="clear" w:color="auto" w:fill="D9D9D9" w:themeFill="background1" w:themeFillShade="D9"/>
            <w:vAlign w:val="bottom"/>
          </w:tcPr>
          <w:p w:rsidR="00A16A74" w:rsidRPr="00147004" w:rsidRDefault="00A16A74" w:rsidP="00FF1FA9">
            <w:pPr>
              <w:pStyle w:val="TableBodyText"/>
            </w:pPr>
            <w:r w:rsidRPr="00147004">
              <w:t>8.8</w:t>
            </w:r>
          </w:p>
        </w:tc>
        <w:tc>
          <w:tcPr>
            <w:tcW w:w="695" w:type="pct"/>
            <w:shd w:val="clear" w:color="auto" w:fill="D9D9D9" w:themeFill="background1" w:themeFillShade="D9"/>
            <w:vAlign w:val="bottom"/>
          </w:tcPr>
          <w:p w:rsidR="00A16A74" w:rsidRPr="00147004" w:rsidRDefault="00A16A74" w:rsidP="00FF1FA9">
            <w:pPr>
              <w:pStyle w:val="TableBodyText"/>
            </w:pPr>
            <w:r w:rsidRPr="00147004">
              <w:t>6.3</w:t>
            </w:r>
          </w:p>
        </w:tc>
        <w:tc>
          <w:tcPr>
            <w:tcW w:w="695" w:type="pct"/>
            <w:shd w:val="clear" w:color="auto" w:fill="D9D9D9" w:themeFill="background1" w:themeFillShade="D9"/>
            <w:vAlign w:val="bottom"/>
          </w:tcPr>
          <w:p w:rsidR="00A16A74" w:rsidRPr="00147004" w:rsidRDefault="00A16A74" w:rsidP="00FF1FA9">
            <w:pPr>
              <w:pStyle w:val="TableBodyText"/>
            </w:pPr>
            <w:r w:rsidRPr="00147004">
              <w:t>-9.0</w:t>
            </w:r>
          </w:p>
        </w:tc>
      </w:tr>
      <w:tr w:rsidR="00A16A74" w:rsidRPr="003420E4" w:rsidTr="00BA1547">
        <w:tc>
          <w:tcPr>
            <w:tcW w:w="2914" w:type="pct"/>
          </w:tcPr>
          <w:p w:rsidR="00A16A74" w:rsidRPr="003420E4" w:rsidRDefault="00A16A74" w:rsidP="00FF1FA9">
            <w:pPr>
              <w:pStyle w:val="TableBodyText"/>
              <w:jc w:val="left"/>
              <w:rPr>
                <w:i/>
              </w:rPr>
            </w:pPr>
            <w:r w:rsidRPr="003420E4">
              <w:rPr>
                <w:i/>
              </w:rPr>
              <w:t xml:space="preserve">    Sum of subdivisions (nominal)</w:t>
            </w:r>
          </w:p>
        </w:tc>
        <w:tc>
          <w:tcPr>
            <w:tcW w:w="695" w:type="pct"/>
            <w:vAlign w:val="bottom"/>
          </w:tcPr>
          <w:p w:rsidR="00A16A74" w:rsidRPr="003420E4" w:rsidRDefault="00A16A74" w:rsidP="00A16A74">
            <w:pPr>
              <w:pStyle w:val="TableBodyText"/>
              <w:rPr>
                <w:i/>
              </w:rPr>
            </w:pPr>
            <w:r w:rsidRPr="003420E4">
              <w:rPr>
                <w:i/>
              </w:rPr>
              <w:t>9.2</w:t>
            </w:r>
          </w:p>
        </w:tc>
        <w:tc>
          <w:tcPr>
            <w:tcW w:w="695" w:type="pct"/>
            <w:vAlign w:val="bottom"/>
          </w:tcPr>
          <w:p w:rsidR="00A16A74" w:rsidRPr="003420E4" w:rsidRDefault="00A16A74" w:rsidP="00A16A74">
            <w:pPr>
              <w:pStyle w:val="TableBodyText"/>
              <w:rPr>
                <w:i/>
              </w:rPr>
            </w:pPr>
            <w:r w:rsidRPr="003420E4">
              <w:rPr>
                <w:i/>
              </w:rPr>
              <w:t>8.7</w:t>
            </w:r>
          </w:p>
        </w:tc>
        <w:tc>
          <w:tcPr>
            <w:tcW w:w="695" w:type="pct"/>
            <w:vAlign w:val="bottom"/>
          </w:tcPr>
          <w:p w:rsidR="00A16A74" w:rsidRPr="003420E4" w:rsidRDefault="00A16A74" w:rsidP="00A16A74">
            <w:pPr>
              <w:pStyle w:val="TableBodyText"/>
              <w:rPr>
                <w:i/>
              </w:rPr>
            </w:pPr>
            <w:r w:rsidRPr="003420E4">
              <w:rPr>
                <w:i/>
              </w:rPr>
              <w:t>-3.0</w:t>
            </w:r>
          </w:p>
        </w:tc>
      </w:tr>
      <w:tr w:rsidR="00A16A74" w:rsidTr="003420E4">
        <w:tc>
          <w:tcPr>
            <w:tcW w:w="2914" w:type="pct"/>
            <w:shd w:val="clear" w:color="auto" w:fill="D9D9D9" w:themeFill="background1" w:themeFillShade="D9"/>
          </w:tcPr>
          <w:p w:rsidR="00A16A74" w:rsidRPr="00A16A74" w:rsidRDefault="00A16A74" w:rsidP="00FF1FA9">
            <w:pPr>
              <w:pStyle w:val="TableBodyText"/>
              <w:jc w:val="left"/>
              <w:rPr>
                <w:i/>
              </w:rPr>
            </w:pPr>
          </w:p>
        </w:tc>
        <w:tc>
          <w:tcPr>
            <w:tcW w:w="695" w:type="pct"/>
            <w:shd w:val="clear" w:color="auto" w:fill="D9D9D9" w:themeFill="background1" w:themeFillShade="D9"/>
            <w:vAlign w:val="bottom"/>
          </w:tcPr>
          <w:p w:rsidR="00A16A74" w:rsidRDefault="00A16A74" w:rsidP="00FF1FA9">
            <w:pPr>
              <w:pStyle w:val="TableBodyText"/>
            </w:pPr>
          </w:p>
        </w:tc>
        <w:tc>
          <w:tcPr>
            <w:tcW w:w="695" w:type="pct"/>
            <w:shd w:val="clear" w:color="auto" w:fill="D9D9D9" w:themeFill="background1" w:themeFillShade="D9"/>
            <w:vAlign w:val="bottom"/>
          </w:tcPr>
          <w:p w:rsidR="00A16A74" w:rsidRDefault="00A16A74" w:rsidP="00FF1FA9">
            <w:pPr>
              <w:pStyle w:val="TableBodyText"/>
            </w:pPr>
          </w:p>
        </w:tc>
        <w:tc>
          <w:tcPr>
            <w:tcW w:w="695" w:type="pct"/>
            <w:shd w:val="clear" w:color="auto" w:fill="D9D9D9" w:themeFill="background1" w:themeFillShade="D9"/>
            <w:vAlign w:val="bottom"/>
          </w:tcPr>
          <w:p w:rsidR="00A16A74" w:rsidRDefault="00A16A74" w:rsidP="00FF1FA9">
            <w:pPr>
              <w:pStyle w:val="TableBodyText"/>
            </w:pPr>
          </w:p>
        </w:tc>
      </w:tr>
      <w:tr w:rsidR="00A16A74" w:rsidRPr="00147004" w:rsidTr="00BA1547">
        <w:tc>
          <w:tcPr>
            <w:tcW w:w="2914" w:type="pct"/>
          </w:tcPr>
          <w:p w:rsidR="00A16A74" w:rsidRPr="00147004" w:rsidRDefault="00A16A74" w:rsidP="00FF1FA9">
            <w:pPr>
              <w:pStyle w:val="TableBodyText"/>
              <w:jc w:val="left"/>
            </w:pPr>
            <w:r w:rsidRPr="00147004">
              <w:t xml:space="preserve">    Petroleum and coal product </w:t>
            </w:r>
            <w:proofErr w:type="spellStart"/>
            <w:r w:rsidRPr="00147004">
              <w:t>mfg</w:t>
            </w:r>
            <w:proofErr w:type="spellEnd"/>
            <w:r w:rsidRPr="00147004">
              <w:t xml:space="preserve"> (real)</w:t>
            </w:r>
          </w:p>
        </w:tc>
        <w:tc>
          <w:tcPr>
            <w:tcW w:w="695" w:type="pct"/>
            <w:vAlign w:val="bottom"/>
          </w:tcPr>
          <w:p w:rsidR="00A16A74" w:rsidRPr="00147004" w:rsidRDefault="00A16A74" w:rsidP="00FF1FA9">
            <w:pPr>
              <w:pStyle w:val="TableBodyText"/>
            </w:pPr>
            <w:r w:rsidRPr="00147004">
              <w:t>-4.9</w:t>
            </w:r>
          </w:p>
        </w:tc>
        <w:tc>
          <w:tcPr>
            <w:tcW w:w="695" w:type="pct"/>
            <w:vAlign w:val="bottom"/>
          </w:tcPr>
          <w:p w:rsidR="00A16A74" w:rsidRPr="00147004" w:rsidRDefault="00A16A74" w:rsidP="00FF1FA9">
            <w:pPr>
              <w:pStyle w:val="TableBodyText"/>
            </w:pPr>
            <w:r w:rsidRPr="00147004">
              <w:t>-9.8</w:t>
            </w:r>
          </w:p>
        </w:tc>
        <w:tc>
          <w:tcPr>
            <w:tcW w:w="695" w:type="pct"/>
            <w:vAlign w:val="bottom"/>
          </w:tcPr>
          <w:p w:rsidR="00A16A74" w:rsidRPr="00147004" w:rsidRDefault="00A16A74" w:rsidP="00FF1FA9">
            <w:pPr>
              <w:pStyle w:val="TableBodyText"/>
            </w:pPr>
            <w:r w:rsidRPr="00147004">
              <w:t>-2.0</w:t>
            </w:r>
          </w:p>
        </w:tc>
      </w:tr>
      <w:tr w:rsidR="00A16A74" w:rsidRPr="00147004" w:rsidTr="003420E4">
        <w:tc>
          <w:tcPr>
            <w:tcW w:w="2914" w:type="pct"/>
            <w:shd w:val="clear" w:color="auto" w:fill="D9D9D9" w:themeFill="background1" w:themeFillShade="D9"/>
          </w:tcPr>
          <w:p w:rsidR="00A16A74" w:rsidRPr="00147004" w:rsidRDefault="00A16A74" w:rsidP="00FF1FA9">
            <w:pPr>
              <w:pStyle w:val="TableBodyText"/>
              <w:jc w:val="left"/>
            </w:pPr>
            <w:r w:rsidRPr="00147004">
              <w:t xml:space="preserve">    Basic chemical and chemical product </w:t>
            </w:r>
            <w:proofErr w:type="spellStart"/>
            <w:r w:rsidRPr="00147004">
              <w:t>mfg</w:t>
            </w:r>
            <w:proofErr w:type="spellEnd"/>
            <w:r w:rsidRPr="00147004">
              <w:t xml:space="preserve"> (real)</w:t>
            </w:r>
          </w:p>
        </w:tc>
        <w:tc>
          <w:tcPr>
            <w:tcW w:w="695" w:type="pct"/>
            <w:shd w:val="clear" w:color="auto" w:fill="D9D9D9" w:themeFill="background1" w:themeFillShade="D9"/>
            <w:vAlign w:val="bottom"/>
          </w:tcPr>
          <w:p w:rsidR="00A16A74" w:rsidRPr="00147004" w:rsidRDefault="00A16A74" w:rsidP="00FF1FA9">
            <w:pPr>
              <w:pStyle w:val="TableBodyText"/>
            </w:pPr>
            <w:r w:rsidRPr="00147004">
              <w:t>9.0</w:t>
            </w:r>
          </w:p>
        </w:tc>
        <w:tc>
          <w:tcPr>
            <w:tcW w:w="695" w:type="pct"/>
            <w:shd w:val="clear" w:color="auto" w:fill="D9D9D9" w:themeFill="background1" w:themeFillShade="D9"/>
            <w:vAlign w:val="bottom"/>
          </w:tcPr>
          <w:p w:rsidR="00A16A74" w:rsidRPr="00147004" w:rsidRDefault="00A16A74" w:rsidP="00FF1FA9">
            <w:pPr>
              <w:pStyle w:val="TableBodyText"/>
            </w:pPr>
            <w:r w:rsidRPr="00147004">
              <w:t>7.0</w:t>
            </w:r>
          </w:p>
        </w:tc>
        <w:tc>
          <w:tcPr>
            <w:tcW w:w="695" w:type="pct"/>
            <w:shd w:val="clear" w:color="auto" w:fill="D9D9D9" w:themeFill="background1" w:themeFillShade="D9"/>
            <w:vAlign w:val="bottom"/>
          </w:tcPr>
          <w:p w:rsidR="00A16A74" w:rsidRPr="00147004" w:rsidRDefault="00A16A74" w:rsidP="00FF1FA9">
            <w:pPr>
              <w:pStyle w:val="TableBodyText"/>
            </w:pPr>
            <w:r w:rsidRPr="00147004">
              <w:t>0.6</w:t>
            </w:r>
          </w:p>
        </w:tc>
      </w:tr>
      <w:tr w:rsidR="00A16A74" w:rsidRPr="00147004" w:rsidTr="00BA1547">
        <w:tc>
          <w:tcPr>
            <w:tcW w:w="2914" w:type="pct"/>
          </w:tcPr>
          <w:p w:rsidR="00A16A74" w:rsidRPr="00147004" w:rsidRDefault="00A16A74" w:rsidP="00FF1FA9">
            <w:pPr>
              <w:pStyle w:val="TableBodyText"/>
              <w:jc w:val="left"/>
            </w:pPr>
            <w:r w:rsidRPr="00147004">
              <w:t xml:space="preserve">    Polymer product and rubber product </w:t>
            </w:r>
            <w:proofErr w:type="spellStart"/>
            <w:r w:rsidRPr="00147004">
              <w:t>mfg</w:t>
            </w:r>
            <w:proofErr w:type="spellEnd"/>
            <w:r w:rsidRPr="00147004" w:rsidDel="008F41F0">
              <w:t xml:space="preserve"> </w:t>
            </w:r>
            <w:r w:rsidRPr="00147004">
              <w:t>(real)</w:t>
            </w:r>
          </w:p>
        </w:tc>
        <w:tc>
          <w:tcPr>
            <w:tcW w:w="695" w:type="pct"/>
            <w:vAlign w:val="bottom"/>
          </w:tcPr>
          <w:p w:rsidR="00A16A74" w:rsidRPr="00147004" w:rsidRDefault="00A16A74" w:rsidP="00FF1FA9">
            <w:pPr>
              <w:pStyle w:val="TableBodyText"/>
            </w:pPr>
            <w:r w:rsidRPr="00147004">
              <w:t>7.0</w:t>
            </w:r>
          </w:p>
        </w:tc>
        <w:tc>
          <w:tcPr>
            <w:tcW w:w="695" w:type="pct"/>
            <w:vAlign w:val="bottom"/>
          </w:tcPr>
          <w:p w:rsidR="00A16A74" w:rsidRPr="00147004" w:rsidRDefault="00A16A74" w:rsidP="00FF1FA9">
            <w:pPr>
              <w:pStyle w:val="TableBodyText"/>
            </w:pPr>
            <w:r w:rsidRPr="00147004">
              <w:t>2.6</w:t>
            </w:r>
          </w:p>
        </w:tc>
        <w:tc>
          <w:tcPr>
            <w:tcW w:w="695" w:type="pct"/>
            <w:vAlign w:val="bottom"/>
          </w:tcPr>
          <w:p w:rsidR="00A16A74" w:rsidRPr="00147004" w:rsidRDefault="00A16A74" w:rsidP="00FF1FA9">
            <w:pPr>
              <w:pStyle w:val="TableBodyText"/>
            </w:pPr>
            <w:r w:rsidRPr="00147004">
              <w:t>-10.3</w:t>
            </w:r>
          </w:p>
        </w:tc>
      </w:tr>
      <w:tr w:rsidR="00A16A74" w:rsidRPr="003420E4" w:rsidTr="003420E4">
        <w:tc>
          <w:tcPr>
            <w:tcW w:w="2914" w:type="pct"/>
            <w:shd w:val="clear" w:color="auto" w:fill="D9D9D9" w:themeFill="background1" w:themeFillShade="D9"/>
          </w:tcPr>
          <w:p w:rsidR="00A16A74" w:rsidRPr="003420E4" w:rsidRDefault="00A16A74" w:rsidP="00FF1FA9">
            <w:pPr>
              <w:pStyle w:val="TableBodyText"/>
              <w:jc w:val="left"/>
              <w:rPr>
                <w:i/>
              </w:rPr>
            </w:pPr>
            <w:r w:rsidRPr="003420E4">
              <w:rPr>
                <w:i/>
              </w:rPr>
              <w:t xml:space="preserve">    Sum of subdivisions (real)</w:t>
            </w:r>
          </w:p>
        </w:tc>
        <w:tc>
          <w:tcPr>
            <w:tcW w:w="695" w:type="pct"/>
            <w:shd w:val="clear" w:color="auto" w:fill="D9D9D9" w:themeFill="background1" w:themeFillShade="D9"/>
            <w:vAlign w:val="bottom"/>
          </w:tcPr>
          <w:p w:rsidR="00A16A74" w:rsidRPr="003420E4" w:rsidRDefault="00A16A74" w:rsidP="00A16A74">
            <w:pPr>
              <w:pStyle w:val="TableBodyText"/>
              <w:rPr>
                <w:i/>
              </w:rPr>
            </w:pPr>
            <w:r w:rsidRPr="003420E4">
              <w:rPr>
                <w:i/>
              </w:rPr>
              <w:t>1.9</w:t>
            </w:r>
          </w:p>
        </w:tc>
        <w:tc>
          <w:tcPr>
            <w:tcW w:w="695" w:type="pct"/>
            <w:shd w:val="clear" w:color="auto" w:fill="D9D9D9" w:themeFill="background1" w:themeFillShade="D9"/>
            <w:vAlign w:val="bottom"/>
          </w:tcPr>
          <w:p w:rsidR="00A16A74" w:rsidRPr="003420E4" w:rsidRDefault="00A16A74" w:rsidP="00A16A74">
            <w:pPr>
              <w:pStyle w:val="TableBodyText"/>
              <w:rPr>
                <w:i/>
              </w:rPr>
            </w:pPr>
            <w:r w:rsidRPr="003420E4">
              <w:rPr>
                <w:i/>
              </w:rPr>
              <w:t>-1.7</w:t>
            </w:r>
          </w:p>
        </w:tc>
        <w:tc>
          <w:tcPr>
            <w:tcW w:w="695" w:type="pct"/>
            <w:shd w:val="clear" w:color="auto" w:fill="D9D9D9" w:themeFill="background1" w:themeFillShade="D9"/>
            <w:vAlign w:val="bottom"/>
          </w:tcPr>
          <w:p w:rsidR="00A16A74" w:rsidRPr="003420E4" w:rsidRDefault="00A16A74" w:rsidP="00A16A74">
            <w:pPr>
              <w:pStyle w:val="TableBodyText"/>
              <w:rPr>
                <w:i/>
              </w:rPr>
            </w:pPr>
            <w:r w:rsidRPr="003420E4">
              <w:rPr>
                <w:i/>
              </w:rPr>
              <w:t>-2.5</w:t>
            </w:r>
          </w:p>
        </w:tc>
      </w:tr>
      <w:tr w:rsidR="00A16A74" w:rsidRPr="00EE3E2A" w:rsidTr="003420E4">
        <w:trPr>
          <w:trHeight w:val="391"/>
        </w:trPr>
        <w:tc>
          <w:tcPr>
            <w:tcW w:w="2914" w:type="pct"/>
            <w:shd w:val="clear" w:color="auto" w:fill="auto"/>
            <w:vAlign w:val="bottom"/>
          </w:tcPr>
          <w:p w:rsidR="00A16A74" w:rsidRPr="00EE3E2A" w:rsidRDefault="00A16A74" w:rsidP="003420E4">
            <w:pPr>
              <w:pStyle w:val="TableBodyText"/>
              <w:jc w:val="left"/>
              <w:rPr>
                <w:b/>
              </w:rPr>
            </w:pPr>
            <w:r w:rsidRPr="00EE3E2A">
              <w:rPr>
                <w:b/>
              </w:rPr>
              <w:t xml:space="preserve">Price deflators </w:t>
            </w:r>
          </w:p>
        </w:tc>
        <w:tc>
          <w:tcPr>
            <w:tcW w:w="695" w:type="pct"/>
            <w:shd w:val="clear" w:color="auto" w:fill="auto"/>
            <w:vAlign w:val="bottom"/>
          </w:tcPr>
          <w:p w:rsidR="00A16A74" w:rsidRPr="00EE3E2A" w:rsidRDefault="00A16A74" w:rsidP="003420E4">
            <w:pPr>
              <w:pStyle w:val="TableBodyText"/>
              <w:jc w:val="left"/>
              <w:rPr>
                <w:b/>
              </w:rPr>
            </w:pPr>
          </w:p>
        </w:tc>
        <w:tc>
          <w:tcPr>
            <w:tcW w:w="695" w:type="pct"/>
            <w:shd w:val="clear" w:color="auto" w:fill="auto"/>
            <w:vAlign w:val="bottom"/>
          </w:tcPr>
          <w:p w:rsidR="00A16A74" w:rsidRPr="00EE3E2A" w:rsidRDefault="00A16A74" w:rsidP="003420E4">
            <w:pPr>
              <w:pStyle w:val="TableBodyText"/>
              <w:jc w:val="left"/>
              <w:rPr>
                <w:b/>
              </w:rPr>
            </w:pPr>
          </w:p>
        </w:tc>
        <w:tc>
          <w:tcPr>
            <w:tcW w:w="695" w:type="pct"/>
            <w:shd w:val="clear" w:color="auto" w:fill="auto"/>
            <w:vAlign w:val="bottom"/>
          </w:tcPr>
          <w:p w:rsidR="00A16A74" w:rsidRPr="00EE3E2A" w:rsidRDefault="00A16A74" w:rsidP="003420E4">
            <w:pPr>
              <w:pStyle w:val="TableBodyText"/>
              <w:jc w:val="left"/>
              <w:rPr>
                <w:b/>
              </w:rPr>
            </w:pPr>
          </w:p>
        </w:tc>
      </w:tr>
      <w:tr w:rsidR="00A16A74" w:rsidRPr="00147004" w:rsidTr="003420E4">
        <w:tc>
          <w:tcPr>
            <w:tcW w:w="2914" w:type="pct"/>
            <w:shd w:val="clear" w:color="auto" w:fill="D9D9D9" w:themeFill="background1" w:themeFillShade="D9"/>
          </w:tcPr>
          <w:p w:rsidR="00A16A74" w:rsidRPr="00147004" w:rsidRDefault="00A16A74" w:rsidP="00FF1FA9">
            <w:pPr>
              <w:pStyle w:val="TableBodyText"/>
              <w:jc w:val="left"/>
            </w:pPr>
            <w:r w:rsidRPr="00147004">
              <w:t xml:space="preserve">    Output PPI: Petroleum and coal product </w:t>
            </w:r>
            <w:proofErr w:type="spellStart"/>
            <w:r w:rsidRPr="00147004">
              <w:t>mfg</w:t>
            </w:r>
            <w:proofErr w:type="spellEnd"/>
            <w:r w:rsidRPr="00147004">
              <w:t xml:space="preserve"> </w:t>
            </w:r>
          </w:p>
        </w:tc>
        <w:tc>
          <w:tcPr>
            <w:tcW w:w="695" w:type="pct"/>
            <w:shd w:val="clear" w:color="auto" w:fill="D9D9D9" w:themeFill="background1" w:themeFillShade="D9"/>
            <w:vAlign w:val="bottom"/>
          </w:tcPr>
          <w:p w:rsidR="00A16A74" w:rsidRPr="00147004" w:rsidRDefault="00A16A74" w:rsidP="00FF1FA9">
            <w:pPr>
              <w:pStyle w:val="TableBodyText"/>
            </w:pPr>
            <w:r w:rsidRPr="00147004">
              <w:t>14.8</w:t>
            </w:r>
          </w:p>
        </w:tc>
        <w:tc>
          <w:tcPr>
            <w:tcW w:w="695" w:type="pct"/>
            <w:shd w:val="clear" w:color="auto" w:fill="D9D9D9" w:themeFill="background1" w:themeFillShade="D9"/>
            <w:vAlign w:val="bottom"/>
          </w:tcPr>
          <w:p w:rsidR="00A16A74" w:rsidRPr="00147004" w:rsidRDefault="00A16A74" w:rsidP="00FF1FA9">
            <w:pPr>
              <w:pStyle w:val="TableBodyText"/>
            </w:pPr>
            <w:r w:rsidRPr="00147004">
              <w:t>20.9</w:t>
            </w:r>
          </w:p>
        </w:tc>
        <w:tc>
          <w:tcPr>
            <w:tcW w:w="695" w:type="pct"/>
            <w:shd w:val="clear" w:color="auto" w:fill="D9D9D9" w:themeFill="background1" w:themeFillShade="D9"/>
            <w:vAlign w:val="bottom"/>
          </w:tcPr>
          <w:p w:rsidR="00A16A74" w:rsidRPr="00147004" w:rsidRDefault="00A16A74" w:rsidP="00FF1FA9">
            <w:pPr>
              <w:pStyle w:val="TableBodyText"/>
            </w:pPr>
            <w:r w:rsidRPr="00147004">
              <w:t>-4.5</w:t>
            </w:r>
          </w:p>
        </w:tc>
      </w:tr>
      <w:tr w:rsidR="00A16A74" w:rsidRPr="00147004" w:rsidTr="00BA1547">
        <w:tc>
          <w:tcPr>
            <w:tcW w:w="2914" w:type="pct"/>
            <w:shd w:val="clear" w:color="auto" w:fill="auto"/>
          </w:tcPr>
          <w:p w:rsidR="00A16A74" w:rsidRPr="00147004" w:rsidRDefault="00A16A74" w:rsidP="00FF1FA9">
            <w:pPr>
              <w:pStyle w:val="TableBodyText"/>
              <w:jc w:val="left"/>
            </w:pPr>
            <w:r w:rsidRPr="00147004">
              <w:t xml:space="preserve">    Output PPI: Basic chemical and chemical product </w:t>
            </w:r>
            <w:proofErr w:type="spellStart"/>
            <w:r w:rsidRPr="00147004">
              <w:t>mfg</w:t>
            </w:r>
            <w:proofErr w:type="spellEnd"/>
          </w:p>
        </w:tc>
        <w:tc>
          <w:tcPr>
            <w:tcW w:w="695" w:type="pct"/>
            <w:shd w:val="clear" w:color="auto" w:fill="auto"/>
            <w:vAlign w:val="bottom"/>
          </w:tcPr>
          <w:p w:rsidR="00A16A74" w:rsidRPr="00147004" w:rsidRDefault="00A16A74" w:rsidP="00FF1FA9">
            <w:pPr>
              <w:pStyle w:val="TableBodyText"/>
            </w:pPr>
            <w:r w:rsidRPr="00147004">
              <w:t>0.7</w:t>
            </w:r>
          </w:p>
        </w:tc>
        <w:tc>
          <w:tcPr>
            <w:tcW w:w="695" w:type="pct"/>
            <w:shd w:val="clear" w:color="auto" w:fill="auto"/>
            <w:vAlign w:val="bottom"/>
          </w:tcPr>
          <w:p w:rsidR="00A16A74" w:rsidRPr="00147004" w:rsidRDefault="00A16A74" w:rsidP="00FF1FA9">
            <w:pPr>
              <w:pStyle w:val="TableBodyText"/>
            </w:pPr>
            <w:r w:rsidRPr="00147004">
              <w:t>3.5</w:t>
            </w:r>
          </w:p>
        </w:tc>
        <w:tc>
          <w:tcPr>
            <w:tcW w:w="695" w:type="pct"/>
            <w:shd w:val="clear" w:color="auto" w:fill="auto"/>
            <w:vAlign w:val="bottom"/>
          </w:tcPr>
          <w:p w:rsidR="00A16A74" w:rsidRPr="00147004" w:rsidRDefault="00A16A74" w:rsidP="00FF1FA9">
            <w:pPr>
              <w:pStyle w:val="TableBodyText"/>
            </w:pPr>
            <w:r w:rsidRPr="00147004">
              <w:t>2.1</w:t>
            </w:r>
          </w:p>
        </w:tc>
      </w:tr>
      <w:tr w:rsidR="00A16A74" w:rsidRPr="00147004" w:rsidTr="003420E4">
        <w:tc>
          <w:tcPr>
            <w:tcW w:w="2914" w:type="pct"/>
            <w:shd w:val="clear" w:color="auto" w:fill="D9D9D9" w:themeFill="background1" w:themeFillShade="D9"/>
          </w:tcPr>
          <w:p w:rsidR="00A16A74" w:rsidRPr="00147004" w:rsidRDefault="00A16A74" w:rsidP="00FF1FA9">
            <w:pPr>
              <w:pStyle w:val="TableBodyText"/>
              <w:jc w:val="left"/>
            </w:pPr>
            <w:r w:rsidRPr="00147004">
              <w:t xml:space="preserve">    Output PPI: Polymer product and rubber product </w:t>
            </w:r>
            <w:proofErr w:type="spellStart"/>
            <w:r w:rsidRPr="00147004">
              <w:t>mfg</w:t>
            </w:r>
            <w:proofErr w:type="spellEnd"/>
          </w:p>
        </w:tc>
        <w:tc>
          <w:tcPr>
            <w:tcW w:w="695" w:type="pct"/>
            <w:shd w:val="clear" w:color="auto" w:fill="D9D9D9" w:themeFill="background1" w:themeFillShade="D9"/>
            <w:vAlign w:val="bottom"/>
          </w:tcPr>
          <w:p w:rsidR="00A16A74" w:rsidRPr="00147004" w:rsidRDefault="00A16A74" w:rsidP="00FF1FA9">
            <w:pPr>
              <w:pStyle w:val="TableBodyText"/>
            </w:pPr>
            <w:r w:rsidRPr="00147004">
              <w:t>1.8</w:t>
            </w:r>
          </w:p>
        </w:tc>
        <w:tc>
          <w:tcPr>
            <w:tcW w:w="695" w:type="pct"/>
            <w:shd w:val="clear" w:color="auto" w:fill="D9D9D9" w:themeFill="background1" w:themeFillShade="D9"/>
            <w:vAlign w:val="bottom"/>
          </w:tcPr>
          <w:p w:rsidR="00A16A74" w:rsidRPr="00147004" w:rsidRDefault="00A16A74" w:rsidP="00FF1FA9">
            <w:pPr>
              <w:pStyle w:val="TableBodyText"/>
            </w:pPr>
            <w:r w:rsidRPr="00147004">
              <w:t>4.1</w:t>
            </w:r>
          </w:p>
        </w:tc>
        <w:tc>
          <w:tcPr>
            <w:tcW w:w="695" w:type="pct"/>
            <w:shd w:val="clear" w:color="auto" w:fill="D9D9D9" w:themeFill="background1" w:themeFillShade="D9"/>
            <w:vAlign w:val="bottom"/>
          </w:tcPr>
          <w:p w:rsidR="00A16A74" w:rsidRPr="00147004" w:rsidRDefault="00A16A74" w:rsidP="00FF1FA9">
            <w:pPr>
              <w:pStyle w:val="TableBodyText"/>
            </w:pPr>
            <w:r w:rsidRPr="00147004">
              <w:t>1.4</w:t>
            </w:r>
          </w:p>
        </w:tc>
      </w:tr>
      <w:tr w:rsidR="00A16A74" w:rsidRPr="003420E4" w:rsidTr="00BA1547">
        <w:tc>
          <w:tcPr>
            <w:tcW w:w="2914" w:type="pct"/>
            <w:shd w:val="clear" w:color="auto" w:fill="auto"/>
          </w:tcPr>
          <w:p w:rsidR="00A16A74" w:rsidRPr="003420E4" w:rsidRDefault="00A16A74" w:rsidP="00E1706C">
            <w:pPr>
              <w:pStyle w:val="TableBodyText"/>
              <w:jc w:val="left"/>
              <w:rPr>
                <w:i/>
              </w:rPr>
            </w:pPr>
            <w:r w:rsidRPr="003420E4">
              <w:rPr>
                <w:i/>
              </w:rPr>
              <w:t xml:space="preserve">    Output PPI: </w:t>
            </w:r>
            <w:proofErr w:type="spellStart"/>
            <w:r w:rsidRPr="003420E4">
              <w:rPr>
                <w:i/>
              </w:rPr>
              <w:t>PCCR</w:t>
            </w:r>
            <w:proofErr w:type="spellEnd"/>
            <w:r w:rsidR="00E1706C" w:rsidRPr="00F82B25">
              <w:rPr>
                <w:rStyle w:val="NoteLabel"/>
              </w:rPr>
              <w:t>d</w:t>
            </w:r>
          </w:p>
        </w:tc>
        <w:tc>
          <w:tcPr>
            <w:tcW w:w="695" w:type="pct"/>
            <w:shd w:val="clear" w:color="auto" w:fill="auto"/>
            <w:vAlign w:val="bottom"/>
          </w:tcPr>
          <w:p w:rsidR="00A16A74" w:rsidRPr="003420E4" w:rsidRDefault="00A16A74" w:rsidP="00A16A74">
            <w:pPr>
              <w:pStyle w:val="TableBodyText"/>
              <w:rPr>
                <w:i/>
              </w:rPr>
            </w:pPr>
            <w:r w:rsidRPr="003420E4">
              <w:rPr>
                <w:i/>
              </w:rPr>
              <w:t>7.7</w:t>
            </w:r>
          </w:p>
        </w:tc>
        <w:tc>
          <w:tcPr>
            <w:tcW w:w="695" w:type="pct"/>
            <w:shd w:val="clear" w:color="auto" w:fill="auto"/>
            <w:vAlign w:val="bottom"/>
          </w:tcPr>
          <w:p w:rsidR="00A16A74" w:rsidRPr="003420E4" w:rsidRDefault="00A16A74" w:rsidP="00A16A74">
            <w:pPr>
              <w:pStyle w:val="TableBodyText"/>
              <w:rPr>
                <w:i/>
              </w:rPr>
            </w:pPr>
            <w:r w:rsidRPr="003420E4">
              <w:rPr>
                <w:i/>
              </w:rPr>
              <w:t>11.6</w:t>
            </w:r>
          </w:p>
        </w:tc>
        <w:tc>
          <w:tcPr>
            <w:tcW w:w="695" w:type="pct"/>
            <w:shd w:val="clear" w:color="auto" w:fill="auto"/>
            <w:vAlign w:val="bottom"/>
          </w:tcPr>
          <w:p w:rsidR="00A16A74" w:rsidRPr="003420E4" w:rsidRDefault="00A16A74" w:rsidP="00A16A74">
            <w:pPr>
              <w:pStyle w:val="TableBodyText"/>
              <w:rPr>
                <w:i/>
              </w:rPr>
            </w:pPr>
            <w:r w:rsidRPr="003420E4">
              <w:rPr>
                <w:i/>
              </w:rPr>
              <w:t>-0.9</w:t>
            </w:r>
          </w:p>
        </w:tc>
      </w:tr>
      <w:tr w:rsidR="00A16A74" w:rsidTr="003420E4">
        <w:tc>
          <w:tcPr>
            <w:tcW w:w="2914" w:type="pct"/>
            <w:shd w:val="clear" w:color="auto" w:fill="D9D9D9" w:themeFill="background1" w:themeFillShade="D9"/>
          </w:tcPr>
          <w:p w:rsidR="00A16A74" w:rsidRPr="00A16A74" w:rsidRDefault="00A16A74" w:rsidP="00FF1FA9">
            <w:pPr>
              <w:pStyle w:val="TableBodyText"/>
              <w:jc w:val="left"/>
              <w:rPr>
                <w:i/>
              </w:rPr>
            </w:pPr>
          </w:p>
        </w:tc>
        <w:tc>
          <w:tcPr>
            <w:tcW w:w="695" w:type="pct"/>
            <w:shd w:val="clear" w:color="auto" w:fill="D9D9D9" w:themeFill="background1" w:themeFillShade="D9"/>
            <w:vAlign w:val="bottom"/>
          </w:tcPr>
          <w:p w:rsidR="00A16A74" w:rsidRDefault="00A16A74" w:rsidP="00FF1FA9">
            <w:pPr>
              <w:pStyle w:val="TableBodyText"/>
            </w:pPr>
          </w:p>
        </w:tc>
        <w:tc>
          <w:tcPr>
            <w:tcW w:w="695" w:type="pct"/>
            <w:shd w:val="clear" w:color="auto" w:fill="D9D9D9" w:themeFill="background1" w:themeFillShade="D9"/>
            <w:vAlign w:val="bottom"/>
          </w:tcPr>
          <w:p w:rsidR="00A16A74" w:rsidRDefault="00A16A74" w:rsidP="00FF1FA9">
            <w:pPr>
              <w:pStyle w:val="TableBodyText"/>
            </w:pPr>
          </w:p>
        </w:tc>
        <w:tc>
          <w:tcPr>
            <w:tcW w:w="695" w:type="pct"/>
            <w:shd w:val="clear" w:color="auto" w:fill="D9D9D9" w:themeFill="background1" w:themeFillShade="D9"/>
            <w:vAlign w:val="bottom"/>
          </w:tcPr>
          <w:p w:rsidR="00A16A74" w:rsidRDefault="00A16A74" w:rsidP="00FF1FA9">
            <w:pPr>
              <w:pStyle w:val="TableBodyText"/>
            </w:pPr>
          </w:p>
        </w:tc>
      </w:tr>
      <w:tr w:rsidR="00A16A74" w:rsidRPr="00147004" w:rsidTr="00BA1547">
        <w:tc>
          <w:tcPr>
            <w:tcW w:w="2914" w:type="pct"/>
            <w:shd w:val="clear" w:color="auto" w:fill="auto"/>
          </w:tcPr>
          <w:p w:rsidR="00A16A74" w:rsidRPr="00147004" w:rsidRDefault="00A16A74" w:rsidP="00FF1FA9">
            <w:pPr>
              <w:pStyle w:val="TableBodyText"/>
              <w:jc w:val="left"/>
            </w:pPr>
            <w:r w:rsidRPr="00147004">
              <w:t xml:space="preserve">    Input PPI: Petroleum and coal product </w:t>
            </w:r>
            <w:proofErr w:type="spellStart"/>
            <w:r w:rsidRPr="00147004">
              <w:t>mfg</w:t>
            </w:r>
            <w:proofErr w:type="spellEnd"/>
            <w:r w:rsidRPr="00147004">
              <w:t xml:space="preserve"> </w:t>
            </w:r>
          </w:p>
        </w:tc>
        <w:tc>
          <w:tcPr>
            <w:tcW w:w="695" w:type="pct"/>
            <w:shd w:val="clear" w:color="auto" w:fill="auto"/>
            <w:vAlign w:val="bottom"/>
          </w:tcPr>
          <w:p w:rsidR="00A16A74" w:rsidRPr="00147004" w:rsidRDefault="00A16A74" w:rsidP="00FF1FA9">
            <w:pPr>
              <w:pStyle w:val="TableBodyText"/>
            </w:pPr>
            <w:r w:rsidRPr="00147004">
              <w:t>11.6</w:t>
            </w:r>
          </w:p>
        </w:tc>
        <w:tc>
          <w:tcPr>
            <w:tcW w:w="695" w:type="pct"/>
            <w:shd w:val="clear" w:color="auto" w:fill="auto"/>
            <w:vAlign w:val="bottom"/>
          </w:tcPr>
          <w:p w:rsidR="00A16A74" w:rsidRPr="00147004" w:rsidRDefault="00A16A74" w:rsidP="00FF1FA9">
            <w:pPr>
              <w:pStyle w:val="TableBodyText"/>
            </w:pPr>
            <w:r w:rsidRPr="00147004">
              <w:t>21.1</w:t>
            </w:r>
          </w:p>
        </w:tc>
        <w:tc>
          <w:tcPr>
            <w:tcW w:w="695" w:type="pct"/>
            <w:shd w:val="clear" w:color="auto" w:fill="auto"/>
            <w:vAlign w:val="bottom"/>
          </w:tcPr>
          <w:p w:rsidR="00A16A74" w:rsidRPr="00147004" w:rsidRDefault="00A16A74" w:rsidP="00FF1FA9">
            <w:pPr>
              <w:pStyle w:val="TableBodyText"/>
            </w:pPr>
            <w:r w:rsidRPr="00147004">
              <w:t>-1.3</w:t>
            </w:r>
          </w:p>
        </w:tc>
      </w:tr>
      <w:tr w:rsidR="00A16A74" w:rsidRPr="00147004" w:rsidTr="003420E4">
        <w:tc>
          <w:tcPr>
            <w:tcW w:w="2914" w:type="pct"/>
            <w:shd w:val="clear" w:color="auto" w:fill="D9D9D9" w:themeFill="background1" w:themeFillShade="D9"/>
          </w:tcPr>
          <w:p w:rsidR="00A16A74" w:rsidRPr="00147004" w:rsidRDefault="00A16A74" w:rsidP="00FF1FA9">
            <w:pPr>
              <w:pStyle w:val="TableBodyText"/>
              <w:jc w:val="left"/>
            </w:pPr>
            <w:r w:rsidRPr="00147004">
              <w:t xml:space="preserve">    Input PPI: Basic chemical and chemical product </w:t>
            </w:r>
            <w:proofErr w:type="spellStart"/>
            <w:r w:rsidRPr="00147004">
              <w:t>mfg</w:t>
            </w:r>
            <w:proofErr w:type="spellEnd"/>
          </w:p>
        </w:tc>
        <w:tc>
          <w:tcPr>
            <w:tcW w:w="695" w:type="pct"/>
            <w:shd w:val="clear" w:color="auto" w:fill="D9D9D9" w:themeFill="background1" w:themeFillShade="D9"/>
            <w:vAlign w:val="bottom"/>
          </w:tcPr>
          <w:p w:rsidR="00A16A74" w:rsidRPr="00147004" w:rsidRDefault="00A16A74" w:rsidP="00FF1FA9">
            <w:pPr>
              <w:pStyle w:val="TableBodyText"/>
            </w:pPr>
            <w:r w:rsidRPr="00147004">
              <w:t>1.0</w:t>
            </w:r>
          </w:p>
        </w:tc>
        <w:tc>
          <w:tcPr>
            <w:tcW w:w="695" w:type="pct"/>
            <w:shd w:val="clear" w:color="auto" w:fill="D9D9D9" w:themeFill="background1" w:themeFillShade="D9"/>
            <w:vAlign w:val="bottom"/>
          </w:tcPr>
          <w:p w:rsidR="00A16A74" w:rsidRPr="00147004" w:rsidRDefault="00A16A74" w:rsidP="00FF1FA9">
            <w:pPr>
              <w:pStyle w:val="TableBodyText"/>
            </w:pPr>
            <w:r w:rsidRPr="00147004">
              <w:t>6.1</w:t>
            </w:r>
          </w:p>
        </w:tc>
        <w:tc>
          <w:tcPr>
            <w:tcW w:w="695" w:type="pct"/>
            <w:shd w:val="clear" w:color="auto" w:fill="D9D9D9" w:themeFill="background1" w:themeFillShade="D9"/>
            <w:vAlign w:val="bottom"/>
          </w:tcPr>
          <w:p w:rsidR="00A16A74" w:rsidRPr="00147004" w:rsidRDefault="00A16A74" w:rsidP="00FF1FA9">
            <w:pPr>
              <w:pStyle w:val="TableBodyText"/>
            </w:pPr>
            <w:r w:rsidRPr="00147004">
              <w:t>-1.5</w:t>
            </w:r>
          </w:p>
        </w:tc>
      </w:tr>
      <w:tr w:rsidR="00A16A74" w:rsidRPr="00147004" w:rsidTr="00BA1547">
        <w:tc>
          <w:tcPr>
            <w:tcW w:w="2914" w:type="pct"/>
            <w:shd w:val="clear" w:color="auto" w:fill="auto"/>
          </w:tcPr>
          <w:p w:rsidR="00A16A74" w:rsidRPr="00147004" w:rsidRDefault="00A16A74" w:rsidP="00FF1FA9">
            <w:pPr>
              <w:pStyle w:val="TableBodyText"/>
              <w:jc w:val="left"/>
            </w:pPr>
            <w:r w:rsidRPr="00147004">
              <w:t xml:space="preserve">    Input PPI: Polymer product and rubber product </w:t>
            </w:r>
            <w:proofErr w:type="spellStart"/>
            <w:r w:rsidRPr="00147004">
              <w:t>mfg</w:t>
            </w:r>
            <w:proofErr w:type="spellEnd"/>
          </w:p>
        </w:tc>
        <w:tc>
          <w:tcPr>
            <w:tcW w:w="695" w:type="pct"/>
            <w:shd w:val="clear" w:color="auto" w:fill="auto"/>
            <w:vAlign w:val="bottom"/>
          </w:tcPr>
          <w:p w:rsidR="00A16A74" w:rsidRPr="00147004" w:rsidRDefault="00A16A74" w:rsidP="00FF1FA9">
            <w:pPr>
              <w:pStyle w:val="TableBodyText"/>
            </w:pPr>
            <w:r w:rsidRPr="00147004">
              <w:t>1.3</w:t>
            </w:r>
          </w:p>
        </w:tc>
        <w:tc>
          <w:tcPr>
            <w:tcW w:w="695" w:type="pct"/>
            <w:shd w:val="clear" w:color="auto" w:fill="auto"/>
            <w:vAlign w:val="bottom"/>
          </w:tcPr>
          <w:p w:rsidR="00A16A74" w:rsidRPr="00147004" w:rsidRDefault="00A16A74" w:rsidP="00FF1FA9">
            <w:pPr>
              <w:pStyle w:val="TableBodyText"/>
            </w:pPr>
            <w:r w:rsidRPr="00147004">
              <w:t>6.1</w:t>
            </w:r>
          </w:p>
        </w:tc>
        <w:tc>
          <w:tcPr>
            <w:tcW w:w="695" w:type="pct"/>
            <w:shd w:val="clear" w:color="auto" w:fill="auto"/>
            <w:vAlign w:val="bottom"/>
          </w:tcPr>
          <w:p w:rsidR="00A16A74" w:rsidRPr="00147004" w:rsidRDefault="00A16A74" w:rsidP="00FF1FA9">
            <w:pPr>
              <w:pStyle w:val="TableBodyText"/>
            </w:pPr>
            <w:r w:rsidRPr="00147004">
              <w:t>-0.8</w:t>
            </w:r>
          </w:p>
        </w:tc>
      </w:tr>
      <w:tr w:rsidR="00A16A74" w:rsidRPr="003420E4" w:rsidTr="003420E4">
        <w:tc>
          <w:tcPr>
            <w:tcW w:w="2914" w:type="pct"/>
            <w:shd w:val="clear" w:color="auto" w:fill="D9D9D9" w:themeFill="background1" w:themeFillShade="D9"/>
          </w:tcPr>
          <w:p w:rsidR="00A16A74" w:rsidRPr="003420E4" w:rsidRDefault="00E1706C" w:rsidP="00E1706C">
            <w:pPr>
              <w:pStyle w:val="TableBodyText"/>
              <w:jc w:val="left"/>
              <w:rPr>
                <w:i/>
              </w:rPr>
            </w:pPr>
            <w:r w:rsidRPr="003420E4">
              <w:rPr>
                <w:i/>
              </w:rPr>
              <w:t xml:space="preserve">    Input PPI: </w:t>
            </w:r>
            <w:proofErr w:type="spellStart"/>
            <w:r w:rsidRPr="003420E4">
              <w:rPr>
                <w:i/>
              </w:rPr>
              <w:t>PCCR</w:t>
            </w:r>
            <w:proofErr w:type="spellEnd"/>
            <w:r w:rsidRPr="00F82B25">
              <w:rPr>
                <w:rStyle w:val="NoteLabel"/>
              </w:rPr>
              <w:t>d</w:t>
            </w:r>
          </w:p>
        </w:tc>
        <w:tc>
          <w:tcPr>
            <w:tcW w:w="695" w:type="pct"/>
            <w:shd w:val="clear" w:color="auto" w:fill="D9D9D9" w:themeFill="background1" w:themeFillShade="D9"/>
            <w:vAlign w:val="bottom"/>
          </w:tcPr>
          <w:p w:rsidR="00A16A74" w:rsidRPr="003420E4" w:rsidRDefault="00A16A74" w:rsidP="00FF1FA9">
            <w:pPr>
              <w:pStyle w:val="TableBodyText"/>
              <w:rPr>
                <w:i/>
              </w:rPr>
            </w:pPr>
            <w:r w:rsidRPr="003420E4">
              <w:rPr>
                <w:i/>
              </w:rPr>
              <w:t>6.2</w:t>
            </w:r>
          </w:p>
        </w:tc>
        <w:tc>
          <w:tcPr>
            <w:tcW w:w="695" w:type="pct"/>
            <w:shd w:val="clear" w:color="auto" w:fill="D9D9D9" w:themeFill="background1" w:themeFillShade="D9"/>
            <w:vAlign w:val="bottom"/>
          </w:tcPr>
          <w:p w:rsidR="00A16A74" w:rsidRPr="003420E4" w:rsidRDefault="00A16A74" w:rsidP="00FF1FA9">
            <w:pPr>
              <w:pStyle w:val="TableBodyText"/>
              <w:rPr>
                <w:i/>
              </w:rPr>
            </w:pPr>
            <w:r w:rsidRPr="003420E4">
              <w:rPr>
                <w:i/>
              </w:rPr>
              <w:t>13.0</w:t>
            </w:r>
          </w:p>
        </w:tc>
        <w:tc>
          <w:tcPr>
            <w:tcW w:w="695" w:type="pct"/>
            <w:shd w:val="clear" w:color="auto" w:fill="D9D9D9" w:themeFill="background1" w:themeFillShade="D9"/>
            <w:vAlign w:val="bottom"/>
          </w:tcPr>
          <w:p w:rsidR="00A16A74" w:rsidRPr="003420E4" w:rsidRDefault="00A16A74" w:rsidP="00FF1FA9">
            <w:pPr>
              <w:pStyle w:val="TableBodyText"/>
              <w:rPr>
                <w:i/>
              </w:rPr>
            </w:pPr>
            <w:r w:rsidRPr="003420E4">
              <w:rPr>
                <w:i/>
              </w:rPr>
              <w:t>-1.3</w:t>
            </w:r>
          </w:p>
        </w:tc>
      </w:tr>
      <w:tr w:rsidR="00A16A74" w:rsidTr="00BA1547">
        <w:tc>
          <w:tcPr>
            <w:tcW w:w="2914" w:type="pct"/>
            <w:shd w:val="clear" w:color="auto" w:fill="auto"/>
          </w:tcPr>
          <w:p w:rsidR="00A16A74" w:rsidRPr="00A16A74" w:rsidRDefault="00A16A74" w:rsidP="00FF1FA9">
            <w:pPr>
              <w:pStyle w:val="TableBodyText"/>
              <w:jc w:val="left"/>
              <w:rPr>
                <w:i/>
              </w:rPr>
            </w:pPr>
          </w:p>
        </w:tc>
        <w:tc>
          <w:tcPr>
            <w:tcW w:w="695" w:type="pct"/>
            <w:shd w:val="clear" w:color="auto" w:fill="auto"/>
            <w:vAlign w:val="bottom"/>
          </w:tcPr>
          <w:p w:rsidR="00A16A74" w:rsidRDefault="00A16A74" w:rsidP="00FF1FA9">
            <w:pPr>
              <w:pStyle w:val="TableBodyText"/>
            </w:pPr>
          </w:p>
        </w:tc>
        <w:tc>
          <w:tcPr>
            <w:tcW w:w="695" w:type="pct"/>
            <w:shd w:val="clear" w:color="auto" w:fill="auto"/>
            <w:vAlign w:val="bottom"/>
          </w:tcPr>
          <w:p w:rsidR="00A16A74" w:rsidRDefault="00A16A74" w:rsidP="00FF1FA9">
            <w:pPr>
              <w:pStyle w:val="TableBodyText"/>
            </w:pPr>
          </w:p>
        </w:tc>
        <w:tc>
          <w:tcPr>
            <w:tcW w:w="695" w:type="pct"/>
            <w:shd w:val="clear" w:color="auto" w:fill="auto"/>
            <w:vAlign w:val="bottom"/>
          </w:tcPr>
          <w:p w:rsidR="00A16A74" w:rsidRDefault="00A16A74" w:rsidP="00FF1FA9">
            <w:pPr>
              <w:pStyle w:val="TableBodyText"/>
            </w:pPr>
          </w:p>
        </w:tc>
      </w:tr>
      <w:tr w:rsidR="00A16A74" w:rsidRPr="00EE3E2A" w:rsidTr="003420E4">
        <w:tc>
          <w:tcPr>
            <w:tcW w:w="2914" w:type="pct"/>
            <w:tcBorders>
              <w:bottom w:val="single" w:sz="4" w:space="0" w:color="auto"/>
            </w:tcBorders>
            <w:shd w:val="clear" w:color="auto" w:fill="D9D9D9" w:themeFill="background1" w:themeFillShade="D9"/>
          </w:tcPr>
          <w:p w:rsidR="00A16A74" w:rsidRPr="00EE3E2A" w:rsidRDefault="00A16A74" w:rsidP="00E1706C">
            <w:pPr>
              <w:pStyle w:val="TableBodyText"/>
              <w:jc w:val="left"/>
              <w:rPr>
                <w:i/>
              </w:rPr>
            </w:pPr>
            <w:r w:rsidRPr="00EE3E2A">
              <w:rPr>
                <w:i/>
              </w:rPr>
              <w:t xml:space="preserve">   </w:t>
            </w:r>
            <w:r w:rsidR="00C50A0B" w:rsidRPr="00EE3E2A">
              <w:rPr>
                <w:i/>
              </w:rPr>
              <w:t xml:space="preserve"> Sales and service income: </w:t>
            </w:r>
            <w:proofErr w:type="spellStart"/>
            <w:r w:rsidR="00C50A0B" w:rsidRPr="00EE3E2A">
              <w:rPr>
                <w:i/>
              </w:rPr>
              <w:t>PCCR</w:t>
            </w:r>
            <w:proofErr w:type="spellEnd"/>
            <w:r w:rsidR="00E1706C" w:rsidRPr="00F82B25">
              <w:rPr>
                <w:rStyle w:val="NoteLabel"/>
              </w:rPr>
              <w:t>d</w:t>
            </w:r>
          </w:p>
        </w:tc>
        <w:tc>
          <w:tcPr>
            <w:tcW w:w="695" w:type="pct"/>
            <w:tcBorders>
              <w:bottom w:val="single" w:sz="4" w:space="0" w:color="auto"/>
            </w:tcBorders>
            <w:shd w:val="clear" w:color="auto" w:fill="D9D9D9" w:themeFill="background1" w:themeFillShade="D9"/>
            <w:vAlign w:val="bottom"/>
          </w:tcPr>
          <w:p w:rsidR="00A16A74" w:rsidRPr="00EE3E2A" w:rsidRDefault="00A16A74" w:rsidP="00A16A74">
            <w:pPr>
              <w:pStyle w:val="TableBodyText"/>
              <w:rPr>
                <w:i/>
              </w:rPr>
            </w:pPr>
            <w:r w:rsidRPr="00EE3E2A">
              <w:rPr>
                <w:i/>
              </w:rPr>
              <w:t>7.4</w:t>
            </w:r>
          </w:p>
        </w:tc>
        <w:tc>
          <w:tcPr>
            <w:tcW w:w="695" w:type="pct"/>
            <w:tcBorders>
              <w:bottom w:val="single" w:sz="4" w:space="0" w:color="auto"/>
            </w:tcBorders>
            <w:shd w:val="clear" w:color="auto" w:fill="D9D9D9" w:themeFill="background1" w:themeFillShade="D9"/>
            <w:vAlign w:val="bottom"/>
          </w:tcPr>
          <w:p w:rsidR="00A16A74" w:rsidRPr="00EE3E2A" w:rsidRDefault="00A16A74" w:rsidP="00A16A74">
            <w:pPr>
              <w:pStyle w:val="TableBodyText"/>
              <w:rPr>
                <w:i/>
              </w:rPr>
            </w:pPr>
            <w:r w:rsidRPr="00EE3E2A">
              <w:rPr>
                <w:i/>
              </w:rPr>
              <w:t>10.4</w:t>
            </w:r>
          </w:p>
        </w:tc>
        <w:tc>
          <w:tcPr>
            <w:tcW w:w="695" w:type="pct"/>
            <w:tcBorders>
              <w:bottom w:val="single" w:sz="4" w:space="0" w:color="auto"/>
            </w:tcBorders>
            <w:shd w:val="clear" w:color="auto" w:fill="D9D9D9" w:themeFill="background1" w:themeFillShade="D9"/>
            <w:vAlign w:val="bottom"/>
          </w:tcPr>
          <w:p w:rsidR="00A16A74" w:rsidRPr="00EE3E2A" w:rsidRDefault="00A16A74" w:rsidP="00A16A74">
            <w:pPr>
              <w:pStyle w:val="TableBodyText"/>
              <w:rPr>
                <w:i/>
              </w:rPr>
            </w:pPr>
            <w:r w:rsidRPr="00EE3E2A">
              <w:rPr>
                <w:i/>
              </w:rPr>
              <w:t>-0.5</w:t>
            </w:r>
          </w:p>
        </w:tc>
      </w:tr>
    </w:tbl>
    <w:p w:rsidR="00DF7462" w:rsidRDefault="00E1706C" w:rsidP="00DF7462">
      <w:pPr>
        <w:pStyle w:val="Note"/>
        <w:rPr>
          <w:i/>
        </w:rPr>
      </w:pPr>
      <w:r>
        <w:rPr>
          <w:rStyle w:val="NoteLabel"/>
        </w:rPr>
        <w:t>a</w:t>
      </w:r>
      <w:r w:rsidR="00DF7462">
        <w:t xml:space="preserve"> National accounts </w:t>
      </w:r>
      <w:r w:rsidR="00BF2F02">
        <w:t>chain volume</w:t>
      </w:r>
      <w:r w:rsidR="00DF7462">
        <w:t xml:space="preserve"> measure of </w:t>
      </w:r>
      <w:proofErr w:type="spellStart"/>
      <w:r w:rsidR="00DF7462">
        <w:t>PCCR</w:t>
      </w:r>
      <w:proofErr w:type="spellEnd"/>
      <w:r w:rsidR="00DF7462">
        <w:t xml:space="preserve"> </w:t>
      </w:r>
      <w:r w:rsidR="006E2CDA">
        <w:t>value added</w:t>
      </w:r>
      <w:r w:rsidR="00DF7462">
        <w:rPr>
          <w:rStyle w:val="NoteLabel"/>
        </w:rPr>
        <w:t xml:space="preserve"> </w:t>
      </w:r>
      <w:r>
        <w:rPr>
          <w:rStyle w:val="NoteLabel"/>
        </w:rPr>
        <w:t>b</w:t>
      </w:r>
      <w:r w:rsidR="00DF7462">
        <w:t xml:space="preserve"> Deflated series using output </w:t>
      </w:r>
      <w:proofErr w:type="spellStart"/>
      <w:r w:rsidR="00BF2F02">
        <w:t>PPIs</w:t>
      </w:r>
      <w:proofErr w:type="spellEnd"/>
      <w:r w:rsidR="00BF2F02">
        <w:t>.</w:t>
      </w:r>
      <w:r w:rsidR="00DF7462">
        <w:t xml:space="preserve"> The ‘sum of subdivisions’ series generated by estimating a PPI for </w:t>
      </w:r>
      <w:proofErr w:type="spellStart"/>
      <w:r w:rsidR="00DF7462">
        <w:t>PCCR</w:t>
      </w:r>
      <w:proofErr w:type="spellEnd"/>
      <w:r w:rsidR="00DF7462">
        <w:t xml:space="preserve"> by using subdivision </w:t>
      </w:r>
      <w:proofErr w:type="spellStart"/>
      <w:r w:rsidR="00DF7462">
        <w:t>PPIs</w:t>
      </w:r>
      <w:proofErr w:type="spellEnd"/>
      <w:r w:rsidR="00DF7462">
        <w:t xml:space="preserve"> and current price </w:t>
      </w:r>
      <w:r w:rsidR="006E2CDA">
        <w:t>value added</w:t>
      </w:r>
      <w:r w:rsidR="00DF7462">
        <w:t xml:space="preserve"> weights. </w:t>
      </w:r>
      <w:r>
        <w:rPr>
          <w:rStyle w:val="NoteLabel"/>
        </w:rPr>
        <w:t>c</w:t>
      </w:r>
      <w:r w:rsidR="00DF7462">
        <w:t xml:space="preserve"> Sales and service income from ABS </w:t>
      </w:r>
      <w:r w:rsidR="00DF7462">
        <w:rPr>
          <w:i/>
        </w:rPr>
        <w:t>Business Indicators</w:t>
      </w:r>
      <w:r w:rsidR="00DF7462">
        <w:t xml:space="preserve">. The real ‘sum of subdivisions’ series generated by estimating a price deflator for </w:t>
      </w:r>
      <w:proofErr w:type="spellStart"/>
      <w:r w:rsidR="00DF7462">
        <w:t>PCCR</w:t>
      </w:r>
      <w:proofErr w:type="spellEnd"/>
      <w:r w:rsidR="00DF7462">
        <w:t xml:space="preserve"> by using subdivision deflators and current price sales and service income weights. </w:t>
      </w:r>
      <w:r>
        <w:rPr>
          <w:rStyle w:val="NoteLabel"/>
        </w:rPr>
        <w:t>d</w:t>
      </w:r>
      <w:r w:rsidR="00DF7462">
        <w:t xml:space="preserve"> Deflators estimated using relevant subsector deflators weighted by nominal sales and service income shares.</w:t>
      </w:r>
      <w:r w:rsidR="00DF7462">
        <w:rPr>
          <w:i/>
        </w:rPr>
        <w:t xml:space="preserve"> </w:t>
      </w:r>
    </w:p>
    <w:p w:rsidR="00DF7462" w:rsidRDefault="00112A18" w:rsidP="00DB7C8C">
      <w:pPr>
        <w:pStyle w:val="Source"/>
      </w:pPr>
      <w:r>
        <w:rPr>
          <w:i/>
        </w:rPr>
        <w:t>Sources</w:t>
      </w:r>
      <w:r w:rsidR="00DF7462">
        <w:t>: Authors’ estimates based on ABS (</w:t>
      </w:r>
      <w:r w:rsidR="00DF7462" w:rsidRPr="00925A9E">
        <w:rPr>
          <w:i/>
        </w:rPr>
        <w:t>Australian System of National Accounts</w:t>
      </w:r>
      <w:r w:rsidR="00DF7462">
        <w:t xml:space="preserve">, </w:t>
      </w:r>
      <w:r w:rsidR="00DF7462" w:rsidRPr="001A4FE3">
        <w:rPr>
          <w:i/>
        </w:rPr>
        <w:t>2010-11</w:t>
      </w:r>
      <w:r w:rsidR="00DF7462">
        <w:t>, Cat.</w:t>
      </w:r>
      <w:r w:rsidR="001A4FE3">
        <w:t> </w:t>
      </w:r>
      <w:r w:rsidR="00DF7462">
        <w:t>no</w:t>
      </w:r>
      <w:r w:rsidR="00CA70A2">
        <w:t>. </w:t>
      </w:r>
      <w:r w:rsidR="00DF7462">
        <w:t>5204.0), ABS (</w:t>
      </w:r>
      <w:r w:rsidR="00DF7462" w:rsidRPr="00925A9E">
        <w:rPr>
          <w:i/>
        </w:rPr>
        <w:t>Business Indicators, Australia,</w:t>
      </w:r>
      <w:r w:rsidR="00DF7462" w:rsidRPr="00C75EB8">
        <w:t xml:space="preserve"> </w:t>
      </w:r>
      <w:r w:rsidR="00DF7462" w:rsidRPr="001A4FE3">
        <w:rPr>
          <w:i/>
        </w:rPr>
        <w:t>Sep</w:t>
      </w:r>
      <w:r w:rsidR="00CA70A2">
        <w:rPr>
          <w:i/>
        </w:rPr>
        <w:t>tember</w:t>
      </w:r>
      <w:r w:rsidR="00DF7462" w:rsidRPr="0040153B">
        <w:rPr>
          <w:i/>
        </w:rPr>
        <w:t xml:space="preserve"> 2012</w:t>
      </w:r>
      <w:r w:rsidR="00DF7462">
        <w:t>, Cat. no. 5676.0), ABS (</w:t>
      </w:r>
      <w:r w:rsidR="00DF7462" w:rsidRPr="0040153B">
        <w:rPr>
          <w:i/>
        </w:rPr>
        <w:t>Producer Price Indexes, Australia, Dec</w:t>
      </w:r>
      <w:r w:rsidR="00CA70A2">
        <w:rPr>
          <w:i/>
        </w:rPr>
        <w:t>ember</w:t>
      </w:r>
      <w:r w:rsidR="00DF7462" w:rsidRPr="0040153B">
        <w:rPr>
          <w:i/>
        </w:rPr>
        <w:t xml:space="preserve"> 2012</w:t>
      </w:r>
      <w:r w:rsidR="00DF7462">
        <w:t>, Cat no. 6427.0).</w:t>
      </w:r>
    </w:p>
    <w:p w:rsidR="00B00B89" w:rsidRDefault="00E45B0C" w:rsidP="0097009C">
      <w:pPr>
        <w:pStyle w:val="BodyText"/>
      </w:pPr>
      <w:r>
        <w:lastRenderedPageBreak/>
        <w:t>The data show the difficulty in trying to reconci</w:t>
      </w:r>
      <w:r w:rsidR="0017779F">
        <w:t>le value</w:t>
      </w:r>
      <w:r w:rsidR="00FC3FBD">
        <w:t xml:space="preserve"> </w:t>
      </w:r>
      <w:r w:rsidR="0017779F">
        <w:t xml:space="preserve">added growth for the subdivisions </w:t>
      </w:r>
      <w:r w:rsidR="00FC3FBD">
        <w:t xml:space="preserve">with value added growth for the subsector. For example, value added growth for </w:t>
      </w:r>
      <w:proofErr w:type="spellStart"/>
      <w:r w:rsidR="00FC3FBD">
        <w:t>PCCR</w:t>
      </w:r>
      <w:proofErr w:type="spellEnd"/>
      <w:r w:rsidR="00FC3FBD">
        <w:t xml:space="preserve"> was 1.8 and -0.6 per cent a year i</w:t>
      </w:r>
      <w:r w:rsidR="009554B4">
        <w:t xml:space="preserve">n cycles 3 and 4, respectively; however </w:t>
      </w:r>
      <w:r w:rsidR="009C682B">
        <w:t xml:space="preserve">from </w:t>
      </w:r>
      <w:r w:rsidR="00A0527E">
        <w:t xml:space="preserve">the subdivision data deflated using output producer price deflators </w:t>
      </w:r>
      <w:r w:rsidR="009C682B">
        <w:t>the</w:t>
      </w:r>
      <w:r w:rsidR="00A0527E">
        <w:t xml:space="preserve"> growth rates </w:t>
      </w:r>
      <w:r w:rsidR="009C682B">
        <w:t>are</w:t>
      </w:r>
      <w:r w:rsidR="00A0527E">
        <w:t xml:space="preserve"> -2.4 and 0.9 pe</w:t>
      </w:r>
      <w:r w:rsidR="001F5841">
        <w:t>r cent a year for those cycles. One se</w:t>
      </w:r>
      <w:r w:rsidR="00BF5606">
        <w:t>t of data suggests accelerating</w:t>
      </w:r>
      <w:r w:rsidR="00B51E27">
        <w:t xml:space="preserve"> value added growth, while the other suggests declining</w:t>
      </w:r>
      <w:r w:rsidR="0052254A">
        <w:t>.</w:t>
      </w:r>
    </w:p>
    <w:p w:rsidR="00DF7462" w:rsidRDefault="00521F21" w:rsidP="005D2CBB">
      <w:pPr>
        <w:pStyle w:val="BodyText"/>
        <w:rPr>
          <w:lang w:eastAsia="en-US"/>
        </w:rPr>
      </w:pPr>
      <w:r>
        <w:rPr>
          <w:lang w:eastAsia="en-US"/>
        </w:rPr>
        <w:t xml:space="preserve">One reason for the discrepancy is that the value added data for the subsector and the subdivisions come from different sources. The subdivision data </w:t>
      </w:r>
      <w:r w:rsidR="00242F34">
        <w:rPr>
          <w:lang w:eastAsia="en-US"/>
        </w:rPr>
        <w:t>are</w:t>
      </w:r>
      <w:r>
        <w:rPr>
          <w:lang w:eastAsia="en-US"/>
        </w:rPr>
        <w:t xml:space="preserve"> sourced from </w:t>
      </w:r>
      <w:r w:rsidR="0001763B">
        <w:rPr>
          <w:lang w:eastAsia="en-US"/>
        </w:rPr>
        <w:t xml:space="preserve">ABS </w:t>
      </w:r>
      <w:r>
        <w:rPr>
          <w:lang w:eastAsia="en-US"/>
        </w:rPr>
        <w:t xml:space="preserve">publications based on the </w:t>
      </w:r>
      <w:r w:rsidR="0001763B" w:rsidRPr="002E78D3">
        <w:rPr>
          <w:i/>
          <w:lang w:eastAsia="en-US"/>
        </w:rPr>
        <w:t xml:space="preserve">Manufacturing </w:t>
      </w:r>
      <w:r w:rsidR="002E78D3" w:rsidRPr="002E78D3">
        <w:rPr>
          <w:i/>
          <w:lang w:eastAsia="en-US"/>
        </w:rPr>
        <w:t>C</w:t>
      </w:r>
      <w:r w:rsidRPr="002E78D3">
        <w:rPr>
          <w:i/>
          <w:lang w:eastAsia="en-US"/>
        </w:rPr>
        <w:t>ensus</w:t>
      </w:r>
      <w:r>
        <w:rPr>
          <w:lang w:eastAsia="en-US"/>
        </w:rPr>
        <w:t xml:space="preserve"> and </w:t>
      </w:r>
      <w:r w:rsidR="0001763B" w:rsidRPr="002E78D3">
        <w:rPr>
          <w:i/>
          <w:lang w:eastAsia="en-US"/>
        </w:rPr>
        <w:t>Economic Activity Survey</w:t>
      </w:r>
      <w:r w:rsidR="009C682B">
        <w:rPr>
          <w:lang w:eastAsia="en-US"/>
        </w:rPr>
        <w:t>. The</w:t>
      </w:r>
      <w:r>
        <w:rPr>
          <w:lang w:eastAsia="en-US"/>
        </w:rPr>
        <w:t xml:space="preserve"> subsector data </w:t>
      </w:r>
      <w:r w:rsidR="009C682B">
        <w:rPr>
          <w:lang w:eastAsia="en-US"/>
        </w:rPr>
        <w:t xml:space="preserve">are also based on these sources, </w:t>
      </w:r>
      <w:r w:rsidR="00A020DB">
        <w:rPr>
          <w:lang w:eastAsia="en-US"/>
        </w:rPr>
        <w:t>together with</w:t>
      </w:r>
      <w:r w:rsidR="009C682B">
        <w:rPr>
          <w:lang w:eastAsia="en-US"/>
        </w:rPr>
        <w:t xml:space="preserve"> a range of other information </w:t>
      </w:r>
      <w:r w:rsidR="00C8066C">
        <w:rPr>
          <w:lang w:eastAsia="en-US"/>
        </w:rPr>
        <w:t xml:space="preserve">the ABS uses </w:t>
      </w:r>
      <w:r w:rsidR="009C682B">
        <w:rPr>
          <w:lang w:eastAsia="en-US"/>
        </w:rPr>
        <w:t>in</w:t>
      </w:r>
      <w:r>
        <w:rPr>
          <w:lang w:eastAsia="en-US"/>
        </w:rPr>
        <w:t xml:space="preserve"> compiling the </w:t>
      </w:r>
      <w:r w:rsidR="001B30CA">
        <w:rPr>
          <w:lang w:eastAsia="en-US"/>
        </w:rPr>
        <w:t>National Accounts</w:t>
      </w:r>
      <w:r>
        <w:rPr>
          <w:lang w:eastAsia="en-US"/>
        </w:rPr>
        <w:t>.</w:t>
      </w:r>
      <w:r w:rsidR="00B35E4D">
        <w:rPr>
          <w:rStyle w:val="FootnoteReference"/>
          <w:lang w:eastAsia="en-US"/>
        </w:rPr>
        <w:footnoteReference w:id="2"/>
      </w:r>
      <w:r>
        <w:rPr>
          <w:lang w:eastAsia="en-US"/>
        </w:rPr>
        <w:t xml:space="preserve"> </w:t>
      </w:r>
    </w:p>
    <w:p w:rsidR="00B81E53" w:rsidRDefault="003F6316" w:rsidP="005D2CBB">
      <w:pPr>
        <w:pStyle w:val="BodyText"/>
        <w:rPr>
          <w:lang w:eastAsia="en-US"/>
        </w:rPr>
      </w:pPr>
      <w:r>
        <w:t xml:space="preserve">The sales and service income measures are closer to value added growth for </w:t>
      </w:r>
      <w:proofErr w:type="spellStart"/>
      <w:r>
        <w:t>PCCR</w:t>
      </w:r>
      <w:proofErr w:type="spellEnd"/>
      <w:r w:rsidR="005B343C">
        <w:t>.</w:t>
      </w:r>
      <w:r>
        <w:t xml:space="preserve"> </w:t>
      </w:r>
      <w:r w:rsidR="005B343C">
        <w:t>I</w:t>
      </w:r>
      <w:r>
        <w:t>t is for this reason that the sales and service income measures are</w:t>
      </w:r>
      <w:r w:rsidR="00B81E53">
        <w:t xml:space="preserve"> used in chapter 4 to help explain what occurred at the subdivision level in terms of output trends.</w:t>
      </w:r>
    </w:p>
    <w:p w:rsidR="00B721AD" w:rsidRPr="00B96127" w:rsidRDefault="00E11F03" w:rsidP="00B721AD">
      <w:pPr>
        <w:pStyle w:val="Heading2"/>
      </w:pPr>
      <w:proofErr w:type="spellStart"/>
      <w:r w:rsidRPr="00B96127">
        <w:t>F.</w:t>
      </w:r>
      <w:r w:rsidR="00E03438" w:rsidRPr="00B96127">
        <w:t>2</w:t>
      </w:r>
      <w:proofErr w:type="spellEnd"/>
      <w:r w:rsidR="00B721AD" w:rsidRPr="00B96127">
        <w:tab/>
      </w:r>
      <w:proofErr w:type="spellStart"/>
      <w:r w:rsidR="00C13B1D" w:rsidRPr="00B96127">
        <w:t>PCCR</w:t>
      </w:r>
      <w:proofErr w:type="spellEnd"/>
      <w:r w:rsidR="00B721AD" w:rsidRPr="00B96127">
        <w:t xml:space="preserve"> trade</w:t>
      </w:r>
    </w:p>
    <w:p w:rsidR="00F70365" w:rsidRDefault="005A39F0" w:rsidP="00894E51">
      <w:pPr>
        <w:pStyle w:val="BodyText"/>
      </w:pPr>
      <w:r>
        <w:t xml:space="preserve">One of the </w:t>
      </w:r>
      <w:r w:rsidR="001D68AC">
        <w:t xml:space="preserve">trends discussed in chapter 4 was the rising </w:t>
      </w:r>
      <w:r w:rsidR="001C1659">
        <w:t>volume of imports of chemical and plastic products</w:t>
      </w:r>
      <w:r w:rsidR="005E26C3">
        <w:t xml:space="preserve"> (table </w:t>
      </w:r>
      <w:r w:rsidR="00E11F03">
        <w:t>4.3</w:t>
      </w:r>
      <w:r w:rsidR="005E26C3">
        <w:t>)</w:t>
      </w:r>
      <w:r w:rsidR="001C1659">
        <w:t xml:space="preserve">. </w:t>
      </w:r>
      <w:r w:rsidR="00A817A0">
        <w:t xml:space="preserve">Data for imports </w:t>
      </w:r>
      <w:r w:rsidR="00A10346">
        <w:t xml:space="preserve">— </w:t>
      </w:r>
      <w:r w:rsidR="00A817A0">
        <w:t xml:space="preserve">available </w:t>
      </w:r>
      <w:r w:rsidR="00261311">
        <w:t xml:space="preserve">on a </w:t>
      </w:r>
      <w:r w:rsidR="009D10EC">
        <w:t>Standard International Trade Classification (</w:t>
      </w:r>
      <w:proofErr w:type="spellStart"/>
      <w:r w:rsidR="009D10EC">
        <w:t>SITC</w:t>
      </w:r>
      <w:proofErr w:type="spellEnd"/>
      <w:r w:rsidR="009D10EC">
        <w:t>)</w:t>
      </w:r>
      <w:r w:rsidR="00261311">
        <w:t xml:space="preserve"> basis</w:t>
      </w:r>
      <w:r w:rsidR="0007203F" w:rsidRPr="0007203F">
        <w:t xml:space="preserve"> </w:t>
      </w:r>
      <w:r w:rsidR="0007203F">
        <w:t xml:space="preserve">rather than an </w:t>
      </w:r>
      <w:r w:rsidR="00A10346" w:rsidRPr="00A10346">
        <w:t>Australian and New Zealand Standard Industrial Classification (</w:t>
      </w:r>
      <w:proofErr w:type="spellStart"/>
      <w:r w:rsidR="0007203F">
        <w:t>ANZSIC</w:t>
      </w:r>
      <w:proofErr w:type="spellEnd"/>
      <w:r w:rsidR="00A10346">
        <w:t>)</w:t>
      </w:r>
      <w:r w:rsidR="0007203F">
        <w:t xml:space="preserve"> basis</w:t>
      </w:r>
      <w:r w:rsidR="00A10346">
        <w:t xml:space="preserve"> —</w:t>
      </w:r>
      <w:r w:rsidR="00261311">
        <w:t xml:space="preserve"> showed that the fastest volume growth from cycle 3 to cycle 4 occurred in the ‘Organic chemicals’ and ‘Plastics in non-primary form’</w:t>
      </w:r>
      <w:r w:rsidR="003C683F">
        <w:t xml:space="preserve"> groups.</w:t>
      </w:r>
    </w:p>
    <w:p w:rsidR="00204E4E" w:rsidRDefault="00E528FB" w:rsidP="00894E51">
      <w:pPr>
        <w:pStyle w:val="BodyText"/>
      </w:pPr>
      <w:r>
        <w:t xml:space="preserve">Within </w:t>
      </w:r>
      <w:r w:rsidR="007729DA">
        <w:t>‘</w:t>
      </w:r>
      <w:r w:rsidR="004B72E6">
        <w:t>O</w:t>
      </w:r>
      <w:r>
        <w:t>rganic chemicals</w:t>
      </w:r>
      <w:r w:rsidR="007729DA">
        <w:t>’</w:t>
      </w:r>
      <w:r>
        <w:t>, growth was particularly strong in subgroup 515: ‘</w:t>
      </w:r>
      <w:proofErr w:type="spellStart"/>
      <w:r>
        <w:t>Organo</w:t>
      </w:r>
      <w:proofErr w:type="spellEnd"/>
      <w:r>
        <w:t xml:space="preserve">-inorganic compounds, heterocyclic compounds, nucleic acids and their salts, and sulphonamides’, with import growth rising from -0.8 to 7.4 per cent a year over cycles 3 and 4, respectively. </w:t>
      </w:r>
    </w:p>
    <w:p w:rsidR="00F27106" w:rsidRDefault="007729DA" w:rsidP="00894E51">
      <w:pPr>
        <w:pStyle w:val="BodyText"/>
      </w:pPr>
      <w:r>
        <w:t>‘</w:t>
      </w:r>
      <w:r w:rsidR="00F27106">
        <w:t>Plastics in non-primary form’ consist</w:t>
      </w:r>
      <w:r>
        <w:t>s</w:t>
      </w:r>
      <w:r w:rsidR="00F27106">
        <w:t xml:space="preserve"> of three subgroups in the </w:t>
      </w:r>
      <w:proofErr w:type="spellStart"/>
      <w:r w:rsidR="00F27106">
        <w:t>SITC</w:t>
      </w:r>
      <w:proofErr w:type="spellEnd"/>
      <w:r w:rsidR="00AB4622">
        <w:t xml:space="preserve"> </w:t>
      </w:r>
      <w:r w:rsidR="00F27106">
        <w:t xml:space="preserve">3 </w:t>
      </w:r>
      <w:r w:rsidR="00242F34">
        <w:t>and</w:t>
      </w:r>
      <w:r w:rsidR="00F27106">
        <w:t xml:space="preserve"> 4 classifications — codes 581 to 583. All these subgroups</w:t>
      </w:r>
      <w:r w:rsidR="00F27106" w:rsidRPr="00F657F1">
        <w:t xml:space="preserve"> experienced an acceleration of import growth</w:t>
      </w:r>
      <w:r w:rsidR="00F27106">
        <w:t xml:space="preserve"> from cycle 3 to 4</w:t>
      </w:r>
      <w:r w:rsidR="00F27106" w:rsidRPr="00F657F1">
        <w:t>, with the largest contribution coming from ‘Plates, sheets, film, foil and strip, of plastics’, and the fastest growth occurring in ‘Tubes, pipes and hoses, and fi</w:t>
      </w:r>
      <w:r w:rsidR="005B343C">
        <w:t xml:space="preserve">ttings therefor, of plastics’. </w:t>
      </w:r>
      <w:r w:rsidR="00F27106" w:rsidRPr="00F657F1">
        <w:t xml:space="preserve">‘Plates, sheets, film, foil </w:t>
      </w:r>
      <w:r w:rsidR="00F27106" w:rsidRPr="00F657F1">
        <w:lastRenderedPageBreak/>
        <w:t xml:space="preserve">and strip, of plastics’ make up about </w:t>
      </w:r>
      <w:r w:rsidR="005B343C">
        <w:t>80 per cent of imports by value</w:t>
      </w:r>
      <w:r w:rsidR="00F27106" w:rsidRPr="00F657F1">
        <w:t xml:space="preserve"> </w:t>
      </w:r>
      <w:r w:rsidR="00F27106">
        <w:t>(</w:t>
      </w:r>
      <w:r w:rsidR="0001763B">
        <w:t xml:space="preserve">based </w:t>
      </w:r>
      <w:r w:rsidR="00F27106">
        <w:t xml:space="preserve">on </w:t>
      </w:r>
      <w:r w:rsidR="00F82B25">
        <w:t>UN 2013</w:t>
      </w:r>
      <w:r w:rsidR="00A77657">
        <w:t xml:space="preserve"> trade</w:t>
      </w:r>
      <w:r w:rsidR="00F27106">
        <w:t xml:space="preserve"> data), growth in the import volume of ‘</w:t>
      </w:r>
      <w:r w:rsidR="00F27106" w:rsidRPr="006645EE">
        <w:t>Plates, sheets, film, foil and strip, of plastics</w:t>
      </w:r>
      <w:r w:rsidR="00F27106">
        <w:t xml:space="preserve">’ was approximately 3.9 per cent </w:t>
      </w:r>
      <w:r w:rsidR="005B343C">
        <w:t>a</w:t>
      </w:r>
      <w:r w:rsidR="00F27106">
        <w:t xml:space="preserve"> year over cycle 3 and accelerated to 7.3 per cent </w:t>
      </w:r>
      <w:r w:rsidR="005B343C">
        <w:t>a</w:t>
      </w:r>
      <w:r w:rsidR="00F27106">
        <w:t xml:space="preserve"> year over cycle 4. The volume of imports of ‘</w:t>
      </w:r>
      <w:r w:rsidR="00F27106" w:rsidRPr="000D343C">
        <w:t>Tubes, pipes and hoses, and fittings therefor, of plastics</w:t>
      </w:r>
      <w:r w:rsidR="00F27106">
        <w:t xml:space="preserve">’ fell during cycle 3 by approximately 4.4 per cent </w:t>
      </w:r>
      <w:r w:rsidR="005B343C">
        <w:t>a</w:t>
      </w:r>
      <w:r w:rsidR="00F27106">
        <w:t xml:space="preserve"> year before rising to around 16.1 per cent </w:t>
      </w:r>
      <w:r w:rsidR="005B343C">
        <w:t>a</w:t>
      </w:r>
      <w:r w:rsidR="00F27106">
        <w:t xml:space="preserve"> year over cycle 4.</w:t>
      </w:r>
    </w:p>
    <w:p w:rsidR="00F27106" w:rsidRDefault="00B044ED" w:rsidP="00B044ED">
      <w:pPr>
        <w:pStyle w:val="Heading4"/>
      </w:pPr>
      <w:r>
        <w:t>Effective rates of assistance</w:t>
      </w:r>
    </w:p>
    <w:p w:rsidR="00894E51" w:rsidRDefault="00894E51" w:rsidP="00894E51">
      <w:pPr>
        <w:pStyle w:val="BodyText"/>
      </w:pPr>
      <w:r>
        <w:t xml:space="preserve">The combined value of budget and tariff assistance to both </w:t>
      </w:r>
      <w:proofErr w:type="spellStart"/>
      <w:r>
        <w:t>PCCR</w:t>
      </w:r>
      <w:proofErr w:type="spellEnd"/>
      <w:r>
        <w:t xml:space="preserve"> and </w:t>
      </w:r>
      <w:r w:rsidR="005B343C">
        <w:t>M</w:t>
      </w:r>
      <w:r>
        <w:t xml:space="preserve">anufacturing, expressed as a share of their value of output, has been constant at </w:t>
      </w:r>
      <w:r w:rsidR="00FE4F7E">
        <w:t xml:space="preserve">around </w:t>
      </w:r>
      <w:r>
        <w:t xml:space="preserve">5 per cent </w:t>
      </w:r>
      <w:r w:rsidR="00B97724">
        <w:t>since the mid-</w:t>
      </w:r>
      <w:proofErr w:type="spellStart"/>
      <w:r w:rsidR="00B97724">
        <w:t>1990s</w:t>
      </w:r>
      <w:proofErr w:type="spellEnd"/>
      <w:r w:rsidR="005B343C">
        <w:t xml:space="preserve"> (figure </w:t>
      </w:r>
      <w:proofErr w:type="spellStart"/>
      <w:r w:rsidR="005B343C">
        <w:t>F.2</w:t>
      </w:r>
      <w:proofErr w:type="spellEnd"/>
      <w:r w:rsidR="005B343C">
        <w:t>)</w:t>
      </w:r>
      <w:r>
        <w:t xml:space="preserve">. Prior to this, from the early </w:t>
      </w:r>
      <w:proofErr w:type="spellStart"/>
      <w:r>
        <w:t>1980s</w:t>
      </w:r>
      <w:proofErr w:type="spellEnd"/>
      <w:r>
        <w:t xml:space="preserve"> to the mid-</w:t>
      </w:r>
      <w:proofErr w:type="spellStart"/>
      <w:r>
        <w:t>1990s</w:t>
      </w:r>
      <w:proofErr w:type="spellEnd"/>
      <w:r>
        <w:t xml:space="preserve">, the effective rate of assistance to </w:t>
      </w:r>
      <w:proofErr w:type="spellStart"/>
      <w:r>
        <w:t>PCCR</w:t>
      </w:r>
      <w:proofErr w:type="spellEnd"/>
      <w:r>
        <w:t xml:space="preserve"> and </w:t>
      </w:r>
      <w:r w:rsidR="005B343C">
        <w:t>M</w:t>
      </w:r>
      <w:r>
        <w:t xml:space="preserve">anufacturing in total declined — with </w:t>
      </w:r>
      <w:proofErr w:type="spellStart"/>
      <w:r>
        <w:t>PCCR</w:t>
      </w:r>
      <w:proofErr w:type="spellEnd"/>
      <w:r>
        <w:t xml:space="preserve"> starting at a lower level of assistance than </w:t>
      </w:r>
      <w:r w:rsidR="005B343C">
        <w:t>M</w:t>
      </w:r>
      <w:r>
        <w:t xml:space="preserve">anufacturing. </w:t>
      </w:r>
    </w:p>
    <w:p w:rsidR="00894E51" w:rsidRDefault="00894E51" w:rsidP="00894E51">
      <w:pPr>
        <w:pStyle w:val="FigureTitle"/>
      </w:pPr>
      <w:r>
        <w:rPr>
          <w:b w:val="0"/>
        </w:rPr>
        <w:t xml:space="preserve">Figure </w:t>
      </w:r>
      <w:bookmarkStart w:id="7" w:name="OLE_LINK1"/>
      <w:proofErr w:type="spellStart"/>
      <w:r w:rsidR="00E11F03">
        <w:rPr>
          <w:b w:val="0"/>
        </w:rPr>
        <w:t>F.</w:t>
      </w:r>
      <w:r w:rsidR="00E03438">
        <w:rPr>
          <w:b w:val="0"/>
          <w:noProof/>
        </w:rPr>
        <w:t>2</w:t>
      </w:r>
      <w:bookmarkEnd w:id="7"/>
      <w:proofErr w:type="spellEnd"/>
      <w:r>
        <w:tab/>
        <w:t xml:space="preserve">Effective rates of assistance, </w:t>
      </w:r>
      <w:proofErr w:type="spellStart"/>
      <w:r>
        <w:t>PCCR</w:t>
      </w:r>
      <w:proofErr w:type="spellEnd"/>
      <w:r>
        <w:t xml:space="preserve"> and </w:t>
      </w:r>
      <w:r w:rsidR="00077082">
        <w:t>M</w:t>
      </w:r>
      <w:r>
        <w:t>anufacturing</w:t>
      </w:r>
      <w:r w:rsidR="00A13EBE" w:rsidRPr="003B64FB">
        <w:rPr>
          <w:rStyle w:val="NoteLabel"/>
          <w:b/>
        </w:rPr>
        <w:t>a</w:t>
      </w:r>
    </w:p>
    <w:p w:rsidR="008D2E5E" w:rsidRPr="008D2E5E" w:rsidRDefault="008D2E5E" w:rsidP="008D2E5E">
      <w:pPr>
        <w:pStyle w:val="Subtitle"/>
        <w:rPr>
          <w:szCs w:val="20"/>
        </w:rPr>
      </w:pPr>
      <w:r w:rsidRPr="008D2E5E">
        <w:rPr>
          <w:szCs w:val="20"/>
        </w:rPr>
        <w:t>Per cent</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894E51" w:rsidTr="00FF1FA9">
        <w:tc>
          <w:tcPr>
            <w:tcW w:w="8777" w:type="dxa"/>
          </w:tcPr>
          <w:p w:rsidR="00894E51" w:rsidRDefault="00D1236A" w:rsidP="00FF1FA9">
            <w:pPr>
              <w:pStyle w:val="Figure"/>
            </w:pPr>
            <w:r>
              <w:rPr>
                <w:noProof/>
              </w:rPr>
              <w:pict>
                <v:shape id="_x0000_i1029" type="#_x0000_t75" alt="This figure shows the effective rate of assistance for PCCR and Manufacturing as a whole over the period of 1982-83 to 2010-11. For the earlier half of the period, the effective rate of assistance was higher for Manufacturing as a whole, than it was for PCCR. It shows that the rate of assistance for both fell until about 1997-98 and has been relatively flat at about 5 per cent since then." style="width:424.45pt;height:198.4pt">
                  <v:imagedata r:id="rId13" o:title=""/>
                </v:shape>
              </w:pict>
            </w:r>
          </w:p>
        </w:tc>
      </w:tr>
    </w:tbl>
    <w:p w:rsidR="00A13EBE" w:rsidRDefault="00A13EBE" w:rsidP="00A13EBE">
      <w:pPr>
        <w:pStyle w:val="Note"/>
      </w:pPr>
      <w:r>
        <w:rPr>
          <w:rStyle w:val="NoteLabel"/>
        </w:rPr>
        <w:t>a</w:t>
      </w:r>
      <w:r>
        <w:t xml:space="preserve"> </w:t>
      </w:r>
      <w:r w:rsidRPr="003B64FB">
        <w:t>Breaks in the series are represented by gaps in the chart, and overlaps are included to show the effects of the methodological and data changes made in moving between series.</w:t>
      </w:r>
    </w:p>
    <w:p w:rsidR="00894E51" w:rsidRPr="006D4ABB" w:rsidRDefault="00894E51" w:rsidP="00894E51">
      <w:pPr>
        <w:pStyle w:val="Source"/>
      </w:pPr>
      <w:r>
        <w:rPr>
          <w:i/>
        </w:rPr>
        <w:t>Data source</w:t>
      </w:r>
      <w:r w:rsidRPr="00167F06">
        <w:t xml:space="preserve">: </w:t>
      </w:r>
      <w:r>
        <w:t xml:space="preserve">PC </w:t>
      </w:r>
      <w:r w:rsidR="00B4159B">
        <w:t>(2011).</w:t>
      </w:r>
    </w:p>
    <w:p w:rsidR="00C153FE" w:rsidRPr="00FF52E2" w:rsidRDefault="00C153FE" w:rsidP="00FF52E2">
      <w:pPr>
        <w:pStyle w:val="BodyText"/>
      </w:pPr>
      <w:r w:rsidRPr="00FF52E2">
        <w:br w:type="page"/>
      </w:r>
    </w:p>
    <w:p w:rsidR="00B721AD" w:rsidRPr="00B96127" w:rsidRDefault="00E11F03" w:rsidP="004B6A2C">
      <w:pPr>
        <w:pStyle w:val="Heading2"/>
      </w:pPr>
      <w:proofErr w:type="spellStart"/>
      <w:r w:rsidRPr="004B6A2C">
        <w:lastRenderedPageBreak/>
        <w:t>F.</w:t>
      </w:r>
      <w:r w:rsidR="00E03438" w:rsidRPr="004B6A2C">
        <w:t>3</w:t>
      </w:r>
      <w:proofErr w:type="spellEnd"/>
      <w:r w:rsidR="00B721AD" w:rsidRPr="00B96127">
        <w:tab/>
      </w:r>
      <w:proofErr w:type="spellStart"/>
      <w:r w:rsidR="00C13B1D" w:rsidRPr="00B96127">
        <w:t>PCCR</w:t>
      </w:r>
      <w:proofErr w:type="spellEnd"/>
      <w:r w:rsidR="00C13B1D" w:rsidRPr="00B96127">
        <w:t xml:space="preserve"> </w:t>
      </w:r>
      <w:r w:rsidR="00B721AD" w:rsidRPr="00B96127">
        <w:t>hours worked and employment</w:t>
      </w:r>
    </w:p>
    <w:p w:rsidR="00311DC3" w:rsidRDefault="00311DC3" w:rsidP="00311DC3">
      <w:pPr>
        <w:pStyle w:val="Heading4"/>
      </w:pPr>
      <w:r>
        <w:t>Group-level hours worked data</w:t>
      </w:r>
    </w:p>
    <w:p w:rsidR="006E1B2C" w:rsidRDefault="00311DC3" w:rsidP="00C153FE">
      <w:pPr>
        <w:pStyle w:val="BodyText"/>
        <w:spacing w:before="200"/>
      </w:pPr>
      <w:r>
        <w:t xml:space="preserve">It is difficult to determine which parts of each subsector are behind the changes in hours worked between cycles 3 and 4. Table </w:t>
      </w:r>
      <w:proofErr w:type="spellStart"/>
      <w:r w:rsidR="00E11F03">
        <w:t>F.2</w:t>
      </w:r>
      <w:proofErr w:type="spellEnd"/>
      <w:r w:rsidR="00C83986">
        <w:t xml:space="preserve"> </w:t>
      </w:r>
      <w:r>
        <w:t>uses additional unpublished ABS data to estimate contributions by the groups in each subdivision (where applicable). However, limitations in the data at this lower level of disaggregation</w:t>
      </w:r>
      <w:r w:rsidR="007D2822">
        <w:t xml:space="preserve"> were larger over cycle 4. In</w:t>
      </w:r>
      <w:r>
        <w:t xml:space="preserve"> particular</w:t>
      </w:r>
      <w:r w:rsidR="007D2822">
        <w:t>,</w:t>
      </w:r>
      <w:r>
        <w:t xml:space="preserve"> </w:t>
      </w:r>
      <w:r w:rsidR="007D2822">
        <w:t xml:space="preserve">there was an increase in the number of </w:t>
      </w:r>
      <w:r>
        <w:t xml:space="preserve">hours worked that </w:t>
      </w:r>
      <w:r w:rsidR="007D2822">
        <w:t xml:space="preserve">the ABS was unable to allocate to specific </w:t>
      </w:r>
      <w:proofErr w:type="spellStart"/>
      <w:r w:rsidR="007D2822">
        <w:t>ANZSIC</w:t>
      </w:r>
      <w:proofErr w:type="spellEnd"/>
      <w:r w:rsidR="007D2822">
        <w:t xml:space="preserve"> groups within each subdivision (that is, </w:t>
      </w:r>
      <w:r w:rsidR="00896426">
        <w:t>were allocated to</w:t>
      </w:r>
      <w:r w:rsidR="007D2822">
        <w:t xml:space="preserve"> </w:t>
      </w:r>
      <w:r w:rsidR="00247F04">
        <w:t>‘not further defined’</w:t>
      </w:r>
      <w:r w:rsidR="007D2822">
        <w:t xml:space="preserve"> categories)</w:t>
      </w:r>
      <w:r>
        <w:t xml:space="preserve">. Accordingly, the data should be considered as indicative only. </w:t>
      </w:r>
    </w:p>
    <w:p w:rsidR="008C48A8" w:rsidRDefault="007E4C59" w:rsidP="00C153FE">
      <w:pPr>
        <w:pStyle w:val="BodyText"/>
        <w:spacing w:before="200"/>
      </w:pPr>
      <w:r>
        <w:t xml:space="preserve">The </w:t>
      </w:r>
      <w:r w:rsidR="00DC11CF">
        <w:t xml:space="preserve">data indicate that </w:t>
      </w:r>
      <w:r w:rsidR="0064633A">
        <w:t xml:space="preserve">hours worked in </w:t>
      </w:r>
      <w:proofErr w:type="spellStart"/>
      <w:r w:rsidR="0064633A">
        <w:t>PCCR</w:t>
      </w:r>
      <w:proofErr w:type="spellEnd"/>
      <w:r w:rsidR="0064633A">
        <w:t xml:space="preserve"> declined in cycle 3 as hours worked in Chemicals and Polymers declined at a rate sufficient to offset the growth in hours worked in the (relatively small) Petroleum subdivision. In cycle 4, however, hours worked growth in Petroleum and Polymers was sufficient to almost exactly offset a decline in hours worked in Chemicals</w:t>
      </w:r>
      <w:r w:rsidR="00E66DF4">
        <w:t xml:space="preserve"> (table </w:t>
      </w:r>
      <w:proofErr w:type="spellStart"/>
      <w:r w:rsidR="00E11F03">
        <w:t>F.2</w:t>
      </w:r>
      <w:proofErr w:type="spellEnd"/>
      <w:r w:rsidR="00E66DF4">
        <w:t>)</w:t>
      </w:r>
      <w:r w:rsidR="0064633A">
        <w:t xml:space="preserve">. </w:t>
      </w:r>
      <w:r w:rsidR="00767F2D">
        <w:t xml:space="preserve">Of interest is the slowing decline in hours worked growth in Chemicals (from cycle 3 to cycle 4) and the reversal of hours worked growth </w:t>
      </w:r>
      <w:r w:rsidR="008C48A8">
        <w:t>(from a decline to growth) in Polymers.</w:t>
      </w:r>
    </w:p>
    <w:p w:rsidR="00311DC3" w:rsidRDefault="00311DC3" w:rsidP="00311DC3">
      <w:pPr>
        <w:pStyle w:val="TableTitle"/>
      </w:pPr>
      <w:r>
        <w:rPr>
          <w:b w:val="0"/>
        </w:rPr>
        <w:t xml:space="preserve">Table </w:t>
      </w:r>
      <w:bookmarkStart w:id="8" w:name="OLE_LINK23"/>
      <w:proofErr w:type="spellStart"/>
      <w:r w:rsidR="00E11F03">
        <w:rPr>
          <w:b w:val="0"/>
        </w:rPr>
        <w:t>F.</w:t>
      </w:r>
      <w:r w:rsidR="00E03438">
        <w:rPr>
          <w:b w:val="0"/>
          <w:noProof/>
        </w:rPr>
        <w:t>2</w:t>
      </w:r>
      <w:bookmarkEnd w:id="8"/>
      <w:proofErr w:type="spellEnd"/>
      <w:r>
        <w:tab/>
      </w:r>
      <w:r w:rsidR="00A54B31">
        <w:t xml:space="preserve">Contribution of </w:t>
      </w:r>
      <w:proofErr w:type="spellStart"/>
      <w:r w:rsidR="00A54B31">
        <w:t>PCCR</w:t>
      </w:r>
      <w:proofErr w:type="spellEnd"/>
      <w:r w:rsidR="00A54B31">
        <w:t xml:space="preserve"> groups to </w:t>
      </w:r>
      <w:proofErr w:type="spellStart"/>
      <w:r w:rsidR="00A54B31">
        <w:t>PCCR</w:t>
      </w:r>
      <w:proofErr w:type="spellEnd"/>
      <w:r w:rsidR="00A54B31">
        <w:t xml:space="preserve"> subdivision hours worked growth</w:t>
      </w:r>
      <w:r w:rsidR="00503F30" w:rsidRPr="00503F30">
        <w:rPr>
          <w:rStyle w:val="NoteLabel"/>
          <w:b/>
        </w:rPr>
        <w:t>a</w:t>
      </w:r>
    </w:p>
    <w:p w:rsidR="00311DC3" w:rsidRDefault="00311DC3" w:rsidP="00311DC3">
      <w:pPr>
        <w:pStyle w:val="Subtitle"/>
      </w:pPr>
      <w:r>
        <w:t>Percentage points</w:t>
      </w:r>
    </w:p>
    <w:tbl>
      <w:tblPr>
        <w:tblW w:w="5000" w:type="pct"/>
        <w:tblCellMar>
          <w:left w:w="0" w:type="dxa"/>
          <w:right w:w="0" w:type="dxa"/>
        </w:tblCellMar>
        <w:tblLook w:val="0000" w:firstRow="0" w:lastRow="0" w:firstColumn="0" w:lastColumn="0" w:noHBand="0" w:noVBand="0"/>
      </w:tblPr>
      <w:tblGrid>
        <w:gridCol w:w="5323"/>
        <w:gridCol w:w="1199"/>
        <w:gridCol w:w="1276"/>
        <w:gridCol w:w="991"/>
      </w:tblGrid>
      <w:tr w:rsidR="00311DC3" w:rsidTr="00400346">
        <w:tc>
          <w:tcPr>
            <w:tcW w:w="3028" w:type="pct"/>
            <w:tcBorders>
              <w:top w:val="single" w:sz="6" w:space="0" w:color="auto"/>
              <w:bottom w:val="single" w:sz="6" w:space="0" w:color="auto"/>
            </w:tcBorders>
            <w:shd w:val="clear" w:color="auto" w:fill="auto"/>
            <w:vAlign w:val="bottom"/>
          </w:tcPr>
          <w:p w:rsidR="00311DC3" w:rsidRDefault="00503BF9" w:rsidP="0040153B">
            <w:pPr>
              <w:pStyle w:val="TableColumnHeading"/>
              <w:jc w:val="left"/>
              <w:rPr>
                <w:rFonts w:eastAsiaTheme="minorHAnsi" w:cstheme="minorBidi"/>
                <w:szCs w:val="22"/>
                <w:lang w:eastAsia="en-US"/>
              </w:rPr>
            </w:pPr>
            <w:proofErr w:type="spellStart"/>
            <w:r>
              <w:t>ANZSIC</w:t>
            </w:r>
            <w:proofErr w:type="spellEnd"/>
            <w:r>
              <w:t xml:space="preserve"> subdivision/group</w:t>
            </w:r>
          </w:p>
        </w:tc>
        <w:tc>
          <w:tcPr>
            <w:tcW w:w="682" w:type="pct"/>
            <w:tcBorders>
              <w:top w:val="single" w:sz="6" w:space="0" w:color="auto"/>
              <w:bottom w:val="single" w:sz="6" w:space="0" w:color="auto"/>
            </w:tcBorders>
            <w:shd w:val="clear" w:color="auto" w:fill="auto"/>
            <w:vAlign w:val="bottom"/>
          </w:tcPr>
          <w:p w:rsidR="00311DC3" w:rsidRDefault="00311DC3" w:rsidP="00400346">
            <w:pPr>
              <w:pStyle w:val="TableColumnHeading"/>
            </w:pPr>
            <w:r>
              <w:t>Contribution over cycle 3</w:t>
            </w:r>
          </w:p>
        </w:tc>
        <w:tc>
          <w:tcPr>
            <w:tcW w:w="726" w:type="pct"/>
            <w:tcBorders>
              <w:top w:val="single" w:sz="6" w:space="0" w:color="auto"/>
              <w:bottom w:val="single" w:sz="6" w:space="0" w:color="auto"/>
            </w:tcBorders>
            <w:shd w:val="clear" w:color="auto" w:fill="auto"/>
            <w:vAlign w:val="bottom"/>
          </w:tcPr>
          <w:p w:rsidR="00311DC3" w:rsidRDefault="00311DC3" w:rsidP="00400346">
            <w:pPr>
              <w:pStyle w:val="TableColumnHeading"/>
            </w:pPr>
            <w:r>
              <w:t>Contribution over cycle 4</w:t>
            </w:r>
          </w:p>
        </w:tc>
        <w:tc>
          <w:tcPr>
            <w:tcW w:w="564" w:type="pct"/>
            <w:tcBorders>
              <w:top w:val="single" w:sz="6" w:space="0" w:color="auto"/>
              <w:bottom w:val="single" w:sz="6" w:space="0" w:color="auto"/>
            </w:tcBorders>
            <w:shd w:val="clear" w:color="auto" w:fill="auto"/>
            <w:vAlign w:val="bottom"/>
          </w:tcPr>
          <w:p w:rsidR="00311DC3" w:rsidRDefault="00311DC3" w:rsidP="00400346">
            <w:pPr>
              <w:pStyle w:val="TableColumnHeading"/>
              <w:ind w:right="28"/>
            </w:pPr>
            <w:r>
              <w:t>Difference</w:t>
            </w:r>
          </w:p>
        </w:tc>
      </w:tr>
      <w:tr w:rsidR="00311DC3" w:rsidRPr="0055371F" w:rsidTr="00726992">
        <w:tc>
          <w:tcPr>
            <w:tcW w:w="3028" w:type="pct"/>
            <w:shd w:val="clear" w:color="auto" w:fill="D9D9D9" w:themeFill="background1" w:themeFillShade="D9"/>
          </w:tcPr>
          <w:p w:rsidR="00311DC3" w:rsidRPr="0055371F" w:rsidRDefault="00311DC3" w:rsidP="00C153FE">
            <w:pPr>
              <w:pStyle w:val="TableBodyText"/>
              <w:spacing w:before="60"/>
              <w:jc w:val="left"/>
              <w:rPr>
                <w:b/>
              </w:rPr>
            </w:pPr>
            <w:r w:rsidRPr="0055371F">
              <w:rPr>
                <w:b/>
              </w:rPr>
              <w:t>Petroleum refining</w:t>
            </w:r>
          </w:p>
        </w:tc>
        <w:tc>
          <w:tcPr>
            <w:tcW w:w="682" w:type="pct"/>
            <w:shd w:val="clear" w:color="auto" w:fill="D9D9D9" w:themeFill="background1" w:themeFillShade="D9"/>
            <w:vAlign w:val="bottom"/>
          </w:tcPr>
          <w:p w:rsidR="00311DC3" w:rsidRPr="0055371F" w:rsidRDefault="00311DC3" w:rsidP="00726992">
            <w:pPr>
              <w:pStyle w:val="TableBodyText"/>
              <w:spacing w:before="60"/>
              <w:rPr>
                <w:b/>
              </w:rPr>
            </w:pPr>
            <w:r w:rsidRPr="0055371F">
              <w:rPr>
                <w:b/>
              </w:rPr>
              <w:t>3.8</w:t>
            </w:r>
          </w:p>
        </w:tc>
        <w:tc>
          <w:tcPr>
            <w:tcW w:w="726" w:type="pct"/>
            <w:shd w:val="clear" w:color="auto" w:fill="D9D9D9" w:themeFill="background1" w:themeFillShade="D9"/>
            <w:vAlign w:val="bottom"/>
          </w:tcPr>
          <w:p w:rsidR="00311DC3" w:rsidRPr="0055371F" w:rsidRDefault="00311DC3" w:rsidP="00726992">
            <w:pPr>
              <w:pStyle w:val="TableBodyText"/>
              <w:spacing w:before="60"/>
              <w:rPr>
                <w:b/>
              </w:rPr>
            </w:pPr>
            <w:r w:rsidRPr="0055371F">
              <w:rPr>
                <w:b/>
              </w:rPr>
              <w:t>1.1</w:t>
            </w:r>
          </w:p>
        </w:tc>
        <w:tc>
          <w:tcPr>
            <w:tcW w:w="564" w:type="pct"/>
            <w:shd w:val="clear" w:color="auto" w:fill="D9D9D9" w:themeFill="background1" w:themeFillShade="D9"/>
            <w:vAlign w:val="bottom"/>
          </w:tcPr>
          <w:p w:rsidR="00311DC3" w:rsidRPr="0055371F" w:rsidRDefault="00311DC3" w:rsidP="00726992">
            <w:pPr>
              <w:pStyle w:val="TableBodyText"/>
              <w:spacing w:before="60"/>
              <w:rPr>
                <w:b/>
              </w:rPr>
            </w:pPr>
            <w:r w:rsidRPr="0055371F">
              <w:rPr>
                <w:b/>
              </w:rPr>
              <w:t>-2.7</w:t>
            </w:r>
          </w:p>
        </w:tc>
      </w:tr>
      <w:tr w:rsidR="00311DC3" w:rsidTr="00FF1FA9">
        <w:tc>
          <w:tcPr>
            <w:tcW w:w="3028" w:type="pct"/>
          </w:tcPr>
          <w:p w:rsidR="00311DC3" w:rsidRDefault="00311DC3" w:rsidP="00FF1FA9">
            <w:pPr>
              <w:pStyle w:val="TableBodyText"/>
              <w:jc w:val="left"/>
            </w:pPr>
          </w:p>
        </w:tc>
        <w:tc>
          <w:tcPr>
            <w:tcW w:w="682" w:type="pct"/>
          </w:tcPr>
          <w:p w:rsidR="00311DC3" w:rsidRDefault="00311DC3" w:rsidP="00FF1FA9">
            <w:pPr>
              <w:pStyle w:val="TableBodyText"/>
            </w:pPr>
          </w:p>
        </w:tc>
        <w:tc>
          <w:tcPr>
            <w:tcW w:w="726" w:type="pct"/>
          </w:tcPr>
          <w:p w:rsidR="00311DC3" w:rsidRDefault="00311DC3" w:rsidP="00FF1FA9">
            <w:pPr>
              <w:pStyle w:val="TableBodyText"/>
            </w:pPr>
          </w:p>
        </w:tc>
        <w:tc>
          <w:tcPr>
            <w:tcW w:w="564" w:type="pct"/>
          </w:tcPr>
          <w:p w:rsidR="00311DC3" w:rsidRDefault="00311DC3" w:rsidP="00FF1FA9">
            <w:pPr>
              <w:pStyle w:val="TableBodyText"/>
            </w:pPr>
          </w:p>
        </w:tc>
      </w:tr>
      <w:tr w:rsidR="00503BF9" w:rsidRPr="0055371F" w:rsidTr="00726992">
        <w:tc>
          <w:tcPr>
            <w:tcW w:w="3028" w:type="pct"/>
            <w:shd w:val="clear" w:color="auto" w:fill="D9D9D9" w:themeFill="background1" w:themeFillShade="D9"/>
          </w:tcPr>
          <w:p w:rsidR="00503BF9" w:rsidRPr="0055371F" w:rsidRDefault="00503BF9" w:rsidP="00FF1FA9">
            <w:pPr>
              <w:pStyle w:val="TableBodyText"/>
              <w:jc w:val="left"/>
              <w:rPr>
                <w:b/>
              </w:rPr>
            </w:pPr>
            <w:r w:rsidRPr="0055371F">
              <w:rPr>
                <w:b/>
              </w:rPr>
              <w:t>Basic chemical and chemical product manufacturing</w:t>
            </w:r>
          </w:p>
        </w:tc>
        <w:tc>
          <w:tcPr>
            <w:tcW w:w="682" w:type="pct"/>
            <w:shd w:val="clear" w:color="auto" w:fill="D9D9D9" w:themeFill="background1" w:themeFillShade="D9"/>
            <w:vAlign w:val="bottom"/>
          </w:tcPr>
          <w:p w:rsidR="00503BF9" w:rsidRPr="0055371F" w:rsidRDefault="00503BF9" w:rsidP="00726992">
            <w:pPr>
              <w:pStyle w:val="TableBodyText"/>
              <w:rPr>
                <w:b/>
              </w:rPr>
            </w:pPr>
            <w:r w:rsidRPr="00E566D6">
              <w:rPr>
                <w:b/>
              </w:rPr>
              <w:t>-1.5</w:t>
            </w:r>
          </w:p>
        </w:tc>
        <w:tc>
          <w:tcPr>
            <w:tcW w:w="726" w:type="pct"/>
            <w:shd w:val="clear" w:color="auto" w:fill="D9D9D9" w:themeFill="background1" w:themeFillShade="D9"/>
            <w:vAlign w:val="bottom"/>
          </w:tcPr>
          <w:p w:rsidR="00503BF9" w:rsidRPr="0055371F" w:rsidRDefault="00503BF9" w:rsidP="00726992">
            <w:pPr>
              <w:pStyle w:val="TableBodyText"/>
              <w:rPr>
                <w:b/>
              </w:rPr>
            </w:pPr>
            <w:r w:rsidRPr="00E566D6">
              <w:rPr>
                <w:b/>
              </w:rPr>
              <w:t>-0.7</w:t>
            </w:r>
          </w:p>
        </w:tc>
        <w:tc>
          <w:tcPr>
            <w:tcW w:w="564" w:type="pct"/>
            <w:shd w:val="clear" w:color="auto" w:fill="D9D9D9" w:themeFill="background1" w:themeFillShade="D9"/>
            <w:vAlign w:val="bottom"/>
          </w:tcPr>
          <w:p w:rsidR="00503BF9" w:rsidRPr="0055371F" w:rsidRDefault="00503BF9" w:rsidP="00726992">
            <w:pPr>
              <w:pStyle w:val="TableBodyText"/>
              <w:rPr>
                <w:b/>
              </w:rPr>
            </w:pPr>
            <w:r w:rsidRPr="00E566D6">
              <w:rPr>
                <w:b/>
              </w:rPr>
              <w:t>0.8</w:t>
            </w:r>
          </w:p>
        </w:tc>
      </w:tr>
      <w:tr w:rsidR="00503BF9" w:rsidRPr="00E566D6" w:rsidTr="00FF1FA9">
        <w:tc>
          <w:tcPr>
            <w:tcW w:w="3028" w:type="pct"/>
            <w:vAlign w:val="bottom"/>
          </w:tcPr>
          <w:p w:rsidR="00503BF9" w:rsidRPr="00E566D6" w:rsidRDefault="00503BF9" w:rsidP="007B622F">
            <w:pPr>
              <w:pStyle w:val="TableBodyText"/>
              <w:jc w:val="left"/>
              <w:rPr>
                <w:rFonts w:cs="Arial"/>
                <w:color w:val="000000"/>
              </w:rPr>
            </w:pPr>
            <w:r w:rsidRPr="00E566D6">
              <w:rPr>
                <w:rFonts w:cs="Arial"/>
                <w:color w:val="000000"/>
              </w:rPr>
              <w:t xml:space="preserve">    Basic chemical manufacturing</w:t>
            </w:r>
          </w:p>
        </w:tc>
        <w:tc>
          <w:tcPr>
            <w:tcW w:w="682" w:type="pct"/>
            <w:vAlign w:val="bottom"/>
          </w:tcPr>
          <w:p w:rsidR="00503BF9" w:rsidRPr="00E566D6" w:rsidRDefault="00503BF9" w:rsidP="00FF1FA9">
            <w:pPr>
              <w:pStyle w:val="TableBodyText"/>
              <w:rPr>
                <w:rFonts w:cs="Arial"/>
                <w:color w:val="000000"/>
              </w:rPr>
            </w:pPr>
            <w:r w:rsidRPr="00E566D6">
              <w:rPr>
                <w:rFonts w:cs="Arial"/>
                <w:color w:val="000000"/>
              </w:rPr>
              <w:t>-1.2</w:t>
            </w:r>
          </w:p>
        </w:tc>
        <w:tc>
          <w:tcPr>
            <w:tcW w:w="726" w:type="pct"/>
            <w:vAlign w:val="bottom"/>
          </w:tcPr>
          <w:p w:rsidR="00503BF9" w:rsidRPr="00E566D6" w:rsidRDefault="00503BF9" w:rsidP="00FF1FA9">
            <w:pPr>
              <w:pStyle w:val="TableBodyText"/>
              <w:rPr>
                <w:rFonts w:cs="Arial"/>
                <w:color w:val="000000"/>
              </w:rPr>
            </w:pPr>
            <w:r w:rsidRPr="00E566D6">
              <w:rPr>
                <w:rFonts w:cs="Arial"/>
                <w:color w:val="000000"/>
              </w:rPr>
              <w:t>-0.1</w:t>
            </w:r>
          </w:p>
        </w:tc>
        <w:tc>
          <w:tcPr>
            <w:tcW w:w="564" w:type="pct"/>
            <w:vAlign w:val="bottom"/>
          </w:tcPr>
          <w:p w:rsidR="00503BF9" w:rsidRPr="00E566D6" w:rsidRDefault="00503BF9" w:rsidP="00FF1FA9">
            <w:pPr>
              <w:pStyle w:val="TableBodyText"/>
              <w:rPr>
                <w:rFonts w:cs="Arial"/>
                <w:color w:val="000000"/>
              </w:rPr>
            </w:pPr>
            <w:r w:rsidRPr="00E566D6">
              <w:rPr>
                <w:rFonts w:cs="Arial"/>
                <w:color w:val="000000"/>
              </w:rPr>
              <w:t>1.1</w:t>
            </w:r>
          </w:p>
        </w:tc>
      </w:tr>
      <w:tr w:rsidR="00503BF9" w:rsidRPr="00E566D6" w:rsidTr="0040153B">
        <w:tc>
          <w:tcPr>
            <w:tcW w:w="3028" w:type="pct"/>
            <w:shd w:val="clear" w:color="auto" w:fill="D9D9D9" w:themeFill="background1" w:themeFillShade="D9"/>
            <w:vAlign w:val="bottom"/>
          </w:tcPr>
          <w:p w:rsidR="00503BF9" w:rsidRPr="00E566D6" w:rsidRDefault="00503BF9" w:rsidP="007B622F">
            <w:pPr>
              <w:pStyle w:val="TableBodyText"/>
              <w:jc w:val="left"/>
              <w:rPr>
                <w:rFonts w:cs="Arial"/>
                <w:color w:val="000000"/>
              </w:rPr>
            </w:pPr>
            <w:r w:rsidRPr="00E566D6">
              <w:rPr>
                <w:rFonts w:cs="Arial"/>
                <w:color w:val="000000"/>
              </w:rPr>
              <w:t xml:space="preserve">    Basic polymer manufacturing</w:t>
            </w:r>
          </w:p>
        </w:tc>
        <w:tc>
          <w:tcPr>
            <w:tcW w:w="682" w:type="pct"/>
            <w:shd w:val="clear" w:color="auto" w:fill="D9D9D9" w:themeFill="background1" w:themeFillShade="D9"/>
            <w:vAlign w:val="bottom"/>
          </w:tcPr>
          <w:p w:rsidR="00503BF9" w:rsidRPr="00E566D6" w:rsidRDefault="00503BF9" w:rsidP="00FF1FA9">
            <w:pPr>
              <w:pStyle w:val="TableBodyText"/>
              <w:rPr>
                <w:rFonts w:cs="Arial"/>
                <w:color w:val="000000"/>
              </w:rPr>
            </w:pPr>
            <w:r w:rsidRPr="00E566D6">
              <w:rPr>
                <w:rFonts w:cs="Arial"/>
                <w:color w:val="000000"/>
              </w:rPr>
              <w:t>-0.4</w:t>
            </w:r>
          </w:p>
        </w:tc>
        <w:tc>
          <w:tcPr>
            <w:tcW w:w="726" w:type="pct"/>
            <w:shd w:val="clear" w:color="auto" w:fill="D9D9D9" w:themeFill="background1" w:themeFillShade="D9"/>
            <w:vAlign w:val="bottom"/>
          </w:tcPr>
          <w:p w:rsidR="00503BF9" w:rsidRPr="00E566D6" w:rsidRDefault="00503BF9" w:rsidP="00FF1FA9">
            <w:pPr>
              <w:pStyle w:val="TableBodyText"/>
              <w:rPr>
                <w:rFonts w:cs="Arial"/>
                <w:color w:val="000000"/>
              </w:rPr>
            </w:pPr>
            <w:r w:rsidRPr="00E566D6">
              <w:rPr>
                <w:rFonts w:cs="Arial"/>
                <w:color w:val="000000"/>
              </w:rPr>
              <w:t>0.2</w:t>
            </w:r>
          </w:p>
        </w:tc>
        <w:tc>
          <w:tcPr>
            <w:tcW w:w="564" w:type="pct"/>
            <w:shd w:val="clear" w:color="auto" w:fill="D9D9D9" w:themeFill="background1" w:themeFillShade="D9"/>
            <w:vAlign w:val="bottom"/>
          </w:tcPr>
          <w:p w:rsidR="00503BF9" w:rsidRPr="00E566D6" w:rsidRDefault="00503BF9" w:rsidP="00FF1FA9">
            <w:pPr>
              <w:pStyle w:val="TableBodyText"/>
              <w:rPr>
                <w:rFonts w:cs="Arial"/>
                <w:color w:val="000000"/>
              </w:rPr>
            </w:pPr>
            <w:r w:rsidRPr="00E566D6">
              <w:rPr>
                <w:rFonts w:cs="Arial"/>
                <w:color w:val="000000"/>
              </w:rPr>
              <w:t>0.5</w:t>
            </w:r>
          </w:p>
        </w:tc>
      </w:tr>
      <w:tr w:rsidR="00503BF9" w:rsidRPr="00E566D6" w:rsidTr="00FF1FA9">
        <w:tc>
          <w:tcPr>
            <w:tcW w:w="3028" w:type="pct"/>
            <w:vAlign w:val="bottom"/>
          </w:tcPr>
          <w:p w:rsidR="00503BF9" w:rsidRPr="00E566D6" w:rsidRDefault="00503BF9" w:rsidP="007B622F">
            <w:pPr>
              <w:pStyle w:val="TableBodyText"/>
              <w:jc w:val="left"/>
              <w:rPr>
                <w:rFonts w:cs="Arial"/>
                <w:color w:val="000000"/>
              </w:rPr>
            </w:pPr>
            <w:r w:rsidRPr="00E566D6">
              <w:rPr>
                <w:rFonts w:cs="Arial"/>
                <w:color w:val="000000"/>
              </w:rPr>
              <w:t xml:space="preserve">    Fertiliser and pesticide manufacturing</w:t>
            </w:r>
          </w:p>
        </w:tc>
        <w:tc>
          <w:tcPr>
            <w:tcW w:w="682" w:type="pct"/>
            <w:vAlign w:val="bottom"/>
          </w:tcPr>
          <w:p w:rsidR="00503BF9" w:rsidRPr="00E566D6" w:rsidRDefault="00503BF9" w:rsidP="00FF1FA9">
            <w:pPr>
              <w:pStyle w:val="TableBodyText"/>
              <w:rPr>
                <w:rFonts w:cs="Arial"/>
                <w:color w:val="000000"/>
              </w:rPr>
            </w:pPr>
            <w:r w:rsidRPr="00E566D6">
              <w:rPr>
                <w:rFonts w:cs="Arial"/>
                <w:color w:val="000000"/>
              </w:rPr>
              <w:t>-0.8</w:t>
            </w:r>
          </w:p>
        </w:tc>
        <w:tc>
          <w:tcPr>
            <w:tcW w:w="726" w:type="pct"/>
            <w:vAlign w:val="bottom"/>
          </w:tcPr>
          <w:p w:rsidR="00503BF9" w:rsidRPr="00E566D6" w:rsidRDefault="00503BF9" w:rsidP="00FF1FA9">
            <w:pPr>
              <w:pStyle w:val="TableBodyText"/>
              <w:rPr>
                <w:rFonts w:cs="Arial"/>
                <w:color w:val="000000"/>
              </w:rPr>
            </w:pPr>
            <w:r w:rsidRPr="00E566D6">
              <w:rPr>
                <w:rFonts w:cs="Arial"/>
                <w:color w:val="000000"/>
              </w:rPr>
              <w:t>0.1</w:t>
            </w:r>
          </w:p>
        </w:tc>
        <w:tc>
          <w:tcPr>
            <w:tcW w:w="564" w:type="pct"/>
            <w:vAlign w:val="bottom"/>
          </w:tcPr>
          <w:p w:rsidR="00503BF9" w:rsidRPr="00E566D6" w:rsidRDefault="00503BF9" w:rsidP="00FF1FA9">
            <w:pPr>
              <w:pStyle w:val="TableBodyText"/>
              <w:rPr>
                <w:rFonts w:cs="Arial"/>
                <w:color w:val="000000"/>
              </w:rPr>
            </w:pPr>
            <w:r w:rsidRPr="00E566D6">
              <w:rPr>
                <w:rFonts w:cs="Arial"/>
                <w:color w:val="000000"/>
              </w:rPr>
              <w:t>0.9</w:t>
            </w:r>
          </w:p>
        </w:tc>
      </w:tr>
      <w:tr w:rsidR="00503BF9" w:rsidRPr="00E566D6" w:rsidTr="0040153B">
        <w:tc>
          <w:tcPr>
            <w:tcW w:w="3028" w:type="pct"/>
            <w:shd w:val="clear" w:color="auto" w:fill="D9D9D9" w:themeFill="background1" w:themeFillShade="D9"/>
            <w:vAlign w:val="bottom"/>
          </w:tcPr>
          <w:p w:rsidR="00503BF9" w:rsidRPr="00E566D6" w:rsidRDefault="00503BF9" w:rsidP="00E566D6">
            <w:pPr>
              <w:pStyle w:val="TableBodyText"/>
              <w:jc w:val="left"/>
              <w:rPr>
                <w:rFonts w:cs="Arial"/>
                <w:color w:val="000000"/>
              </w:rPr>
            </w:pPr>
            <w:r w:rsidRPr="00E566D6">
              <w:rPr>
                <w:rFonts w:cs="Arial"/>
                <w:color w:val="000000"/>
              </w:rPr>
              <w:t xml:space="preserve">    Pharmaceutical and </w:t>
            </w:r>
            <w:r>
              <w:rPr>
                <w:rFonts w:cs="Arial"/>
                <w:color w:val="000000"/>
              </w:rPr>
              <w:t>m</w:t>
            </w:r>
            <w:r w:rsidRPr="00E566D6">
              <w:rPr>
                <w:rFonts w:cs="Arial"/>
                <w:color w:val="000000"/>
              </w:rPr>
              <w:t xml:space="preserve">edicinal </w:t>
            </w:r>
            <w:r>
              <w:rPr>
                <w:rFonts w:cs="Arial"/>
                <w:color w:val="000000"/>
              </w:rPr>
              <w:t>p</w:t>
            </w:r>
            <w:r w:rsidRPr="00E566D6">
              <w:rPr>
                <w:rFonts w:cs="Arial"/>
                <w:color w:val="000000"/>
              </w:rPr>
              <w:t xml:space="preserve">roduct </w:t>
            </w:r>
            <w:r>
              <w:rPr>
                <w:rFonts w:cs="Arial"/>
                <w:color w:val="000000"/>
              </w:rPr>
              <w:t>m</w:t>
            </w:r>
            <w:r w:rsidRPr="00E566D6">
              <w:rPr>
                <w:rFonts w:cs="Arial"/>
                <w:color w:val="000000"/>
              </w:rPr>
              <w:t>anufacturing</w:t>
            </w:r>
          </w:p>
        </w:tc>
        <w:tc>
          <w:tcPr>
            <w:tcW w:w="682" w:type="pct"/>
            <w:shd w:val="clear" w:color="auto" w:fill="D9D9D9" w:themeFill="background1" w:themeFillShade="D9"/>
            <w:vAlign w:val="bottom"/>
          </w:tcPr>
          <w:p w:rsidR="00503BF9" w:rsidRPr="00E566D6" w:rsidRDefault="00503BF9" w:rsidP="00FF1FA9">
            <w:pPr>
              <w:pStyle w:val="TableBodyText"/>
              <w:rPr>
                <w:rFonts w:cs="Arial"/>
                <w:color w:val="000000"/>
              </w:rPr>
            </w:pPr>
            <w:r w:rsidRPr="00E566D6">
              <w:rPr>
                <w:rFonts w:cs="Arial"/>
                <w:color w:val="000000"/>
              </w:rPr>
              <w:t>0.6</w:t>
            </w:r>
          </w:p>
        </w:tc>
        <w:tc>
          <w:tcPr>
            <w:tcW w:w="726" w:type="pct"/>
            <w:shd w:val="clear" w:color="auto" w:fill="D9D9D9" w:themeFill="background1" w:themeFillShade="D9"/>
            <w:vAlign w:val="bottom"/>
          </w:tcPr>
          <w:p w:rsidR="00503BF9" w:rsidRPr="00E566D6" w:rsidRDefault="00503BF9" w:rsidP="00FF1FA9">
            <w:pPr>
              <w:pStyle w:val="TableBodyText"/>
              <w:rPr>
                <w:rFonts w:cs="Arial"/>
                <w:color w:val="000000"/>
              </w:rPr>
            </w:pPr>
            <w:r w:rsidRPr="00E566D6">
              <w:rPr>
                <w:rFonts w:cs="Arial"/>
                <w:color w:val="000000"/>
              </w:rPr>
              <w:t>-0.5</w:t>
            </w:r>
          </w:p>
        </w:tc>
        <w:tc>
          <w:tcPr>
            <w:tcW w:w="564" w:type="pct"/>
            <w:shd w:val="clear" w:color="auto" w:fill="D9D9D9" w:themeFill="background1" w:themeFillShade="D9"/>
            <w:vAlign w:val="bottom"/>
          </w:tcPr>
          <w:p w:rsidR="00503BF9" w:rsidRPr="00E566D6" w:rsidRDefault="00503BF9" w:rsidP="00FF1FA9">
            <w:pPr>
              <w:pStyle w:val="TableBodyText"/>
              <w:rPr>
                <w:rFonts w:cs="Arial"/>
                <w:color w:val="000000"/>
              </w:rPr>
            </w:pPr>
            <w:r w:rsidRPr="00E566D6">
              <w:rPr>
                <w:rFonts w:cs="Arial"/>
                <w:color w:val="000000"/>
              </w:rPr>
              <w:t>-1.1</w:t>
            </w:r>
          </w:p>
        </w:tc>
      </w:tr>
      <w:tr w:rsidR="00503BF9" w:rsidRPr="00E566D6" w:rsidTr="00FF1FA9">
        <w:tc>
          <w:tcPr>
            <w:tcW w:w="3028" w:type="pct"/>
            <w:vAlign w:val="bottom"/>
          </w:tcPr>
          <w:p w:rsidR="00503BF9" w:rsidRPr="00E566D6" w:rsidRDefault="00503BF9" w:rsidP="00E566D6">
            <w:pPr>
              <w:pStyle w:val="TableBodyText"/>
              <w:jc w:val="left"/>
              <w:rPr>
                <w:rFonts w:cs="Arial"/>
                <w:color w:val="000000"/>
              </w:rPr>
            </w:pPr>
            <w:r w:rsidRPr="00E566D6">
              <w:rPr>
                <w:rFonts w:cs="Arial"/>
                <w:color w:val="000000"/>
              </w:rPr>
              <w:t xml:space="preserve">    Cleaning compound and toiletry preparation</w:t>
            </w:r>
            <w:r>
              <w:rPr>
                <w:rFonts w:cs="Arial"/>
                <w:color w:val="000000"/>
              </w:rPr>
              <w:t xml:space="preserve"> </w:t>
            </w:r>
            <w:proofErr w:type="spellStart"/>
            <w:r>
              <w:rPr>
                <w:rFonts w:cs="Arial"/>
                <w:color w:val="000000"/>
              </w:rPr>
              <w:t>mfg</w:t>
            </w:r>
            <w:proofErr w:type="spellEnd"/>
          </w:p>
        </w:tc>
        <w:tc>
          <w:tcPr>
            <w:tcW w:w="682" w:type="pct"/>
            <w:vAlign w:val="bottom"/>
          </w:tcPr>
          <w:p w:rsidR="00503BF9" w:rsidRPr="00E566D6" w:rsidRDefault="00503BF9" w:rsidP="00FF1FA9">
            <w:pPr>
              <w:pStyle w:val="TableBodyText"/>
              <w:rPr>
                <w:rFonts w:cs="Arial"/>
                <w:color w:val="000000"/>
              </w:rPr>
            </w:pPr>
            <w:r w:rsidRPr="00E566D6">
              <w:rPr>
                <w:rFonts w:cs="Arial"/>
                <w:color w:val="000000"/>
              </w:rPr>
              <w:t>0.2</w:t>
            </w:r>
          </w:p>
        </w:tc>
        <w:tc>
          <w:tcPr>
            <w:tcW w:w="726" w:type="pct"/>
            <w:vAlign w:val="bottom"/>
          </w:tcPr>
          <w:p w:rsidR="00503BF9" w:rsidRPr="00E566D6" w:rsidRDefault="00503BF9" w:rsidP="00FF1FA9">
            <w:pPr>
              <w:pStyle w:val="TableBodyText"/>
              <w:rPr>
                <w:rFonts w:cs="Arial"/>
                <w:color w:val="000000"/>
              </w:rPr>
            </w:pPr>
            <w:r w:rsidRPr="00E566D6">
              <w:rPr>
                <w:rFonts w:cs="Arial"/>
                <w:color w:val="000000"/>
              </w:rPr>
              <w:t>-0.7</w:t>
            </w:r>
          </w:p>
        </w:tc>
        <w:tc>
          <w:tcPr>
            <w:tcW w:w="564" w:type="pct"/>
            <w:vAlign w:val="bottom"/>
          </w:tcPr>
          <w:p w:rsidR="00503BF9" w:rsidRPr="00E566D6" w:rsidRDefault="00503BF9" w:rsidP="00FF1FA9">
            <w:pPr>
              <w:pStyle w:val="TableBodyText"/>
              <w:rPr>
                <w:rFonts w:cs="Arial"/>
                <w:color w:val="000000"/>
              </w:rPr>
            </w:pPr>
            <w:r w:rsidRPr="00E566D6">
              <w:rPr>
                <w:rFonts w:cs="Arial"/>
                <w:color w:val="000000"/>
              </w:rPr>
              <w:t>-0.9</w:t>
            </w:r>
          </w:p>
        </w:tc>
      </w:tr>
      <w:tr w:rsidR="00503BF9" w:rsidRPr="00E566D6" w:rsidTr="00726992">
        <w:trPr>
          <w:trHeight w:val="227"/>
        </w:trPr>
        <w:tc>
          <w:tcPr>
            <w:tcW w:w="3028" w:type="pct"/>
            <w:shd w:val="clear" w:color="auto" w:fill="D9D9D9" w:themeFill="background1" w:themeFillShade="D9"/>
            <w:vAlign w:val="bottom"/>
          </w:tcPr>
          <w:p w:rsidR="00503BF9" w:rsidRPr="00E566D6" w:rsidRDefault="00503BF9" w:rsidP="00726992">
            <w:pPr>
              <w:pStyle w:val="TableBodyText"/>
              <w:spacing w:after="0"/>
              <w:jc w:val="left"/>
              <w:rPr>
                <w:rFonts w:cs="Arial"/>
                <w:color w:val="000000"/>
              </w:rPr>
            </w:pPr>
            <w:r w:rsidRPr="00E566D6">
              <w:rPr>
                <w:rFonts w:cs="Arial"/>
                <w:color w:val="000000"/>
              </w:rPr>
              <w:t xml:space="preserve">    Other basic chemical product manufacturing</w:t>
            </w:r>
            <w:r w:rsidRPr="00E566D6">
              <w:rPr>
                <w:rStyle w:val="NoteLabel"/>
              </w:rPr>
              <w:t>b</w:t>
            </w:r>
          </w:p>
        </w:tc>
        <w:tc>
          <w:tcPr>
            <w:tcW w:w="682" w:type="pct"/>
            <w:shd w:val="clear" w:color="auto" w:fill="D9D9D9" w:themeFill="background1" w:themeFillShade="D9"/>
            <w:vAlign w:val="bottom"/>
          </w:tcPr>
          <w:p w:rsidR="00503BF9" w:rsidRPr="00E566D6" w:rsidRDefault="00503BF9" w:rsidP="00726992">
            <w:pPr>
              <w:pStyle w:val="TableBodyText"/>
              <w:spacing w:after="0"/>
              <w:rPr>
                <w:rFonts w:cs="Arial"/>
                <w:color w:val="000000"/>
              </w:rPr>
            </w:pPr>
            <w:r w:rsidRPr="00E566D6">
              <w:rPr>
                <w:rFonts w:cs="Arial"/>
                <w:color w:val="000000"/>
              </w:rPr>
              <w:t>0.0</w:t>
            </w:r>
          </w:p>
        </w:tc>
        <w:tc>
          <w:tcPr>
            <w:tcW w:w="726" w:type="pct"/>
            <w:shd w:val="clear" w:color="auto" w:fill="D9D9D9" w:themeFill="background1" w:themeFillShade="D9"/>
            <w:vAlign w:val="bottom"/>
          </w:tcPr>
          <w:p w:rsidR="00503BF9" w:rsidRPr="00E566D6" w:rsidRDefault="00503BF9" w:rsidP="00726992">
            <w:pPr>
              <w:pStyle w:val="TableBodyText"/>
              <w:spacing w:after="0"/>
              <w:rPr>
                <w:rFonts w:cs="Arial"/>
                <w:color w:val="000000"/>
              </w:rPr>
            </w:pPr>
            <w:r w:rsidRPr="00E566D6">
              <w:rPr>
                <w:rFonts w:cs="Arial"/>
                <w:color w:val="000000"/>
              </w:rPr>
              <w:t>0.4</w:t>
            </w:r>
          </w:p>
        </w:tc>
        <w:tc>
          <w:tcPr>
            <w:tcW w:w="564" w:type="pct"/>
            <w:shd w:val="clear" w:color="auto" w:fill="D9D9D9" w:themeFill="background1" w:themeFillShade="D9"/>
            <w:vAlign w:val="bottom"/>
          </w:tcPr>
          <w:p w:rsidR="00503BF9" w:rsidRPr="00E566D6" w:rsidRDefault="00503BF9" w:rsidP="00726992">
            <w:pPr>
              <w:pStyle w:val="TableBodyText"/>
              <w:spacing w:after="0"/>
              <w:rPr>
                <w:rFonts w:cs="Arial"/>
                <w:color w:val="000000"/>
              </w:rPr>
            </w:pPr>
            <w:r w:rsidRPr="00E566D6">
              <w:rPr>
                <w:rFonts w:cs="Arial"/>
                <w:color w:val="000000"/>
              </w:rPr>
              <w:t>0.3</w:t>
            </w:r>
          </w:p>
        </w:tc>
      </w:tr>
      <w:tr w:rsidR="00503BF9" w:rsidTr="00FF1FA9">
        <w:tc>
          <w:tcPr>
            <w:tcW w:w="3028" w:type="pct"/>
          </w:tcPr>
          <w:p w:rsidR="00503BF9" w:rsidRDefault="00503BF9" w:rsidP="00FF1FA9">
            <w:pPr>
              <w:pStyle w:val="TableBodyText"/>
              <w:jc w:val="left"/>
            </w:pPr>
          </w:p>
        </w:tc>
        <w:tc>
          <w:tcPr>
            <w:tcW w:w="682" w:type="pct"/>
          </w:tcPr>
          <w:p w:rsidR="00503BF9" w:rsidRDefault="00503BF9" w:rsidP="00FF1FA9">
            <w:pPr>
              <w:pStyle w:val="TableBodyText"/>
            </w:pPr>
          </w:p>
        </w:tc>
        <w:tc>
          <w:tcPr>
            <w:tcW w:w="726" w:type="pct"/>
          </w:tcPr>
          <w:p w:rsidR="00503BF9" w:rsidRDefault="00503BF9" w:rsidP="00FF1FA9">
            <w:pPr>
              <w:pStyle w:val="TableBodyText"/>
            </w:pPr>
          </w:p>
        </w:tc>
        <w:tc>
          <w:tcPr>
            <w:tcW w:w="564" w:type="pct"/>
          </w:tcPr>
          <w:p w:rsidR="00503BF9" w:rsidRDefault="00503BF9" w:rsidP="00FF1FA9">
            <w:pPr>
              <w:pStyle w:val="TableBodyText"/>
            </w:pPr>
          </w:p>
        </w:tc>
      </w:tr>
      <w:tr w:rsidR="00503BF9" w:rsidRPr="0055371F" w:rsidTr="00726992">
        <w:tc>
          <w:tcPr>
            <w:tcW w:w="3028" w:type="pct"/>
            <w:shd w:val="clear" w:color="auto" w:fill="D9D9D9" w:themeFill="background1" w:themeFillShade="D9"/>
            <w:vAlign w:val="bottom"/>
          </w:tcPr>
          <w:p w:rsidR="00503BF9" w:rsidRPr="0055371F" w:rsidRDefault="00503BF9" w:rsidP="007B622F">
            <w:pPr>
              <w:pStyle w:val="TableBodyText"/>
              <w:jc w:val="left"/>
              <w:rPr>
                <w:rFonts w:cs="Arial"/>
                <w:b/>
                <w:color w:val="000000"/>
              </w:rPr>
            </w:pPr>
            <w:r w:rsidRPr="0055371F">
              <w:rPr>
                <w:rFonts w:cs="Arial"/>
                <w:b/>
                <w:color w:val="000000"/>
              </w:rPr>
              <w:t xml:space="preserve">Polymer </w:t>
            </w:r>
            <w:r>
              <w:rPr>
                <w:rFonts w:cs="Arial"/>
                <w:b/>
                <w:color w:val="000000"/>
              </w:rPr>
              <w:t>p</w:t>
            </w:r>
            <w:r w:rsidRPr="0055371F">
              <w:rPr>
                <w:rFonts w:cs="Arial"/>
                <w:b/>
                <w:color w:val="000000"/>
              </w:rPr>
              <w:t xml:space="preserve">roduct and </w:t>
            </w:r>
            <w:r>
              <w:rPr>
                <w:rFonts w:cs="Arial"/>
                <w:b/>
                <w:color w:val="000000"/>
              </w:rPr>
              <w:t>r</w:t>
            </w:r>
            <w:r w:rsidRPr="0055371F">
              <w:rPr>
                <w:rFonts w:cs="Arial"/>
                <w:b/>
                <w:color w:val="000000"/>
              </w:rPr>
              <w:t xml:space="preserve">ubber </w:t>
            </w:r>
            <w:r>
              <w:rPr>
                <w:rFonts w:cs="Arial"/>
                <w:b/>
                <w:color w:val="000000"/>
              </w:rPr>
              <w:t>p</w:t>
            </w:r>
            <w:r w:rsidRPr="0055371F">
              <w:rPr>
                <w:rFonts w:cs="Arial"/>
                <w:b/>
                <w:color w:val="000000"/>
              </w:rPr>
              <w:t xml:space="preserve">roduct </w:t>
            </w:r>
            <w:r>
              <w:rPr>
                <w:rFonts w:cs="Arial"/>
                <w:b/>
                <w:color w:val="000000"/>
              </w:rPr>
              <w:t>m</w:t>
            </w:r>
            <w:r w:rsidRPr="0055371F">
              <w:rPr>
                <w:rFonts w:cs="Arial"/>
                <w:b/>
                <w:color w:val="000000"/>
              </w:rPr>
              <w:t>anufacturing</w:t>
            </w:r>
          </w:p>
        </w:tc>
        <w:tc>
          <w:tcPr>
            <w:tcW w:w="682" w:type="pct"/>
            <w:shd w:val="clear" w:color="auto" w:fill="D9D9D9" w:themeFill="background1" w:themeFillShade="D9"/>
            <w:vAlign w:val="bottom"/>
          </w:tcPr>
          <w:p w:rsidR="00503BF9" w:rsidRPr="0055371F" w:rsidRDefault="00503BF9" w:rsidP="00726992">
            <w:pPr>
              <w:pStyle w:val="TableBodyText"/>
              <w:rPr>
                <w:b/>
              </w:rPr>
            </w:pPr>
            <w:r w:rsidRPr="00E566D6">
              <w:rPr>
                <w:b/>
              </w:rPr>
              <w:t>-1.4</w:t>
            </w:r>
          </w:p>
        </w:tc>
        <w:tc>
          <w:tcPr>
            <w:tcW w:w="726" w:type="pct"/>
            <w:shd w:val="clear" w:color="auto" w:fill="D9D9D9" w:themeFill="background1" w:themeFillShade="D9"/>
            <w:vAlign w:val="bottom"/>
          </w:tcPr>
          <w:p w:rsidR="00503BF9" w:rsidRPr="0055371F" w:rsidRDefault="00503BF9" w:rsidP="00726992">
            <w:pPr>
              <w:pStyle w:val="TableBodyText"/>
              <w:rPr>
                <w:b/>
              </w:rPr>
            </w:pPr>
            <w:r w:rsidRPr="00E566D6">
              <w:rPr>
                <w:b/>
              </w:rPr>
              <w:t>0.5</w:t>
            </w:r>
          </w:p>
        </w:tc>
        <w:tc>
          <w:tcPr>
            <w:tcW w:w="564" w:type="pct"/>
            <w:shd w:val="clear" w:color="auto" w:fill="D9D9D9" w:themeFill="background1" w:themeFillShade="D9"/>
            <w:vAlign w:val="bottom"/>
          </w:tcPr>
          <w:p w:rsidR="00503BF9" w:rsidRPr="0055371F" w:rsidRDefault="00503BF9" w:rsidP="00726992">
            <w:pPr>
              <w:pStyle w:val="TableBodyText"/>
              <w:rPr>
                <w:b/>
              </w:rPr>
            </w:pPr>
            <w:r w:rsidRPr="00E566D6">
              <w:rPr>
                <w:b/>
              </w:rPr>
              <w:t>1.9</w:t>
            </w:r>
          </w:p>
        </w:tc>
      </w:tr>
      <w:tr w:rsidR="00503BF9" w:rsidRPr="00E566D6" w:rsidTr="00FF1FA9">
        <w:tc>
          <w:tcPr>
            <w:tcW w:w="3028" w:type="pct"/>
            <w:vAlign w:val="bottom"/>
          </w:tcPr>
          <w:p w:rsidR="00503BF9" w:rsidRPr="00E566D6" w:rsidRDefault="00503BF9" w:rsidP="007B622F">
            <w:pPr>
              <w:pStyle w:val="TableBodyText"/>
              <w:jc w:val="left"/>
              <w:rPr>
                <w:rFonts w:cs="Arial"/>
                <w:color w:val="000000"/>
              </w:rPr>
            </w:pPr>
            <w:r w:rsidRPr="00E566D6">
              <w:rPr>
                <w:rFonts w:cs="Arial"/>
                <w:color w:val="000000"/>
              </w:rPr>
              <w:t xml:space="preserve">    Polymer product manufacturing</w:t>
            </w:r>
          </w:p>
        </w:tc>
        <w:tc>
          <w:tcPr>
            <w:tcW w:w="682" w:type="pct"/>
            <w:vAlign w:val="bottom"/>
          </w:tcPr>
          <w:p w:rsidR="00503BF9" w:rsidRPr="00E566D6" w:rsidRDefault="00503BF9" w:rsidP="00FF1FA9">
            <w:pPr>
              <w:pStyle w:val="TableBodyText"/>
              <w:rPr>
                <w:rFonts w:cs="Arial"/>
                <w:color w:val="000000"/>
              </w:rPr>
            </w:pPr>
            <w:r w:rsidRPr="00E566D6">
              <w:rPr>
                <w:rFonts w:cs="Arial"/>
                <w:color w:val="000000"/>
              </w:rPr>
              <w:t>-1.0</w:t>
            </w:r>
          </w:p>
        </w:tc>
        <w:tc>
          <w:tcPr>
            <w:tcW w:w="726" w:type="pct"/>
            <w:vAlign w:val="bottom"/>
          </w:tcPr>
          <w:p w:rsidR="00503BF9" w:rsidRPr="00E566D6" w:rsidRDefault="00503BF9" w:rsidP="00FF1FA9">
            <w:pPr>
              <w:pStyle w:val="TableBodyText"/>
              <w:rPr>
                <w:rFonts w:cs="Arial"/>
                <w:color w:val="000000"/>
              </w:rPr>
            </w:pPr>
            <w:r w:rsidRPr="00E566D6">
              <w:rPr>
                <w:rFonts w:cs="Arial"/>
                <w:color w:val="000000"/>
              </w:rPr>
              <w:t>3.7</w:t>
            </w:r>
          </w:p>
        </w:tc>
        <w:tc>
          <w:tcPr>
            <w:tcW w:w="564" w:type="pct"/>
            <w:vAlign w:val="bottom"/>
          </w:tcPr>
          <w:p w:rsidR="00503BF9" w:rsidRPr="00E566D6" w:rsidRDefault="00503BF9" w:rsidP="00FF1FA9">
            <w:pPr>
              <w:pStyle w:val="TableBodyText"/>
              <w:rPr>
                <w:rFonts w:cs="Arial"/>
                <w:color w:val="000000"/>
              </w:rPr>
            </w:pPr>
            <w:r w:rsidRPr="00E566D6">
              <w:rPr>
                <w:rFonts w:cs="Arial"/>
                <w:color w:val="000000"/>
              </w:rPr>
              <w:t>4.7</w:t>
            </w:r>
          </w:p>
        </w:tc>
      </w:tr>
      <w:tr w:rsidR="00503BF9" w:rsidRPr="00E566D6" w:rsidTr="0040153B">
        <w:tc>
          <w:tcPr>
            <w:tcW w:w="3028" w:type="pct"/>
            <w:shd w:val="clear" w:color="auto" w:fill="D9D9D9" w:themeFill="background1" w:themeFillShade="D9"/>
            <w:vAlign w:val="bottom"/>
          </w:tcPr>
          <w:p w:rsidR="00503BF9" w:rsidRPr="00E566D6" w:rsidRDefault="00503BF9" w:rsidP="007B622F">
            <w:pPr>
              <w:pStyle w:val="TableBodyText"/>
              <w:jc w:val="left"/>
              <w:rPr>
                <w:rFonts w:cs="Arial"/>
                <w:color w:val="000000"/>
              </w:rPr>
            </w:pPr>
            <w:r w:rsidRPr="00E566D6">
              <w:rPr>
                <w:rFonts w:cs="Arial"/>
                <w:color w:val="000000"/>
              </w:rPr>
              <w:t xml:space="preserve">    Natural rubber product manufacturing</w:t>
            </w:r>
          </w:p>
        </w:tc>
        <w:tc>
          <w:tcPr>
            <w:tcW w:w="682" w:type="pct"/>
            <w:shd w:val="clear" w:color="auto" w:fill="D9D9D9" w:themeFill="background1" w:themeFillShade="D9"/>
            <w:vAlign w:val="bottom"/>
          </w:tcPr>
          <w:p w:rsidR="00503BF9" w:rsidRPr="00E566D6" w:rsidRDefault="00503BF9" w:rsidP="00FF1FA9">
            <w:pPr>
              <w:pStyle w:val="TableBodyText"/>
              <w:rPr>
                <w:rFonts w:cs="Arial"/>
                <w:color w:val="000000"/>
              </w:rPr>
            </w:pPr>
            <w:r w:rsidRPr="00E566D6">
              <w:rPr>
                <w:rFonts w:cs="Arial"/>
                <w:color w:val="000000"/>
              </w:rPr>
              <w:t>-0.4</w:t>
            </w:r>
          </w:p>
        </w:tc>
        <w:tc>
          <w:tcPr>
            <w:tcW w:w="726" w:type="pct"/>
            <w:shd w:val="clear" w:color="auto" w:fill="D9D9D9" w:themeFill="background1" w:themeFillShade="D9"/>
            <w:vAlign w:val="bottom"/>
          </w:tcPr>
          <w:p w:rsidR="00503BF9" w:rsidRPr="00E566D6" w:rsidRDefault="00503BF9" w:rsidP="00FF1FA9">
            <w:pPr>
              <w:pStyle w:val="TableBodyText"/>
              <w:rPr>
                <w:rFonts w:cs="Arial"/>
                <w:color w:val="000000"/>
              </w:rPr>
            </w:pPr>
            <w:r w:rsidRPr="00E566D6">
              <w:rPr>
                <w:rFonts w:cs="Arial"/>
                <w:color w:val="000000"/>
              </w:rPr>
              <w:t>-0.1</w:t>
            </w:r>
          </w:p>
        </w:tc>
        <w:tc>
          <w:tcPr>
            <w:tcW w:w="564" w:type="pct"/>
            <w:shd w:val="clear" w:color="auto" w:fill="D9D9D9" w:themeFill="background1" w:themeFillShade="D9"/>
            <w:vAlign w:val="bottom"/>
          </w:tcPr>
          <w:p w:rsidR="00503BF9" w:rsidRPr="00E566D6" w:rsidRDefault="00503BF9" w:rsidP="00FF1FA9">
            <w:pPr>
              <w:pStyle w:val="TableBodyText"/>
              <w:rPr>
                <w:rFonts w:cs="Arial"/>
                <w:color w:val="000000"/>
              </w:rPr>
            </w:pPr>
            <w:r w:rsidRPr="00E566D6">
              <w:rPr>
                <w:rFonts w:cs="Arial"/>
                <w:color w:val="000000"/>
              </w:rPr>
              <w:t>0.3</w:t>
            </w:r>
          </w:p>
        </w:tc>
      </w:tr>
      <w:tr w:rsidR="00503BF9" w:rsidRPr="00E566D6" w:rsidTr="00726992">
        <w:tc>
          <w:tcPr>
            <w:tcW w:w="3028" w:type="pct"/>
            <w:tcBorders>
              <w:bottom w:val="single" w:sz="4" w:space="0" w:color="auto"/>
            </w:tcBorders>
            <w:vAlign w:val="bottom"/>
          </w:tcPr>
          <w:p w:rsidR="00503BF9" w:rsidRPr="00E566D6" w:rsidRDefault="00503BF9" w:rsidP="00503F30">
            <w:pPr>
              <w:pStyle w:val="TableBodyText"/>
              <w:jc w:val="left"/>
              <w:rPr>
                <w:rFonts w:cs="Arial"/>
                <w:color w:val="000000"/>
              </w:rPr>
            </w:pPr>
            <w:r w:rsidRPr="00E566D6">
              <w:rPr>
                <w:rFonts w:cs="Arial"/>
                <w:color w:val="000000"/>
              </w:rPr>
              <w:t xml:space="preserve">    Other</w:t>
            </w:r>
            <w:r w:rsidRPr="00E566D6">
              <w:rPr>
                <w:rStyle w:val="NoteLabel"/>
              </w:rPr>
              <w:t>b</w:t>
            </w:r>
          </w:p>
        </w:tc>
        <w:tc>
          <w:tcPr>
            <w:tcW w:w="682" w:type="pct"/>
            <w:tcBorders>
              <w:bottom w:val="single" w:sz="4" w:space="0" w:color="auto"/>
            </w:tcBorders>
            <w:vAlign w:val="bottom"/>
          </w:tcPr>
          <w:p w:rsidR="00503BF9" w:rsidRPr="00E566D6" w:rsidRDefault="00503BF9" w:rsidP="00726992">
            <w:pPr>
              <w:pStyle w:val="TableBodyText"/>
            </w:pPr>
            <w:r w:rsidRPr="00E566D6">
              <w:t>0.0</w:t>
            </w:r>
          </w:p>
        </w:tc>
        <w:tc>
          <w:tcPr>
            <w:tcW w:w="726" w:type="pct"/>
            <w:tcBorders>
              <w:bottom w:val="single" w:sz="4" w:space="0" w:color="auto"/>
            </w:tcBorders>
            <w:vAlign w:val="bottom"/>
          </w:tcPr>
          <w:p w:rsidR="00503BF9" w:rsidRPr="00E566D6" w:rsidRDefault="00503BF9" w:rsidP="00726992">
            <w:pPr>
              <w:pStyle w:val="TableBodyText"/>
            </w:pPr>
            <w:r w:rsidRPr="00E566D6">
              <w:t>-3.2</w:t>
            </w:r>
          </w:p>
        </w:tc>
        <w:tc>
          <w:tcPr>
            <w:tcW w:w="564" w:type="pct"/>
            <w:tcBorders>
              <w:bottom w:val="single" w:sz="4" w:space="0" w:color="auto"/>
            </w:tcBorders>
            <w:vAlign w:val="bottom"/>
          </w:tcPr>
          <w:p w:rsidR="00503BF9" w:rsidRPr="00E566D6" w:rsidRDefault="00503BF9" w:rsidP="00726992">
            <w:pPr>
              <w:pStyle w:val="TableBodyText"/>
            </w:pPr>
            <w:r w:rsidRPr="00E566D6">
              <w:t>-3.2</w:t>
            </w:r>
          </w:p>
        </w:tc>
      </w:tr>
    </w:tbl>
    <w:p w:rsidR="00503F30" w:rsidRDefault="00503F30" w:rsidP="00503F30">
      <w:pPr>
        <w:pStyle w:val="Note"/>
      </w:pPr>
      <w:r w:rsidRPr="00A64A3C">
        <w:rPr>
          <w:rStyle w:val="NoteLabel"/>
        </w:rPr>
        <w:t>a</w:t>
      </w:r>
      <w:r>
        <w:t xml:space="preserve"> </w:t>
      </w:r>
      <w:r w:rsidR="0065394E">
        <w:t>Data for subdivision</w:t>
      </w:r>
      <w:r w:rsidR="005B343C">
        <w:t>s</w:t>
      </w:r>
      <w:r w:rsidR="0065394E">
        <w:t xml:space="preserve"> </w:t>
      </w:r>
      <w:r w:rsidR="005B343C">
        <w:t>we</w:t>
      </w:r>
      <w:r w:rsidR="0065394E">
        <w:t xml:space="preserve">re benchmarked against the aggregate for </w:t>
      </w:r>
      <w:r w:rsidR="005B343C">
        <w:t>M</w:t>
      </w:r>
      <w:r w:rsidR="0065394E">
        <w:t xml:space="preserve">anufacturing (appendix A). </w:t>
      </w:r>
      <w:r w:rsidR="00817DCC">
        <w:t xml:space="preserve">Group level data </w:t>
      </w:r>
      <w:r w:rsidR="005B343C">
        <w:t>we</w:t>
      </w:r>
      <w:r w:rsidR="00817DCC">
        <w:t xml:space="preserve">re then used to apportion these subdivision growth rates. </w:t>
      </w:r>
      <w:r w:rsidR="00AA175A">
        <w:rPr>
          <w:rStyle w:val="NoteLabel"/>
        </w:rPr>
        <w:t>b</w:t>
      </w:r>
      <w:r w:rsidR="00AA175A">
        <w:t> </w:t>
      </w:r>
      <w:r>
        <w:t>Includes hours worked allocated to the subdivision, but not further defined to group level.</w:t>
      </w:r>
    </w:p>
    <w:p w:rsidR="00311DC3" w:rsidRDefault="000E5A95" w:rsidP="00311DC3">
      <w:pPr>
        <w:pStyle w:val="Source"/>
      </w:pPr>
      <w:r>
        <w:rPr>
          <w:i/>
        </w:rPr>
        <w:t>Source</w:t>
      </w:r>
      <w:r w:rsidRPr="00B96127">
        <w:t>:</w:t>
      </w:r>
      <w:r w:rsidR="00B04B99">
        <w:t xml:space="preserve"> Authors’ estimates based on ABS (unpublished Labour Force Survey data).</w:t>
      </w:r>
      <w:r w:rsidR="00311DC3" w:rsidRPr="00A64A3C">
        <w:t xml:space="preserve"> </w:t>
      </w:r>
    </w:p>
    <w:p w:rsidR="00A122D4" w:rsidRDefault="00A122D4" w:rsidP="00A122D4">
      <w:pPr>
        <w:pStyle w:val="ListBullet"/>
      </w:pPr>
      <w:r>
        <w:lastRenderedPageBreak/>
        <w:t xml:space="preserve">The rate of hours worked decline slowed in </w:t>
      </w:r>
      <w:r w:rsidR="007729DA">
        <w:t>the Chemicals subdivision</w:t>
      </w:r>
      <w:r>
        <w:t>, driven by a strong slowdown in the decline of hours worked in Basic chemical manufacturing and an increase in the number of hours worked in Basic polymer</w:t>
      </w:r>
      <w:r>
        <w:rPr>
          <w:rStyle w:val="FootnoteReference"/>
        </w:rPr>
        <w:footnoteReference w:id="3"/>
      </w:r>
      <w:r>
        <w:t xml:space="preserve"> and Fertiliser and Pesticide manufacturing. </w:t>
      </w:r>
    </w:p>
    <w:p w:rsidR="001C4687" w:rsidRDefault="00A122D4" w:rsidP="001C4687">
      <w:pPr>
        <w:pStyle w:val="ListBullet"/>
      </w:pPr>
      <w:r>
        <w:t xml:space="preserve">The rate of hours worked went from negative to positive in </w:t>
      </w:r>
      <w:r w:rsidR="007729DA">
        <w:t>the Polymers subdivision</w:t>
      </w:r>
      <w:r>
        <w:t xml:space="preserve">, with strong growth coming from the Polymer product manufacturing group. Almost all of this growth, however, was offset by a decline in employment from the not further defined category. Given that most of the employment in this subdivision is in Polymer product manufacturing, it </w:t>
      </w:r>
      <w:r w:rsidR="003B4D0D">
        <w:t>is likely</w:t>
      </w:r>
      <w:r>
        <w:t xml:space="preserve"> that the contribution from the group itself </w:t>
      </w:r>
      <w:r w:rsidR="0080396D">
        <w:t>wa</w:t>
      </w:r>
      <w:r>
        <w:t>s smaller than shown in table</w:t>
      </w:r>
      <w:r w:rsidR="0080396D">
        <w:t> </w:t>
      </w:r>
      <w:proofErr w:type="spellStart"/>
      <w:r w:rsidR="00E11F03">
        <w:t>F.2</w:t>
      </w:r>
      <w:proofErr w:type="spellEnd"/>
      <w:r>
        <w:t>.</w:t>
      </w:r>
    </w:p>
    <w:p w:rsidR="002F312A" w:rsidRDefault="002F312A" w:rsidP="002F312A">
      <w:pPr>
        <w:pStyle w:val="ListBullet"/>
        <w:numPr>
          <w:ilvl w:val="0"/>
          <w:numId w:val="0"/>
        </w:numPr>
        <w:ind w:left="340" w:hanging="340"/>
      </w:pPr>
    </w:p>
    <w:p w:rsidR="002F312A" w:rsidRDefault="002F312A" w:rsidP="002F312A">
      <w:pPr>
        <w:pStyle w:val="ListBullet"/>
        <w:numPr>
          <w:ilvl w:val="0"/>
          <w:numId w:val="0"/>
        </w:numPr>
        <w:ind w:left="340" w:hanging="340"/>
      </w:pPr>
    </w:p>
    <w:p w:rsidR="002F312A" w:rsidRDefault="002F312A" w:rsidP="002F312A">
      <w:pPr>
        <w:pStyle w:val="ListBullet"/>
        <w:numPr>
          <w:ilvl w:val="0"/>
          <w:numId w:val="0"/>
        </w:numPr>
        <w:ind w:left="340" w:hanging="340"/>
      </w:pPr>
    </w:p>
    <w:p w:rsidR="002F312A" w:rsidRDefault="002F312A" w:rsidP="002F312A">
      <w:pPr>
        <w:pStyle w:val="ListBullet"/>
        <w:numPr>
          <w:ilvl w:val="0"/>
          <w:numId w:val="0"/>
        </w:numPr>
        <w:ind w:left="340" w:hanging="340"/>
        <w:sectPr w:rsidR="002F312A" w:rsidSect="002F312A">
          <w:headerReference w:type="even" r:id="rId14"/>
          <w:headerReference w:type="default" r:id="rId15"/>
          <w:footerReference w:type="even" r:id="rId16"/>
          <w:footerReference w:type="default" r:id="rId17"/>
          <w:pgSz w:w="11907" w:h="16840" w:code="9"/>
          <w:pgMar w:top="1985" w:right="1304" w:bottom="1418" w:left="1814" w:header="1701" w:footer="567" w:gutter="0"/>
          <w:pgNumType w:start="261" w:chapStyle="1" w:chapSep="period"/>
          <w:cols w:space="720"/>
        </w:sectPr>
      </w:pPr>
    </w:p>
    <w:p w:rsidR="002F312A" w:rsidRDefault="002F312A" w:rsidP="002F312A">
      <w:pPr>
        <w:pStyle w:val="ListBullet"/>
        <w:numPr>
          <w:ilvl w:val="0"/>
          <w:numId w:val="0"/>
        </w:numPr>
        <w:ind w:left="340" w:hanging="340"/>
      </w:pPr>
    </w:p>
    <w:sectPr w:rsidR="002F312A" w:rsidSect="002F312A">
      <w:headerReference w:type="even" r:id="rId18"/>
      <w:footerReference w:type="even" r:id="rId19"/>
      <w:type w:val="evenPage"/>
      <w:pgSz w:w="11907" w:h="16840" w:code="9"/>
      <w:pgMar w:top="1985" w:right="1304" w:bottom="1418" w:left="1814" w:header="1701" w:footer="567" w:gutter="0"/>
      <w:pgNumType w:start="261"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4205" w:rsidRDefault="00B54205">
      <w:r>
        <w:separator/>
      </w:r>
    </w:p>
  </w:endnote>
  <w:endnote w:type="continuationSeparator" w:id="0">
    <w:p w:rsidR="00B54205" w:rsidRDefault="00B54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B54205">
      <w:trPr>
        <w:trHeight w:hRule="exact" w:val="740"/>
      </w:trPr>
      <w:tc>
        <w:tcPr>
          <w:tcW w:w="510" w:type="dxa"/>
          <w:tcBorders>
            <w:top w:val="single" w:sz="6" w:space="0" w:color="auto"/>
          </w:tcBorders>
        </w:tcPr>
        <w:p w:rsidR="00B54205" w:rsidRDefault="00B54205"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F323F8">
            <w:rPr>
              <w:rStyle w:val="PageNumber"/>
              <w:noProof/>
            </w:rPr>
            <w:t>266</w:t>
          </w:r>
          <w:r>
            <w:rPr>
              <w:rStyle w:val="PageNumber"/>
            </w:rPr>
            <w:fldChar w:fldCharType="end"/>
          </w:r>
        </w:p>
      </w:tc>
      <w:tc>
        <w:tcPr>
          <w:tcW w:w="1644" w:type="dxa"/>
          <w:tcBorders>
            <w:top w:val="single" w:sz="6" w:space="0" w:color="auto"/>
          </w:tcBorders>
        </w:tcPr>
        <w:p w:rsidR="00B54205" w:rsidRDefault="005F7F28" w:rsidP="0019293B">
          <w:pPr>
            <w:pStyle w:val="Footer"/>
          </w:pPr>
          <w:r>
            <w:fldChar w:fldCharType="begin"/>
          </w:r>
          <w:r>
            <w:instrText xml:space="preserve"> SUBJECT  \* MERGEFORMAT </w:instrText>
          </w:r>
          <w:r>
            <w:fldChar w:fldCharType="separate"/>
          </w:r>
          <w:r w:rsidR="00743559">
            <w:t>PRODUCTIVITY IN MANUFACTURING</w:t>
          </w:r>
          <w:r>
            <w:fldChar w:fldCharType="end"/>
          </w:r>
        </w:p>
      </w:tc>
      <w:tc>
        <w:tcPr>
          <w:tcW w:w="6634" w:type="dxa"/>
        </w:tcPr>
        <w:p w:rsidR="00B54205" w:rsidRDefault="00B54205" w:rsidP="0019293B">
          <w:pPr>
            <w:pStyle w:val="Footer"/>
          </w:pPr>
        </w:p>
      </w:tc>
    </w:tr>
  </w:tbl>
  <w:p w:rsidR="00B54205" w:rsidRDefault="00B54205"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B54205">
      <w:trPr>
        <w:trHeight w:hRule="exact" w:val="740"/>
      </w:trPr>
      <w:tc>
        <w:tcPr>
          <w:tcW w:w="6634" w:type="dxa"/>
        </w:tcPr>
        <w:p w:rsidR="00B54205" w:rsidRDefault="00B54205" w:rsidP="008F3C5D">
          <w:pPr>
            <w:pStyle w:val="Footer"/>
            <w:ind w:right="360" w:firstLine="360"/>
          </w:pPr>
        </w:p>
      </w:tc>
      <w:tc>
        <w:tcPr>
          <w:tcW w:w="1644" w:type="dxa"/>
          <w:tcBorders>
            <w:top w:val="single" w:sz="6" w:space="0" w:color="auto"/>
          </w:tcBorders>
        </w:tcPr>
        <w:p w:rsidR="00B54205" w:rsidRDefault="00FF52E2">
          <w:pPr>
            <w:pStyle w:val="Footer"/>
          </w:pPr>
          <w:r>
            <w:fldChar w:fldCharType="begin"/>
          </w:r>
          <w:r>
            <w:instrText xml:space="preserve"> TITLE  \* MERGEFORMAT </w:instrText>
          </w:r>
          <w:r>
            <w:fldChar w:fldCharType="separate"/>
          </w:r>
          <w:r w:rsidR="00743559">
            <w:t xml:space="preserve">Additional information on </w:t>
          </w:r>
          <w:proofErr w:type="spellStart"/>
          <w:r w:rsidR="00743559">
            <w:t>PCCR</w:t>
          </w:r>
          <w:proofErr w:type="spellEnd"/>
          <w:r>
            <w:fldChar w:fldCharType="end"/>
          </w:r>
        </w:p>
      </w:tc>
      <w:tc>
        <w:tcPr>
          <w:tcW w:w="510" w:type="dxa"/>
          <w:tcBorders>
            <w:top w:val="single" w:sz="6" w:space="0" w:color="auto"/>
          </w:tcBorders>
        </w:tcPr>
        <w:p w:rsidR="00B54205" w:rsidRDefault="00B54205">
          <w:pPr>
            <w:pStyle w:val="Footer"/>
            <w:jc w:val="right"/>
          </w:pPr>
          <w:r>
            <w:rPr>
              <w:rStyle w:val="PageNumber"/>
            </w:rPr>
            <w:fldChar w:fldCharType="begin"/>
          </w:r>
          <w:r>
            <w:rPr>
              <w:rStyle w:val="PageNumber"/>
            </w:rPr>
            <w:instrText xml:space="preserve">PAGE  </w:instrText>
          </w:r>
          <w:r>
            <w:rPr>
              <w:rStyle w:val="PageNumber"/>
            </w:rPr>
            <w:fldChar w:fldCharType="separate"/>
          </w:r>
          <w:r w:rsidR="002668D8">
            <w:rPr>
              <w:rStyle w:val="PageNumber"/>
              <w:noProof/>
            </w:rPr>
            <w:t>261</w:t>
          </w:r>
          <w:r>
            <w:rPr>
              <w:rStyle w:val="PageNumber"/>
            </w:rPr>
            <w:fldChar w:fldCharType="end"/>
          </w:r>
        </w:p>
      </w:tc>
    </w:tr>
  </w:tbl>
  <w:p w:rsidR="00B54205" w:rsidRDefault="00B54205">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12A" w:rsidRDefault="002F312A" w:rsidP="0019293B">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4205" w:rsidRDefault="00B54205">
      <w:r>
        <w:separator/>
      </w:r>
    </w:p>
  </w:footnote>
  <w:footnote w:type="continuationSeparator" w:id="0">
    <w:p w:rsidR="00B54205" w:rsidRDefault="00B54205">
      <w:r>
        <w:continuationSeparator/>
      </w:r>
    </w:p>
  </w:footnote>
  <w:footnote w:id="1">
    <w:p w:rsidR="00B54205" w:rsidRDefault="00B54205" w:rsidP="00DF715A">
      <w:pPr>
        <w:pStyle w:val="FootnoteText"/>
      </w:pPr>
      <w:r>
        <w:rPr>
          <w:rStyle w:val="FootnoteReference"/>
        </w:rPr>
        <w:footnoteRef/>
      </w:r>
      <w:r>
        <w:t xml:space="preserve"> </w:t>
      </w:r>
      <w:r>
        <w:tab/>
        <w:t>D</w:t>
      </w:r>
      <w:r w:rsidRPr="00FD17DE">
        <w:t>eflat</w:t>
      </w:r>
      <w:r>
        <w:t>ing</w:t>
      </w:r>
      <w:r w:rsidRPr="00FD17DE">
        <w:t xml:space="preserve"> disaggregated nominal </w:t>
      </w:r>
      <w:r w:rsidR="006E2CDA">
        <w:t>value added</w:t>
      </w:r>
      <w:r w:rsidRPr="00FD17DE">
        <w:t xml:space="preserve"> data by using </w:t>
      </w:r>
      <w:proofErr w:type="spellStart"/>
      <w:r w:rsidR="001D7E18">
        <w:t>PPIs</w:t>
      </w:r>
      <w:proofErr w:type="spellEnd"/>
      <w:r w:rsidRPr="00FD17DE">
        <w:t xml:space="preserve"> for output</w:t>
      </w:r>
      <w:r>
        <w:t xml:space="preserve"> can only provide a broad approximation of real </w:t>
      </w:r>
      <w:r w:rsidR="004A6254">
        <w:t>value added</w:t>
      </w:r>
      <w:r>
        <w:t xml:space="preserve"> derived from double deflation. Double deflated real </w:t>
      </w:r>
      <w:r w:rsidR="004A6254">
        <w:t>value added</w:t>
      </w:r>
      <w:r>
        <w:t xml:space="preserve"> involves separate deflation of gross output and intermediate inputs using separate price indexes for each. </w:t>
      </w:r>
      <w:r w:rsidRPr="00FD17DE">
        <w:t xml:space="preserve">If there are changes in intermediate input prices that are different to those of output prices, then deflating the nominal </w:t>
      </w:r>
      <w:r w:rsidR="006E2CDA">
        <w:t>value added</w:t>
      </w:r>
      <w:r w:rsidRPr="00FD17DE">
        <w:t xml:space="preserve"> data by output deflators </w:t>
      </w:r>
      <w:r>
        <w:t>will</w:t>
      </w:r>
      <w:r w:rsidRPr="00FD17DE">
        <w:t xml:space="preserve"> </w:t>
      </w:r>
      <w:r>
        <w:t>differ from a double deflated series.</w:t>
      </w:r>
    </w:p>
  </w:footnote>
  <w:footnote w:id="2">
    <w:p w:rsidR="00B35E4D" w:rsidRDefault="00B35E4D">
      <w:pPr>
        <w:pStyle w:val="FootnoteText"/>
      </w:pPr>
      <w:r>
        <w:rPr>
          <w:rStyle w:val="FootnoteReference"/>
        </w:rPr>
        <w:footnoteRef/>
      </w:r>
      <w:r>
        <w:t xml:space="preserve"> </w:t>
      </w:r>
      <w:r w:rsidR="005B343C">
        <w:tab/>
      </w:r>
      <w:r w:rsidR="009C682B">
        <w:t>N</w:t>
      </w:r>
      <w:r>
        <w:t xml:space="preserve">ational </w:t>
      </w:r>
      <w:r w:rsidR="009C682B">
        <w:t>A</w:t>
      </w:r>
      <w:r>
        <w:t xml:space="preserve">ccounts </w:t>
      </w:r>
      <w:r w:rsidR="005B343C">
        <w:t xml:space="preserve">estimates </w:t>
      </w:r>
      <w:r w:rsidR="005C7151">
        <w:t>are</w:t>
      </w:r>
      <w:r>
        <w:t xml:space="preserve"> </w:t>
      </w:r>
      <w:r w:rsidR="00F56D23">
        <w:t xml:space="preserve">calculated using data from </w:t>
      </w:r>
      <w:r>
        <w:t xml:space="preserve">a range of different sources </w:t>
      </w:r>
      <w:r w:rsidR="00F56D23">
        <w:t xml:space="preserve">that </w:t>
      </w:r>
      <w:r w:rsidR="00B91827">
        <w:t xml:space="preserve">are </w:t>
      </w:r>
      <w:r w:rsidR="00F56D23">
        <w:t>then</w:t>
      </w:r>
      <w:r>
        <w:t xml:space="preserve"> ‘confronted’ using information from the input-output tables. This ensures that the production of each industry is balanced with the use of each industry (</w:t>
      </w:r>
      <w:r w:rsidRPr="004B1838">
        <w:t xml:space="preserve">ABS </w:t>
      </w:r>
      <w:proofErr w:type="spellStart"/>
      <w:r w:rsidRPr="004B1838">
        <w:t>2013</w:t>
      </w:r>
      <w:r w:rsidR="00C15FB2">
        <w:t>b</w:t>
      </w:r>
      <w:proofErr w:type="spellEnd"/>
      <w:r w:rsidRPr="004B1838">
        <w:t>,</w:t>
      </w:r>
      <w:r>
        <w:t xml:space="preserve"> pp.</w:t>
      </w:r>
      <w:r w:rsidR="004D0547">
        <w:t> </w:t>
      </w:r>
      <w:r>
        <w:t>544,</w:t>
      </w:r>
      <w:r w:rsidR="004D0547">
        <w:t> </w:t>
      </w:r>
      <w:r>
        <w:t xml:space="preserve">564). Accordingly, the </w:t>
      </w:r>
      <w:r w:rsidR="00F56D23">
        <w:t>N</w:t>
      </w:r>
      <w:r>
        <w:t xml:space="preserve">ational </w:t>
      </w:r>
      <w:r w:rsidR="00F56D23">
        <w:t>A</w:t>
      </w:r>
      <w:r>
        <w:t xml:space="preserve">ccounts </w:t>
      </w:r>
      <w:r w:rsidR="00F56D23">
        <w:t>estimates</w:t>
      </w:r>
      <w:r>
        <w:t xml:space="preserve"> </w:t>
      </w:r>
      <w:r w:rsidR="00242F34">
        <w:t>are</w:t>
      </w:r>
      <w:r>
        <w:t xml:space="preserve"> considered to be more accurate </w:t>
      </w:r>
      <w:r w:rsidR="00F56D23">
        <w:t>than those from a single</w:t>
      </w:r>
      <w:r>
        <w:t xml:space="preserve"> industry survey.</w:t>
      </w:r>
    </w:p>
  </w:footnote>
  <w:footnote w:id="3">
    <w:p w:rsidR="00B54205" w:rsidRDefault="00B54205" w:rsidP="00A122D4">
      <w:pPr>
        <w:pStyle w:val="FootnoteText"/>
      </w:pPr>
      <w:r>
        <w:rPr>
          <w:rStyle w:val="FootnoteReference"/>
        </w:rPr>
        <w:footnoteRef/>
      </w:r>
      <w:r>
        <w:t xml:space="preserve"> </w:t>
      </w:r>
      <w:r w:rsidR="00E07B3E">
        <w:tab/>
      </w:r>
      <w:r>
        <w:t>Contrary to the name of the group ‘Basic polymer manufacturing’ (</w:t>
      </w:r>
      <w:proofErr w:type="spellStart"/>
      <w:r>
        <w:t>ANZSIC</w:t>
      </w:r>
      <w:proofErr w:type="spellEnd"/>
      <w:r>
        <w:t xml:space="preserve"> group 182) is part of the Chemicals subdivision rather than the Polymer</w:t>
      </w:r>
      <w:r w:rsidR="00B23E1D">
        <w:t>s</w:t>
      </w:r>
      <w:r>
        <w:t xml:space="preserve"> subdivision.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B54205">
      <w:tc>
        <w:tcPr>
          <w:tcW w:w="2155" w:type="dxa"/>
          <w:tcBorders>
            <w:top w:val="single" w:sz="24" w:space="0" w:color="auto"/>
          </w:tcBorders>
        </w:tcPr>
        <w:p w:rsidR="00B54205" w:rsidRDefault="00B54205" w:rsidP="0019293B">
          <w:pPr>
            <w:pStyle w:val="HeaderEven"/>
          </w:pPr>
        </w:p>
      </w:tc>
      <w:tc>
        <w:tcPr>
          <w:tcW w:w="6634" w:type="dxa"/>
          <w:tcBorders>
            <w:top w:val="single" w:sz="6" w:space="0" w:color="auto"/>
          </w:tcBorders>
        </w:tcPr>
        <w:p w:rsidR="00B54205" w:rsidRDefault="00B54205" w:rsidP="0019293B">
          <w:pPr>
            <w:pStyle w:val="HeaderEven"/>
          </w:pPr>
        </w:p>
      </w:tc>
    </w:tr>
  </w:tbl>
  <w:p w:rsidR="00B54205" w:rsidRDefault="00B54205"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54205">
      <w:tc>
        <w:tcPr>
          <w:tcW w:w="6634" w:type="dxa"/>
          <w:tcBorders>
            <w:top w:val="single" w:sz="6" w:space="0" w:color="auto"/>
          </w:tcBorders>
        </w:tcPr>
        <w:p w:rsidR="00B54205" w:rsidRDefault="00B54205" w:rsidP="00E669E2">
          <w:pPr>
            <w:pStyle w:val="HeaderOdd"/>
          </w:pPr>
        </w:p>
      </w:tc>
      <w:tc>
        <w:tcPr>
          <w:tcW w:w="2155" w:type="dxa"/>
          <w:tcBorders>
            <w:top w:val="single" w:sz="24" w:space="0" w:color="auto"/>
          </w:tcBorders>
        </w:tcPr>
        <w:p w:rsidR="00B54205" w:rsidRDefault="00B54205" w:rsidP="00E669E2">
          <w:pPr>
            <w:pStyle w:val="HeaderOdd"/>
          </w:pPr>
        </w:p>
      </w:tc>
    </w:tr>
  </w:tbl>
  <w:p w:rsidR="00B54205" w:rsidRDefault="00B54205"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12A" w:rsidRDefault="002F312A" w:rsidP="0019293B">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2">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3">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6">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7">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8">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9">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1">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2">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3">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4">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5">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6">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8"/>
  </w:num>
  <w:num w:numId="2">
    <w:abstractNumId w:val="15"/>
  </w:num>
  <w:num w:numId="3">
    <w:abstractNumId w:val="0"/>
  </w:num>
  <w:num w:numId="4">
    <w:abstractNumId w:val="10"/>
  </w:num>
  <w:num w:numId="5">
    <w:abstractNumId w:val="1"/>
  </w:num>
  <w:num w:numId="6">
    <w:abstractNumId w:val="14"/>
  </w:num>
  <w:num w:numId="7">
    <w:abstractNumId w:val="12"/>
  </w:num>
  <w:num w:numId="8">
    <w:abstractNumId w:val="16"/>
  </w:num>
  <w:num w:numId="9">
    <w:abstractNumId w:val="5"/>
  </w:num>
  <w:num w:numId="10">
    <w:abstractNumId w:val="11"/>
  </w:num>
  <w:num w:numId="11">
    <w:abstractNumId w:val="4"/>
  </w:num>
  <w:num w:numId="12">
    <w:abstractNumId w:val="3"/>
  </w:num>
  <w:num w:numId="13">
    <w:abstractNumId w:val="6"/>
  </w:num>
  <w:num w:numId="14">
    <w:abstractNumId w:val="7"/>
  </w:num>
  <w:num w:numId="15">
    <w:abstractNumId w:val="9"/>
  </w:num>
  <w:num w:numId="16">
    <w:abstractNumId w:val="2"/>
  </w:num>
  <w:num w:numId="17">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F"/>
    <w:docVar w:name="FindingOptions" w:val="1"/>
    <w:docVar w:name="RecOptions" w:val="111"/>
    <w:docVar w:name="ShortChapterTitle" w:val="Additional information on PCCR"/>
    <w:docVar w:name="ShortReportTitle" w:val="PRODUCTIVITY IN MANUFACTURING"/>
  </w:docVars>
  <w:rsids>
    <w:rsidRoot w:val="00461EAA"/>
    <w:rsid w:val="0000149D"/>
    <w:rsid w:val="00013260"/>
    <w:rsid w:val="0001763B"/>
    <w:rsid w:val="000227D5"/>
    <w:rsid w:val="00022CCD"/>
    <w:rsid w:val="000245AA"/>
    <w:rsid w:val="00027107"/>
    <w:rsid w:val="0003664B"/>
    <w:rsid w:val="0004111F"/>
    <w:rsid w:val="000565B3"/>
    <w:rsid w:val="000618B0"/>
    <w:rsid w:val="0007150B"/>
    <w:rsid w:val="0007203F"/>
    <w:rsid w:val="00077082"/>
    <w:rsid w:val="000807E2"/>
    <w:rsid w:val="00084AB5"/>
    <w:rsid w:val="00090271"/>
    <w:rsid w:val="000938F5"/>
    <w:rsid w:val="00095B86"/>
    <w:rsid w:val="00096E55"/>
    <w:rsid w:val="000B601B"/>
    <w:rsid w:val="000C207E"/>
    <w:rsid w:val="000E5A95"/>
    <w:rsid w:val="000F0035"/>
    <w:rsid w:val="000F420B"/>
    <w:rsid w:val="001048CB"/>
    <w:rsid w:val="00110116"/>
    <w:rsid w:val="00112A18"/>
    <w:rsid w:val="00120072"/>
    <w:rsid w:val="00124FAF"/>
    <w:rsid w:val="00126EB8"/>
    <w:rsid w:val="001274D4"/>
    <w:rsid w:val="00133D37"/>
    <w:rsid w:val="001355B5"/>
    <w:rsid w:val="00135758"/>
    <w:rsid w:val="001363AA"/>
    <w:rsid w:val="0013728F"/>
    <w:rsid w:val="00147004"/>
    <w:rsid w:val="0015309C"/>
    <w:rsid w:val="0017779F"/>
    <w:rsid w:val="00183748"/>
    <w:rsid w:val="00183E82"/>
    <w:rsid w:val="001878BB"/>
    <w:rsid w:val="00191AE0"/>
    <w:rsid w:val="0019293B"/>
    <w:rsid w:val="0019426B"/>
    <w:rsid w:val="001A116A"/>
    <w:rsid w:val="001A3B09"/>
    <w:rsid w:val="001A4FE3"/>
    <w:rsid w:val="001B2D52"/>
    <w:rsid w:val="001B30CA"/>
    <w:rsid w:val="001C0865"/>
    <w:rsid w:val="001C107D"/>
    <w:rsid w:val="001C1659"/>
    <w:rsid w:val="001C3ABA"/>
    <w:rsid w:val="001C4498"/>
    <w:rsid w:val="001C4687"/>
    <w:rsid w:val="001D4208"/>
    <w:rsid w:val="001D6065"/>
    <w:rsid w:val="001D6632"/>
    <w:rsid w:val="001D68AC"/>
    <w:rsid w:val="001D7E18"/>
    <w:rsid w:val="001E15B6"/>
    <w:rsid w:val="001E7BE8"/>
    <w:rsid w:val="001F0248"/>
    <w:rsid w:val="001F3EB3"/>
    <w:rsid w:val="001F4F86"/>
    <w:rsid w:val="001F5841"/>
    <w:rsid w:val="001F7755"/>
    <w:rsid w:val="00202C2C"/>
    <w:rsid w:val="00204E4E"/>
    <w:rsid w:val="002135AB"/>
    <w:rsid w:val="002144BE"/>
    <w:rsid w:val="002154AC"/>
    <w:rsid w:val="00242279"/>
    <w:rsid w:val="00242F34"/>
    <w:rsid w:val="00243C3B"/>
    <w:rsid w:val="00244B28"/>
    <w:rsid w:val="00245C82"/>
    <w:rsid w:val="0024659C"/>
    <w:rsid w:val="00247F04"/>
    <w:rsid w:val="00250890"/>
    <w:rsid w:val="00254E8C"/>
    <w:rsid w:val="00261311"/>
    <w:rsid w:val="002668D8"/>
    <w:rsid w:val="00281C8F"/>
    <w:rsid w:val="002913DC"/>
    <w:rsid w:val="00291B40"/>
    <w:rsid w:val="002A7058"/>
    <w:rsid w:val="002B4008"/>
    <w:rsid w:val="002B410F"/>
    <w:rsid w:val="002C6519"/>
    <w:rsid w:val="002D0E8E"/>
    <w:rsid w:val="002E7690"/>
    <w:rsid w:val="002E78D3"/>
    <w:rsid w:val="002F312A"/>
    <w:rsid w:val="00301189"/>
    <w:rsid w:val="00307457"/>
    <w:rsid w:val="00311DC3"/>
    <w:rsid w:val="003129A6"/>
    <w:rsid w:val="00322DDF"/>
    <w:rsid w:val="00323E09"/>
    <w:rsid w:val="00333932"/>
    <w:rsid w:val="00333D30"/>
    <w:rsid w:val="003420E4"/>
    <w:rsid w:val="0034536B"/>
    <w:rsid w:val="003518AA"/>
    <w:rsid w:val="00352165"/>
    <w:rsid w:val="00353182"/>
    <w:rsid w:val="003532F6"/>
    <w:rsid w:val="003565D9"/>
    <w:rsid w:val="003602E1"/>
    <w:rsid w:val="0037026F"/>
    <w:rsid w:val="00371240"/>
    <w:rsid w:val="003722B1"/>
    <w:rsid w:val="00374731"/>
    <w:rsid w:val="00376E59"/>
    <w:rsid w:val="003919F9"/>
    <w:rsid w:val="00394952"/>
    <w:rsid w:val="003B4D0D"/>
    <w:rsid w:val="003B588E"/>
    <w:rsid w:val="003C38B5"/>
    <w:rsid w:val="003C5D99"/>
    <w:rsid w:val="003C683F"/>
    <w:rsid w:val="003E2F59"/>
    <w:rsid w:val="003E4933"/>
    <w:rsid w:val="003E5D95"/>
    <w:rsid w:val="003E6B74"/>
    <w:rsid w:val="003F0789"/>
    <w:rsid w:val="003F4019"/>
    <w:rsid w:val="003F6316"/>
    <w:rsid w:val="00400346"/>
    <w:rsid w:val="0040153B"/>
    <w:rsid w:val="00401882"/>
    <w:rsid w:val="00402349"/>
    <w:rsid w:val="004072F8"/>
    <w:rsid w:val="004100C8"/>
    <w:rsid w:val="00411DBD"/>
    <w:rsid w:val="00412ACE"/>
    <w:rsid w:val="00420A94"/>
    <w:rsid w:val="0042739A"/>
    <w:rsid w:val="00430FE5"/>
    <w:rsid w:val="00431249"/>
    <w:rsid w:val="00434C19"/>
    <w:rsid w:val="00441721"/>
    <w:rsid w:val="00446866"/>
    <w:rsid w:val="0044735F"/>
    <w:rsid w:val="00450810"/>
    <w:rsid w:val="00450D93"/>
    <w:rsid w:val="0045227E"/>
    <w:rsid w:val="00461EAA"/>
    <w:rsid w:val="00476687"/>
    <w:rsid w:val="00477144"/>
    <w:rsid w:val="00491380"/>
    <w:rsid w:val="0049459F"/>
    <w:rsid w:val="004A38DD"/>
    <w:rsid w:val="004A6254"/>
    <w:rsid w:val="004B03E9"/>
    <w:rsid w:val="004B1838"/>
    <w:rsid w:val="004B43AE"/>
    <w:rsid w:val="004B6A2C"/>
    <w:rsid w:val="004B72E6"/>
    <w:rsid w:val="004C30ED"/>
    <w:rsid w:val="004C451E"/>
    <w:rsid w:val="004D0547"/>
    <w:rsid w:val="004D1E59"/>
    <w:rsid w:val="004D5675"/>
    <w:rsid w:val="004F623E"/>
    <w:rsid w:val="0050354D"/>
    <w:rsid w:val="00503BF9"/>
    <w:rsid w:val="00503F30"/>
    <w:rsid w:val="00505E6C"/>
    <w:rsid w:val="00514B89"/>
    <w:rsid w:val="00521F21"/>
    <w:rsid w:val="0052254A"/>
    <w:rsid w:val="00523639"/>
    <w:rsid w:val="005256B5"/>
    <w:rsid w:val="00531FE5"/>
    <w:rsid w:val="005402FA"/>
    <w:rsid w:val="00541A15"/>
    <w:rsid w:val="0055654F"/>
    <w:rsid w:val="00563E3F"/>
    <w:rsid w:val="00583C39"/>
    <w:rsid w:val="00587F28"/>
    <w:rsid w:val="005909CF"/>
    <w:rsid w:val="00591E71"/>
    <w:rsid w:val="00593166"/>
    <w:rsid w:val="00593738"/>
    <w:rsid w:val="005A0D41"/>
    <w:rsid w:val="005A39F0"/>
    <w:rsid w:val="005A4C70"/>
    <w:rsid w:val="005B343C"/>
    <w:rsid w:val="005C7151"/>
    <w:rsid w:val="005D2CBB"/>
    <w:rsid w:val="005D3391"/>
    <w:rsid w:val="005E26C3"/>
    <w:rsid w:val="005F1868"/>
    <w:rsid w:val="00601C10"/>
    <w:rsid w:val="00603CC4"/>
    <w:rsid w:val="00607BF1"/>
    <w:rsid w:val="00610159"/>
    <w:rsid w:val="006161AF"/>
    <w:rsid w:val="00630D4D"/>
    <w:rsid w:val="00632A74"/>
    <w:rsid w:val="00632E35"/>
    <w:rsid w:val="0064633A"/>
    <w:rsid w:val="006473B0"/>
    <w:rsid w:val="0065394E"/>
    <w:rsid w:val="006549BB"/>
    <w:rsid w:val="006575F5"/>
    <w:rsid w:val="00667AF2"/>
    <w:rsid w:val="00670893"/>
    <w:rsid w:val="00682A34"/>
    <w:rsid w:val="006856D3"/>
    <w:rsid w:val="00697E67"/>
    <w:rsid w:val="006A3785"/>
    <w:rsid w:val="006A4655"/>
    <w:rsid w:val="006B2B3C"/>
    <w:rsid w:val="006B3804"/>
    <w:rsid w:val="006C1D81"/>
    <w:rsid w:val="006C2E00"/>
    <w:rsid w:val="006C7038"/>
    <w:rsid w:val="006E1B2C"/>
    <w:rsid w:val="006E2CDA"/>
    <w:rsid w:val="006E4DED"/>
    <w:rsid w:val="006E73EF"/>
    <w:rsid w:val="006E781A"/>
    <w:rsid w:val="007024FC"/>
    <w:rsid w:val="007034BB"/>
    <w:rsid w:val="007117B8"/>
    <w:rsid w:val="007119BA"/>
    <w:rsid w:val="00713A7D"/>
    <w:rsid w:val="00714D4D"/>
    <w:rsid w:val="007173CC"/>
    <w:rsid w:val="007206CD"/>
    <w:rsid w:val="00722211"/>
    <w:rsid w:val="00725DEE"/>
    <w:rsid w:val="00726992"/>
    <w:rsid w:val="00734A8E"/>
    <w:rsid w:val="00741A11"/>
    <w:rsid w:val="00743559"/>
    <w:rsid w:val="00743DB7"/>
    <w:rsid w:val="00744B46"/>
    <w:rsid w:val="007505CF"/>
    <w:rsid w:val="007536C9"/>
    <w:rsid w:val="00756BD7"/>
    <w:rsid w:val="007604BB"/>
    <w:rsid w:val="007626F7"/>
    <w:rsid w:val="007646D1"/>
    <w:rsid w:val="00767F2D"/>
    <w:rsid w:val="007719CD"/>
    <w:rsid w:val="007729DA"/>
    <w:rsid w:val="00772D41"/>
    <w:rsid w:val="0077726A"/>
    <w:rsid w:val="00785232"/>
    <w:rsid w:val="007A1FFC"/>
    <w:rsid w:val="007A21EB"/>
    <w:rsid w:val="007A5639"/>
    <w:rsid w:val="007B1A93"/>
    <w:rsid w:val="007B622F"/>
    <w:rsid w:val="007C36C9"/>
    <w:rsid w:val="007C4EF1"/>
    <w:rsid w:val="007C7DC0"/>
    <w:rsid w:val="007D2822"/>
    <w:rsid w:val="007D6401"/>
    <w:rsid w:val="007E01E4"/>
    <w:rsid w:val="007E4C59"/>
    <w:rsid w:val="007F6376"/>
    <w:rsid w:val="007F7107"/>
    <w:rsid w:val="00800D4C"/>
    <w:rsid w:val="0080396D"/>
    <w:rsid w:val="00805948"/>
    <w:rsid w:val="0081030F"/>
    <w:rsid w:val="008123D2"/>
    <w:rsid w:val="00817DCC"/>
    <w:rsid w:val="0082087D"/>
    <w:rsid w:val="00835013"/>
    <w:rsid w:val="00835771"/>
    <w:rsid w:val="0084178B"/>
    <w:rsid w:val="00842933"/>
    <w:rsid w:val="0086082C"/>
    <w:rsid w:val="00864ADC"/>
    <w:rsid w:val="008653CD"/>
    <w:rsid w:val="00871122"/>
    <w:rsid w:val="00875563"/>
    <w:rsid w:val="00877885"/>
    <w:rsid w:val="00880153"/>
    <w:rsid w:val="00880F97"/>
    <w:rsid w:val="0088133A"/>
    <w:rsid w:val="00881716"/>
    <w:rsid w:val="00891C8E"/>
    <w:rsid w:val="0089285E"/>
    <w:rsid w:val="00893548"/>
    <w:rsid w:val="0089436C"/>
    <w:rsid w:val="00894E51"/>
    <w:rsid w:val="00896426"/>
    <w:rsid w:val="008A16C7"/>
    <w:rsid w:val="008B7066"/>
    <w:rsid w:val="008C22CF"/>
    <w:rsid w:val="008C48A8"/>
    <w:rsid w:val="008C69EE"/>
    <w:rsid w:val="008D2E5E"/>
    <w:rsid w:val="008D365C"/>
    <w:rsid w:val="008D49AC"/>
    <w:rsid w:val="008D60FE"/>
    <w:rsid w:val="008E6709"/>
    <w:rsid w:val="008F3317"/>
    <w:rsid w:val="008F3C5D"/>
    <w:rsid w:val="008F6EEB"/>
    <w:rsid w:val="009030BF"/>
    <w:rsid w:val="0091032F"/>
    <w:rsid w:val="00911303"/>
    <w:rsid w:val="00914368"/>
    <w:rsid w:val="00931076"/>
    <w:rsid w:val="009345D9"/>
    <w:rsid w:val="00934B15"/>
    <w:rsid w:val="00940C87"/>
    <w:rsid w:val="00941516"/>
    <w:rsid w:val="00942B62"/>
    <w:rsid w:val="0095323B"/>
    <w:rsid w:val="009554B4"/>
    <w:rsid w:val="00956A0C"/>
    <w:rsid w:val="00956BD9"/>
    <w:rsid w:val="00962489"/>
    <w:rsid w:val="00963694"/>
    <w:rsid w:val="0097009C"/>
    <w:rsid w:val="00973588"/>
    <w:rsid w:val="00984FB9"/>
    <w:rsid w:val="00990C2C"/>
    <w:rsid w:val="00993A28"/>
    <w:rsid w:val="00997843"/>
    <w:rsid w:val="009C0DAA"/>
    <w:rsid w:val="009C557D"/>
    <w:rsid w:val="009C682B"/>
    <w:rsid w:val="009D10EC"/>
    <w:rsid w:val="009D2776"/>
    <w:rsid w:val="009E1844"/>
    <w:rsid w:val="009E5412"/>
    <w:rsid w:val="009F06B5"/>
    <w:rsid w:val="009F0D1B"/>
    <w:rsid w:val="009F5940"/>
    <w:rsid w:val="009F696D"/>
    <w:rsid w:val="009F6BC6"/>
    <w:rsid w:val="00A00FB3"/>
    <w:rsid w:val="00A020DB"/>
    <w:rsid w:val="00A02837"/>
    <w:rsid w:val="00A0527E"/>
    <w:rsid w:val="00A072A1"/>
    <w:rsid w:val="00A10346"/>
    <w:rsid w:val="00A122D4"/>
    <w:rsid w:val="00A13EBE"/>
    <w:rsid w:val="00A15047"/>
    <w:rsid w:val="00A1681B"/>
    <w:rsid w:val="00A16A74"/>
    <w:rsid w:val="00A17328"/>
    <w:rsid w:val="00A23A20"/>
    <w:rsid w:val="00A268B9"/>
    <w:rsid w:val="00A2703A"/>
    <w:rsid w:val="00A33DFF"/>
    <w:rsid w:val="00A35115"/>
    <w:rsid w:val="00A36D9A"/>
    <w:rsid w:val="00A4110A"/>
    <w:rsid w:val="00A42409"/>
    <w:rsid w:val="00A4407C"/>
    <w:rsid w:val="00A54A42"/>
    <w:rsid w:val="00A54B31"/>
    <w:rsid w:val="00A54CAF"/>
    <w:rsid w:val="00A554AB"/>
    <w:rsid w:val="00A57062"/>
    <w:rsid w:val="00A607FD"/>
    <w:rsid w:val="00A60F4A"/>
    <w:rsid w:val="00A65852"/>
    <w:rsid w:val="00A766D4"/>
    <w:rsid w:val="00A77657"/>
    <w:rsid w:val="00A817A0"/>
    <w:rsid w:val="00A818B6"/>
    <w:rsid w:val="00A9167F"/>
    <w:rsid w:val="00A92B53"/>
    <w:rsid w:val="00A94F1E"/>
    <w:rsid w:val="00A94FA6"/>
    <w:rsid w:val="00AA175A"/>
    <w:rsid w:val="00AA49A0"/>
    <w:rsid w:val="00AA6710"/>
    <w:rsid w:val="00AA7315"/>
    <w:rsid w:val="00AA7FCA"/>
    <w:rsid w:val="00AB02A9"/>
    <w:rsid w:val="00AB0681"/>
    <w:rsid w:val="00AB4622"/>
    <w:rsid w:val="00AC3FE8"/>
    <w:rsid w:val="00AD520B"/>
    <w:rsid w:val="00AE02DA"/>
    <w:rsid w:val="00B00B89"/>
    <w:rsid w:val="00B044ED"/>
    <w:rsid w:val="00B04B99"/>
    <w:rsid w:val="00B0529B"/>
    <w:rsid w:val="00B11F7E"/>
    <w:rsid w:val="00B23E1D"/>
    <w:rsid w:val="00B23FB3"/>
    <w:rsid w:val="00B251C3"/>
    <w:rsid w:val="00B2702C"/>
    <w:rsid w:val="00B35E4D"/>
    <w:rsid w:val="00B4159B"/>
    <w:rsid w:val="00B425C3"/>
    <w:rsid w:val="00B440AD"/>
    <w:rsid w:val="00B479BB"/>
    <w:rsid w:val="00B516E2"/>
    <w:rsid w:val="00B51E27"/>
    <w:rsid w:val="00B53E7E"/>
    <w:rsid w:val="00B54205"/>
    <w:rsid w:val="00B6342E"/>
    <w:rsid w:val="00B7113F"/>
    <w:rsid w:val="00B721AD"/>
    <w:rsid w:val="00B81E53"/>
    <w:rsid w:val="00B91827"/>
    <w:rsid w:val="00B94A43"/>
    <w:rsid w:val="00B96127"/>
    <w:rsid w:val="00B97724"/>
    <w:rsid w:val="00B97735"/>
    <w:rsid w:val="00BA1547"/>
    <w:rsid w:val="00BA24F8"/>
    <w:rsid w:val="00BA4E91"/>
    <w:rsid w:val="00BA73B6"/>
    <w:rsid w:val="00BA7E27"/>
    <w:rsid w:val="00BB1243"/>
    <w:rsid w:val="00BB2603"/>
    <w:rsid w:val="00BB2FA4"/>
    <w:rsid w:val="00BB32FC"/>
    <w:rsid w:val="00BB4FCD"/>
    <w:rsid w:val="00BB7C00"/>
    <w:rsid w:val="00BC04E9"/>
    <w:rsid w:val="00BC4CCB"/>
    <w:rsid w:val="00BD13EA"/>
    <w:rsid w:val="00BE3808"/>
    <w:rsid w:val="00BE6308"/>
    <w:rsid w:val="00BE7D05"/>
    <w:rsid w:val="00BF2F02"/>
    <w:rsid w:val="00BF3AA9"/>
    <w:rsid w:val="00BF3E9E"/>
    <w:rsid w:val="00BF5606"/>
    <w:rsid w:val="00C044ED"/>
    <w:rsid w:val="00C062E9"/>
    <w:rsid w:val="00C07B64"/>
    <w:rsid w:val="00C13721"/>
    <w:rsid w:val="00C13B1D"/>
    <w:rsid w:val="00C14FE4"/>
    <w:rsid w:val="00C153FE"/>
    <w:rsid w:val="00C15FB2"/>
    <w:rsid w:val="00C17C5A"/>
    <w:rsid w:val="00C21375"/>
    <w:rsid w:val="00C21F2D"/>
    <w:rsid w:val="00C24957"/>
    <w:rsid w:val="00C3066D"/>
    <w:rsid w:val="00C30FDC"/>
    <w:rsid w:val="00C50A0B"/>
    <w:rsid w:val="00C52416"/>
    <w:rsid w:val="00C543F4"/>
    <w:rsid w:val="00C6291C"/>
    <w:rsid w:val="00C62BDF"/>
    <w:rsid w:val="00C633CB"/>
    <w:rsid w:val="00C67AB5"/>
    <w:rsid w:val="00C736B7"/>
    <w:rsid w:val="00C74EE9"/>
    <w:rsid w:val="00C7629F"/>
    <w:rsid w:val="00C77D2F"/>
    <w:rsid w:val="00C8066C"/>
    <w:rsid w:val="00C81D4A"/>
    <w:rsid w:val="00C83986"/>
    <w:rsid w:val="00C8762C"/>
    <w:rsid w:val="00C93EBA"/>
    <w:rsid w:val="00CA00F9"/>
    <w:rsid w:val="00CA2961"/>
    <w:rsid w:val="00CA5677"/>
    <w:rsid w:val="00CA70A2"/>
    <w:rsid w:val="00CA7B00"/>
    <w:rsid w:val="00CB50D7"/>
    <w:rsid w:val="00CB7177"/>
    <w:rsid w:val="00CC1998"/>
    <w:rsid w:val="00CC4946"/>
    <w:rsid w:val="00CD391B"/>
    <w:rsid w:val="00CF2E92"/>
    <w:rsid w:val="00D1236A"/>
    <w:rsid w:val="00D17990"/>
    <w:rsid w:val="00D24A93"/>
    <w:rsid w:val="00D270A4"/>
    <w:rsid w:val="00D31FE9"/>
    <w:rsid w:val="00D34E1B"/>
    <w:rsid w:val="00D376BA"/>
    <w:rsid w:val="00D41DC1"/>
    <w:rsid w:val="00D44DEF"/>
    <w:rsid w:val="00D45634"/>
    <w:rsid w:val="00D5568A"/>
    <w:rsid w:val="00D63D73"/>
    <w:rsid w:val="00D64452"/>
    <w:rsid w:val="00D6607B"/>
    <w:rsid w:val="00D66E1E"/>
    <w:rsid w:val="00D712A3"/>
    <w:rsid w:val="00D75722"/>
    <w:rsid w:val="00D80CF5"/>
    <w:rsid w:val="00D950D0"/>
    <w:rsid w:val="00DA5BBA"/>
    <w:rsid w:val="00DB26D2"/>
    <w:rsid w:val="00DB67C9"/>
    <w:rsid w:val="00DB71A0"/>
    <w:rsid w:val="00DB7C8C"/>
    <w:rsid w:val="00DC0C95"/>
    <w:rsid w:val="00DC11CF"/>
    <w:rsid w:val="00DD6580"/>
    <w:rsid w:val="00DE69D7"/>
    <w:rsid w:val="00DE7165"/>
    <w:rsid w:val="00DE7D33"/>
    <w:rsid w:val="00DF09F0"/>
    <w:rsid w:val="00DF6B18"/>
    <w:rsid w:val="00DF6BCF"/>
    <w:rsid w:val="00DF715A"/>
    <w:rsid w:val="00DF7462"/>
    <w:rsid w:val="00DF74F4"/>
    <w:rsid w:val="00E03438"/>
    <w:rsid w:val="00E049A5"/>
    <w:rsid w:val="00E07B3E"/>
    <w:rsid w:val="00E11F03"/>
    <w:rsid w:val="00E15219"/>
    <w:rsid w:val="00E154EB"/>
    <w:rsid w:val="00E1706C"/>
    <w:rsid w:val="00E17C72"/>
    <w:rsid w:val="00E21FC6"/>
    <w:rsid w:val="00E40CF5"/>
    <w:rsid w:val="00E41D63"/>
    <w:rsid w:val="00E431A9"/>
    <w:rsid w:val="00E45B0C"/>
    <w:rsid w:val="00E47B4D"/>
    <w:rsid w:val="00E528FB"/>
    <w:rsid w:val="00E566D6"/>
    <w:rsid w:val="00E6566E"/>
    <w:rsid w:val="00E669E2"/>
    <w:rsid w:val="00E66DF4"/>
    <w:rsid w:val="00E7166A"/>
    <w:rsid w:val="00E76135"/>
    <w:rsid w:val="00E82F4F"/>
    <w:rsid w:val="00EA4757"/>
    <w:rsid w:val="00EA525B"/>
    <w:rsid w:val="00EA7276"/>
    <w:rsid w:val="00EB15F2"/>
    <w:rsid w:val="00EC2844"/>
    <w:rsid w:val="00EC5500"/>
    <w:rsid w:val="00ED18F8"/>
    <w:rsid w:val="00ED2B95"/>
    <w:rsid w:val="00EE3E2A"/>
    <w:rsid w:val="00EF18E2"/>
    <w:rsid w:val="00EF6C6C"/>
    <w:rsid w:val="00EF7FF1"/>
    <w:rsid w:val="00F00749"/>
    <w:rsid w:val="00F056FC"/>
    <w:rsid w:val="00F0570A"/>
    <w:rsid w:val="00F10476"/>
    <w:rsid w:val="00F12355"/>
    <w:rsid w:val="00F135D8"/>
    <w:rsid w:val="00F25F15"/>
    <w:rsid w:val="00F27106"/>
    <w:rsid w:val="00F31299"/>
    <w:rsid w:val="00F323F8"/>
    <w:rsid w:val="00F3534A"/>
    <w:rsid w:val="00F36557"/>
    <w:rsid w:val="00F40A8B"/>
    <w:rsid w:val="00F4242D"/>
    <w:rsid w:val="00F513B6"/>
    <w:rsid w:val="00F51609"/>
    <w:rsid w:val="00F56D23"/>
    <w:rsid w:val="00F70365"/>
    <w:rsid w:val="00F77BCE"/>
    <w:rsid w:val="00F81006"/>
    <w:rsid w:val="00F82B25"/>
    <w:rsid w:val="00F85325"/>
    <w:rsid w:val="00F95E2C"/>
    <w:rsid w:val="00FA7514"/>
    <w:rsid w:val="00FC3FBD"/>
    <w:rsid w:val="00FD17DE"/>
    <w:rsid w:val="00FD22B1"/>
    <w:rsid w:val="00FE4F7E"/>
    <w:rsid w:val="00FE5397"/>
    <w:rsid w:val="00FE58B2"/>
    <w:rsid w:val="00FF1FA9"/>
    <w:rsid w:val="00FF52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5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461EAA"/>
    <w:rPr>
      <w:rFonts w:asciiTheme="minorHAnsi" w:eastAsiaTheme="minorHAnsi" w:hAnsiTheme="minorHAnsi" w:cstheme="minorBidi"/>
      <w:sz w:val="22"/>
      <w:szCs w:val="22"/>
      <w:lang w:eastAsia="en-US"/>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link w:val="FooterChar"/>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rsid w:val="00DB67C9"/>
    <w:pPr>
      <w:numPr>
        <w:numId w:val="4"/>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3"/>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BodyTextChar">
    <w:name w:val="Body Text Char"/>
    <w:basedOn w:val="DefaultParagraphFont"/>
    <w:link w:val="BodyText"/>
    <w:rsid w:val="00461EAA"/>
    <w:rPr>
      <w:sz w:val="26"/>
    </w:rPr>
  </w:style>
  <w:style w:type="character" w:customStyle="1" w:styleId="CommentTextChar">
    <w:name w:val="Comment Text Char"/>
    <w:basedOn w:val="DefaultParagraphFont"/>
    <w:link w:val="CommentText"/>
    <w:semiHidden/>
    <w:rsid w:val="00461EAA"/>
    <w:rPr>
      <w:szCs w:val="24"/>
    </w:rPr>
  </w:style>
  <w:style w:type="character" w:styleId="Hyperlink">
    <w:name w:val="Hyperlink"/>
    <w:basedOn w:val="DefaultParagraphFont"/>
    <w:rsid w:val="00461EAA"/>
    <w:rPr>
      <w:color w:val="0000FF" w:themeColor="hyperlink"/>
      <w:u w:val="single"/>
    </w:rPr>
  </w:style>
  <w:style w:type="paragraph" w:customStyle="1" w:styleId="BoxSpace">
    <w:name w:val="Box Space"/>
    <w:basedOn w:val="BodyText"/>
    <w:rsid w:val="00461EAA"/>
    <w:pPr>
      <w:keepNext/>
      <w:spacing w:before="360" w:line="80" w:lineRule="exact"/>
      <w:jc w:val="left"/>
    </w:pPr>
  </w:style>
  <w:style w:type="character" w:styleId="FollowedHyperlink">
    <w:name w:val="FollowedHyperlink"/>
    <w:basedOn w:val="DefaultParagraphFont"/>
    <w:rsid w:val="00461EAA"/>
    <w:rPr>
      <w:color w:val="800080" w:themeColor="followedHyperlink"/>
      <w:u w:val="single"/>
    </w:rPr>
  </w:style>
  <w:style w:type="paragraph" w:styleId="CommentSubject">
    <w:name w:val="annotation subject"/>
    <w:basedOn w:val="CommentText"/>
    <w:next w:val="CommentText"/>
    <w:link w:val="CommentSubjectChar"/>
    <w:rsid w:val="00461EAA"/>
    <w:pPr>
      <w:spacing w:before="0" w:line="240" w:lineRule="auto"/>
      <w:ind w:left="0" w:firstLine="0"/>
    </w:pPr>
    <w:rPr>
      <w:b/>
      <w:bCs/>
      <w:szCs w:val="20"/>
    </w:rPr>
  </w:style>
  <w:style w:type="character" w:customStyle="1" w:styleId="CommentSubjectChar">
    <w:name w:val="Comment Subject Char"/>
    <w:basedOn w:val="CommentTextChar"/>
    <w:link w:val="CommentSubject"/>
    <w:rsid w:val="00461EAA"/>
    <w:rPr>
      <w:rFonts w:asciiTheme="minorHAnsi" w:eastAsiaTheme="minorHAnsi" w:hAnsiTheme="minorHAnsi" w:cstheme="minorBidi"/>
      <w:b/>
      <w:bCs/>
      <w:szCs w:val="24"/>
      <w:lang w:eastAsia="en-US"/>
    </w:rPr>
  </w:style>
  <w:style w:type="paragraph" w:styleId="Revision">
    <w:name w:val="Revision"/>
    <w:hidden/>
    <w:uiPriority w:val="99"/>
    <w:semiHidden/>
    <w:rsid w:val="00461EAA"/>
    <w:rPr>
      <w:sz w:val="26"/>
      <w:szCs w:val="24"/>
    </w:rPr>
  </w:style>
  <w:style w:type="character" w:customStyle="1" w:styleId="FooterChar">
    <w:name w:val="Footer Char"/>
    <w:basedOn w:val="DefaultParagraphFont"/>
    <w:link w:val="Footer"/>
    <w:rsid w:val="00461EAA"/>
    <w:rPr>
      <w:caps/>
      <w:spacing w:val="-4"/>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461EAA"/>
    <w:rPr>
      <w:rFonts w:asciiTheme="minorHAnsi" w:eastAsiaTheme="minorHAnsi" w:hAnsiTheme="minorHAnsi" w:cstheme="minorBidi"/>
      <w:sz w:val="22"/>
      <w:szCs w:val="22"/>
      <w:lang w:eastAsia="en-US"/>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link w:val="FooterChar"/>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rsid w:val="00DB67C9"/>
    <w:pPr>
      <w:numPr>
        <w:numId w:val="4"/>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3"/>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BodyTextChar">
    <w:name w:val="Body Text Char"/>
    <w:basedOn w:val="DefaultParagraphFont"/>
    <w:link w:val="BodyText"/>
    <w:rsid w:val="00461EAA"/>
    <w:rPr>
      <w:sz w:val="26"/>
    </w:rPr>
  </w:style>
  <w:style w:type="character" w:customStyle="1" w:styleId="CommentTextChar">
    <w:name w:val="Comment Text Char"/>
    <w:basedOn w:val="DefaultParagraphFont"/>
    <w:link w:val="CommentText"/>
    <w:semiHidden/>
    <w:rsid w:val="00461EAA"/>
    <w:rPr>
      <w:szCs w:val="24"/>
    </w:rPr>
  </w:style>
  <w:style w:type="character" w:styleId="Hyperlink">
    <w:name w:val="Hyperlink"/>
    <w:basedOn w:val="DefaultParagraphFont"/>
    <w:rsid w:val="00461EAA"/>
    <w:rPr>
      <w:color w:val="0000FF" w:themeColor="hyperlink"/>
      <w:u w:val="single"/>
    </w:rPr>
  </w:style>
  <w:style w:type="paragraph" w:customStyle="1" w:styleId="BoxSpace">
    <w:name w:val="Box Space"/>
    <w:basedOn w:val="BodyText"/>
    <w:rsid w:val="00461EAA"/>
    <w:pPr>
      <w:keepNext/>
      <w:spacing w:before="360" w:line="80" w:lineRule="exact"/>
      <w:jc w:val="left"/>
    </w:pPr>
  </w:style>
  <w:style w:type="character" w:styleId="FollowedHyperlink">
    <w:name w:val="FollowedHyperlink"/>
    <w:basedOn w:val="DefaultParagraphFont"/>
    <w:rsid w:val="00461EAA"/>
    <w:rPr>
      <w:color w:val="800080" w:themeColor="followedHyperlink"/>
      <w:u w:val="single"/>
    </w:rPr>
  </w:style>
  <w:style w:type="paragraph" w:styleId="CommentSubject">
    <w:name w:val="annotation subject"/>
    <w:basedOn w:val="CommentText"/>
    <w:next w:val="CommentText"/>
    <w:link w:val="CommentSubjectChar"/>
    <w:rsid w:val="00461EAA"/>
    <w:pPr>
      <w:spacing w:before="0" w:line="240" w:lineRule="auto"/>
      <w:ind w:left="0" w:firstLine="0"/>
    </w:pPr>
    <w:rPr>
      <w:b/>
      <w:bCs/>
      <w:szCs w:val="20"/>
    </w:rPr>
  </w:style>
  <w:style w:type="character" w:customStyle="1" w:styleId="CommentSubjectChar">
    <w:name w:val="Comment Subject Char"/>
    <w:basedOn w:val="CommentTextChar"/>
    <w:link w:val="CommentSubject"/>
    <w:rsid w:val="00461EAA"/>
    <w:rPr>
      <w:rFonts w:asciiTheme="minorHAnsi" w:eastAsiaTheme="minorHAnsi" w:hAnsiTheme="minorHAnsi" w:cstheme="minorBidi"/>
      <w:b/>
      <w:bCs/>
      <w:szCs w:val="24"/>
      <w:lang w:eastAsia="en-US"/>
    </w:rPr>
  </w:style>
  <w:style w:type="paragraph" w:styleId="Revision">
    <w:name w:val="Revision"/>
    <w:hidden/>
    <w:uiPriority w:val="99"/>
    <w:semiHidden/>
    <w:rsid w:val="00461EAA"/>
    <w:rPr>
      <w:sz w:val="26"/>
      <w:szCs w:val="24"/>
    </w:rPr>
  </w:style>
  <w:style w:type="character" w:customStyle="1" w:styleId="FooterChar">
    <w:name w:val="Footer Char"/>
    <w:basedOn w:val="DefaultParagraphFont"/>
    <w:link w:val="Footer"/>
    <w:rsid w:val="00461EAA"/>
    <w:rPr>
      <w:caps/>
      <w:spacing w:val="-4"/>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emf"/><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2E575C-9E6E-48D1-BF46-CF696C604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8</Pages>
  <Words>1723</Words>
  <Characters>9418</Characters>
  <Application>Microsoft Office Word</Application>
  <DocSecurity>0</DocSecurity>
  <Lines>362</Lines>
  <Paragraphs>242</Paragraphs>
  <ScaleCrop>false</ScaleCrop>
  <HeadingPairs>
    <vt:vector size="2" baseType="variant">
      <vt:variant>
        <vt:lpstr>Title</vt:lpstr>
      </vt:variant>
      <vt:variant>
        <vt:i4>1</vt:i4>
      </vt:variant>
    </vt:vector>
  </HeadingPairs>
  <TitlesOfParts>
    <vt:vector size="1" baseType="lpstr">
      <vt:lpstr>Additional information on PCCR</vt:lpstr>
    </vt:vector>
  </TitlesOfParts>
  <Company>Productivity Commission</Company>
  <LinksUpToDate>false</LinksUpToDate>
  <CharactersWithSpaces>10899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Additional information on PCCR</dc:title>
  <dc:subject>PRODUCTIVITY IN MANUFACTURING</dc:subject>
  <dc:creator>Productivity Commission</dc:creator>
  <dc:description>F.</dc:description>
  <cp:lastModifiedBy>Productivity Commission</cp:lastModifiedBy>
  <cp:revision>2</cp:revision>
  <cp:lastPrinted>2013-11-28T00:07:00Z</cp:lastPrinted>
  <dcterms:created xsi:type="dcterms:W3CDTF">2013-12-04T00:07:00Z</dcterms:created>
  <dcterms:modified xsi:type="dcterms:W3CDTF">2013-12-04T00:07:00Z</dcterms:modified>
</cp:coreProperties>
</file>