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6C501D" w:rsidRDefault="00B06C44" w:rsidP="00B06C44">
      <w:pPr>
        <w:pStyle w:val="Chapter"/>
        <w:ind w:left="907" w:hanging="907"/>
      </w:pPr>
      <w:bookmarkStart w:id="0" w:name="ChapterNumber"/>
      <w:bookmarkStart w:id="1" w:name="_GoBack"/>
      <w:bookmarkEnd w:id="1"/>
      <w:r>
        <w:t>G</w:t>
      </w:r>
      <w:bookmarkEnd w:id="0"/>
      <w:r>
        <w:tab/>
      </w:r>
      <w:bookmarkStart w:id="2" w:name="ChapterTitle"/>
      <w:r>
        <w:t>Additional information on Food, beverage and tobacco products</w:t>
      </w:r>
      <w:bookmarkEnd w:id="2"/>
    </w:p>
    <w:p w:rsidR="00D36369" w:rsidRDefault="00D36369" w:rsidP="00D36369">
      <w:pPr>
        <w:pStyle w:val="BodyText"/>
      </w:pPr>
      <w:bookmarkStart w:id="3" w:name="begin"/>
      <w:bookmarkEnd w:id="3"/>
      <w:r>
        <w:t xml:space="preserve">This appendix provides additional information on </w:t>
      </w:r>
      <w:r w:rsidR="000548FD">
        <w:t>Food, beverage and tobacco product (</w:t>
      </w:r>
      <w:proofErr w:type="spellStart"/>
      <w:r>
        <w:t>FBT</w:t>
      </w:r>
      <w:proofErr w:type="spellEnd"/>
      <w:r w:rsidR="000548FD">
        <w:t>)</w:t>
      </w:r>
      <w:r>
        <w:t xml:space="preserve"> manufacturing, as discussed in chapter 5.</w:t>
      </w:r>
    </w:p>
    <w:p w:rsidR="009A72CC" w:rsidRDefault="00B06C44" w:rsidP="00CD092B">
      <w:pPr>
        <w:pStyle w:val="Heading2"/>
      </w:pPr>
      <w:bookmarkStart w:id="4" w:name="OLE_LINK13"/>
      <w:proofErr w:type="spellStart"/>
      <w:r>
        <w:t>G.</w:t>
      </w:r>
      <w:r w:rsidR="00FE417C">
        <w:rPr>
          <w:noProof/>
        </w:rPr>
        <w:t>1</w:t>
      </w:r>
      <w:bookmarkEnd w:id="4"/>
      <w:proofErr w:type="spellEnd"/>
      <w:r w:rsidR="00CD092B">
        <w:tab/>
      </w:r>
      <w:r w:rsidR="009A72CC">
        <w:t>Data comparability issues</w:t>
      </w:r>
      <w:r w:rsidR="00346D4B">
        <w:t xml:space="preserve"> for </w:t>
      </w:r>
      <w:proofErr w:type="spellStart"/>
      <w:r w:rsidR="00346D4B">
        <w:t>FBT</w:t>
      </w:r>
      <w:proofErr w:type="spellEnd"/>
    </w:p>
    <w:p w:rsidR="009A72CC" w:rsidRPr="009A72CC" w:rsidRDefault="001C06C9" w:rsidP="009A72CC">
      <w:pPr>
        <w:pStyle w:val="BodyText"/>
      </w:pPr>
      <w:r>
        <w:t>C</w:t>
      </w:r>
      <w:r w:rsidR="009A72CC">
        <w:t xml:space="preserve">omparability </w:t>
      </w:r>
      <w:r>
        <w:t xml:space="preserve">of </w:t>
      </w:r>
      <w:proofErr w:type="spellStart"/>
      <w:r>
        <w:t>FBT</w:t>
      </w:r>
      <w:proofErr w:type="spellEnd"/>
      <w:r>
        <w:t xml:space="preserve"> data over time </w:t>
      </w:r>
      <w:r w:rsidR="009A72CC">
        <w:t>is affected by changes in industry classification</w:t>
      </w:r>
      <w:r>
        <w:t xml:space="preserve">. For some variables, there are also </w:t>
      </w:r>
      <w:r w:rsidR="009A72CC">
        <w:t xml:space="preserve">differences </w:t>
      </w:r>
      <w:r>
        <w:t>in</w:t>
      </w:r>
      <w:r w:rsidR="009A72CC">
        <w:t xml:space="preserve"> </w:t>
      </w:r>
      <w:proofErr w:type="spellStart"/>
      <w:r>
        <w:t>FBT</w:t>
      </w:r>
      <w:proofErr w:type="spellEnd"/>
      <w:r>
        <w:t xml:space="preserve"> data taken </w:t>
      </w:r>
      <w:r w:rsidR="009A72CC">
        <w:t xml:space="preserve">from alternative ABS surveys. </w:t>
      </w:r>
    </w:p>
    <w:p w:rsidR="00CD092B" w:rsidRDefault="00CD092B" w:rsidP="009A72CC">
      <w:pPr>
        <w:pStyle w:val="Heading3"/>
      </w:pPr>
      <w:proofErr w:type="spellStart"/>
      <w:r>
        <w:t>ANZSIC</w:t>
      </w:r>
      <w:proofErr w:type="spellEnd"/>
      <w:r>
        <w:t xml:space="preserve"> classification changes</w:t>
      </w:r>
    </w:p>
    <w:p w:rsidR="00FE77F0" w:rsidRDefault="00E07028" w:rsidP="00CD092B">
      <w:pPr>
        <w:pStyle w:val="BodyText"/>
      </w:pPr>
      <w:r>
        <w:t>The change in industry classification</w:t>
      </w:r>
      <w:r w:rsidR="00686603">
        <w:t>,</w:t>
      </w:r>
      <w:r>
        <w:t xml:space="preserve"> from ABS </w:t>
      </w:r>
      <w:r w:rsidRPr="00E07028">
        <w:rPr>
          <w:i/>
        </w:rPr>
        <w:t>Australian and New Zealand Standard Industrial Classification 1993</w:t>
      </w:r>
      <w:r>
        <w:t xml:space="preserve"> (</w:t>
      </w:r>
      <w:proofErr w:type="spellStart"/>
      <w:r>
        <w:t>ANZSIC93</w:t>
      </w:r>
      <w:proofErr w:type="spellEnd"/>
      <w:r>
        <w:t xml:space="preserve">) to </w:t>
      </w:r>
      <w:r w:rsidRPr="00E07028">
        <w:rPr>
          <w:i/>
        </w:rPr>
        <w:t>Australian and New Zealand Standard Industrial Classification 2006</w:t>
      </w:r>
      <w:r>
        <w:t xml:space="preserve"> </w:t>
      </w:r>
      <w:r w:rsidR="00686603">
        <w:t>(</w:t>
      </w:r>
      <w:proofErr w:type="spellStart"/>
      <w:r>
        <w:t>ANZSIC06</w:t>
      </w:r>
      <w:proofErr w:type="spellEnd"/>
      <w:r w:rsidR="00686603">
        <w:t xml:space="preserve">), </w:t>
      </w:r>
      <w:r>
        <w:t>affect</w:t>
      </w:r>
      <w:r w:rsidR="00217F0D">
        <w:t>s</w:t>
      </w:r>
      <w:r>
        <w:t xml:space="preserve"> the data presented in chapter 5. </w:t>
      </w:r>
      <w:r w:rsidR="00FE77F0">
        <w:t xml:space="preserve">Box </w:t>
      </w:r>
      <w:proofErr w:type="spellStart"/>
      <w:r w:rsidR="00D57741">
        <w:t>G.1</w:t>
      </w:r>
      <w:proofErr w:type="spellEnd"/>
      <w:r w:rsidR="00FE77F0">
        <w:t xml:space="preserve"> provides details of the broad correspondence between </w:t>
      </w:r>
      <w:proofErr w:type="spellStart"/>
      <w:r w:rsidR="00FE77F0">
        <w:t>ANZSIC06</w:t>
      </w:r>
      <w:proofErr w:type="spellEnd"/>
      <w:r w:rsidR="00FE77F0">
        <w:t xml:space="preserve"> and </w:t>
      </w:r>
      <w:proofErr w:type="spellStart"/>
      <w:r w:rsidR="00FE77F0">
        <w:t>ANZSIC93</w:t>
      </w:r>
      <w:proofErr w:type="spellEnd"/>
      <w:r w:rsidR="00FE77F0">
        <w:t xml:space="preserve"> at </w:t>
      </w:r>
      <w:r w:rsidR="000232BB">
        <w:t xml:space="preserve">the </w:t>
      </w:r>
      <w:r w:rsidR="00FE77F0">
        <w:t>industry group level.</w:t>
      </w:r>
    </w:p>
    <w:p w:rsidR="00FE77F0" w:rsidRDefault="00FE77F0" w:rsidP="00CD092B">
      <w:pPr>
        <w:pStyle w:val="BodyText"/>
      </w:pPr>
      <w:r>
        <w:t xml:space="preserve">Five of the eleven </w:t>
      </w:r>
      <w:proofErr w:type="spellStart"/>
      <w:r>
        <w:t>ANZSIC06</w:t>
      </w:r>
      <w:proofErr w:type="spellEnd"/>
      <w:r>
        <w:t xml:space="preserve"> groups are directly comparable with </w:t>
      </w:r>
      <w:proofErr w:type="spellStart"/>
      <w:r>
        <w:t>ANZSIC93</w:t>
      </w:r>
      <w:proofErr w:type="spellEnd"/>
      <w:r>
        <w:t xml:space="preserve"> groups or classes. The most significant changes are in two of the remaining six </w:t>
      </w:r>
      <w:r w:rsidR="00686603">
        <w:t>groups</w:t>
      </w:r>
      <w:r>
        <w:t>:</w:t>
      </w:r>
    </w:p>
    <w:p w:rsidR="00FE77F0" w:rsidRDefault="00686603" w:rsidP="00FE77F0">
      <w:pPr>
        <w:pStyle w:val="ListBullet"/>
      </w:pPr>
      <w:r>
        <w:t>Bakery product manufacturing</w:t>
      </w:r>
      <w:r w:rsidR="00FE77F0">
        <w:t xml:space="preserve">, </w:t>
      </w:r>
      <w:r>
        <w:t xml:space="preserve">where </w:t>
      </w:r>
      <w:r w:rsidR="00E15617">
        <w:t>N</w:t>
      </w:r>
      <w:r>
        <w:t xml:space="preserve">on-factory </w:t>
      </w:r>
      <w:r w:rsidR="00E15617">
        <w:t>bakery</w:t>
      </w:r>
      <w:r>
        <w:t xml:space="preserve"> </w:t>
      </w:r>
      <w:r w:rsidR="00761667">
        <w:t xml:space="preserve">was in Retail trade under </w:t>
      </w:r>
      <w:proofErr w:type="spellStart"/>
      <w:r w:rsidR="00761667">
        <w:t>ANZSIC93</w:t>
      </w:r>
      <w:proofErr w:type="spellEnd"/>
      <w:r w:rsidR="00761667">
        <w:t xml:space="preserve"> but moved into Bakery product manufacturing under </w:t>
      </w:r>
      <w:proofErr w:type="spellStart"/>
      <w:r w:rsidR="00761667">
        <w:t>ANZSIC06</w:t>
      </w:r>
      <w:proofErr w:type="spellEnd"/>
      <w:r>
        <w:t xml:space="preserve"> </w:t>
      </w:r>
    </w:p>
    <w:p w:rsidR="00686603" w:rsidRDefault="00686603" w:rsidP="00FE77F0">
      <w:pPr>
        <w:pStyle w:val="ListBullet"/>
      </w:pPr>
      <w:r>
        <w:t xml:space="preserve">Other </w:t>
      </w:r>
      <w:r w:rsidR="00497BCE">
        <w:t>f</w:t>
      </w:r>
      <w:r>
        <w:t>ood manufacturing</w:t>
      </w:r>
      <w:r w:rsidR="00FE77F0">
        <w:t xml:space="preserve">, </w:t>
      </w:r>
      <w:r w:rsidR="00761667">
        <w:t xml:space="preserve">where the </w:t>
      </w:r>
      <w:proofErr w:type="spellStart"/>
      <w:r w:rsidR="00761667">
        <w:t>ANZSIC93</w:t>
      </w:r>
      <w:proofErr w:type="spellEnd"/>
      <w:r w:rsidR="00761667">
        <w:t xml:space="preserve"> group was split into Seafood processing, Sugar and confectionery manufacturing and a narrower Other food manufacturing group</w:t>
      </w:r>
      <w:r w:rsidR="0098790B">
        <w:t xml:space="preserve"> under </w:t>
      </w:r>
      <w:proofErr w:type="spellStart"/>
      <w:r w:rsidR="0098790B">
        <w:t>ANZSIC06</w:t>
      </w:r>
      <w:proofErr w:type="spellEnd"/>
      <w:r w:rsidR="00FE77F0">
        <w:t xml:space="preserve">. There were also some other </w:t>
      </w:r>
      <w:r w:rsidR="00761667">
        <w:t xml:space="preserve">additions </w:t>
      </w:r>
      <w:r w:rsidR="00FE77F0">
        <w:t xml:space="preserve">to the new Other food manufacturing group, both </w:t>
      </w:r>
      <w:r w:rsidR="00761667">
        <w:t xml:space="preserve">from </w:t>
      </w:r>
      <w:r w:rsidR="00FE77F0">
        <w:t xml:space="preserve">within </w:t>
      </w:r>
      <w:proofErr w:type="spellStart"/>
      <w:r w:rsidR="00FE77F0">
        <w:t>FBT</w:t>
      </w:r>
      <w:proofErr w:type="spellEnd"/>
      <w:r w:rsidR="00FE77F0">
        <w:t xml:space="preserve"> and from </w:t>
      </w:r>
      <w:r w:rsidR="00761667">
        <w:t xml:space="preserve">outside </w:t>
      </w:r>
      <w:r w:rsidR="00FE77F0">
        <w:t>M</w:t>
      </w:r>
      <w:r w:rsidR="00761667">
        <w:t>anufacturing</w:t>
      </w:r>
      <w:r>
        <w:t>.</w:t>
      </w:r>
    </w:p>
    <w:p w:rsidR="00D36369" w:rsidRDefault="00D36369" w:rsidP="00CD092B">
      <w:pPr>
        <w:pStyle w:val="BodyText"/>
      </w:pPr>
    </w:p>
    <w:p w:rsidR="00CD092B" w:rsidRDefault="00CD092B" w:rsidP="00CD092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D092B" w:rsidTr="00D36369">
        <w:tc>
          <w:tcPr>
            <w:tcW w:w="8771" w:type="dxa"/>
            <w:tcBorders>
              <w:top w:val="single" w:sz="6" w:space="0" w:color="auto"/>
              <w:bottom w:val="nil"/>
            </w:tcBorders>
          </w:tcPr>
          <w:p w:rsidR="00CD092B" w:rsidRDefault="00CD092B" w:rsidP="00F675F4">
            <w:pPr>
              <w:pStyle w:val="BoxTitle"/>
            </w:pPr>
            <w:r>
              <w:rPr>
                <w:b w:val="0"/>
              </w:rPr>
              <w:t xml:space="preserve">Box </w:t>
            </w:r>
            <w:bookmarkStart w:id="5" w:name="OLE_LINK3"/>
            <w:proofErr w:type="spellStart"/>
            <w:r w:rsidR="00B06C44">
              <w:rPr>
                <w:b w:val="0"/>
              </w:rPr>
              <w:t>G.</w:t>
            </w:r>
            <w:r w:rsidR="00FE417C">
              <w:rPr>
                <w:b w:val="0"/>
                <w:noProof/>
              </w:rPr>
              <w:t>1</w:t>
            </w:r>
            <w:bookmarkEnd w:id="5"/>
            <w:proofErr w:type="spellEnd"/>
            <w:r>
              <w:tab/>
            </w:r>
            <w:r w:rsidR="00F675F4">
              <w:t xml:space="preserve">Effects on </w:t>
            </w:r>
            <w:proofErr w:type="spellStart"/>
            <w:r w:rsidR="00F675F4">
              <w:t>FBT</w:t>
            </w:r>
            <w:proofErr w:type="spellEnd"/>
            <w:r w:rsidR="00F675F4">
              <w:t xml:space="preserve"> subsector </w:t>
            </w:r>
            <w:r w:rsidR="00B1705B">
              <w:t xml:space="preserve">of </w:t>
            </w:r>
            <w:r w:rsidR="00F675F4">
              <w:t>c</w:t>
            </w:r>
            <w:r>
              <w:t xml:space="preserve">hange from </w:t>
            </w:r>
            <w:proofErr w:type="spellStart"/>
            <w:r>
              <w:t>ANZSIC93</w:t>
            </w:r>
            <w:proofErr w:type="spellEnd"/>
            <w:r>
              <w:t xml:space="preserve"> to </w:t>
            </w:r>
            <w:proofErr w:type="spellStart"/>
            <w:r>
              <w:t>ANZSIC06</w:t>
            </w:r>
            <w:proofErr w:type="spellEnd"/>
          </w:p>
        </w:tc>
      </w:tr>
      <w:tr w:rsidR="00CD092B" w:rsidTr="00C457A7">
        <w:trPr>
          <w:cantSplit/>
        </w:trPr>
        <w:tc>
          <w:tcPr>
            <w:tcW w:w="8771" w:type="dxa"/>
            <w:tcBorders>
              <w:top w:val="nil"/>
              <w:left w:val="single" w:sz="6" w:space="0" w:color="auto"/>
              <w:bottom w:val="nil"/>
              <w:right w:val="single" w:sz="6" w:space="0" w:color="auto"/>
            </w:tcBorders>
          </w:tcPr>
          <w:p w:rsidR="000774CB" w:rsidRDefault="00686603" w:rsidP="0098790B">
            <w:pPr>
              <w:pStyle w:val="Box"/>
            </w:pPr>
            <w:proofErr w:type="spellStart"/>
            <w:r>
              <w:t>ANZSIC</w:t>
            </w:r>
            <w:proofErr w:type="spellEnd"/>
            <w:r>
              <w:t xml:space="preserve"> </w:t>
            </w:r>
            <w:r w:rsidR="0098790B">
              <w:t xml:space="preserve">changes </w:t>
            </w:r>
            <w:r>
              <w:t xml:space="preserve">at the industry group level are </w:t>
            </w:r>
            <w:r w:rsidR="00CD092B">
              <w:t xml:space="preserve">summarised below. The extent of the additions/leakages cannot be readily quantified, but some indication is given of the likely importance of the change. </w:t>
            </w:r>
          </w:p>
          <w:p w:rsidR="00B95993" w:rsidRDefault="00B95993" w:rsidP="00B95993">
            <w:pPr>
              <w:pStyle w:val="Box"/>
              <w:spacing w:before="0" w:line="160" w:lineRule="atLeast"/>
            </w:pPr>
          </w:p>
          <w:tbl>
            <w:tblPr>
              <w:tblStyle w:val="TableGrid"/>
              <w:tblW w:w="0" w:type="auto"/>
              <w:tblLayout w:type="fixed"/>
              <w:tblLook w:val="04A0" w:firstRow="1" w:lastRow="0" w:firstColumn="1" w:lastColumn="0" w:noHBand="0" w:noVBand="1"/>
            </w:tblPr>
            <w:tblGrid>
              <w:gridCol w:w="2824"/>
              <w:gridCol w:w="2824"/>
              <w:gridCol w:w="2824"/>
            </w:tblGrid>
            <w:tr w:rsidR="00FB007F" w:rsidTr="00FB007F">
              <w:tc>
                <w:tcPr>
                  <w:tcW w:w="2824" w:type="dxa"/>
                  <w:tcBorders>
                    <w:top w:val="single" w:sz="4" w:space="0" w:color="auto"/>
                    <w:left w:val="nil"/>
                    <w:bottom w:val="single" w:sz="4" w:space="0" w:color="auto"/>
                    <w:right w:val="nil"/>
                  </w:tcBorders>
                </w:tcPr>
                <w:p w:rsidR="00FB007F" w:rsidRPr="00764659" w:rsidRDefault="006B7575" w:rsidP="00FB007F">
                  <w:pPr>
                    <w:pStyle w:val="Box"/>
                    <w:spacing w:before="0"/>
                    <w:ind w:right="-97"/>
                    <w:jc w:val="left"/>
                    <w:rPr>
                      <w:i/>
                      <w:sz w:val="20"/>
                    </w:rPr>
                  </w:pPr>
                  <w:r>
                    <w:rPr>
                      <w:i/>
                      <w:sz w:val="20"/>
                    </w:rPr>
                    <w:br/>
                  </w:r>
                  <w:proofErr w:type="spellStart"/>
                  <w:r w:rsidR="00FB007F" w:rsidRPr="00764659">
                    <w:rPr>
                      <w:i/>
                      <w:sz w:val="20"/>
                    </w:rPr>
                    <w:t>ANZSIC06</w:t>
                  </w:r>
                  <w:proofErr w:type="spellEnd"/>
                  <w:r w:rsidR="00FB007F" w:rsidRPr="00764659">
                    <w:rPr>
                      <w:i/>
                      <w:sz w:val="20"/>
                    </w:rPr>
                    <w:t xml:space="preserve"> group</w:t>
                  </w:r>
                </w:p>
              </w:tc>
              <w:tc>
                <w:tcPr>
                  <w:tcW w:w="2824" w:type="dxa"/>
                  <w:tcBorders>
                    <w:left w:val="nil"/>
                    <w:bottom w:val="single" w:sz="4" w:space="0" w:color="auto"/>
                    <w:right w:val="nil"/>
                  </w:tcBorders>
                </w:tcPr>
                <w:p w:rsidR="00FB007F" w:rsidRPr="00764659" w:rsidRDefault="006B7575" w:rsidP="006B7575">
                  <w:pPr>
                    <w:pStyle w:val="Box"/>
                    <w:spacing w:before="0"/>
                    <w:ind w:right="-108"/>
                    <w:jc w:val="left"/>
                    <w:rPr>
                      <w:i/>
                      <w:sz w:val="20"/>
                    </w:rPr>
                  </w:pPr>
                  <w:r>
                    <w:rPr>
                      <w:i/>
                      <w:sz w:val="20"/>
                    </w:rPr>
                    <w:br/>
                  </w:r>
                  <w:r w:rsidR="00FB007F" w:rsidRPr="00764659">
                    <w:rPr>
                      <w:i/>
                      <w:sz w:val="20"/>
                    </w:rPr>
                    <w:t xml:space="preserve">Main </w:t>
                  </w:r>
                  <w:proofErr w:type="spellStart"/>
                  <w:r w:rsidR="00FB007F" w:rsidRPr="00764659">
                    <w:rPr>
                      <w:i/>
                      <w:sz w:val="20"/>
                    </w:rPr>
                    <w:t>ANZSIC93</w:t>
                  </w:r>
                  <w:proofErr w:type="spellEnd"/>
                  <w:r w:rsidR="00FB007F" w:rsidRPr="00764659">
                    <w:rPr>
                      <w:i/>
                      <w:sz w:val="20"/>
                    </w:rPr>
                    <w:t xml:space="preserve"> group</w:t>
                  </w:r>
                  <w:r w:rsidR="000774CB">
                    <w:rPr>
                      <w:i/>
                      <w:sz w:val="20"/>
                    </w:rPr>
                    <w:t>/class</w:t>
                  </w:r>
                </w:p>
              </w:tc>
              <w:tc>
                <w:tcPr>
                  <w:tcW w:w="2824" w:type="dxa"/>
                  <w:tcBorders>
                    <w:top w:val="single" w:sz="4" w:space="0" w:color="auto"/>
                    <w:left w:val="nil"/>
                    <w:bottom w:val="single" w:sz="4" w:space="0" w:color="auto"/>
                    <w:right w:val="nil"/>
                  </w:tcBorders>
                </w:tcPr>
                <w:p w:rsidR="00FB007F" w:rsidRPr="00764659" w:rsidRDefault="00FB007F" w:rsidP="00FB007F">
                  <w:pPr>
                    <w:pStyle w:val="Box"/>
                    <w:spacing w:before="0"/>
                    <w:ind w:right="-119"/>
                    <w:jc w:val="left"/>
                    <w:rPr>
                      <w:i/>
                      <w:sz w:val="20"/>
                    </w:rPr>
                  </w:pPr>
                  <w:r>
                    <w:rPr>
                      <w:i/>
                      <w:sz w:val="20"/>
                    </w:rPr>
                    <w:t xml:space="preserve">Extent of change; </w:t>
                  </w:r>
                  <w:r w:rsidRPr="00764659">
                    <w:rPr>
                      <w:i/>
                      <w:sz w:val="20"/>
                    </w:rPr>
                    <w:t>Additions/leakages</w:t>
                  </w:r>
                </w:p>
              </w:tc>
            </w:tr>
            <w:tr w:rsidR="00FB007F" w:rsidTr="00FB007F">
              <w:tc>
                <w:tcPr>
                  <w:tcW w:w="2824" w:type="dxa"/>
                  <w:tcBorders>
                    <w:top w:val="single" w:sz="4" w:space="0" w:color="auto"/>
                    <w:left w:val="nil"/>
                    <w:bottom w:val="nil"/>
                    <w:right w:val="nil"/>
                  </w:tcBorders>
                  <w:shd w:val="clear" w:color="auto" w:fill="D9D9D9" w:themeFill="background1" w:themeFillShade="D9"/>
                </w:tcPr>
                <w:p w:rsidR="00FB007F" w:rsidRPr="00764659" w:rsidRDefault="00FB007F" w:rsidP="00FB007F">
                  <w:pPr>
                    <w:pStyle w:val="Box"/>
                    <w:spacing w:line="240" w:lineRule="atLeast"/>
                    <w:ind w:right="-97"/>
                    <w:jc w:val="left"/>
                    <w:rPr>
                      <w:sz w:val="20"/>
                    </w:rPr>
                  </w:pPr>
                  <w:r w:rsidRPr="00764659">
                    <w:rPr>
                      <w:sz w:val="20"/>
                    </w:rPr>
                    <w:t xml:space="preserve">111 Meat &amp; meat product </w:t>
                  </w:r>
                  <w:proofErr w:type="spellStart"/>
                  <w:r w:rsidRPr="00764659">
                    <w:rPr>
                      <w:sz w:val="20"/>
                    </w:rPr>
                    <w:t>mfg</w:t>
                  </w:r>
                  <w:proofErr w:type="spellEnd"/>
                </w:p>
              </w:tc>
              <w:tc>
                <w:tcPr>
                  <w:tcW w:w="2824" w:type="dxa"/>
                  <w:tcBorders>
                    <w:top w:val="single" w:sz="4" w:space="0" w:color="auto"/>
                    <w:left w:val="nil"/>
                    <w:bottom w:val="nil"/>
                    <w:right w:val="nil"/>
                  </w:tcBorders>
                  <w:shd w:val="clear" w:color="auto" w:fill="D9D9D9" w:themeFill="background1" w:themeFillShade="D9"/>
                </w:tcPr>
                <w:p w:rsidR="00FB007F" w:rsidRPr="00764659" w:rsidRDefault="00FB007F" w:rsidP="00FB007F">
                  <w:pPr>
                    <w:pStyle w:val="Box"/>
                    <w:spacing w:line="240" w:lineRule="atLeast"/>
                    <w:ind w:right="-108"/>
                    <w:jc w:val="left"/>
                    <w:rPr>
                      <w:sz w:val="20"/>
                    </w:rPr>
                  </w:pPr>
                  <w:r w:rsidRPr="00764659">
                    <w:rPr>
                      <w:sz w:val="20"/>
                    </w:rPr>
                    <w:t xml:space="preserve">211 Meat &amp; meat product </w:t>
                  </w:r>
                  <w:proofErr w:type="spellStart"/>
                  <w:r w:rsidRPr="00764659">
                    <w:rPr>
                      <w:sz w:val="20"/>
                    </w:rPr>
                    <w:t>mfg</w:t>
                  </w:r>
                  <w:proofErr w:type="spellEnd"/>
                </w:p>
              </w:tc>
              <w:tc>
                <w:tcPr>
                  <w:tcW w:w="2824" w:type="dxa"/>
                  <w:tcBorders>
                    <w:top w:val="single" w:sz="4" w:space="0" w:color="auto"/>
                    <w:left w:val="nil"/>
                    <w:bottom w:val="nil"/>
                    <w:right w:val="nil"/>
                  </w:tcBorders>
                  <w:shd w:val="clear" w:color="auto" w:fill="D9D9D9" w:themeFill="background1" w:themeFillShade="D9"/>
                </w:tcPr>
                <w:p w:rsidR="00FB007F" w:rsidRPr="009B1222" w:rsidRDefault="00FB007F" w:rsidP="00FB007F">
                  <w:pPr>
                    <w:pStyle w:val="Box"/>
                    <w:spacing w:line="240" w:lineRule="atLeast"/>
                    <w:ind w:right="-119"/>
                    <w:jc w:val="left"/>
                    <w:rPr>
                      <w:b/>
                      <w:sz w:val="20"/>
                    </w:rPr>
                  </w:pPr>
                  <w:r w:rsidRPr="009B1222">
                    <w:rPr>
                      <w:b/>
                      <w:sz w:val="20"/>
                    </w:rPr>
                    <w:t>No change</w:t>
                  </w:r>
                </w:p>
              </w:tc>
            </w:tr>
            <w:tr w:rsidR="00FB007F" w:rsidTr="00FB007F">
              <w:tc>
                <w:tcPr>
                  <w:tcW w:w="2824" w:type="dxa"/>
                  <w:tcBorders>
                    <w:top w:val="nil"/>
                    <w:left w:val="nil"/>
                    <w:bottom w:val="nil"/>
                    <w:right w:val="nil"/>
                  </w:tcBorders>
                </w:tcPr>
                <w:p w:rsidR="00FB007F" w:rsidRPr="00764659" w:rsidRDefault="00FB007F" w:rsidP="00FB007F">
                  <w:pPr>
                    <w:pStyle w:val="Box"/>
                    <w:spacing w:line="240" w:lineRule="atLeast"/>
                    <w:ind w:right="-97"/>
                    <w:jc w:val="left"/>
                    <w:rPr>
                      <w:sz w:val="20"/>
                    </w:rPr>
                  </w:pPr>
                  <w:r w:rsidRPr="00764659">
                    <w:rPr>
                      <w:sz w:val="20"/>
                    </w:rPr>
                    <w:t>112 Seafood processing</w:t>
                  </w:r>
                </w:p>
              </w:tc>
              <w:tc>
                <w:tcPr>
                  <w:tcW w:w="2824" w:type="dxa"/>
                  <w:tcBorders>
                    <w:top w:val="nil"/>
                    <w:left w:val="nil"/>
                    <w:bottom w:val="nil"/>
                    <w:right w:val="nil"/>
                  </w:tcBorders>
                </w:tcPr>
                <w:p w:rsidR="00FB007F" w:rsidRPr="00764659" w:rsidRDefault="00FB007F" w:rsidP="00FB007F">
                  <w:pPr>
                    <w:pStyle w:val="Box"/>
                    <w:tabs>
                      <w:tab w:val="left" w:pos="306"/>
                    </w:tabs>
                    <w:spacing w:line="240" w:lineRule="atLeast"/>
                    <w:ind w:right="-108"/>
                    <w:jc w:val="left"/>
                    <w:rPr>
                      <w:sz w:val="20"/>
                    </w:rPr>
                  </w:pPr>
                  <w:r w:rsidRPr="00764659">
                    <w:rPr>
                      <w:sz w:val="20"/>
                    </w:rPr>
                    <w:t xml:space="preserve">217 Other food </w:t>
                  </w:r>
                  <w:proofErr w:type="spellStart"/>
                  <w:r w:rsidRPr="00764659">
                    <w:rPr>
                      <w:sz w:val="20"/>
                    </w:rPr>
                    <w:t>mfg</w:t>
                  </w:r>
                  <w:proofErr w:type="spellEnd"/>
                  <w:r w:rsidRPr="00764659">
                    <w:rPr>
                      <w:sz w:val="20"/>
                    </w:rPr>
                    <w:t xml:space="preserve"> (</w:t>
                  </w:r>
                  <w:r w:rsidRPr="00C87FBB">
                    <w:rPr>
                      <w:i/>
                      <w:sz w:val="20"/>
                    </w:rPr>
                    <w:t>part</w:t>
                  </w:r>
                  <w:r w:rsidRPr="00764659">
                    <w:rPr>
                      <w:sz w:val="20"/>
                    </w:rPr>
                    <w:t>)</w:t>
                  </w:r>
                  <w:r>
                    <w:rPr>
                      <w:sz w:val="20"/>
                    </w:rPr>
                    <w:br/>
                  </w:r>
                  <w:r>
                    <w:rPr>
                      <w:sz w:val="20"/>
                    </w:rPr>
                    <w:tab/>
                    <w:t>2173 Seafood processing</w:t>
                  </w:r>
                </w:p>
              </w:tc>
              <w:tc>
                <w:tcPr>
                  <w:tcW w:w="2824" w:type="dxa"/>
                  <w:tcBorders>
                    <w:top w:val="nil"/>
                    <w:left w:val="nil"/>
                    <w:bottom w:val="nil"/>
                    <w:right w:val="nil"/>
                  </w:tcBorders>
                </w:tcPr>
                <w:p w:rsidR="00FB007F" w:rsidRPr="00764659" w:rsidRDefault="00FB007F" w:rsidP="00FB007F">
                  <w:pPr>
                    <w:pStyle w:val="Box"/>
                    <w:spacing w:line="240" w:lineRule="atLeast"/>
                    <w:ind w:right="-119"/>
                    <w:jc w:val="left"/>
                    <w:rPr>
                      <w:sz w:val="20"/>
                    </w:rPr>
                  </w:pPr>
                  <w:r w:rsidRPr="009B1222">
                    <w:rPr>
                      <w:b/>
                      <w:sz w:val="20"/>
                    </w:rPr>
                    <w:t>M</w:t>
                  </w:r>
                  <w:r>
                    <w:rPr>
                      <w:b/>
                      <w:sz w:val="20"/>
                    </w:rPr>
                    <w:t>oderate</w:t>
                  </w:r>
                  <w:r w:rsidRPr="009B1222">
                    <w:rPr>
                      <w:b/>
                      <w:sz w:val="20"/>
                    </w:rPr>
                    <w:t xml:space="preserve"> change</w:t>
                  </w:r>
                  <w:r>
                    <w:rPr>
                      <w:b/>
                      <w:sz w:val="20"/>
                    </w:rPr>
                    <w:br/>
                  </w:r>
                  <w:r w:rsidRPr="00764659">
                    <w:rPr>
                      <w:sz w:val="20"/>
                      <w:u w:val="single"/>
                    </w:rPr>
                    <w:t>Plus</w:t>
                  </w:r>
                  <w:r w:rsidRPr="00764659">
                    <w:rPr>
                      <w:sz w:val="20"/>
                    </w:rPr>
                    <w:t xml:space="preserve"> part of </w:t>
                  </w:r>
                  <w:proofErr w:type="spellStart"/>
                  <w:r w:rsidRPr="00764659">
                    <w:rPr>
                      <w:sz w:val="20"/>
                    </w:rPr>
                    <w:t>ANZSIC93</w:t>
                  </w:r>
                  <w:proofErr w:type="spellEnd"/>
                  <w:r w:rsidRPr="00764659">
                    <w:rPr>
                      <w:sz w:val="20"/>
                    </w:rPr>
                    <w:t xml:space="preserve"> Wholesale trade </w:t>
                  </w:r>
                  <w:r>
                    <w:rPr>
                      <w:sz w:val="20"/>
                    </w:rPr>
                    <w:t>division</w:t>
                  </w:r>
                  <w:r w:rsidR="002C5E2F">
                    <w:rPr>
                      <w:sz w:val="20"/>
                    </w:rPr>
                    <w:t xml:space="preserve"> (Fish wholesaling </w:t>
                  </w:r>
                  <w:r w:rsidR="002C5E2F" w:rsidRPr="002C5E2F">
                    <w:rPr>
                      <w:i/>
                      <w:sz w:val="20"/>
                    </w:rPr>
                    <w:t>(part)</w:t>
                  </w:r>
                  <w:r w:rsidR="002C5E2F">
                    <w:rPr>
                      <w:sz w:val="20"/>
                    </w:rPr>
                    <w:t>)</w:t>
                  </w:r>
                </w:p>
              </w:tc>
            </w:tr>
            <w:tr w:rsidR="00FB007F" w:rsidTr="00FB007F">
              <w:tc>
                <w:tcPr>
                  <w:tcW w:w="2824" w:type="dxa"/>
                  <w:tcBorders>
                    <w:top w:val="nil"/>
                    <w:left w:val="nil"/>
                    <w:bottom w:val="nil"/>
                    <w:right w:val="nil"/>
                  </w:tcBorders>
                  <w:shd w:val="clear" w:color="auto" w:fill="D9D9D9" w:themeFill="background1" w:themeFillShade="D9"/>
                </w:tcPr>
                <w:p w:rsidR="00FB007F" w:rsidRPr="00764659" w:rsidRDefault="00FB007F" w:rsidP="00FB007F">
                  <w:pPr>
                    <w:pStyle w:val="Box"/>
                    <w:spacing w:line="240" w:lineRule="atLeast"/>
                    <w:ind w:right="-97"/>
                    <w:jc w:val="left"/>
                    <w:rPr>
                      <w:sz w:val="20"/>
                    </w:rPr>
                  </w:pPr>
                  <w:r w:rsidRPr="00764659">
                    <w:rPr>
                      <w:sz w:val="20"/>
                    </w:rPr>
                    <w:t xml:space="preserve">113 Dairy product </w:t>
                  </w:r>
                  <w:proofErr w:type="spellStart"/>
                  <w:r w:rsidRPr="00764659">
                    <w:rPr>
                      <w:sz w:val="20"/>
                    </w:rPr>
                    <w:t>mfg</w:t>
                  </w:r>
                  <w:proofErr w:type="spellEnd"/>
                </w:p>
              </w:tc>
              <w:tc>
                <w:tcPr>
                  <w:tcW w:w="2824" w:type="dxa"/>
                  <w:tcBorders>
                    <w:top w:val="nil"/>
                    <w:left w:val="nil"/>
                    <w:bottom w:val="nil"/>
                    <w:right w:val="nil"/>
                  </w:tcBorders>
                  <w:shd w:val="clear" w:color="auto" w:fill="D9D9D9" w:themeFill="background1" w:themeFillShade="D9"/>
                </w:tcPr>
                <w:p w:rsidR="00FB007F" w:rsidRPr="00764659" w:rsidRDefault="00FB007F" w:rsidP="00FB007F">
                  <w:pPr>
                    <w:pStyle w:val="Box"/>
                    <w:spacing w:line="240" w:lineRule="atLeast"/>
                    <w:ind w:right="-108"/>
                    <w:jc w:val="left"/>
                    <w:rPr>
                      <w:sz w:val="20"/>
                    </w:rPr>
                  </w:pPr>
                  <w:r w:rsidRPr="00764659">
                    <w:rPr>
                      <w:sz w:val="20"/>
                    </w:rPr>
                    <w:t xml:space="preserve">212 Dairy product </w:t>
                  </w:r>
                  <w:proofErr w:type="spellStart"/>
                  <w:r w:rsidRPr="00764659">
                    <w:rPr>
                      <w:sz w:val="20"/>
                    </w:rPr>
                    <w:t>mfg</w:t>
                  </w:r>
                  <w:proofErr w:type="spellEnd"/>
                  <w:r>
                    <w:rPr>
                      <w:sz w:val="20"/>
                    </w:rPr>
                    <w:t xml:space="preserve"> </w:t>
                  </w:r>
                  <w:r w:rsidRPr="005D090F">
                    <w:rPr>
                      <w:i/>
                      <w:sz w:val="20"/>
                    </w:rPr>
                    <w:t>(part)</w:t>
                  </w:r>
                </w:p>
              </w:tc>
              <w:tc>
                <w:tcPr>
                  <w:tcW w:w="2824" w:type="dxa"/>
                  <w:tcBorders>
                    <w:top w:val="nil"/>
                    <w:left w:val="nil"/>
                    <w:bottom w:val="nil"/>
                    <w:right w:val="nil"/>
                  </w:tcBorders>
                  <w:shd w:val="clear" w:color="auto" w:fill="D9D9D9" w:themeFill="background1" w:themeFillShade="D9"/>
                </w:tcPr>
                <w:p w:rsidR="00FB007F" w:rsidRPr="00764659" w:rsidRDefault="00FB007F" w:rsidP="00FB007F">
                  <w:pPr>
                    <w:pStyle w:val="Box"/>
                    <w:spacing w:line="240" w:lineRule="atLeast"/>
                    <w:ind w:right="-119"/>
                    <w:jc w:val="left"/>
                    <w:rPr>
                      <w:sz w:val="20"/>
                    </w:rPr>
                  </w:pPr>
                  <w:r w:rsidRPr="009B1222">
                    <w:rPr>
                      <w:b/>
                      <w:sz w:val="20"/>
                    </w:rPr>
                    <w:t>M</w:t>
                  </w:r>
                  <w:r>
                    <w:rPr>
                      <w:b/>
                      <w:sz w:val="20"/>
                    </w:rPr>
                    <w:t>inor</w:t>
                  </w:r>
                  <w:r w:rsidRPr="009B1222">
                    <w:rPr>
                      <w:b/>
                      <w:sz w:val="20"/>
                    </w:rPr>
                    <w:t xml:space="preserve"> change</w:t>
                  </w:r>
                  <w:r>
                    <w:rPr>
                      <w:b/>
                      <w:sz w:val="20"/>
                    </w:rPr>
                    <w:br/>
                  </w:r>
                  <w:r w:rsidRPr="00764659">
                    <w:rPr>
                      <w:sz w:val="20"/>
                      <w:u w:val="single"/>
                    </w:rPr>
                    <w:t>Less</w:t>
                  </w:r>
                  <w:r w:rsidRPr="00764659">
                    <w:rPr>
                      <w:sz w:val="20"/>
                    </w:rPr>
                    <w:t xml:space="preserve"> part of </w:t>
                  </w:r>
                  <w:proofErr w:type="spellStart"/>
                  <w:r w:rsidRPr="00764659">
                    <w:rPr>
                      <w:sz w:val="20"/>
                    </w:rPr>
                    <w:t>ANZSIC93</w:t>
                  </w:r>
                  <w:proofErr w:type="spellEnd"/>
                  <w:r w:rsidRPr="00764659">
                    <w:rPr>
                      <w:sz w:val="20"/>
                    </w:rPr>
                    <w:t xml:space="preserve"> </w:t>
                  </w:r>
                  <w:r>
                    <w:rPr>
                      <w:sz w:val="20"/>
                    </w:rPr>
                    <w:t>212</w:t>
                  </w:r>
                </w:p>
              </w:tc>
            </w:tr>
            <w:tr w:rsidR="00FB007F" w:rsidTr="00FB007F">
              <w:tc>
                <w:tcPr>
                  <w:tcW w:w="2824" w:type="dxa"/>
                  <w:tcBorders>
                    <w:top w:val="nil"/>
                    <w:left w:val="nil"/>
                    <w:bottom w:val="nil"/>
                    <w:right w:val="nil"/>
                  </w:tcBorders>
                </w:tcPr>
                <w:p w:rsidR="00FB007F" w:rsidRPr="00764659" w:rsidRDefault="00FB007F" w:rsidP="00FB007F">
                  <w:pPr>
                    <w:pStyle w:val="Box"/>
                    <w:spacing w:line="240" w:lineRule="atLeast"/>
                    <w:ind w:right="-97"/>
                    <w:jc w:val="left"/>
                    <w:rPr>
                      <w:sz w:val="20"/>
                    </w:rPr>
                  </w:pPr>
                  <w:r w:rsidRPr="00764659">
                    <w:rPr>
                      <w:sz w:val="20"/>
                    </w:rPr>
                    <w:t>114 Fruit &amp; veg</w:t>
                  </w:r>
                  <w:r w:rsidR="00CB31B2">
                    <w:rPr>
                      <w:sz w:val="20"/>
                    </w:rPr>
                    <w:t>.</w:t>
                  </w:r>
                  <w:r w:rsidRPr="00764659">
                    <w:rPr>
                      <w:sz w:val="20"/>
                    </w:rPr>
                    <w:t xml:space="preserve"> processing</w:t>
                  </w:r>
                </w:p>
              </w:tc>
              <w:tc>
                <w:tcPr>
                  <w:tcW w:w="2824" w:type="dxa"/>
                  <w:tcBorders>
                    <w:top w:val="nil"/>
                    <w:left w:val="nil"/>
                    <w:bottom w:val="nil"/>
                    <w:right w:val="nil"/>
                  </w:tcBorders>
                </w:tcPr>
                <w:p w:rsidR="00FB007F" w:rsidRPr="00764659" w:rsidRDefault="00FB007F" w:rsidP="00FB007F">
                  <w:pPr>
                    <w:pStyle w:val="Box"/>
                    <w:spacing w:line="240" w:lineRule="atLeast"/>
                    <w:ind w:right="-108"/>
                    <w:jc w:val="left"/>
                    <w:rPr>
                      <w:sz w:val="20"/>
                    </w:rPr>
                  </w:pPr>
                  <w:r w:rsidRPr="00764659">
                    <w:rPr>
                      <w:sz w:val="20"/>
                    </w:rPr>
                    <w:t>213 Fruit &amp; veg</w:t>
                  </w:r>
                  <w:r w:rsidR="00CB31B2">
                    <w:rPr>
                      <w:sz w:val="20"/>
                    </w:rPr>
                    <w:t>.</w:t>
                  </w:r>
                  <w:r w:rsidRPr="00764659">
                    <w:rPr>
                      <w:sz w:val="20"/>
                    </w:rPr>
                    <w:t xml:space="preserve"> processing</w:t>
                  </w:r>
                </w:p>
              </w:tc>
              <w:tc>
                <w:tcPr>
                  <w:tcW w:w="2824" w:type="dxa"/>
                  <w:tcBorders>
                    <w:top w:val="nil"/>
                    <w:left w:val="nil"/>
                    <w:bottom w:val="nil"/>
                    <w:right w:val="nil"/>
                  </w:tcBorders>
                </w:tcPr>
                <w:p w:rsidR="00FB007F" w:rsidRPr="00764659" w:rsidRDefault="00FB007F" w:rsidP="00FB007F">
                  <w:pPr>
                    <w:pStyle w:val="Box"/>
                    <w:spacing w:line="240" w:lineRule="atLeast"/>
                    <w:ind w:right="-119"/>
                    <w:jc w:val="left"/>
                    <w:rPr>
                      <w:sz w:val="20"/>
                    </w:rPr>
                  </w:pPr>
                  <w:r w:rsidRPr="009B1222">
                    <w:rPr>
                      <w:b/>
                      <w:sz w:val="20"/>
                    </w:rPr>
                    <w:t>No change</w:t>
                  </w:r>
                </w:p>
              </w:tc>
            </w:tr>
            <w:tr w:rsidR="00FB007F" w:rsidTr="00FB007F">
              <w:tc>
                <w:tcPr>
                  <w:tcW w:w="2824" w:type="dxa"/>
                  <w:tcBorders>
                    <w:top w:val="nil"/>
                    <w:left w:val="nil"/>
                    <w:bottom w:val="nil"/>
                    <w:right w:val="nil"/>
                  </w:tcBorders>
                  <w:shd w:val="clear" w:color="auto" w:fill="D9D9D9" w:themeFill="background1" w:themeFillShade="D9"/>
                </w:tcPr>
                <w:p w:rsidR="00FB007F" w:rsidRPr="00764659" w:rsidRDefault="00FB007F" w:rsidP="00FB007F">
                  <w:pPr>
                    <w:pStyle w:val="Box"/>
                    <w:spacing w:line="240" w:lineRule="atLeast"/>
                    <w:ind w:right="-97"/>
                    <w:jc w:val="left"/>
                    <w:rPr>
                      <w:sz w:val="20"/>
                    </w:rPr>
                  </w:pPr>
                  <w:r w:rsidRPr="00764659">
                    <w:rPr>
                      <w:sz w:val="20"/>
                    </w:rPr>
                    <w:t xml:space="preserve">115 Oil &amp; fat </w:t>
                  </w:r>
                  <w:proofErr w:type="spellStart"/>
                  <w:r w:rsidRPr="00764659">
                    <w:rPr>
                      <w:sz w:val="20"/>
                    </w:rPr>
                    <w:t>mfg</w:t>
                  </w:r>
                  <w:proofErr w:type="spellEnd"/>
                </w:p>
              </w:tc>
              <w:tc>
                <w:tcPr>
                  <w:tcW w:w="2824" w:type="dxa"/>
                  <w:tcBorders>
                    <w:top w:val="nil"/>
                    <w:left w:val="nil"/>
                    <w:bottom w:val="nil"/>
                    <w:right w:val="nil"/>
                  </w:tcBorders>
                  <w:shd w:val="clear" w:color="auto" w:fill="D9D9D9" w:themeFill="background1" w:themeFillShade="D9"/>
                </w:tcPr>
                <w:p w:rsidR="00FB007F" w:rsidRPr="00764659" w:rsidRDefault="00FB007F" w:rsidP="00FB007F">
                  <w:pPr>
                    <w:pStyle w:val="Box"/>
                    <w:spacing w:line="240" w:lineRule="atLeast"/>
                    <w:ind w:right="-108"/>
                    <w:jc w:val="left"/>
                    <w:rPr>
                      <w:sz w:val="20"/>
                    </w:rPr>
                  </w:pPr>
                  <w:r w:rsidRPr="00764659">
                    <w:rPr>
                      <w:sz w:val="20"/>
                    </w:rPr>
                    <w:t xml:space="preserve">214 Oil &amp; fat </w:t>
                  </w:r>
                  <w:proofErr w:type="spellStart"/>
                  <w:r w:rsidRPr="00764659">
                    <w:rPr>
                      <w:sz w:val="20"/>
                    </w:rPr>
                    <w:t>mfg</w:t>
                  </w:r>
                  <w:proofErr w:type="spellEnd"/>
                </w:p>
              </w:tc>
              <w:tc>
                <w:tcPr>
                  <w:tcW w:w="2824" w:type="dxa"/>
                  <w:tcBorders>
                    <w:top w:val="nil"/>
                    <w:left w:val="nil"/>
                    <w:bottom w:val="nil"/>
                    <w:right w:val="nil"/>
                  </w:tcBorders>
                  <w:shd w:val="clear" w:color="auto" w:fill="D9D9D9" w:themeFill="background1" w:themeFillShade="D9"/>
                </w:tcPr>
                <w:p w:rsidR="00FB007F" w:rsidRPr="00764659" w:rsidRDefault="00FB007F" w:rsidP="00FB007F">
                  <w:pPr>
                    <w:pStyle w:val="Box"/>
                    <w:spacing w:line="240" w:lineRule="atLeast"/>
                    <w:ind w:right="-119"/>
                    <w:jc w:val="left"/>
                    <w:rPr>
                      <w:sz w:val="20"/>
                    </w:rPr>
                  </w:pPr>
                  <w:r w:rsidRPr="009B1222">
                    <w:rPr>
                      <w:b/>
                      <w:sz w:val="20"/>
                    </w:rPr>
                    <w:t>No change</w:t>
                  </w:r>
                </w:p>
              </w:tc>
            </w:tr>
            <w:tr w:rsidR="00FB007F" w:rsidTr="00FB007F">
              <w:tc>
                <w:tcPr>
                  <w:tcW w:w="2824" w:type="dxa"/>
                  <w:tcBorders>
                    <w:top w:val="nil"/>
                    <w:left w:val="nil"/>
                    <w:bottom w:val="nil"/>
                    <w:right w:val="nil"/>
                  </w:tcBorders>
                </w:tcPr>
                <w:p w:rsidR="00FB007F" w:rsidRPr="00764659" w:rsidRDefault="00FB007F" w:rsidP="00FB007F">
                  <w:pPr>
                    <w:pStyle w:val="Box"/>
                    <w:spacing w:line="240" w:lineRule="atLeast"/>
                    <w:ind w:right="-97"/>
                    <w:jc w:val="left"/>
                    <w:rPr>
                      <w:sz w:val="20"/>
                    </w:rPr>
                  </w:pPr>
                  <w:r w:rsidRPr="00764659">
                    <w:rPr>
                      <w:sz w:val="20"/>
                    </w:rPr>
                    <w:t>116 Grain mill &amp; cereal</w:t>
                  </w:r>
                  <w:r w:rsidR="00FD5094">
                    <w:rPr>
                      <w:sz w:val="20"/>
                    </w:rPr>
                    <w:br/>
                    <w:t xml:space="preserve">      </w:t>
                  </w:r>
                  <w:r w:rsidRPr="00764659">
                    <w:rPr>
                      <w:sz w:val="20"/>
                    </w:rPr>
                    <w:t xml:space="preserve"> product food </w:t>
                  </w:r>
                  <w:proofErr w:type="spellStart"/>
                  <w:r w:rsidRPr="00764659">
                    <w:rPr>
                      <w:sz w:val="20"/>
                    </w:rPr>
                    <w:t>mfg</w:t>
                  </w:r>
                  <w:proofErr w:type="spellEnd"/>
                </w:p>
              </w:tc>
              <w:tc>
                <w:tcPr>
                  <w:tcW w:w="2824" w:type="dxa"/>
                  <w:tcBorders>
                    <w:top w:val="nil"/>
                    <w:left w:val="nil"/>
                    <w:bottom w:val="nil"/>
                    <w:right w:val="nil"/>
                  </w:tcBorders>
                </w:tcPr>
                <w:p w:rsidR="00FB007F" w:rsidRPr="005D090F" w:rsidRDefault="00FB007F" w:rsidP="00FB007F">
                  <w:pPr>
                    <w:pStyle w:val="Box"/>
                    <w:spacing w:line="240" w:lineRule="atLeast"/>
                    <w:ind w:right="-108"/>
                    <w:jc w:val="left"/>
                    <w:rPr>
                      <w:i/>
                      <w:sz w:val="20"/>
                    </w:rPr>
                  </w:pPr>
                  <w:r w:rsidRPr="00764659">
                    <w:rPr>
                      <w:sz w:val="20"/>
                    </w:rPr>
                    <w:t xml:space="preserve">215 Flour mill &amp; cereal food </w:t>
                  </w:r>
                  <w:r w:rsidR="00FD5094">
                    <w:rPr>
                      <w:sz w:val="20"/>
                    </w:rPr>
                    <w:br/>
                    <w:t xml:space="preserve">       </w:t>
                  </w:r>
                  <w:proofErr w:type="spellStart"/>
                  <w:r w:rsidRPr="00764659">
                    <w:rPr>
                      <w:sz w:val="20"/>
                    </w:rPr>
                    <w:t>mfg</w:t>
                  </w:r>
                  <w:proofErr w:type="spellEnd"/>
                  <w:r>
                    <w:rPr>
                      <w:sz w:val="20"/>
                    </w:rPr>
                    <w:t xml:space="preserve"> </w:t>
                  </w:r>
                  <w:r>
                    <w:rPr>
                      <w:i/>
                      <w:sz w:val="20"/>
                    </w:rPr>
                    <w:t>(part)</w:t>
                  </w:r>
                </w:p>
              </w:tc>
              <w:tc>
                <w:tcPr>
                  <w:tcW w:w="2824" w:type="dxa"/>
                  <w:tcBorders>
                    <w:top w:val="nil"/>
                    <w:left w:val="nil"/>
                    <w:bottom w:val="nil"/>
                    <w:right w:val="nil"/>
                  </w:tcBorders>
                </w:tcPr>
                <w:p w:rsidR="00FB007F" w:rsidRPr="00764659" w:rsidRDefault="00FB007F" w:rsidP="00FB007F">
                  <w:pPr>
                    <w:pStyle w:val="Box"/>
                    <w:spacing w:line="240" w:lineRule="atLeast"/>
                    <w:ind w:right="-119"/>
                    <w:jc w:val="left"/>
                    <w:rPr>
                      <w:sz w:val="20"/>
                    </w:rPr>
                  </w:pPr>
                  <w:r w:rsidRPr="009B1222">
                    <w:rPr>
                      <w:b/>
                      <w:sz w:val="20"/>
                    </w:rPr>
                    <w:t>M</w:t>
                  </w:r>
                  <w:r>
                    <w:rPr>
                      <w:b/>
                      <w:sz w:val="20"/>
                    </w:rPr>
                    <w:t>oderate</w:t>
                  </w:r>
                  <w:r w:rsidRPr="009B1222">
                    <w:rPr>
                      <w:b/>
                      <w:sz w:val="20"/>
                    </w:rPr>
                    <w:t xml:space="preserve"> change</w:t>
                  </w:r>
                  <w:r>
                    <w:rPr>
                      <w:b/>
                      <w:sz w:val="20"/>
                    </w:rPr>
                    <w:br/>
                  </w:r>
                  <w:r w:rsidRPr="00C12D5E">
                    <w:rPr>
                      <w:sz w:val="20"/>
                      <w:u w:val="single"/>
                    </w:rPr>
                    <w:t>Less</w:t>
                  </w:r>
                  <w:r w:rsidRPr="00C12D5E">
                    <w:rPr>
                      <w:sz w:val="20"/>
                    </w:rPr>
                    <w:t xml:space="preserve"> part</w:t>
                  </w:r>
                  <w:r>
                    <w:rPr>
                      <w:sz w:val="20"/>
                    </w:rPr>
                    <w:t>s</w:t>
                  </w:r>
                  <w:r w:rsidRPr="00C12D5E">
                    <w:rPr>
                      <w:sz w:val="20"/>
                    </w:rPr>
                    <w:t xml:space="preserve"> of </w:t>
                  </w:r>
                  <w:proofErr w:type="spellStart"/>
                  <w:r w:rsidRPr="00C12D5E">
                    <w:rPr>
                      <w:sz w:val="20"/>
                    </w:rPr>
                    <w:t>ANZSIC</w:t>
                  </w:r>
                  <w:r>
                    <w:rPr>
                      <w:sz w:val="20"/>
                    </w:rPr>
                    <w:t>93</w:t>
                  </w:r>
                  <w:proofErr w:type="spellEnd"/>
                  <w:r>
                    <w:rPr>
                      <w:sz w:val="20"/>
                    </w:rPr>
                    <w:t xml:space="preserve"> 215</w:t>
                  </w:r>
                  <w:r>
                    <w:rPr>
                      <w:sz w:val="20"/>
                    </w:rPr>
                    <w:br/>
                  </w:r>
                  <w:r>
                    <w:rPr>
                      <w:sz w:val="20"/>
                      <w:u w:val="single"/>
                    </w:rPr>
                    <w:t>Plus</w:t>
                  </w:r>
                  <w:r w:rsidRPr="00764659">
                    <w:rPr>
                      <w:sz w:val="20"/>
                    </w:rPr>
                    <w:t xml:space="preserve"> part of </w:t>
                  </w:r>
                  <w:proofErr w:type="spellStart"/>
                  <w:r w:rsidRPr="00764659">
                    <w:rPr>
                      <w:sz w:val="20"/>
                    </w:rPr>
                    <w:t>ANZSIC93</w:t>
                  </w:r>
                  <w:proofErr w:type="spellEnd"/>
                  <w:r w:rsidRPr="00764659">
                    <w:rPr>
                      <w:sz w:val="20"/>
                    </w:rPr>
                    <w:t xml:space="preserve"> </w:t>
                  </w:r>
                  <w:r>
                    <w:rPr>
                      <w:sz w:val="20"/>
                    </w:rPr>
                    <w:t>212</w:t>
                  </w:r>
                  <w:r>
                    <w:rPr>
                      <w:sz w:val="20"/>
                    </w:rPr>
                    <w:br/>
                  </w:r>
                  <w:r w:rsidRPr="00DF09B5">
                    <w:rPr>
                      <w:sz w:val="20"/>
                      <w:u w:val="single"/>
                    </w:rPr>
                    <w:t>Plus</w:t>
                  </w:r>
                  <w:r>
                    <w:rPr>
                      <w:sz w:val="20"/>
                    </w:rPr>
                    <w:t xml:space="preserve"> part of </w:t>
                  </w:r>
                  <w:proofErr w:type="spellStart"/>
                  <w:r>
                    <w:rPr>
                      <w:sz w:val="20"/>
                    </w:rPr>
                    <w:t>ANZSIC93</w:t>
                  </w:r>
                  <w:proofErr w:type="spellEnd"/>
                  <w:r>
                    <w:rPr>
                      <w:sz w:val="20"/>
                    </w:rPr>
                    <w:t xml:space="preserve"> 218</w:t>
                  </w:r>
                </w:p>
              </w:tc>
            </w:tr>
            <w:tr w:rsidR="00FB007F" w:rsidTr="00FB007F">
              <w:tc>
                <w:tcPr>
                  <w:tcW w:w="2824" w:type="dxa"/>
                  <w:tcBorders>
                    <w:top w:val="nil"/>
                    <w:left w:val="nil"/>
                    <w:bottom w:val="nil"/>
                    <w:right w:val="nil"/>
                  </w:tcBorders>
                  <w:shd w:val="clear" w:color="auto" w:fill="D9D9D9" w:themeFill="background1" w:themeFillShade="D9"/>
                </w:tcPr>
                <w:p w:rsidR="00FB007F" w:rsidRPr="00764659" w:rsidRDefault="00FB007F" w:rsidP="00FB007F">
                  <w:pPr>
                    <w:pStyle w:val="Box"/>
                    <w:spacing w:line="240" w:lineRule="atLeast"/>
                    <w:ind w:right="-97"/>
                    <w:jc w:val="left"/>
                    <w:rPr>
                      <w:sz w:val="20"/>
                    </w:rPr>
                  </w:pPr>
                  <w:r w:rsidRPr="00764659">
                    <w:rPr>
                      <w:sz w:val="20"/>
                    </w:rPr>
                    <w:t xml:space="preserve">117 Bakery product </w:t>
                  </w:r>
                  <w:proofErr w:type="spellStart"/>
                  <w:r w:rsidRPr="00764659">
                    <w:rPr>
                      <w:sz w:val="20"/>
                    </w:rPr>
                    <w:t>mfg</w:t>
                  </w:r>
                  <w:proofErr w:type="spellEnd"/>
                </w:p>
              </w:tc>
              <w:tc>
                <w:tcPr>
                  <w:tcW w:w="2824" w:type="dxa"/>
                  <w:tcBorders>
                    <w:top w:val="nil"/>
                    <w:left w:val="nil"/>
                    <w:bottom w:val="nil"/>
                    <w:right w:val="nil"/>
                  </w:tcBorders>
                  <w:shd w:val="clear" w:color="auto" w:fill="D9D9D9" w:themeFill="background1" w:themeFillShade="D9"/>
                </w:tcPr>
                <w:p w:rsidR="00FB007F" w:rsidRPr="00764659" w:rsidRDefault="00FB007F" w:rsidP="00FB007F">
                  <w:pPr>
                    <w:pStyle w:val="Box"/>
                    <w:spacing w:line="240" w:lineRule="atLeast"/>
                    <w:ind w:right="-108"/>
                    <w:jc w:val="left"/>
                    <w:rPr>
                      <w:sz w:val="20"/>
                    </w:rPr>
                  </w:pPr>
                  <w:r w:rsidRPr="00764659">
                    <w:rPr>
                      <w:sz w:val="20"/>
                    </w:rPr>
                    <w:t xml:space="preserve">216 Bakery product </w:t>
                  </w:r>
                  <w:proofErr w:type="spellStart"/>
                  <w:r w:rsidRPr="00764659">
                    <w:rPr>
                      <w:sz w:val="20"/>
                    </w:rPr>
                    <w:t>mfg</w:t>
                  </w:r>
                  <w:proofErr w:type="spellEnd"/>
                </w:p>
              </w:tc>
              <w:tc>
                <w:tcPr>
                  <w:tcW w:w="2824" w:type="dxa"/>
                  <w:tcBorders>
                    <w:top w:val="nil"/>
                    <w:left w:val="nil"/>
                    <w:bottom w:val="nil"/>
                    <w:right w:val="nil"/>
                  </w:tcBorders>
                  <w:shd w:val="clear" w:color="auto" w:fill="D9D9D9" w:themeFill="background1" w:themeFillShade="D9"/>
                </w:tcPr>
                <w:p w:rsidR="00FB007F" w:rsidRPr="00764659" w:rsidRDefault="00FB007F" w:rsidP="002C5E2F">
                  <w:pPr>
                    <w:pStyle w:val="Box"/>
                    <w:spacing w:line="240" w:lineRule="atLeast"/>
                    <w:ind w:right="-119"/>
                    <w:jc w:val="left"/>
                    <w:rPr>
                      <w:sz w:val="20"/>
                    </w:rPr>
                  </w:pPr>
                  <w:r w:rsidRPr="009B1222">
                    <w:rPr>
                      <w:b/>
                      <w:sz w:val="20"/>
                    </w:rPr>
                    <w:t>Major change</w:t>
                  </w:r>
                  <w:r>
                    <w:rPr>
                      <w:b/>
                      <w:sz w:val="20"/>
                    </w:rPr>
                    <w:br/>
                  </w:r>
                  <w:r w:rsidRPr="00764659">
                    <w:rPr>
                      <w:sz w:val="20"/>
                      <w:u w:val="single"/>
                    </w:rPr>
                    <w:t>Plus</w:t>
                  </w:r>
                  <w:r w:rsidRPr="00764659">
                    <w:rPr>
                      <w:sz w:val="20"/>
                    </w:rPr>
                    <w:t xml:space="preserve"> part of </w:t>
                  </w:r>
                  <w:proofErr w:type="spellStart"/>
                  <w:r w:rsidRPr="00764659">
                    <w:rPr>
                      <w:sz w:val="20"/>
                    </w:rPr>
                    <w:t>ANZSIC93</w:t>
                  </w:r>
                  <w:proofErr w:type="spellEnd"/>
                  <w:r w:rsidRPr="00764659">
                    <w:rPr>
                      <w:sz w:val="20"/>
                    </w:rPr>
                    <w:t xml:space="preserve"> Retail trade </w:t>
                  </w:r>
                  <w:r>
                    <w:rPr>
                      <w:sz w:val="20"/>
                    </w:rPr>
                    <w:t>division</w:t>
                  </w:r>
                  <w:r w:rsidR="002C5E2F">
                    <w:rPr>
                      <w:sz w:val="20"/>
                    </w:rPr>
                    <w:t xml:space="preserve"> (Bread and cake retailing </w:t>
                  </w:r>
                  <w:r w:rsidR="002C5E2F" w:rsidRPr="002C5E2F">
                    <w:rPr>
                      <w:i/>
                      <w:sz w:val="20"/>
                    </w:rPr>
                    <w:t>(part)</w:t>
                  </w:r>
                  <w:r w:rsidR="002C5E2F">
                    <w:rPr>
                      <w:sz w:val="20"/>
                    </w:rPr>
                    <w:t>)</w:t>
                  </w:r>
                  <w:r>
                    <w:rPr>
                      <w:sz w:val="20"/>
                      <w:u w:val="single"/>
                    </w:rPr>
                    <w:br/>
                    <w:t>Plus</w:t>
                  </w:r>
                  <w:r w:rsidRPr="00C12D5E">
                    <w:rPr>
                      <w:sz w:val="20"/>
                    </w:rPr>
                    <w:t xml:space="preserve"> part</w:t>
                  </w:r>
                  <w:r>
                    <w:rPr>
                      <w:sz w:val="20"/>
                    </w:rPr>
                    <w:t>s</w:t>
                  </w:r>
                  <w:r w:rsidRPr="00C12D5E">
                    <w:rPr>
                      <w:sz w:val="20"/>
                    </w:rPr>
                    <w:t xml:space="preserve"> of </w:t>
                  </w:r>
                  <w:proofErr w:type="spellStart"/>
                  <w:r w:rsidRPr="00C12D5E">
                    <w:rPr>
                      <w:sz w:val="20"/>
                    </w:rPr>
                    <w:t>ANZSIC</w:t>
                  </w:r>
                  <w:r>
                    <w:rPr>
                      <w:sz w:val="20"/>
                    </w:rPr>
                    <w:t>93</w:t>
                  </w:r>
                  <w:proofErr w:type="spellEnd"/>
                  <w:r>
                    <w:rPr>
                      <w:sz w:val="20"/>
                    </w:rPr>
                    <w:t xml:space="preserve"> 215</w:t>
                  </w:r>
                </w:p>
              </w:tc>
            </w:tr>
            <w:tr w:rsidR="00FB007F" w:rsidTr="00FB007F">
              <w:tc>
                <w:tcPr>
                  <w:tcW w:w="2824" w:type="dxa"/>
                  <w:tcBorders>
                    <w:top w:val="nil"/>
                    <w:left w:val="nil"/>
                    <w:bottom w:val="nil"/>
                    <w:right w:val="nil"/>
                  </w:tcBorders>
                </w:tcPr>
                <w:p w:rsidR="00FB007F" w:rsidRPr="00764659" w:rsidRDefault="00FB007F" w:rsidP="00FB007F">
                  <w:pPr>
                    <w:pStyle w:val="Box"/>
                    <w:spacing w:before="0"/>
                    <w:ind w:right="-97"/>
                    <w:jc w:val="left"/>
                    <w:rPr>
                      <w:i/>
                      <w:sz w:val="20"/>
                    </w:rPr>
                  </w:pPr>
                  <w:r w:rsidRPr="00764659">
                    <w:rPr>
                      <w:sz w:val="20"/>
                    </w:rPr>
                    <w:t xml:space="preserve">118 Sugar &amp; confectionery </w:t>
                  </w:r>
                  <w:r w:rsidR="00FD5094">
                    <w:rPr>
                      <w:sz w:val="20"/>
                    </w:rPr>
                    <w:br/>
                    <w:t xml:space="preserve">       </w:t>
                  </w:r>
                  <w:proofErr w:type="spellStart"/>
                  <w:r w:rsidRPr="00764659">
                    <w:rPr>
                      <w:sz w:val="20"/>
                    </w:rPr>
                    <w:t>mfg</w:t>
                  </w:r>
                  <w:proofErr w:type="spellEnd"/>
                </w:p>
              </w:tc>
              <w:tc>
                <w:tcPr>
                  <w:tcW w:w="2824" w:type="dxa"/>
                  <w:tcBorders>
                    <w:top w:val="nil"/>
                    <w:left w:val="nil"/>
                    <w:bottom w:val="nil"/>
                    <w:right w:val="nil"/>
                  </w:tcBorders>
                </w:tcPr>
                <w:p w:rsidR="00FB007F" w:rsidRPr="00764659" w:rsidRDefault="00FB007F" w:rsidP="00FB007F">
                  <w:pPr>
                    <w:pStyle w:val="Box"/>
                    <w:tabs>
                      <w:tab w:val="left" w:pos="276"/>
                    </w:tabs>
                    <w:spacing w:before="0"/>
                    <w:ind w:right="-108"/>
                    <w:jc w:val="left"/>
                    <w:rPr>
                      <w:i/>
                      <w:sz w:val="20"/>
                    </w:rPr>
                  </w:pPr>
                  <w:r w:rsidRPr="00764659">
                    <w:rPr>
                      <w:sz w:val="20"/>
                    </w:rPr>
                    <w:t xml:space="preserve">217 Other food </w:t>
                  </w:r>
                  <w:proofErr w:type="spellStart"/>
                  <w:r w:rsidRPr="00764659">
                    <w:rPr>
                      <w:sz w:val="20"/>
                    </w:rPr>
                    <w:t>mfg</w:t>
                  </w:r>
                  <w:proofErr w:type="spellEnd"/>
                  <w:r w:rsidRPr="00764659">
                    <w:rPr>
                      <w:sz w:val="20"/>
                    </w:rPr>
                    <w:t xml:space="preserve"> (</w:t>
                  </w:r>
                  <w:r w:rsidRPr="00C87FBB">
                    <w:rPr>
                      <w:i/>
                      <w:sz w:val="20"/>
                    </w:rPr>
                    <w:t>part</w:t>
                  </w:r>
                  <w:r w:rsidRPr="00764659">
                    <w:rPr>
                      <w:sz w:val="20"/>
                    </w:rPr>
                    <w:t>)</w:t>
                  </w:r>
                  <w:r>
                    <w:rPr>
                      <w:sz w:val="20"/>
                    </w:rPr>
                    <w:br/>
                  </w:r>
                  <w:r>
                    <w:rPr>
                      <w:sz w:val="20"/>
                    </w:rPr>
                    <w:tab/>
                    <w:t xml:space="preserve">2171 Sugar </w:t>
                  </w:r>
                  <w:proofErr w:type="spellStart"/>
                  <w:r>
                    <w:rPr>
                      <w:sz w:val="20"/>
                    </w:rPr>
                    <w:t>mfg</w:t>
                  </w:r>
                  <w:proofErr w:type="spellEnd"/>
                  <w:r>
                    <w:rPr>
                      <w:sz w:val="20"/>
                    </w:rPr>
                    <w:br/>
                  </w:r>
                  <w:r>
                    <w:rPr>
                      <w:sz w:val="20"/>
                    </w:rPr>
                    <w:tab/>
                    <w:t xml:space="preserve">2172 Confectionery </w:t>
                  </w:r>
                  <w:proofErr w:type="spellStart"/>
                  <w:r>
                    <w:rPr>
                      <w:sz w:val="20"/>
                    </w:rPr>
                    <w:t>mfg</w:t>
                  </w:r>
                  <w:proofErr w:type="spellEnd"/>
                </w:p>
              </w:tc>
              <w:tc>
                <w:tcPr>
                  <w:tcW w:w="2824" w:type="dxa"/>
                  <w:tcBorders>
                    <w:top w:val="nil"/>
                    <w:left w:val="nil"/>
                    <w:bottom w:val="nil"/>
                    <w:right w:val="nil"/>
                  </w:tcBorders>
                </w:tcPr>
                <w:p w:rsidR="00FB007F" w:rsidRPr="00764659" w:rsidRDefault="00FB007F" w:rsidP="00FB007F">
                  <w:pPr>
                    <w:pStyle w:val="Box"/>
                    <w:spacing w:before="0"/>
                    <w:ind w:right="-119"/>
                    <w:jc w:val="left"/>
                    <w:rPr>
                      <w:i/>
                      <w:sz w:val="20"/>
                    </w:rPr>
                  </w:pPr>
                  <w:r>
                    <w:rPr>
                      <w:b/>
                      <w:sz w:val="20"/>
                    </w:rPr>
                    <w:t xml:space="preserve">No change </w:t>
                  </w:r>
                  <w:r>
                    <w:rPr>
                      <w:sz w:val="20"/>
                    </w:rPr>
                    <w:t>at group level</w:t>
                  </w:r>
                </w:p>
              </w:tc>
            </w:tr>
            <w:tr w:rsidR="00FB007F" w:rsidTr="00FB007F">
              <w:tc>
                <w:tcPr>
                  <w:tcW w:w="2824" w:type="dxa"/>
                  <w:tcBorders>
                    <w:top w:val="nil"/>
                    <w:left w:val="nil"/>
                    <w:bottom w:val="nil"/>
                    <w:right w:val="nil"/>
                  </w:tcBorders>
                  <w:shd w:val="clear" w:color="auto" w:fill="D9D9D9" w:themeFill="background1" w:themeFillShade="D9"/>
                </w:tcPr>
                <w:p w:rsidR="00FB007F" w:rsidRPr="00764659" w:rsidRDefault="00FB007F" w:rsidP="00FB007F">
                  <w:pPr>
                    <w:pStyle w:val="Box"/>
                    <w:spacing w:line="240" w:lineRule="atLeast"/>
                    <w:ind w:right="-97"/>
                    <w:jc w:val="left"/>
                    <w:rPr>
                      <w:sz w:val="20"/>
                    </w:rPr>
                  </w:pPr>
                  <w:r w:rsidRPr="00764659">
                    <w:rPr>
                      <w:sz w:val="20"/>
                    </w:rPr>
                    <w:t xml:space="preserve">119 Other food </w:t>
                  </w:r>
                  <w:proofErr w:type="spellStart"/>
                  <w:r w:rsidRPr="00764659">
                    <w:rPr>
                      <w:sz w:val="20"/>
                    </w:rPr>
                    <w:t>mfg</w:t>
                  </w:r>
                  <w:proofErr w:type="spellEnd"/>
                </w:p>
              </w:tc>
              <w:tc>
                <w:tcPr>
                  <w:tcW w:w="2824" w:type="dxa"/>
                  <w:tcBorders>
                    <w:top w:val="nil"/>
                    <w:left w:val="nil"/>
                    <w:bottom w:val="nil"/>
                    <w:right w:val="nil"/>
                  </w:tcBorders>
                  <w:shd w:val="clear" w:color="auto" w:fill="D9D9D9" w:themeFill="background1" w:themeFillShade="D9"/>
                </w:tcPr>
                <w:p w:rsidR="00FB007F" w:rsidRPr="00764659" w:rsidRDefault="00FB007F" w:rsidP="00FB007F">
                  <w:pPr>
                    <w:pStyle w:val="Box"/>
                    <w:spacing w:line="240" w:lineRule="atLeast"/>
                    <w:ind w:right="-108"/>
                    <w:jc w:val="left"/>
                    <w:rPr>
                      <w:sz w:val="20"/>
                    </w:rPr>
                  </w:pPr>
                  <w:r w:rsidRPr="00764659">
                    <w:rPr>
                      <w:sz w:val="20"/>
                    </w:rPr>
                    <w:t xml:space="preserve">217 Other food </w:t>
                  </w:r>
                  <w:proofErr w:type="spellStart"/>
                  <w:r w:rsidRPr="00764659">
                    <w:rPr>
                      <w:sz w:val="20"/>
                    </w:rPr>
                    <w:t>mfg</w:t>
                  </w:r>
                  <w:proofErr w:type="spellEnd"/>
                  <w:r w:rsidRPr="00764659">
                    <w:rPr>
                      <w:sz w:val="20"/>
                    </w:rPr>
                    <w:t xml:space="preserve"> (</w:t>
                  </w:r>
                  <w:r w:rsidRPr="00C87FBB">
                    <w:rPr>
                      <w:i/>
                      <w:sz w:val="20"/>
                    </w:rPr>
                    <w:t>part</w:t>
                  </w:r>
                  <w:r w:rsidRPr="00764659">
                    <w:rPr>
                      <w:sz w:val="20"/>
                    </w:rPr>
                    <w:t>)</w:t>
                  </w:r>
                </w:p>
              </w:tc>
              <w:tc>
                <w:tcPr>
                  <w:tcW w:w="2824" w:type="dxa"/>
                  <w:tcBorders>
                    <w:top w:val="nil"/>
                    <w:left w:val="nil"/>
                    <w:bottom w:val="nil"/>
                    <w:right w:val="nil"/>
                  </w:tcBorders>
                  <w:shd w:val="clear" w:color="auto" w:fill="D9D9D9" w:themeFill="background1" w:themeFillShade="D9"/>
                </w:tcPr>
                <w:p w:rsidR="00FB007F" w:rsidRPr="009B1222" w:rsidRDefault="00FB007F" w:rsidP="00FB007F">
                  <w:pPr>
                    <w:pStyle w:val="Box"/>
                    <w:spacing w:line="240" w:lineRule="atLeast"/>
                    <w:ind w:right="-119"/>
                    <w:jc w:val="left"/>
                    <w:rPr>
                      <w:b/>
                      <w:sz w:val="20"/>
                    </w:rPr>
                  </w:pPr>
                  <w:r w:rsidRPr="009B1222">
                    <w:rPr>
                      <w:b/>
                      <w:sz w:val="20"/>
                    </w:rPr>
                    <w:t>Major change</w:t>
                  </w:r>
                  <w:r>
                    <w:rPr>
                      <w:b/>
                      <w:sz w:val="20"/>
                    </w:rPr>
                    <w:br/>
                  </w:r>
                  <w:r w:rsidRPr="00A658A5">
                    <w:rPr>
                      <w:sz w:val="20"/>
                      <w:u w:val="single"/>
                    </w:rPr>
                    <w:t>Less</w:t>
                  </w:r>
                  <w:r>
                    <w:rPr>
                      <w:b/>
                      <w:sz w:val="20"/>
                    </w:rPr>
                    <w:t xml:space="preserve"> </w:t>
                  </w:r>
                  <w:r>
                    <w:rPr>
                      <w:sz w:val="20"/>
                    </w:rPr>
                    <w:t>part</w:t>
                  </w:r>
                  <w:r w:rsidR="009D6DBB">
                    <w:rPr>
                      <w:sz w:val="20"/>
                    </w:rPr>
                    <w:t>s</w:t>
                  </w:r>
                  <w:r>
                    <w:rPr>
                      <w:sz w:val="20"/>
                    </w:rPr>
                    <w:t xml:space="preserve"> of </w:t>
                  </w:r>
                  <w:proofErr w:type="spellStart"/>
                  <w:r>
                    <w:rPr>
                      <w:sz w:val="20"/>
                    </w:rPr>
                    <w:t>ANZSIC</w:t>
                  </w:r>
                  <w:proofErr w:type="spellEnd"/>
                  <w:r>
                    <w:rPr>
                      <w:sz w:val="20"/>
                    </w:rPr>
                    <w:t xml:space="preserve"> 217 (2171, 2172, 2173)</w:t>
                  </w:r>
                  <w:r>
                    <w:rPr>
                      <w:b/>
                      <w:sz w:val="20"/>
                    </w:rPr>
                    <w:br/>
                  </w:r>
                  <w:r>
                    <w:rPr>
                      <w:sz w:val="20"/>
                      <w:u w:val="single"/>
                    </w:rPr>
                    <w:t>Plus</w:t>
                  </w:r>
                  <w:r w:rsidRPr="00C12D5E">
                    <w:rPr>
                      <w:sz w:val="20"/>
                    </w:rPr>
                    <w:t xml:space="preserve"> part</w:t>
                  </w:r>
                  <w:r>
                    <w:rPr>
                      <w:sz w:val="20"/>
                    </w:rPr>
                    <w:t>s</w:t>
                  </w:r>
                  <w:r w:rsidRPr="00C12D5E">
                    <w:rPr>
                      <w:sz w:val="20"/>
                    </w:rPr>
                    <w:t xml:space="preserve"> of </w:t>
                  </w:r>
                  <w:proofErr w:type="spellStart"/>
                  <w:r w:rsidRPr="00C12D5E">
                    <w:rPr>
                      <w:sz w:val="20"/>
                    </w:rPr>
                    <w:t>ANZSIC</w:t>
                  </w:r>
                  <w:r>
                    <w:rPr>
                      <w:sz w:val="20"/>
                    </w:rPr>
                    <w:t>93</w:t>
                  </w:r>
                  <w:proofErr w:type="spellEnd"/>
                  <w:r>
                    <w:rPr>
                      <w:sz w:val="20"/>
                    </w:rPr>
                    <w:t xml:space="preserve"> 215</w:t>
                  </w:r>
                  <w:r>
                    <w:rPr>
                      <w:sz w:val="20"/>
                    </w:rPr>
                    <w:br/>
                  </w:r>
                  <w:r w:rsidRPr="00764659">
                    <w:rPr>
                      <w:sz w:val="20"/>
                      <w:u w:val="single"/>
                    </w:rPr>
                    <w:t>Plus</w:t>
                  </w:r>
                  <w:r w:rsidRPr="00764659">
                    <w:rPr>
                      <w:sz w:val="20"/>
                    </w:rPr>
                    <w:t xml:space="preserve"> part of </w:t>
                  </w:r>
                  <w:proofErr w:type="spellStart"/>
                  <w:r w:rsidRPr="00764659">
                    <w:rPr>
                      <w:sz w:val="20"/>
                    </w:rPr>
                    <w:t>ANZSIC93</w:t>
                  </w:r>
                  <w:proofErr w:type="spellEnd"/>
                  <w:r w:rsidRPr="00764659">
                    <w:rPr>
                      <w:sz w:val="20"/>
                    </w:rPr>
                    <w:t xml:space="preserve"> Wholesale trade </w:t>
                  </w:r>
                  <w:r>
                    <w:rPr>
                      <w:sz w:val="20"/>
                    </w:rPr>
                    <w:t>division</w:t>
                  </w:r>
                  <w:r w:rsidR="002C5E2F">
                    <w:rPr>
                      <w:sz w:val="20"/>
                    </w:rPr>
                    <w:t xml:space="preserve"> (Grocery wholesaling </w:t>
                  </w:r>
                  <w:proofErr w:type="spellStart"/>
                  <w:r w:rsidR="002C5E2F">
                    <w:rPr>
                      <w:sz w:val="20"/>
                    </w:rPr>
                    <w:t>nec</w:t>
                  </w:r>
                  <w:proofErr w:type="spellEnd"/>
                  <w:r w:rsidR="002C5E2F">
                    <w:rPr>
                      <w:sz w:val="20"/>
                    </w:rPr>
                    <w:t xml:space="preserve"> </w:t>
                  </w:r>
                  <w:r w:rsidR="002C5E2F" w:rsidRPr="002C5E2F">
                    <w:rPr>
                      <w:i/>
                      <w:sz w:val="20"/>
                    </w:rPr>
                    <w:t>(part)</w:t>
                  </w:r>
                  <w:r w:rsidR="002C5E2F">
                    <w:rPr>
                      <w:sz w:val="20"/>
                    </w:rPr>
                    <w:t>)</w:t>
                  </w:r>
                </w:p>
              </w:tc>
            </w:tr>
            <w:tr w:rsidR="00FB007F" w:rsidTr="00FB007F">
              <w:tc>
                <w:tcPr>
                  <w:tcW w:w="2824" w:type="dxa"/>
                  <w:tcBorders>
                    <w:top w:val="nil"/>
                    <w:left w:val="nil"/>
                    <w:bottom w:val="nil"/>
                    <w:right w:val="nil"/>
                  </w:tcBorders>
                </w:tcPr>
                <w:p w:rsidR="00FB007F" w:rsidRPr="00764659" w:rsidRDefault="00FB007F" w:rsidP="000774CB">
                  <w:pPr>
                    <w:pStyle w:val="Box"/>
                    <w:spacing w:line="240" w:lineRule="atLeast"/>
                    <w:ind w:right="-97"/>
                    <w:jc w:val="left"/>
                    <w:rPr>
                      <w:sz w:val="20"/>
                    </w:rPr>
                  </w:pPr>
                  <w:r w:rsidRPr="00764659">
                    <w:rPr>
                      <w:sz w:val="20"/>
                    </w:rPr>
                    <w:t>121 Bev</w:t>
                  </w:r>
                  <w:r w:rsidR="000774CB">
                    <w:rPr>
                      <w:sz w:val="20"/>
                    </w:rPr>
                    <w:t xml:space="preserve">erage </w:t>
                  </w:r>
                  <w:proofErr w:type="spellStart"/>
                  <w:r w:rsidRPr="00764659">
                    <w:rPr>
                      <w:sz w:val="20"/>
                    </w:rPr>
                    <w:t>mfg</w:t>
                  </w:r>
                  <w:proofErr w:type="spellEnd"/>
                </w:p>
              </w:tc>
              <w:tc>
                <w:tcPr>
                  <w:tcW w:w="2824" w:type="dxa"/>
                  <w:tcBorders>
                    <w:top w:val="nil"/>
                    <w:left w:val="nil"/>
                    <w:bottom w:val="nil"/>
                    <w:right w:val="nil"/>
                  </w:tcBorders>
                </w:tcPr>
                <w:p w:rsidR="00FB007F" w:rsidRPr="00764659" w:rsidRDefault="00FB007F" w:rsidP="000774CB">
                  <w:pPr>
                    <w:pStyle w:val="Box"/>
                    <w:tabs>
                      <w:tab w:val="left" w:pos="228"/>
                    </w:tabs>
                    <w:spacing w:line="240" w:lineRule="atLeast"/>
                    <w:ind w:right="-108"/>
                    <w:jc w:val="left"/>
                    <w:rPr>
                      <w:sz w:val="20"/>
                    </w:rPr>
                  </w:pPr>
                  <w:r w:rsidRPr="00764659">
                    <w:rPr>
                      <w:sz w:val="20"/>
                    </w:rPr>
                    <w:t>218 Bev</w:t>
                  </w:r>
                  <w:r w:rsidR="000774CB">
                    <w:rPr>
                      <w:sz w:val="20"/>
                    </w:rPr>
                    <w:t>erage</w:t>
                  </w:r>
                  <w:r w:rsidRPr="00764659">
                    <w:rPr>
                      <w:sz w:val="20"/>
                    </w:rPr>
                    <w:t xml:space="preserve"> &amp; malt </w:t>
                  </w:r>
                  <w:proofErr w:type="spellStart"/>
                  <w:r w:rsidRPr="00764659">
                    <w:rPr>
                      <w:sz w:val="20"/>
                    </w:rPr>
                    <w:t>mfg</w:t>
                  </w:r>
                  <w:proofErr w:type="spellEnd"/>
                </w:p>
              </w:tc>
              <w:tc>
                <w:tcPr>
                  <w:tcW w:w="2824" w:type="dxa"/>
                  <w:tcBorders>
                    <w:top w:val="nil"/>
                    <w:left w:val="nil"/>
                    <w:bottom w:val="nil"/>
                    <w:right w:val="nil"/>
                  </w:tcBorders>
                </w:tcPr>
                <w:p w:rsidR="00FB007F" w:rsidRPr="00764659" w:rsidRDefault="00FB007F" w:rsidP="00FB007F">
                  <w:pPr>
                    <w:pStyle w:val="Box"/>
                    <w:spacing w:line="240" w:lineRule="atLeast"/>
                    <w:ind w:right="-119"/>
                    <w:jc w:val="left"/>
                    <w:rPr>
                      <w:sz w:val="20"/>
                    </w:rPr>
                  </w:pPr>
                  <w:r w:rsidRPr="009B1222">
                    <w:rPr>
                      <w:b/>
                      <w:sz w:val="20"/>
                    </w:rPr>
                    <w:t>M</w:t>
                  </w:r>
                  <w:r>
                    <w:rPr>
                      <w:b/>
                      <w:sz w:val="20"/>
                    </w:rPr>
                    <w:t>oderate</w:t>
                  </w:r>
                  <w:r w:rsidRPr="009B1222">
                    <w:rPr>
                      <w:b/>
                      <w:sz w:val="20"/>
                    </w:rPr>
                    <w:t xml:space="preserve"> change</w:t>
                  </w:r>
                  <w:r>
                    <w:rPr>
                      <w:sz w:val="20"/>
                      <w:u w:val="single"/>
                    </w:rPr>
                    <w:br/>
                  </w:r>
                  <w:r w:rsidRPr="00764659">
                    <w:rPr>
                      <w:sz w:val="20"/>
                      <w:u w:val="single"/>
                    </w:rPr>
                    <w:t>Plus</w:t>
                  </w:r>
                  <w:r w:rsidRPr="00764659">
                    <w:rPr>
                      <w:sz w:val="20"/>
                    </w:rPr>
                    <w:t xml:space="preserve"> part</w:t>
                  </w:r>
                  <w:r>
                    <w:rPr>
                      <w:sz w:val="20"/>
                    </w:rPr>
                    <w:t xml:space="preserve"> of </w:t>
                  </w:r>
                  <w:proofErr w:type="spellStart"/>
                  <w:r>
                    <w:rPr>
                      <w:sz w:val="20"/>
                    </w:rPr>
                    <w:t>ANZSIC93</w:t>
                  </w:r>
                  <w:proofErr w:type="spellEnd"/>
                  <w:r>
                    <w:rPr>
                      <w:sz w:val="20"/>
                    </w:rPr>
                    <w:t xml:space="preserve"> 217</w:t>
                  </w:r>
                  <w:r>
                    <w:rPr>
                      <w:sz w:val="20"/>
                    </w:rPr>
                    <w:br/>
                  </w:r>
                  <w:r w:rsidRPr="00534E43">
                    <w:rPr>
                      <w:sz w:val="20"/>
                      <w:u w:val="single"/>
                    </w:rPr>
                    <w:t>Less</w:t>
                  </w:r>
                  <w:r w:rsidR="000E4530">
                    <w:rPr>
                      <w:sz w:val="20"/>
                    </w:rPr>
                    <w:t xml:space="preserve"> part of </w:t>
                  </w:r>
                  <w:proofErr w:type="spellStart"/>
                  <w:r w:rsidR="000E4530">
                    <w:rPr>
                      <w:sz w:val="20"/>
                    </w:rPr>
                    <w:t>ANZSIC93</w:t>
                  </w:r>
                  <w:proofErr w:type="spellEnd"/>
                  <w:r w:rsidR="000E4530">
                    <w:rPr>
                      <w:sz w:val="20"/>
                    </w:rPr>
                    <w:t xml:space="preserve"> 218</w:t>
                  </w:r>
                </w:p>
              </w:tc>
            </w:tr>
            <w:tr w:rsidR="00FB007F" w:rsidTr="000774CB">
              <w:tc>
                <w:tcPr>
                  <w:tcW w:w="2824" w:type="dxa"/>
                  <w:tcBorders>
                    <w:top w:val="nil"/>
                    <w:left w:val="nil"/>
                    <w:bottom w:val="nil"/>
                    <w:right w:val="nil"/>
                  </w:tcBorders>
                  <w:shd w:val="clear" w:color="auto" w:fill="D9D9D9" w:themeFill="background1" w:themeFillShade="D9"/>
                </w:tcPr>
                <w:p w:rsidR="00FB007F" w:rsidRPr="00764659" w:rsidRDefault="00FB007F" w:rsidP="00FB007F">
                  <w:pPr>
                    <w:pStyle w:val="Box"/>
                    <w:spacing w:before="0"/>
                    <w:ind w:right="-97"/>
                    <w:jc w:val="left"/>
                    <w:rPr>
                      <w:i/>
                      <w:sz w:val="20"/>
                    </w:rPr>
                  </w:pPr>
                  <w:r w:rsidRPr="00764659">
                    <w:rPr>
                      <w:sz w:val="20"/>
                    </w:rPr>
                    <w:t xml:space="preserve">122 Cigarette &amp; tobacco </w:t>
                  </w:r>
                  <w:r w:rsidR="00FD5094">
                    <w:rPr>
                      <w:sz w:val="20"/>
                    </w:rPr>
                    <w:t xml:space="preserve"> </w:t>
                  </w:r>
                  <w:r w:rsidR="00FD5094">
                    <w:rPr>
                      <w:sz w:val="20"/>
                    </w:rPr>
                    <w:br/>
                    <w:t xml:space="preserve">       </w:t>
                  </w:r>
                  <w:r w:rsidRPr="00764659">
                    <w:rPr>
                      <w:sz w:val="20"/>
                    </w:rPr>
                    <w:t xml:space="preserve">product </w:t>
                  </w:r>
                  <w:proofErr w:type="spellStart"/>
                  <w:r w:rsidRPr="00764659">
                    <w:rPr>
                      <w:sz w:val="20"/>
                    </w:rPr>
                    <w:t>mfg</w:t>
                  </w:r>
                  <w:proofErr w:type="spellEnd"/>
                </w:p>
              </w:tc>
              <w:tc>
                <w:tcPr>
                  <w:tcW w:w="2824" w:type="dxa"/>
                  <w:tcBorders>
                    <w:top w:val="nil"/>
                    <w:left w:val="nil"/>
                    <w:bottom w:val="nil"/>
                    <w:right w:val="nil"/>
                  </w:tcBorders>
                  <w:shd w:val="clear" w:color="auto" w:fill="D9D9D9" w:themeFill="background1" w:themeFillShade="D9"/>
                </w:tcPr>
                <w:p w:rsidR="00FB007F" w:rsidRPr="00764659" w:rsidRDefault="00FB007F" w:rsidP="00FB007F">
                  <w:pPr>
                    <w:pStyle w:val="Box"/>
                    <w:spacing w:before="0"/>
                    <w:ind w:right="-108"/>
                    <w:jc w:val="left"/>
                    <w:rPr>
                      <w:i/>
                      <w:sz w:val="20"/>
                    </w:rPr>
                  </w:pPr>
                  <w:r w:rsidRPr="00764659">
                    <w:rPr>
                      <w:sz w:val="20"/>
                    </w:rPr>
                    <w:t xml:space="preserve">219 Tobacco product </w:t>
                  </w:r>
                  <w:proofErr w:type="spellStart"/>
                  <w:r w:rsidRPr="00764659">
                    <w:rPr>
                      <w:sz w:val="20"/>
                    </w:rPr>
                    <w:t>mfg</w:t>
                  </w:r>
                  <w:proofErr w:type="spellEnd"/>
                </w:p>
              </w:tc>
              <w:tc>
                <w:tcPr>
                  <w:tcW w:w="2824" w:type="dxa"/>
                  <w:tcBorders>
                    <w:top w:val="nil"/>
                    <w:left w:val="nil"/>
                    <w:bottom w:val="nil"/>
                    <w:right w:val="nil"/>
                  </w:tcBorders>
                  <w:shd w:val="clear" w:color="auto" w:fill="D9D9D9" w:themeFill="background1" w:themeFillShade="D9"/>
                </w:tcPr>
                <w:p w:rsidR="00FB007F" w:rsidRPr="00764659" w:rsidRDefault="00FB007F" w:rsidP="00FB007F">
                  <w:pPr>
                    <w:pStyle w:val="Box"/>
                    <w:spacing w:before="0"/>
                    <w:ind w:right="-119"/>
                    <w:jc w:val="left"/>
                    <w:rPr>
                      <w:i/>
                      <w:sz w:val="20"/>
                    </w:rPr>
                  </w:pPr>
                  <w:r w:rsidRPr="009B1222">
                    <w:rPr>
                      <w:b/>
                      <w:sz w:val="20"/>
                    </w:rPr>
                    <w:t>No change</w:t>
                  </w:r>
                </w:p>
              </w:tc>
            </w:tr>
            <w:tr w:rsidR="000774CB" w:rsidTr="000774CB">
              <w:tc>
                <w:tcPr>
                  <w:tcW w:w="8472" w:type="dxa"/>
                  <w:gridSpan w:val="3"/>
                  <w:tcBorders>
                    <w:top w:val="single" w:sz="4" w:space="0" w:color="auto"/>
                    <w:left w:val="nil"/>
                    <w:bottom w:val="nil"/>
                    <w:right w:val="nil"/>
                  </w:tcBorders>
                </w:tcPr>
                <w:p w:rsidR="000774CB" w:rsidRPr="00FB007F" w:rsidRDefault="00C457A7" w:rsidP="00FB007F">
                  <w:pPr>
                    <w:pStyle w:val="Box"/>
                    <w:spacing w:before="0"/>
                    <w:ind w:right="-119"/>
                    <w:jc w:val="left"/>
                    <w:rPr>
                      <w:i/>
                      <w:sz w:val="20"/>
                    </w:rPr>
                  </w:pPr>
                  <w:r w:rsidRPr="00FB007F">
                    <w:rPr>
                      <w:i/>
                      <w:sz w:val="20"/>
                    </w:rPr>
                    <w:t>(part)</w:t>
                  </w:r>
                  <w:r w:rsidRPr="00FB007F">
                    <w:rPr>
                      <w:sz w:val="20"/>
                    </w:rPr>
                    <w:t xml:space="preserve"> indicates partial allocation to corresponding </w:t>
                  </w:r>
                  <w:proofErr w:type="spellStart"/>
                  <w:r w:rsidRPr="00FB007F">
                    <w:rPr>
                      <w:sz w:val="20"/>
                    </w:rPr>
                    <w:t>ANZSIC06</w:t>
                  </w:r>
                  <w:proofErr w:type="spellEnd"/>
                  <w:r w:rsidRPr="00FB007F">
                    <w:rPr>
                      <w:sz w:val="20"/>
                    </w:rPr>
                    <w:t xml:space="preserve"> group</w:t>
                  </w:r>
                  <w:r>
                    <w:rPr>
                      <w:sz w:val="20"/>
                    </w:rPr>
                    <w:t>.</w:t>
                  </w:r>
                </w:p>
              </w:tc>
            </w:tr>
          </w:tbl>
          <w:p w:rsidR="00FB007F" w:rsidRDefault="00FB007F" w:rsidP="0098790B">
            <w:pPr>
              <w:pStyle w:val="Box"/>
            </w:pPr>
          </w:p>
        </w:tc>
      </w:tr>
      <w:tr w:rsidR="00FB007F" w:rsidTr="00C457A7">
        <w:trPr>
          <w:cantSplit/>
        </w:trPr>
        <w:tc>
          <w:tcPr>
            <w:tcW w:w="8771" w:type="dxa"/>
            <w:tcBorders>
              <w:top w:val="nil"/>
              <w:left w:val="single" w:sz="4" w:space="0" w:color="auto"/>
              <w:bottom w:val="nil"/>
              <w:right w:val="single" w:sz="4" w:space="0" w:color="auto"/>
            </w:tcBorders>
          </w:tcPr>
          <w:p w:rsidR="00FB007F" w:rsidRDefault="00FB007F">
            <w:pPr>
              <w:pStyle w:val="BoxSource"/>
            </w:pPr>
            <w:r>
              <w:rPr>
                <w:i/>
              </w:rPr>
              <w:t>Source</w:t>
            </w:r>
            <w:r w:rsidRPr="00167F06">
              <w:t xml:space="preserve">: </w:t>
            </w:r>
            <w:r>
              <w:t>ABS (</w:t>
            </w:r>
            <w:r>
              <w:rPr>
                <w:i/>
              </w:rPr>
              <w:t>Australian and New Zealand Standard Industrial Classification, 2006,</w:t>
            </w:r>
            <w:r>
              <w:t xml:space="preserve"> Cat. no. 1292.0).</w:t>
            </w:r>
          </w:p>
        </w:tc>
      </w:tr>
      <w:tr w:rsidR="00FB007F">
        <w:trPr>
          <w:cantSplit/>
        </w:trPr>
        <w:tc>
          <w:tcPr>
            <w:tcW w:w="8771" w:type="dxa"/>
            <w:tcBorders>
              <w:top w:val="nil"/>
              <w:left w:val="single" w:sz="6" w:space="0" w:color="auto"/>
              <w:bottom w:val="single" w:sz="6" w:space="0" w:color="auto"/>
              <w:right w:val="single" w:sz="6" w:space="0" w:color="auto"/>
            </w:tcBorders>
          </w:tcPr>
          <w:p w:rsidR="00FB007F" w:rsidRDefault="00FB007F">
            <w:pPr>
              <w:pStyle w:val="Box"/>
              <w:spacing w:before="0" w:line="120" w:lineRule="exact"/>
            </w:pPr>
          </w:p>
        </w:tc>
      </w:tr>
      <w:tr w:rsidR="00FB007F" w:rsidRPr="000863A5">
        <w:tc>
          <w:tcPr>
            <w:tcW w:w="8771" w:type="dxa"/>
            <w:tcBorders>
              <w:top w:val="nil"/>
              <w:left w:val="nil"/>
              <w:bottom w:val="nil"/>
              <w:right w:val="nil"/>
            </w:tcBorders>
          </w:tcPr>
          <w:p w:rsidR="00FB007F" w:rsidRPr="00626D32" w:rsidRDefault="00FB007F" w:rsidP="006B7575">
            <w:pPr>
              <w:pStyle w:val="BoxSpaceBelow"/>
            </w:pPr>
          </w:p>
        </w:tc>
      </w:tr>
    </w:tbl>
    <w:p w:rsidR="00CD092B" w:rsidRDefault="00CD092B" w:rsidP="009A72CC">
      <w:pPr>
        <w:pStyle w:val="Heading3"/>
      </w:pPr>
      <w:r>
        <w:lastRenderedPageBreak/>
        <w:t>Value added</w:t>
      </w:r>
    </w:p>
    <w:p w:rsidR="001A2720" w:rsidRDefault="001A2720" w:rsidP="001A2720">
      <w:pPr>
        <w:pStyle w:val="BodyText"/>
      </w:pPr>
      <w:r>
        <w:t xml:space="preserve">Real </w:t>
      </w:r>
      <w:r w:rsidR="00AC5094">
        <w:t>value added (</w:t>
      </w:r>
      <w:r>
        <w:t>VA</w:t>
      </w:r>
      <w:r w:rsidR="00AC5094">
        <w:t>)</w:t>
      </w:r>
      <w:r>
        <w:t xml:space="preserve"> for </w:t>
      </w:r>
      <w:proofErr w:type="spellStart"/>
      <w:r>
        <w:t>FBT</w:t>
      </w:r>
      <w:proofErr w:type="spellEnd"/>
      <w:r>
        <w:t xml:space="preserve"> in aggregate, the output volume measure used in the estimation of </w:t>
      </w:r>
      <w:proofErr w:type="spellStart"/>
      <w:r>
        <w:t>FBT</w:t>
      </w:r>
      <w:proofErr w:type="spellEnd"/>
      <w:r>
        <w:t xml:space="preserve"> </w:t>
      </w:r>
      <w:r w:rsidR="00392409">
        <w:t>multifactor productivity (</w:t>
      </w:r>
      <w:r>
        <w:t>MFP</w:t>
      </w:r>
      <w:r w:rsidR="00392409">
        <w:t>)</w:t>
      </w:r>
      <w:r>
        <w:t xml:space="preserve"> for this paper, is from the ABS </w:t>
      </w:r>
      <w:r w:rsidR="007C30D1">
        <w:t>National Accounts</w:t>
      </w:r>
      <w:r>
        <w:t xml:space="preserve"> (Cat.</w:t>
      </w:r>
      <w:r w:rsidR="00376ABB">
        <w:t> </w:t>
      </w:r>
      <w:r>
        <w:t xml:space="preserve">no. 5204.0). Data at a more disaggregated level </w:t>
      </w:r>
      <w:r w:rsidR="00217F0D">
        <w:t>are</w:t>
      </w:r>
      <w:r>
        <w:t xml:space="preserve"> not available from the </w:t>
      </w:r>
      <w:r w:rsidR="007C30D1">
        <w:t>National Accounts</w:t>
      </w:r>
      <w:r>
        <w:t xml:space="preserve">, so a more disaggregated examination of </w:t>
      </w:r>
      <w:proofErr w:type="spellStart"/>
      <w:r>
        <w:t>FBT</w:t>
      </w:r>
      <w:proofErr w:type="spellEnd"/>
      <w:r>
        <w:t xml:space="preserve"> </w:t>
      </w:r>
      <w:r w:rsidR="00AC5094">
        <w:t xml:space="preserve">required </w:t>
      </w:r>
      <w:r>
        <w:t xml:space="preserve">the use of data from </w:t>
      </w:r>
      <w:r w:rsidR="008B0872">
        <w:t xml:space="preserve">a </w:t>
      </w:r>
      <w:r>
        <w:t xml:space="preserve">different ABS </w:t>
      </w:r>
      <w:r w:rsidR="00AB19DE">
        <w:t>source</w:t>
      </w:r>
      <w:r>
        <w:t xml:space="preserve">, the </w:t>
      </w:r>
      <w:r w:rsidRPr="00FE147F">
        <w:rPr>
          <w:i/>
        </w:rPr>
        <w:t>Economic Activity Survey</w:t>
      </w:r>
      <w:r w:rsidR="008B0872">
        <w:rPr>
          <w:rStyle w:val="FootnoteReference"/>
        </w:rPr>
        <w:footnoteReference w:id="1"/>
      </w:r>
      <w:r>
        <w:t xml:space="preserve"> (</w:t>
      </w:r>
      <w:proofErr w:type="spellStart"/>
      <w:r>
        <w:t>EAS</w:t>
      </w:r>
      <w:proofErr w:type="spellEnd"/>
      <w:r>
        <w:t xml:space="preserve">). </w:t>
      </w:r>
    </w:p>
    <w:p w:rsidR="001A2720" w:rsidRDefault="001A2720" w:rsidP="001A2720">
      <w:pPr>
        <w:pStyle w:val="BodyText"/>
      </w:pPr>
      <w:r>
        <w:t xml:space="preserve">There are limitations on the comparability of real VA derived from </w:t>
      </w:r>
      <w:proofErr w:type="spellStart"/>
      <w:r>
        <w:t>EAS</w:t>
      </w:r>
      <w:proofErr w:type="spellEnd"/>
      <w:r>
        <w:t xml:space="preserve"> and that </w:t>
      </w:r>
      <w:r w:rsidR="00AB19DE">
        <w:t xml:space="preserve">published </w:t>
      </w:r>
      <w:r>
        <w:t xml:space="preserve">in the </w:t>
      </w:r>
      <w:r w:rsidR="007C30D1">
        <w:t>National Accounts</w:t>
      </w:r>
      <w:r>
        <w:t>.</w:t>
      </w:r>
    </w:p>
    <w:p w:rsidR="00AB19DE" w:rsidRDefault="001A2720" w:rsidP="001A2720">
      <w:pPr>
        <w:pStyle w:val="ListBullet"/>
      </w:pPr>
      <w:proofErr w:type="spellStart"/>
      <w:r>
        <w:t>EAS</w:t>
      </w:r>
      <w:proofErr w:type="spellEnd"/>
      <w:r>
        <w:t xml:space="preserve"> data </w:t>
      </w:r>
      <w:r w:rsidR="00113D65">
        <w:t xml:space="preserve">are </w:t>
      </w:r>
      <w:r>
        <w:t xml:space="preserve">subject to breaks in series, as a result of </w:t>
      </w:r>
      <w:proofErr w:type="spellStart"/>
      <w:r>
        <w:t>ANZSIC</w:t>
      </w:r>
      <w:proofErr w:type="spellEnd"/>
      <w:r>
        <w:t xml:space="preserve"> changes (as discussed above) and other changes in the </w:t>
      </w:r>
      <w:proofErr w:type="spellStart"/>
      <w:r>
        <w:t>EAS</w:t>
      </w:r>
      <w:proofErr w:type="spellEnd"/>
      <w:r>
        <w:t xml:space="preserve"> survey over time. </w:t>
      </w:r>
    </w:p>
    <w:p w:rsidR="00570655" w:rsidRDefault="00AB19DE" w:rsidP="001A2720">
      <w:pPr>
        <w:pStyle w:val="ListBullet"/>
      </w:pPr>
      <w:r>
        <w:t xml:space="preserve">Real VA estimates have been derived from </w:t>
      </w:r>
      <w:proofErr w:type="spellStart"/>
      <w:r>
        <w:t>EAS</w:t>
      </w:r>
      <w:proofErr w:type="spellEnd"/>
      <w:r>
        <w:t xml:space="preserve"> data by </w:t>
      </w:r>
      <w:r w:rsidR="00570655">
        <w:t xml:space="preserve">using a different process of deflation than that used in the </w:t>
      </w:r>
      <w:r w:rsidR="007C30D1">
        <w:t>National Accounts</w:t>
      </w:r>
      <w:r w:rsidR="00570655">
        <w:t xml:space="preserve">. </w:t>
      </w:r>
    </w:p>
    <w:p w:rsidR="00217F0D" w:rsidRDefault="00217F0D" w:rsidP="00217F0D">
      <w:pPr>
        <w:pStyle w:val="BodyText"/>
      </w:pPr>
      <w:r>
        <w:t xml:space="preserve">Figure </w:t>
      </w:r>
      <w:proofErr w:type="spellStart"/>
      <w:r w:rsidR="00B06C44">
        <w:t>G.1</w:t>
      </w:r>
      <w:proofErr w:type="spellEnd"/>
      <w:r>
        <w:t xml:space="preserve"> compares real VA for </w:t>
      </w:r>
      <w:proofErr w:type="spellStart"/>
      <w:r>
        <w:t>FBT</w:t>
      </w:r>
      <w:proofErr w:type="spellEnd"/>
      <w:r>
        <w:t xml:space="preserve"> in total from t</w:t>
      </w:r>
      <w:r w:rsidR="00873516">
        <w:t xml:space="preserve">he </w:t>
      </w:r>
      <w:r>
        <w:t xml:space="preserve">ABS </w:t>
      </w:r>
      <w:r w:rsidR="007C30D1">
        <w:t>National Accounts</w:t>
      </w:r>
      <w:r w:rsidR="00873516">
        <w:t xml:space="preserve"> </w:t>
      </w:r>
      <w:r>
        <w:t xml:space="preserve">with two real VA series </w:t>
      </w:r>
      <w:r w:rsidR="00873516">
        <w:t xml:space="preserve">derived </w:t>
      </w:r>
      <w:r>
        <w:t xml:space="preserve">from the </w:t>
      </w:r>
      <w:proofErr w:type="spellStart"/>
      <w:r w:rsidR="00873516">
        <w:t>EAS</w:t>
      </w:r>
      <w:proofErr w:type="spellEnd"/>
      <w:r w:rsidR="00873516">
        <w:t xml:space="preserve"> </w:t>
      </w:r>
      <w:r>
        <w:t xml:space="preserve">— one with breaks in series </w:t>
      </w:r>
      <w:r w:rsidR="00873516">
        <w:t xml:space="preserve">and an approximate series adjusted for breaks. </w:t>
      </w:r>
      <w:r w:rsidR="00B45F6C">
        <w:t xml:space="preserve">The adjusted </w:t>
      </w:r>
      <w:proofErr w:type="spellStart"/>
      <w:r w:rsidR="00B45F6C">
        <w:t>EAS</w:t>
      </w:r>
      <w:proofErr w:type="spellEnd"/>
      <w:r w:rsidR="00B45F6C">
        <w:t xml:space="preserve"> series is a </w:t>
      </w:r>
      <w:proofErr w:type="spellStart"/>
      <w:r w:rsidR="00B45F6C">
        <w:t>backcast</w:t>
      </w:r>
      <w:proofErr w:type="spellEnd"/>
      <w:r w:rsidR="00B45F6C">
        <w:t xml:space="preserve"> series based on information about </w:t>
      </w:r>
      <w:r w:rsidR="0098790B">
        <w:t xml:space="preserve">the </w:t>
      </w:r>
      <w:r w:rsidR="00B45F6C">
        <w:t xml:space="preserve">two breaks in series and is relatively crude. However, while the adjusted series does not exactly align with the </w:t>
      </w:r>
      <w:r w:rsidR="007C30D1">
        <w:t>National Accounts</w:t>
      </w:r>
      <w:r w:rsidR="00B45F6C">
        <w:t xml:space="preserve"> VA data, in both series growth in cyc</w:t>
      </w:r>
      <w:r w:rsidR="00343739">
        <w:t>le 4 was lower than in cycle 3.</w:t>
      </w:r>
      <w:r>
        <w:t xml:space="preserve"> </w:t>
      </w:r>
      <w:r w:rsidR="00F66CD1">
        <w:t xml:space="preserve">Figure </w:t>
      </w:r>
      <w:proofErr w:type="spellStart"/>
      <w:r w:rsidR="00B06C44">
        <w:t>G.2</w:t>
      </w:r>
      <w:proofErr w:type="spellEnd"/>
      <w:r w:rsidR="00F66CD1">
        <w:t xml:space="preserve"> shows the approximate adjusted series for Food manufacturing and for </w:t>
      </w:r>
      <w:r w:rsidR="000548FD">
        <w:t>Beverage and tobacco product (</w:t>
      </w:r>
      <w:r w:rsidR="00F66CD1">
        <w:t>BT</w:t>
      </w:r>
      <w:r w:rsidR="000548FD">
        <w:t>)</w:t>
      </w:r>
      <w:r w:rsidR="00F66CD1">
        <w:t xml:space="preserve"> manufacturing</w:t>
      </w:r>
      <w:r>
        <w:t xml:space="preserve"> that underlie the </w:t>
      </w:r>
      <w:proofErr w:type="spellStart"/>
      <w:r>
        <w:t>FBT</w:t>
      </w:r>
      <w:proofErr w:type="spellEnd"/>
      <w:r>
        <w:t xml:space="preserve"> aggregate. </w:t>
      </w:r>
    </w:p>
    <w:p w:rsidR="00217F0D" w:rsidRDefault="00217F0D" w:rsidP="00217F0D">
      <w:pPr>
        <w:pStyle w:val="BodyText"/>
      </w:pPr>
      <w:r>
        <w:t xml:space="preserve">Further details about the limitations on comparability related to breaks and deflation are provided below. </w:t>
      </w:r>
    </w:p>
    <w:p w:rsidR="00B45F6C" w:rsidRDefault="00B45F6C" w:rsidP="00B45F6C">
      <w:pPr>
        <w:pStyle w:val="FigureTitle"/>
      </w:pPr>
      <w:r>
        <w:rPr>
          <w:b w:val="0"/>
        </w:rPr>
        <w:lastRenderedPageBreak/>
        <w:t xml:space="preserve">Figure </w:t>
      </w:r>
      <w:bookmarkStart w:id="6" w:name="OLE_LINK5"/>
      <w:proofErr w:type="spellStart"/>
      <w:r w:rsidR="00B06C44">
        <w:rPr>
          <w:b w:val="0"/>
        </w:rPr>
        <w:t>G.</w:t>
      </w:r>
      <w:r w:rsidR="00FE417C">
        <w:rPr>
          <w:b w:val="0"/>
          <w:noProof/>
        </w:rPr>
        <w:t>1</w:t>
      </w:r>
      <w:bookmarkEnd w:id="6"/>
      <w:proofErr w:type="spellEnd"/>
      <w:r>
        <w:tab/>
        <w:t xml:space="preserve">Real VA </w:t>
      </w:r>
      <w:r w:rsidR="00F675F4">
        <w:t xml:space="preserve">of </w:t>
      </w:r>
      <w:proofErr w:type="spellStart"/>
      <w:r>
        <w:t>FBT</w:t>
      </w:r>
      <w:proofErr w:type="spellEnd"/>
      <w:r w:rsidRPr="00222D5E">
        <w:rPr>
          <w:rStyle w:val="NoteLabel"/>
          <w:b/>
        </w:rPr>
        <w:t>a</w:t>
      </w:r>
    </w:p>
    <w:p w:rsidR="00B45F6C" w:rsidRDefault="00B45F6C" w:rsidP="00B45F6C">
      <w:pPr>
        <w:pStyle w:val="Subtitle"/>
      </w:pPr>
      <w:r>
        <w:t>2009-10 $</w:t>
      </w:r>
      <w:proofErr w:type="spellStart"/>
      <w:r w:rsidR="00E31A62">
        <w:t>bn</w:t>
      </w:r>
      <w:proofErr w:type="spellEnd"/>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45F6C" w:rsidTr="002C43D1">
        <w:tc>
          <w:tcPr>
            <w:tcW w:w="8777" w:type="dxa"/>
          </w:tcPr>
          <w:p w:rsidR="00B45F6C" w:rsidRDefault="002B607E" w:rsidP="002C43D1">
            <w:pPr>
              <w:pStyle w:val="Figure"/>
              <w:spacing w:before="0" w:after="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is figure compares total FBT real value added from the ABS national accounts with two real VA series derived from the EAS — one with breaks in series and an approximate series adjusted for breaks. The figure shows that while the EAS adjusted series does not align exactly with the national accounts VA data, in both series VA growth in cycle 4 was lower than in cycle 3." style="width:424.45pt;height:198.4pt">
                  <v:imagedata r:id="rId9" o:title=""/>
                </v:shape>
              </w:pict>
            </w:r>
          </w:p>
        </w:tc>
      </w:tr>
    </w:tbl>
    <w:p w:rsidR="00B45F6C" w:rsidRDefault="00B45F6C" w:rsidP="00B45F6C">
      <w:pPr>
        <w:pStyle w:val="Note"/>
      </w:pPr>
      <w:r>
        <w:rPr>
          <w:rStyle w:val="NoteLabel"/>
        </w:rPr>
        <w:t>a</w:t>
      </w:r>
      <w:r>
        <w:t xml:space="preserve"> </w:t>
      </w:r>
      <w:r w:rsidR="003E3991">
        <w:t xml:space="preserve">National accounts value added is a chain volume measure. </w:t>
      </w:r>
      <w:r w:rsidR="00F82BDE">
        <w:t>EAS</w:t>
      </w:r>
      <w:r>
        <w:t xml:space="preserve"> data </w:t>
      </w:r>
      <w:r w:rsidR="003E3991">
        <w:t xml:space="preserve">are </w:t>
      </w:r>
      <w:r>
        <w:t>deflated by producer price index</w:t>
      </w:r>
      <w:r w:rsidR="00F82BDE">
        <w:t xml:space="preserve"> for output. To the extent that output and intermediate input prices have grown at different rates, the real VA series derived from EAS will differ from the </w:t>
      </w:r>
      <w:r w:rsidR="00AA2F67">
        <w:t xml:space="preserve">doubled deflated </w:t>
      </w:r>
      <w:r w:rsidR="00F82BDE">
        <w:t xml:space="preserve">National Accounts series. </w:t>
      </w:r>
      <w:r>
        <w:t xml:space="preserve">Deflators </w:t>
      </w:r>
      <w:r w:rsidR="00613E4C">
        <w:t>on an</w:t>
      </w:r>
      <w:r>
        <w:t xml:space="preserve"> ANZSIC06 </w:t>
      </w:r>
      <w:r w:rsidR="00613E4C">
        <w:t>basis are applied to ANZSIC93 and</w:t>
      </w:r>
      <w:r>
        <w:t xml:space="preserve"> ANZSIC</w:t>
      </w:r>
      <w:r w:rsidR="00613E4C">
        <w:t>06</w:t>
      </w:r>
      <w:r>
        <w:t xml:space="preserve"> data.</w:t>
      </w:r>
    </w:p>
    <w:p w:rsidR="00B45F6C" w:rsidRDefault="00B45F6C" w:rsidP="00B45F6C">
      <w:pPr>
        <w:pStyle w:val="Source"/>
      </w:pPr>
      <w:r>
        <w:rPr>
          <w:i/>
        </w:rPr>
        <w:t>Data source</w:t>
      </w:r>
      <w:r w:rsidR="00613E4C">
        <w:rPr>
          <w:i/>
        </w:rPr>
        <w:t>s</w:t>
      </w:r>
      <w:r w:rsidRPr="00167F06">
        <w:t xml:space="preserve">: </w:t>
      </w:r>
      <w:r>
        <w:t>ABS (</w:t>
      </w:r>
      <w:r w:rsidR="009041A8" w:rsidRPr="00E20591">
        <w:rPr>
          <w:i/>
        </w:rPr>
        <w:t>Australian System of National Accounts, 2010-11</w:t>
      </w:r>
      <w:r w:rsidR="009041A8" w:rsidRPr="00E20591">
        <w:t xml:space="preserve">, </w:t>
      </w:r>
      <w:r w:rsidR="009041A8">
        <w:t>Cat. no. 5204.0</w:t>
      </w:r>
      <w:r>
        <w:t xml:space="preserve">); </w:t>
      </w:r>
      <w:r w:rsidR="009041A8">
        <w:t>Authors’ estimates based on ABS (</w:t>
      </w:r>
      <w:r w:rsidR="009041A8">
        <w:rPr>
          <w:i/>
        </w:rPr>
        <w:t xml:space="preserve">Manufacturing Industry, Australia, </w:t>
      </w:r>
      <w:r w:rsidR="00613E4C" w:rsidRPr="00613E4C">
        <w:t>various issues,</w:t>
      </w:r>
      <w:r w:rsidR="00613E4C">
        <w:rPr>
          <w:i/>
        </w:rPr>
        <w:t xml:space="preserve"> </w:t>
      </w:r>
      <w:r w:rsidR="009041A8">
        <w:t>Cat. no. 8221.0</w:t>
      </w:r>
      <w:r w:rsidR="00822C72">
        <w:t>)</w:t>
      </w:r>
      <w:r w:rsidR="009041A8">
        <w:t xml:space="preserve">; </w:t>
      </w:r>
      <w:r w:rsidR="00B65876">
        <w:t>ABS (</w:t>
      </w:r>
      <w:r w:rsidR="00B65876" w:rsidRPr="00B65876">
        <w:rPr>
          <w:i/>
        </w:rPr>
        <w:t>Experimental Estimates for the Manufacturing Industry</w:t>
      </w:r>
      <w:r w:rsidR="00B65876" w:rsidRPr="00B65876">
        <w:t xml:space="preserve">, </w:t>
      </w:r>
      <w:r w:rsidR="00B65876">
        <w:t xml:space="preserve">various issues, </w:t>
      </w:r>
      <w:r w:rsidR="00B65876" w:rsidRPr="00B65876">
        <w:t>Cat. no. 8159.0</w:t>
      </w:r>
      <w:r w:rsidR="00B65876">
        <w:t xml:space="preserve">); </w:t>
      </w:r>
      <w:r w:rsidR="00822C72">
        <w:t>ABS (</w:t>
      </w:r>
      <w:r w:rsidR="009041A8">
        <w:rPr>
          <w:i/>
        </w:rPr>
        <w:t>Australian Industry</w:t>
      </w:r>
      <w:r w:rsidR="009041A8">
        <w:t xml:space="preserve">, </w:t>
      </w:r>
      <w:r w:rsidR="00613E4C" w:rsidRPr="00613E4C">
        <w:t>various issues,</w:t>
      </w:r>
      <w:r w:rsidR="00613E4C">
        <w:rPr>
          <w:i/>
        </w:rPr>
        <w:t xml:space="preserve"> </w:t>
      </w:r>
      <w:r w:rsidR="009041A8">
        <w:t>Cat. no. 8155.0</w:t>
      </w:r>
      <w:r w:rsidR="00822C72">
        <w:t>); and ABS (</w:t>
      </w:r>
      <w:r w:rsidR="009041A8">
        <w:rPr>
          <w:i/>
        </w:rPr>
        <w:t xml:space="preserve">Producer Price Indexes, </w:t>
      </w:r>
      <w:r w:rsidR="009041A8" w:rsidRPr="009041A8">
        <w:rPr>
          <w:i/>
        </w:rPr>
        <w:t xml:space="preserve">June </w:t>
      </w:r>
      <w:r w:rsidR="00530040" w:rsidRPr="009041A8">
        <w:rPr>
          <w:i/>
        </w:rPr>
        <w:t>201</w:t>
      </w:r>
      <w:r w:rsidR="00530040">
        <w:rPr>
          <w:i/>
        </w:rPr>
        <w:t>2</w:t>
      </w:r>
      <w:r w:rsidR="009041A8" w:rsidRPr="009041A8">
        <w:rPr>
          <w:i/>
        </w:rPr>
        <w:t>,</w:t>
      </w:r>
      <w:r w:rsidR="009041A8">
        <w:t xml:space="preserve"> Cat. no. 6427.0).</w:t>
      </w:r>
      <w:r>
        <w:t xml:space="preserve"> </w:t>
      </w:r>
    </w:p>
    <w:p w:rsidR="009D67C2" w:rsidRPr="00822C72" w:rsidRDefault="009D67C2" w:rsidP="00822C72">
      <w:pPr>
        <w:pStyle w:val="FigureTitle"/>
      </w:pPr>
      <w:r w:rsidRPr="00822C72">
        <w:rPr>
          <w:b w:val="0"/>
        </w:rPr>
        <w:t xml:space="preserve">Figure </w:t>
      </w:r>
      <w:bookmarkStart w:id="7" w:name="OLE_LINK9"/>
      <w:proofErr w:type="spellStart"/>
      <w:r w:rsidR="00B06C44">
        <w:rPr>
          <w:b w:val="0"/>
        </w:rPr>
        <w:t>G.</w:t>
      </w:r>
      <w:r w:rsidR="00FE417C">
        <w:rPr>
          <w:b w:val="0"/>
          <w:noProof/>
        </w:rPr>
        <w:t>2</w:t>
      </w:r>
      <w:bookmarkEnd w:id="7"/>
      <w:proofErr w:type="spellEnd"/>
      <w:r w:rsidRPr="00822C72">
        <w:tab/>
      </w:r>
      <w:r w:rsidR="00F675F4">
        <w:t>Adjusted real VA of</w:t>
      </w:r>
      <w:r w:rsidR="00386FC7" w:rsidRPr="00822C72">
        <w:t xml:space="preserve"> FBT</w:t>
      </w:r>
      <w:r w:rsidR="00F675F4">
        <w:t xml:space="preserve"> and its subdivi</w:t>
      </w:r>
      <w:r w:rsidR="00477C6C">
        <w:t>s</w:t>
      </w:r>
      <w:r w:rsidR="00F675F4">
        <w:t>ions</w:t>
      </w:r>
      <w:r w:rsidR="00F675F4" w:rsidRPr="00222D5E">
        <w:rPr>
          <w:rStyle w:val="NoteLabel"/>
          <w:b/>
        </w:rPr>
        <w:t>a</w:t>
      </w:r>
    </w:p>
    <w:p w:rsidR="009D67C2" w:rsidRDefault="00386FC7">
      <w:pPr>
        <w:pStyle w:val="Subtitle"/>
      </w:pPr>
      <w:r>
        <w:t>2009-10 $</w:t>
      </w:r>
      <w:r w:rsidR="00353C92">
        <w:t>bn</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D67C2">
        <w:tc>
          <w:tcPr>
            <w:tcW w:w="8777" w:type="dxa"/>
          </w:tcPr>
          <w:p w:rsidR="009D67C2" w:rsidRDefault="002B607E" w:rsidP="00353C92">
            <w:pPr>
              <w:pStyle w:val="Figure"/>
              <w:spacing w:before="0" w:after="0"/>
            </w:pPr>
            <w:r>
              <w:pict>
                <v:shape id="_x0000_i1026" type="#_x0000_t75" alt="This figure shows the approximate EAS adjusted real value added series for Food manufacturing and for BT manufacturing that underlie the FBT aggregate. It shows that BT had much stronger value added growth than Food in cycle 3 (6.2 per cent a year compared to 0.2 per cent a year growth respectively). In cycle 4 BT had much weaker value added growth than Food (-2.0 per cent a year compared to 1.9 per cent a year growth). " style="width:424.45pt;height:198.4pt">
                  <v:imagedata r:id="rId10" o:title=""/>
                </v:shape>
              </w:pict>
            </w:r>
          </w:p>
        </w:tc>
      </w:tr>
    </w:tbl>
    <w:p w:rsidR="00731880" w:rsidRPr="00822C72" w:rsidRDefault="009D67C2" w:rsidP="00822C72">
      <w:pPr>
        <w:pStyle w:val="Note"/>
      </w:pPr>
      <w:r w:rsidRPr="00822C72">
        <w:rPr>
          <w:rStyle w:val="NoteLabel"/>
        </w:rPr>
        <w:t>a</w:t>
      </w:r>
      <w:r w:rsidRPr="00822C72">
        <w:t xml:space="preserve"> </w:t>
      </w:r>
      <w:r w:rsidR="00317F5B" w:rsidRPr="00822C72">
        <w:t xml:space="preserve">EAS data deflated by producer price index for output. To the extent that output and intermediate input prices have grown at different rates, the real VA series derived from EAS will differ from the </w:t>
      </w:r>
      <w:r w:rsidR="00AA2F67">
        <w:t xml:space="preserve">doubled deflated </w:t>
      </w:r>
      <w:r w:rsidR="00317F5B" w:rsidRPr="00822C72">
        <w:t xml:space="preserve">National Accounts series. </w:t>
      </w:r>
      <w:r w:rsidR="00613E4C" w:rsidRPr="00822C72">
        <w:t>Deflators on an ANZSIC06 basis are applied to ANZSIC93 and ANZSIC06 data.</w:t>
      </w:r>
    </w:p>
    <w:p w:rsidR="009D67C2" w:rsidRPr="00822C72" w:rsidRDefault="009D67C2" w:rsidP="00822C72">
      <w:pPr>
        <w:pStyle w:val="Source"/>
      </w:pPr>
      <w:r w:rsidRPr="00822C72">
        <w:rPr>
          <w:i/>
        </w:rPr>
        <w:t>Data source</w:t>
      </w:r>
      <w:r w:rsidR="00613E4C" w:rsidRPr="00822C72">
        <w:rPr>
          <w:i/>
        </w:rPr>
        <w:t>s</w:t>
      </w:r>
      <w:r w:rsidRPr="00822C72">
        <w:t xml:space="preserve">: </w:t>
      </w:r>
      <w:r w:rsidR="000365DC">
        <w:t>Authors’ estimates based on ABS (</w:t>
      </w:r>
      <w:r w:rsidR="000365DC">
        <w:rPr>
          <w:i/>
        </w:rPr>
        <w:t xml:space="preserve">Manufacturing Industry, Australia, </w:t>
      </w:r>
      <w:r w:rsidR="000365DC" w:rsidRPr="00613E4C">
        <w:t>various issues,</w:t>
      </w:r>
      <w:r w:rsidR="000365DC">
        <w:rPr>
          <w:i/>
        </w:rPr>
        <w:t xml:space="preserve"> </w:t>
      </w:r>
      <w:r w:rsidR="000365DC">
        <w:t>Cat.</w:t>
      </w:r>
      <w:r w:rsidR="0011510B">
        <w:t> </w:t>
      </w:r>
      <w:r w:rsidR="000365DC">
        <w:t>no.</w:t>
      </w:r>
      <w:r w:rsidR="00423FBB">
        <w:t> </w:t>
      </w:r>
      <w:r w:rsidR="000365DC">
        <w:t xml:space="preserve">8221.0); </w:t>
      </w:r>
      <w:r w:rsidR="00AB00C5">
        <w:t>ABS (</w:t>
      </w:r>
      <w:r w:rsidR="00AB00C5" w:rsidRPr="00B65876">
        <w:rPr>
          <w:i/>
        </w:rPr>
        <w:t>Experimental Estimates for the Manufacturing Industry</w:t>
      </w:r>
      <w:r w:rsidR="00AB00C5" w:rsidRPr="00B65876">
        <w:t xml:space="preserve">, </w:t>
      </w:r>
      <w:r w:rsidR="00AB00C5">
        <w:t xml:space="preserve">various issues, </w:t>
      </w:r>
      <w:r w:rsidR="00AB00C5" w:rsidRPr="00B65876">
        <w:t>Cat.</w:t>
      </w:r>
      <w:r w:rsidR="0011510B">
        <w:t> </w:t>
      </w:r>
      <w:r w:rsidR="00AB00C5" w:rsidRPr="00B65876">
        <w:t>no.</w:t>
      </w:r>
      <w:r w:rsidR="0011510B">
        <w:t> </w:t>
      </w:r>
      <w:r w:rsidR="00AB00C5" w:rsidRPr="00B65876">
        <w:t>8159.0</w:t>
      </w:r>
      <w:r w:rsidR="00AB00C5">
        <w:t xml:space="preserve">); </w:t>
      </w:r>
      <w:r w:rsidR="000365DC">
        <w:t>ABS (</w:t>
      </w:r>
      <w:r w:rsidR="000365DC">
        <w:rPr>
          <w:i/>
        </w:rPr>
        <w:t>Australian Industry</w:t>
      </w:r>
      <w:r w:rsidR="000365DC">
        <w:t xml:space="preserve">, </w:t>
      </w:r>
      <w:r w:rsidR="000365DC" w:rsidRPr="00613E4C">
        <w:t>various issues,</w:t>
      </w:r>
      <w:r w:rsidR="000365DC">
        <w:rPr>
          <w:i/>
        </w:rPr>
        <w:t xml:space="preserve"> </w:t>
      </w:r>
      <w:r w:rsidR="000365DC">
        <w:t>Cat. no. 8155.0); and ABS (</w:t>
      </w:r>
      <w:r w:rsidR="000365DC">
        <w:rPr>
          <w:i/>
        </w:rPr>
        <w:t xml:space="preserve">Producer Price Indexes, </w:t>
      </w:r>
      <w:r w:rsidR="000365DC" w:rsidRPr="009041A8">
        <w:rPr>
          <w:i/>
        </w:rPr>
        <w:t xml:space="preserve">June </w:t>
      </w:r>
      <w:r w:rsidR="00530040" w:rsidRPr="009041A8">
        <w:rPr>
          <w:i/>
        </w:rPr>
        <w:t>201</w:t>
      </w:r>
      <w:r w:rsidR="00530040">
        <w:rPr>
          <w:i/>
        </w:rPr>
        <w:t>2</w:t>
      </w:r>
      <w:r w:rsidR="000365DC" w:rsidRPr="009041A8">
        <w:rPr>
          <w:i/>
        </w:rPr>
        <w:t>,</w:t>
      </w:r>
      <w:r w:rsidR="000365DC">
        <w:t xml:space="preserve"> Cat.</w:t>
      </w:r>
      <w:r w:rsidR="0011510B">
        <w:t> </w:t>
      </w:r>
      <w:r w:rsidR="000365DC">
        <w:t>no. 6427.0).</w:t>
      </w:r>
    </w:p>
    <w:p w:rsidR="00570655" w:rsidRDefault="00570655" w:rsidP="00570655">
      <w:pPr>
        <w:pStyle w:val="Heading4"/>
      </w:pPr>
      <w:r>
        <w:lastRenderedPageBreak/>
        <w:t>Break in series</w:t>
      </w:r>
    </w:p>
    <w:p w:rsidR="00570655" w:rsidRDefault="009A72CC" w:rsidP="009A72CC">
      <w:pPr>
        <w:pStyle w:val="BodyText"/>
      </w:pPr>
      <w:r>
        <w:t xml:space="preserve">The first two years of the EAS </w:t>
      </w:r>
      <w:r w:rsidR="000548FD">
        <w:t xml:space="preserve">data </w:t>
      </w:r>
      <w:r>
        <w:t xml:space="preserve">are understated </w:t>
      </w:r>
      <w:r w:rsidR="00DC0B24">
        <w:t xml:space="preserve">by around 1 per cent </w:t>
      </w:r>
      <w:r>
        <w:t>because of a change in survey methodology (</w:t>
      </w:r>
      <w:r w:rsidR="00DC0B24" w:rsidRPr="008A1FB1">
        <w:t>ABS 2001</w:t>
      </w:r>
      <w:r>
        <w:t>).</w:t>
      </w:r>
      <w:r w:rsidR="00DC0B24">
        <w:rPr>
          <w:rStyle w:val="FootnoteReference"/>
        </w:rPr>
        <w:footnoteReference w:id="2"/>
      </w:r>
      <w:r>
        <w:t xml:space="preserve"> The change to ANZSIC06 from 2006</w:t>
      </w:r>
      <w:r w:rsidR="0020296B">
        <w:noBreakHyphen/>
      </w:r>
      <w:r>
        <w:t xml:space="preserve">07 led to net additions to FBT so all prior years are understated </w:t>
      </w:r>
      <w:r w:rsidR="00B61888">
        <w:t xml:space="preserve">— </w:t>
      </w:r>
      <w:r w:rsidR="00AC5094">
        <w:t xml:space="preserve">VA in </w:t>
      </w:r>
      <w:r w:rsidR="00B61888">
        <w:t xml:space="preserve">FBT on an ANZSIC06 basis is </w:t>
      </w:r>
      <w:r w:rsidR="0020296B">
        <w:t>o</w:t>
      </w:r>
      <w:r w:rsidR="005B1850">
        <w:t xml:space="preserve">n average </w:t>
      </w:r>
      <w:r w:rsidR="00B61888">
        <w:t>2.4 per cent higher than on an ANZSIC93 basis for the years for which overlapping data are available.</w:t>
      </w:r>
      <w:r w:rsidR="00B61888">
        <w:rPr>
          <w:rStyle w:val="FootnoteReference"/>
        </w:rPr>
        <w:footnoteReference w:id="3"/>
      </w:r>
      <w:r w:rsidR="00B61888">
        <w:t xml:space="preserve"> </w:t>
      </w:r>
    </w:p>
    <w:p w:rsidR="00B01A89" w:rsidRDefault="00B01A89" w:rsidP="009A72CC">
      <w:pPr>
        <w:pStyle w:val="BodyText"/>
      </w:pPr>
      <w:r>
        <w:t xml:space="preserve">At a lower level of disaggregation (ANZSIC groups), there is no equivalent information about the effects of these breaks in series. Data </w:t>
      </w:r>
      <w:r w:rsidR="005E2245">
        <w:t xml:space="preserve">at the ANZSIC group level </w:t>
      </w:r>
      <w:r>
        <w:t xml:space="preserve">presented in chapter 5 will therefore be less comparable over time. </w:t>
      </w:r>
    </w:p>
    <w:p w:rsidR="00E718E4" w:rsidRDefault="00E718E4" w:rsidP="00E718E4">
      <w:pPr>
        <w:pStyle w:val="Heading4"/>
      </w:pPr>
      <w:r>
        <w:t>Deflators</w:t>
      </w:r>
    </w:p>
    <w:p w:rsidR="00080DFA" w:rsidRDefault="00417DAA" w:rsidP="00080DFA">
      <w:pPr>
        <w:pStyle w:val="BodyText"/>
      </w:pPr>
      <w:r>
        <w:t>Real VA estimates derived from the EAS are based on nominal VA deflated using the producer price index (PPI) for output</w:t>
      </w:r>
      <w:r w:rsidR="000548FD">
        <w:t>. A</w:t>
      </w:r>
      <w:r>
        <w:t xml:space="preserve"> process of double deflation </w:t>
      </w:r>
      <w:r w:rsidR="000548FD">
        <w:t xml:space="preserve">is </w:t>
      </w:r>
      <w:r w:rsidR="00080DFA">
        <w:t xml:space="preserve">used in the </w:t>
      </w:r>
      <w:r w:rsidR="007C30D1">
        <w:t>National Accounts</w:t>
      </w:r>
      <w:r w:rsidR="00080DFA">
        <w:t xml:space="preserve"> — that is</w:t>
      </w:r>
      <w:r w:rsidR="0020296B">
        <w:t>,</w:t>
      </w:r>
      <w:r w:rsidR="00080DFA">
        <w:t xml:space="preserve"> output and intermediates are deflated separately</w:t>
      </w:r>
      <w:r>
        <w:t>. S</w:t>
      </w:r>
      <w:r w:rsidR="00E718E4">
        <w:t xml:space="preserve">ufficient data </w:t>
      </w:r>
      <w:r w:rsidR="00113D65">
        <w:t>are</w:t>
      </w:r>
      <w:r>
        <w:t xml:space="preserve"> not available </w:t>
      </w:r>
      <w:r w:rsidR="00E718E4">
        <w:t xml:space="preserve">to derive real VA </w:t>
      </w:r>
      <w:r>
        <w:t xml:space="preserve">from EAS </w:t>
      </w:r>
      <w:r w:rsidR="00E718E4">
        <w:t xml:space="preserve">using double deflation. </w:t>
      </w:r>
    </w:p>
    <w:p w:rsidR="00080DFA" w:rsidRDefault="00E718E4" w:rsidP="00417DAA">
      <w:pPr>
        <w:pStyle w:val="BodyText"/>
      </w:pPr>
      <w:r>
        <w:t>To the extent th</w:t>
      </w:r>
      <w:r w:rsidR="0020296B">
        <w:t>at</w:t>
      </w:r>
      <w:r>
        <w:t xml:space="preserve"> output and intermediate input prices have grown at different rates, </w:t>
      </w:r>
      <w:r w:rsidR="00417DAA">
        <w:t>the</w:t>
      </w:r>
      <w:r>
        <w:t xml:space="preserve"> </w:t>
      </w:r>
      <w:r w:rsidR="00417DAA">
        <w:t xml:space="preserve">real </w:t>
      </w:r>
      <w:r>
        <w:t xml:space="preserve">VA series </w:t>
      </w:r>
      <w:r w:rsidR="00417DAA">
        <w:t xml:space="preserve">derived from EAS </w:t>
      </w:r>
      <w:r>
        <w:t xml:space="preserve">will </w:t>
      </w:r>
      <w:r w:rsidR="004E59CD">
        <w:t>differ from a series that has been double deflated</w:t>
      </w:r>
      <w:r>
        <w:t xml:space="preserve">. </w:t>
      </w:r>
      <w:r w:rsidR="00080DFA">
        <w:t xml:space="preserve">The derived real VA series for Food and BT </w:t>
      </w:r>
      <w:r w:rsidR="004E59CD">
        <w:t xml:space="preserve">are therefore only broadly comparable with the real VA series for FBT from the </w:t>
      </w:r>
      <w:r w:rsidR="007C30D1">
        <w:t>National Accounts</w:t>
      </w:r>
      <w:r w:rsidR="004E59CD">
        <w:t>.</w:t>
      </w:r>
    </w:p>
    <w:p w:rsidR="009A72CC" w:rsidRDefault="00E37CE0" w:rsidP="009A72CC">
      <w:pPr>
        <w:pStyle w:val="BodyText"/>
      </w:pPr>
      <w:r>
        <w:t>For Food, t</w:t>
      </w:r>
      <w:r w:rsidR="00E718E4">
        <w:t xml:space="preserve">hese two price series have tracked </w:t>
      </w:r>
      <w:r w:rsidR="00B8120F">
        <w:t>closely</w:t>
      </w:r>
      <w:r w:rsidR="00E718E4">
        <w:t xml:space="preserve"> </w:t>
      </w:r>
      <w:r>
        <w:t xml:space="preserve">over the period examined </w:t>
      </w:r>
      <w:r w:rsidR="00080DFA">
        <w:t xml:space="preserve">(figure </w:t>
      </w:r>
      <w:proofErr w:type="spellStart"/>
      <w:r w:rsidR="00B06C44">
        <w:t>G.3</w:t>
      </w:r>
      <w:proofErr w:type="spellEnd"/>
      <w:r w:rsidR="00080DFA">
        <w:t>).</w:t>
      </w:r>
      <w:r w:rsidR="00080DFA">
        <w:rPr>
          <w:rStyle w:val="FootnoteReference"/>
        </w:rPr>
        <w:footnoteReference w:id="4"/>
      </w:r>
      <w:r w:rsidR="00080DFA">
        <w:t xml:space="preserve"> </w:t>
      </w:r>
      <w:r w:rsidR="00E718E4">
        <w:t>However</w:t>
      </w:r>
      <w:r w:rsidR="00080DFA">
        <w:t>,</w:t>
      </w:r>
      <w:r w:rsidR="00E718E4">
        <w:t xml:space="preserve"> for B</w:t>
      </w:r>
      <w:r w:rsidR="00417DAA">
        <w:t>T there is a larger difference</w:t>
      </w:r>
      <w:r w:rsidR="009A72CC">
        <w:t>. If output prices are growing faster than input prices</w:t>
      </w:r>
      <w:r w:rsidR="00080DFA">
        <w:t xml:space="preserve"> (as is the case for BT over cycle 4),</w:t>
      </w:r>
      <w:r w:rsidR="009A72CC">
        <w:t xml:space="preserve"> then the use of an output deflator on VA will </w:t>
      </w:r>
      <w:r w:rsidR="00B8120F">
        <w:t>lead to a higher rate of real VA growth than a double deflated series</w:t>
      </w:r>
      <w:r w:rsidR="009A72CC">
        <w:t xml:space="preserve">. </w:t>
      </w:r>
    </w:p>
    <w:p w:rsidR="009A72CC" w:rsidRDefault="00BD56B2" w:rsidP="009A72CC">
      <w:pPr>
        <w:pStyle w:val="FigureTitle"/>
      </w:pPr>
      <w:r>
        <w:rPr>
          <w:b w:val="0"/>
        </w:rPr>
        <w:lastRenderedPageBreak/>
        <w:t xml:space="preserve">Figure </w:t>
      </w:r>
      <w:bookmarkStart w:id="8" w:name="OLE_LINK7"/>
      <w:proofErr w:type="spellStart"/>
      <w:r w:rsidR="00B06C44">
        <w:rPr>
          <w:b w:val="0"/>
        </w:rPr>
        <w:t>G.</w:t>
      </w:r>
      <w:r w:rsidR="00FE417C">
        <w:rPr>
          <w:b w:val="0"/>
          <w:noProof/>
        </w:rPr>
        <w:t>3</w:t>
      </w:r>
      <w:bookmarkEnd w:id="8"/>
      <w:proofErr w:type="spellEnd"/>
      <w:r>
        <w:tab/>
      </w:r>
      <w:r w:rsidR="009A72CC">
        <w:t>P</w:t>
      </w:r>
      <w:r>
        <w:t xml:space="preserve">roducer </w:t>
      </w:r>
      <w:r w:rsidR="00F675F4">
        <w:t>price indexes by FBT subdivision</w:t>
      </w:r>
      <w:r w:rsidR="009A72CC" w:rsidRPr="00222D5E">
        <w:rPr>
          <w:rStyle w:val="NoteLabel"/>
          <w:b/>
        </w:rPr>
        <w:t>a</w:t>
      </w:r>
    </w:p>
    <w:p w:rsidR="009A72CC" w:rsidRDefault="00F127C3" w:rsidP="009A72CC">
      <w:pPr>
        <w:pStyle w:val="Subtitle"/>
      </w:pPr>
      <w:r>
        <w:t>Index 2009-10 = 100</w:t>
      </w:r>
    </w:p>
    <w:tbl>
      <w:tblPr>
        <w:tblW w:w="8777" w:type="dxa"/>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9A72CC" w:rsidTr="00E55A70">
        <w:tc>
          <w:tcPr>
            <w:tcW w:w="4388" w:type="dxa"/>
          </w:tcPr>
          <w:p w:rsidR="009A72CC" w:rsidRDefault="002B607E" w:rsidP="00544695">
            <w:pPr>
              <w:pStyle w:val="Figure"/>
              <w:spacing w:before="0" w:after="0"/>
            </w:pPr>
            <w:r>
              <w:rPr>
                <w:noProof/>
              </w:rPr>
              <w:pict>
                <v:shape id="_x0000_i1027" type="#_x0000_t75" alt="This figure comprises of two charts. The first chart shows the price series for output and materials for food track relatively closely between 2001-02 to 2010-11. The second chart shows that there is a larger difference between these prices for BT, with output prices growing faster than input prices over this period." style="width:205.95pt;height:198.4pt">
                  <v:imagedata r:id="rId11" o:title=""/>
                </v:shape>
              </w:pict>
            </w:r>
          </w:p>
        </w:tc>
        <w:tc>
          <w:tcPr>
            <w:tcW w:w="4389" w:type="dxa"/>
          </w:tcPr>
          <w:p w:rsidR="009A72CC" w:rsidRDefault="002B607E" w:rsidP="00544695">
            <w:pPr>
              <w:pStyle w:val="Figure"/>
              <w:spacing w:before="0" w:after="0"/>
            </w:pPr>
            <w:r>
              <w:pict>
                <v:shape id="_x0000_i1028" type="#_x0000_t75" alt="This figure comprises of two charts. The first chart shows the price series for output and materials for food track relatively closely between 2001-02 to 2010-11. The second chart shows that there is a larger difference between these prices for BT, with output prices growing faster than input prices over this period." style="width:205.95pt;height:198.4pt">
                  <v:imagedata r:id="rId12" o:title=""/>
                </v:shape>
              </w:pict>
            </w:r>
          </w:p>
        </w:tc>
      </w:tr>
    </w:tbl>
    <w:p w:rsidR="009A72CC" w:rsidRDefault="009A72CC" w:rsidP="009A72CC">
      <w:pPr>
        <w:pStyle w:val="Note"/>
      </w:pPr>
      <w:r>
        <w:rPr>
          <w:rStyle w:val="NoteLabel"/>
        </w:rPr>
        <w:t>a</w:t>
      </w:r>
      <w:r>
        <w:t xml:space="preserve"> Deflators are </w:t>
      </w:r>
      <w:r w:rsidR="00BD56B2">
        <w:t>for</w:t>
      </w:r>
      <w:r>
        <w:t xml:space="preserve"> ANZSIC06 so will not match the ANZSIC93 data</w:t>
      </w:r>
      <w:r w:rsidR="00BD56B2">
        <w:t>.</w:t>
      </w:r>
    </w:p>
    <w:p w:rsidR="009A72CC" w:rsidRDefault="009A72CC" w:rsidP="009A72CC">
      <w:pPr>
        <w:pStyle w:val="Source"/>
      </w:pPr>
      <w:r>
        <w:rPr>
          <w:i/>
        </w:rPr>
        <w:t>Data source</w:t>
      </w:r>
      <w:r w:rsidRPr="00167F06">
        <w:t xml:space="preserve">: </w:t>
      </w:r>
      <w:r>
        <w:t>ABS (</w:t>
      </w:r>
      <w:r w:rsidR="009041A8">
        <w:rPr>
          <w:i/>
        </w:rPr>
        <w:t xml:space="preserve">Producer Price Indexes, </w:t>
      </w:r>
      <w:r w:rsidR="009041A8" w:rsidRPr="009041A8">
        <w:rPr>
          <w:i/>
        </w:rPr>
        <w:t xml:space="preserve">June </w:t>
      </w:r>
      <w:r w:rsidR="00530040" w:rsidRPr="009041A8">
        <w:rPr>
          <w:i/>
        </w:rPr>
        <w:t>201</w:t>
      </w:r>
      <w:r w:rsidR="00530040">
        <w:rPr>
          <w:i/>
        </w:rPr>
        <w:t>2</w:t>
      </w:r>
      <w:r w:rsidR="009041A8" w:rsidRPr="009041A8">
        <w:rPr>
          <w:i/>
        </w:rPr>
        <w:t>,</w:t>
      </w:r>
      <w:r w:rsidR="009041A8">
        <w:t xml:space="preserve"> </w:t>
      </w:r>
      <w:r>
        <w:t>Cat. no. 6427</w:t>
      </w:r>
      <w:r w:rsidR="009041A8">
        <w:t>.0</w:t>
      </w:r>
      <w:r>
        <w:t>).</w:t>
      </w:r>
    </w:p>
    <w:p w:rsidR="00AA5AAC" w:rsidRDefault="00AA5AAC" w:rsidP="00AA5AAC">
      <w:pPr>
        <w:pStyle w:val="BodyText"/>
      </w:pPr>
      <w:r>
        <w:t xml:space="preserve">At the ANZSIC group level there are no intermediate input </w:t>
      </w:r>
      <w:r w:rsidR="0020296B">
        <w:t xml:space="preserve">prices </w:t>
      </w:r>
      <w:r>
        <w:t>available so a similar comparison cannot be made. For this reason (and because of the change in ANZSIC) only limited use is made in chapter 5 of derived real VA by ANZSIC group</w:t>
      </w:r>
      <w:r w:rsidR="000548FD">
        <w:t>. L</w:t>
      </w:r>
      <w:r w:rsidR="006D3044">
        <w:t xml:space="preserve">imitations on the comparability of these estimates with those at a more aggregated level </w:t>
      </w:r>
      <w:r>
        <w:t xml:space="preserve">should be </w:t>
      </w:r>
      <w:r w:rsidR="00F17F04">
        <w:t>noted</w:t>
      </w:r>
      <w:r>
        <w:t>.</w:t>
      </w:r>
    </w:p>
    <w:p w:rsidR="00CD092B" w:rsidRPr="0099102A" w:rsidRDefault="00CD092B" w:rsidP="00CD092B">
      <w:pPr>
        <w:pStyle w:val="Heading3"/>
      </w:pPr>
      <w:r w:rsidRPr="0099102A">
        <w:t>Labour</w:t>
      </w:r>
    </w:p>
    <w:p w:rsidR="005E2245" w:rsidRPr="001F75AF" w:rsidRDefault="00E804D9" w:rsidP="005E2245">
      <w:pPr>
        <w:pStyle w:val="BodyText"/>
      </w:pPr>
      <w:r>
        <w:t>T</w:t>
      </w:r>
      <w:r w:rsidR="005E2245" w:rsidRPr="005E2245">
        <w:t xml:space="preserve">he labour input measure used by the ABS in its </w:t>
      </w:r>
      <w:r w:rsidR="005E2245">
        <w:t xml:space="preserve">MFP estimates </w:t>
      </w:r>
      <w:r w:rsidR="00497BCE">
        <w:t xml:space="preserve">for Manufacturing in </w:t>
      </w:r>
      <w:r w:rsidR="00497BCE" w:rsidRPr="005E2245">
        <w:t>aggregate</w:t>
      </w:r>
      <w:r w:rsidR="00497BCE">
        <w:t xml:space="preserve"> </w:t>
      </w:r>
      <w:r w:rsidR="005E2245">
        <w:t>is an index of annual hours worked</w:t>
      </w:r>
      <w:r w:rsidR="004F7F67">
        <w:t xml:space="preserve">. This index is </w:t>
      </w:r>
      <w:r w:rsidR="005E2245">
        <w:t xml:space="preserve">based on data </w:t>
      </w:r>
      <w:r w:rsidR="005E2245" w:rsidRPr="005E2245">
        <w:t xml:space="preserve">from the ABS </w:t>
      </w:r>
      <w:r w:rsidR="005E2245" w:rsidRPr="005E2245">
        <w:rPr>
          <w:i/>
        </w:rPr>
        <w:t xml:space="preserve">Labour Force Survey </w:t>
      </w:r>
      <w:r w:rsidR="005E2245" w:rsidRPr="000D2934">
        <w:t>(LFS)</w:t>
      </w:r>
      <w:r w:rsidR="004F7F67">
        <w:t xml:space="preserve"> but </w:t>
      </w:r>
      <w:r w:rsidR="00D45F0E">
        <w:t xml:space="preserve">adjustments have been made by the ABS including for </w:t>
      </w:r>
      <w:r w:rsidR="004F7F67">
        <w:t>changes in survey methodology</w:t>
      </w:r>
      <w:r>
        <w:t xml:space="preserve"> (appendix A)</w:t>
      </w:r>
      <w:r w:rsidR="005E2245" w:rsidRPr="0020296B">
        <w:t>.</w:t>
      </w:r>
      <w:r w:rsidR="005E2245" w:rsidRPr="005E2245">
        <w:t xml:space="preserve"> Hours worked indexes for each of the</w:t>
      </w:r>
      <w:r w:rsidR="005E2245">
        <w:t xml:space="preserve"> eight subsectors were derived from </w:t>
      </w:r>
      <w:r w:rsidR="005A6AE9">
        <w:t xml:space="preserve">the hours worked series for </w:t>
      </w:r>
      <w:r w:rsidR="00497BCE">
        <w:t>M</w:t>
      </w:r>
      <w:r w:rsidR="005E2245">
        <w:t xml:space="preserve">anufacturing, using information (from the same survey) about the distribution of hours worked across </w:t>
      </w:r>
      <w:r w:rsidR="00497BCE">
        <w:t>M</w:t>
      </w:r>
      <w:r w:rsidR="005E2245">
        <w:t>anufacturing subsectors.</w:t>
      </w:r>
    </w:p>
    <w:p w:rsidR="008E4D66" w:rsidRPr="005E2245" w:rsidRDefault="00E9696D" w:rsidP="00086B4D">
      <w:pPr>
        <w:pStyle w:val="BodyText"/>
      </w:pPr>
      <w:r w:rsidRPr="005E2245">
        <w:t xml:space="preserve">There are two issues related to the use of the ABS </w:t>
      </w:r>
      <w:r w:rsidR="00E636D1" w:rsidRPr="00E636D1">
        <w:t>LFS</w:t>
      </w:r>
      <w:r w:rsidRPr="00E636D1">
        <w:t xml:space="preserve"> </w:t>
      </w:r>
      <w:r w:rsidRPr="005E2245">
        <w:t xml:space="preserve">data for </w:t>
      </w:r>
      <w:r w:rsidR="005E2245" w:rsidRPr="005E2245">
        <w:t xml:space="preserve">FBT </w:t>
      </w:r>
      <w:r w:rsidRPr="005E2245">
        <w:t xml:space="preserve">that are worth examining, given the large turnaround in hours worked trend: </w:t>
      </w:r>
    </w:p>
    <w:p w:rsidR="005E2245" w:rsidRPr="005E2245" w:rsidRDefault="00E9696D" w:rsidP="008E4D66">
      <w:pPr>
        <w:pStyle w:val="ListBullet"/>
      </w:pPr>
      <w:r w:rsidRPr="005E2245">
        <w:t>the possible impact of ANZSIC clas</w:t>
      </w:r>
      <w:r w:rsidR="005E2245" w:rsidRPr="005E2245">
        <w:t xml:space="preserve">sification change on the </w:t>
      </w:r>
      <w:r w:rsidR="00E636D1">
        <w:t xml:space="preserve">LFS </w:t>
      </w:r>
      <w:r w:rsidR="005E2245" w:rsidRPr="005E2245">
        <w:t>series</w:t>
      </w:r>
      <w:r w:rsidRPr="005E2245">
        <w:t xml:space="preserve"> </w:t>
      </w:r>
    </w:p>
    <w:p w:rsidR="00E9696D" w:rsidRPr="005E2245" w:rsidRDefault="005E2245" w:rsidP="008E4D66">
      <w:pPr>
        <w:pStyle w:val="ListBullet"/>
      </w:pPr>
      <w:r w:rsidRPr="005E2245">
        <w:t xml:space="preserve">how the LFS </w:t>
      </w:r>
      <w:r w:rsidR="00E9696D" w:rsidRPr="005E2245">
        <w:t>data com</w:t>
      </w:r>
      <w:r w:rsidR="008E4D66" w:rsidRPr="005E2245">
        <w:t>pare with an alternative source</w:t>
      </w:r>
      <w:r w:rsidRPr="005E2245">
        <w:t>,</w:t>
      </w:r>
      <w:r w:rsidR="00E9696D" w:rsidRPr="005E2245">
        <w:t xml:space="preserve"> the ABS </w:t>
      </w:r>
      <w:r w:rsidR="0020296B">
        <w:t>EAS</w:t>
      </w:r>
      <w:r w:rsidR="00E9696D" w:rsidRPr="005E2245">
        <w:t xml:space="preserve">. </w:t>
      </w:r>
    </w:p>
    <w:p w:rsidR="00E9696D" w:rsidRPr="00E636D1" w:rsidRDefault="00E9696D" w:rsidP="005E2245">
      <w:pPr>
        <w:pStyle w:val="Heading4"/>
      </w:pPr>
      <w:r w:rsidRPr="00E636D1">
        <w:lastRenderedPageBreak/>
        <w:t xml:space="preserve">Impact of ANZSIC classification change on LFS data </w:t>
      </w:r>
    </w:p>
    <w:p w:rsidR="00E9696D" w:rsidRPr="00E636D1" w:rsidRDefault="00E636D1" w:rsidP="00086B4D">
      <w:pPr>
        <w:pStyle w:val="BodyText"/>
      </w:pPr>
      <w:r w:rsidRPr="00E636D1">
        <w:t xml:space="preserve">ABS LFS </w:t>
      </w:r>
      <w:r w:rsidR="00E9696D" w:rsidRPr="00E636D1">
        <w:t xml:space="preserve">data </w:t>
      </w:r>
      <w:r>
        <w:t>are</w:t>
      </w:r>
      <w:r w:rsidR="00E9696D" w:rsidRPr="00E636D1">
        <w:t xml:space="preserve"> available as an ANZSIC06 time series, with data prior to </w:t>
      </w:r>
      <w:r w:rsidR="000544C8">
        <w:t xml:space="preserve">August </w:t>
      </w:r>
      <w:r w:rsidR="00E9696D" w:rsidRPr="00E636D1">
        <w:t xml:space="preserve">2006 </w:t>
      </w:r>
      <w:r w:rsidR="00847D84" w:rsidRPr="00E636D1">
        <w:t xml:space="preserve">converted </w:t>
      </w:r>
      <w:r w:rsidR="00D3656F" w:rsidRPr="00E636D1">
        <w:t xml:space="preserve">(or backcast) </w:t>
      </w:r>
      <w:r w:rsidRPr="00E636D1">
        <w:t xml:space="preserve">by the ABS </w:t>
      </w:r>
      <w:r w:rsidR="00847D84" w:rsidRPr="00E636D1">
        <w:t>from e</w:t>
      </w:r>
      <w:r w:rsidR="00E9696D" w:rsidRPr="00E636D1">
        <w:t xml:space="preserve">arlier industry classifications. </w:t>
      </w:r>
      <w:r w:rsidR="000544C8">
        <w:t>T</w:t>
      </w:r>
      <w:r w:rsidR="00E9696D" w:rsidRPr="00E636D1">
        <w:t xml:space="preserve">he </w:t>
      </w:r>
      <w:r w:rsidRPr="00E636D1">
        <w:t>LFS</w:t>
      </w:r>
      <w:r w:rsidR="00E9696D" w:rsidRPr="00E636D1">
        <w:t xml:space="preserve"> data was dual coded in ANZSIC93 and ANZSIC06 </w:t>
      </w:r>
      <w:r w:rsidR="000544C8" w:rsidRPr="00E636D1">
        <w:t xml:space="preserve">from August 2006 </w:t>
      </w:r>
      <w:r w:rsidR="00E9696D" w:rsidRPr="00E636D1">
        <w:t>until November 2008 (</w:t>
      </w:r>
      <w:r w:rsidR="00E9696D" w:rsidRPr="008A1FB1">
        <w:t>ABS 2008</w:t>
      </w:r>
      <w:r w:rsidR="006755DA">
        <w:t>d</w:t>
      </w:r>
      <w:r w:rsidR="00E9696D" w:rsidRPr="00E636D1">
        <w:t>, p. 5). This dual coded data</w:t>
      </w:r>
      <w:r w:rsidR="005A6AE9">
        <w:t>, supplemented by 2006 ABS Census data,</w:t>
      </w:r>
      <w:r w:rsidR="00E9696D" w:rsidRPr="00E636D1">
        <w:t xml:space="preserve"> was used to calculate the percentages to split the </w:t>
      </w:r>
      <w:r w:rsidR="00D3656F" w:rsidRPr="00E636D1">
        <w:t xml:space="preserve">earlier ANZSIC data. </w:t>
      </w:r>
      <w:r w:rsidR="005A6AE9" w:rsidRPr="00E636D1">
        <w:t>Th</w:t>
      </w:r>
      <w:r w:rsidR="005A6AE9">
        <w:t>e</w:t>
      </w:r>
      <w:r w:rsidR="005A6AE9" w:rsidRPr="00E636D1">
        <w:t xml:space="preserve"> </w:t>
      </w:r>
      <w:r w:rsidR="00E9696D" w:rsidRPr="00E636D1">
        <w:t xml:space="preserve">dual coding and backcasting was done at the ANZSIC group level. </w:t>
      </w:r>
    </w:p>
    <w:p w:rsidR="00C1098D" w:rsidRDefault="00E9696D" w:rsidP="00086B4D">
      <w:pPr>
        <w:pStyle w:val="BodyText"/>
      </w:pPr>
      <w:r w:rsidRPr="00C97690">
        <w:t xml:space="preserve">The implication of this backcasting process is that there may be some imprecision in the ANZSIC06 series </w:t>
      </w:r>
      <w:r w:rsidR="00C97690" w:rsidRPr="00C97690">
        <w:t>prior to 2006</w:t>
      </w:r>
      <w:r w:rsidR="0020296B">
        <w:t>,</w:t>
      </w:r>
      <w:r w:rsidRPr="00C97690">
        <w:t xml:space="preserve"> particular</w:t>
      </w:r>
      <w:r w:rsidR="00CB75D2">
        <w:t>l</w:t>
      </w:r>
      <w:r w:rsidR="0020296B">
        <w:t>y where</w:t>
      </w:r>
      <w:r w:rsidRPr="00C97690">
        <w:t xml:space="preserve"> ANZSIC06 </w:t>
      </w:r>
      <w:r w:rsidR="00C97690" w:rsidRPr="00C97690">
        <w:t>classes within a group</w:t>
      </w:r>
      <w:r w:rsidRPr="00C97690">
        <w:t xml:space="preserve"> had different growth rates over time. For example, </w:t>
      </w:r>
      <w:r w:rsidR="00541F6E">
        <w:t>take the case of</w:t>
      </w:r>
      <w:r w:rsidRPr="00C97690">
        <w:t xml:space="preserve"> </w:t>
      </w:r>
      <w:r w:rsidR="00541F6E">
        <w:t xml:space="preserve">activities moved into </w:t>
      </w:r>
      <w:r w:rsidRPr="00C97690">
        <w:t>a</w:t>
      </w:r>
      <w:r w:rsidR="00C97690">
        <w:t xml:space="preserve"> </w:t>
      </w:r>
      <w:r w:rsidRPr="00C97690">
        <w:t>n</w:t>
      </w:r>
      <w:r w:rsidR="00C97690">
        <w:t>ew</w:t>
      </w:r>
      <w:r w:rsidRPr="00C97690">
        <w:t xml:space="preserve"> ANZSIC</w:t>
      </w:r>
      <w:r w:rsidR="00C97690">
        <w:t>06</w:t>
      </w:r>
      <w:r w:rsidRPr="00C97690">
        <w:t xml:space="preserve"> </w:t>
      </w:r>
      <w:r w:rsidR="00C97690" w:rsidRPr="00C97690">
        <w:t>class</w:t>
      </w:r>
      <w:r w:rsidR="00C97690">
        <w:t xml:space="preserve">, </w:t>
      </w:r>
      <w:r w:rsidR="00CB75D2">
        <w:t>that is,</w:t>
      </w:r>
      <w:r w:rsidR="00C97690">
        <w:t xml:space="preserve"> </w:t>
      </w:r>
      <w:r w:rsidR="003163EF">
        <w:t xml:space="preserve">one </w:t>
      </w:r>
      <w:r w:rsidR="00C97690">
        <w:t>split from other activities in an ANZSIC93 class</w:t>
      </w:r>
      <w:r w:rsidR="00541F6E">
        <w:t xml:space="preserve">. If the activities moved into this new class had grown </w:t>
      </w:r>
      <w:r w:rsidR="00C97690">
        <w:t xml:space="preserve">more rapidly than the other activities </w:t>
      </w:r>
      <w:r w:rsidR="00541F6E">
        <w:t>in the ANZSIC93 class</w:t>
      </w:r>
      <w:r w:rsidR="00C1098D">
        <w:t xml:space="preserve">, </w:t>
      </w:r>
      <w:r w:rsidR="00C97690">
        <w:t xml:space="preserve">then backcasting </w:t>
      </w:r>
      <w:r w:rsidR="00541F6E">
        <w:t>the new class</w:t>
      </w:r>
      <w:r w:rsidR="00C97690">
        <w:t xml:space="preserve"> on the basis of the percentage shares </w:t>
      </w:r>
      <w:r w:rsidR="00C1098D">
        <w:t xml:space="preserve">from the dual coded data </w:t>
      </w:r>
      <w:r w:rsidR="00C97690">
        <w:t xml:space="preserve">may lead to </w:t>
      </w:r>
      <w:r w:rsidR="00C1098D">
        <w:t>it being overestimated</w:t>
      </w:r>
      <w:r w:rsidR="00C97690">
        <w:t xml:space="preserve"> in earlier years. </w:t>
      </w:r>
    </w:p>
    <w:p w:rsidR="006C501D" w:rsidRDefault="00C1098D" w:rsidP="006C501D">
      <w:pPr>
        <w:pStyle w:val="BodyText"/>
      </w:pPr>
      <w:r>
        <w:t xml:space="preserve">The new ANZSIC06 Bakery product manufacturing (non-factory) class, which was previously part of the ANZSIC93 Bread and cake retailing class, may be affected by the need to make such assumptions based on dual coded data. But no information is available to assess whether Bakery product manufacturing (non-factory) was growing faster than the other activities within Bread and cake retailing. </w:t>
      </w:r>
      <w:r w:rsidR="00FB53C6">
        <w:t>The implications for hours worked estimates for Bakery are discussed further in section </w:t>
      </w:r>
      <w:proofErr w:type="spellStart"/>
      <w:r w:rsidR="00B06C44">
        <w:t>G.4</w:t>
      </w:r>
      <w:proofErr w:type="spellEnd"/>
      <w:r w:rsidR="006C501D">
        <w:t>.</w:t>
      </w:r>
    </w:p>
    <w:p w:rsidR="00E9696D" w:rsidRPr="007D2D66" w:rsidRDefault="00E9696D" w:rsidP="006C501D">
      <w:pPr>
        <w:pStyle w:val="Heading4"/>
      </w:pPr>
      <w:r w:rsidRPr="007D2D66">
        <w:t xml:space="preserve">Comparison </w:t>
      </w:r>
      <w:r w:rsidR="007D2D66">
        <w:t>of</w:t>
      </w:r>
      <w:r w:rsidRPr="007D2D66">
        <w:t xml:space="preserve"> alternative sources of employment data</w:t>
      </w:r>
    </w:p>
    <w:p w:rsidR="0058583D" w:rsidRPr="00DF57B9" w:rsidRDefault="00E9696D" w:rsidP="0058583D">
      <w:pPr>
        <w:pStyle w:val="BodyText"/>
      </w:pPr>
      <w:r w:rsidRPr="007D2D66">
        <w:t xml:space="preserve">The ABS collects employment data </w:t>
      </w:r>
      <w:r w:rsidR="003163EF">
        <w:t xml:space="preserve">and </w:t>
      </w:r>
      <w:r w:rsidR="00AD3F77" w:rsidRPr="007D2D66">
        <w:t xml:space="preserve">hours worked data </w:t>
      </w:r>
      <w:r w:rsidRPr="007D2D66">
        <w:t xml:space="preserve">in </w:t>
      </w:r>
      <w:r w:rsidR="00F74E12">
        <w:t>the</w:t>
      </w:r>
      <w:r w:rsidR="00F45852" w:rsidRPr="007D2D66">
        <w:t xml:space="preserve"> </w:t>
      </w:r>
      <w:r w:rsidR="003163EF">
        <w:t xml:space="preserve">LFS but only employment data in </w:t>
      </w:r>
      <w:r w:rsidR="00F74E12">
        <w:t>the</w:t>
      </w:r>
      <w:r w:rsidR="003163EF">
        <w:t xml:space="preserve"> </w:t>
      </w:r>
      <w:r w:rsidR="007D2D66" w:rsidRPr="007D2D66">
        <w:t>EAS</w:t>
      </w:r>
      <w:r w:rsidR="003163EF">
        <w:t>.</w:t>
      </w:r>
      <w:r w:rsidR="00F45852" w:rsidRPr="007D2D66">
        <w:t xml:space="preserve"> </w:t>
      </w:r>
      <w:r w:rsidR="007D2D66" w:rsidRPr="007D2D66">
        <w:t>F</w:t>
      </w:r>
      <w:r w:rsidRPr="007D2D66">
        <w:t xml:space="preserve">igure </w:t>
      </w:r>
      <w:proofErr w:type="spellStart"/>
      <w:r w:rsidR="00B06C44">
        <w:t>G.4</w:t>
      </w:r>
      <w:proofErr w:type="spellEnd"/>
      <w:r w:rsidR="007D2D66" w:rsidRPr="007D2D66">
        <w:t xml:space="preserve"> compares employment estimates from these two surveys. The EAS data</w:t>
      </w:r>
      <w:r w:rsidRPr="007D2D66">
        <w:t xml:space="preserve"> </w:t>
      </w:r>
      <w:r w:rsidR="00113D65">
        <w:t>are</w:t>
      </w:r>
      <w:r w:rsidR="007D2D66" w:rsidRPr="007D2D66">
        <w:t xml:space="preserve"> affected </w:t>
      </w:r>
      <w:r w:rsidR="0058583D">
        <w:t xml:space="preserve">by the </w:t>
      </w:r>
      <w:r w:rsidR="007D2D66" w:rsidRPr="007D2D66">
        <w:t>ANZSIC06 change in 2006-07</w:t>
      </w:r>
      <w:r w:rsidR="0058583D">
        <w:t xml:space="preserve">, </w:t>
      </w:r>
      <w:r w:rsidR="007D2D66" w:rsidRPr="007D2D66">
        <w:t xml:space="preserve">while the LFS data have been </w:t>
      </w:r>
      <w:r w:rsidR="001612B0">
        <w:t xml:space="preserve">adjusted for comparability over time by the ABS. </w:t>
      </w:r>
      <w:r w:rsidR="0058583D" w:rsidRPr="00DF57B9">
        <w:t xml:space="preserve">While these two employment series are not directly comparable, there are some broad similarities in trend, with </w:t>
      </w:r>
      <w:r w:rsidR="0058583D">
        <w:t xml:space="preserve">apparent </w:t>
      </w:r>
      <w:r w:rsidR="0058583D" w:rsidRPr="00DF57B9">
        <w:t xml:space="preserve">faster growth in cycle 4 than cycle 3 in both series. The cycle growth rates for the </w:t>
      </w:r>
      <w:r w:rsidR="0058583D">
        <w:t>LFS</w:t>
      </w:r>
      <w:r w:rsidR="0058583D" w:rsidRPr="00DF57B9">
        <w:t xml:space="preserve"> series are sensitive to the use of 2003-04 as the end of cycle 3 and beginning of cycle 4. This year is a low point in the series, which is not observed in the </w:t>
      </w:r>
      <w:r w:rsidR="0058583D">
        <w:t>EAS</w:t>
      </w:r>
      <w:r w:rsidR="0058583D" w:rsidRPr="00DF57B9">
        <w:t xml:space="preserve"> series. (This is the year identified by the ABS as a peak year for </w:t>
      </w:r>
      <w:r w:rsidR="00F74E12">
        <w:t xml:space="preserve">market sector </w:t>
      </w:r>
      <w:r w:rsidR="0058583D" w:rsidRPr="00DF57B9">
        <w:t xml:space="preserve">MFP and therefore a cycle year). This is likely to lead to a lower growth rate in cycle 3 and a higher growth rate in cycle 4 than the </w:t>
      </w:r>
      <w:r w:rsidR="0058583D">
        <w:t>EAS</w:t>
      </w:r>
      <w:r w:rsidR="0058583D" w:rsidRPr="00DF57B9">
        <w:t xml:space="preserve"> series (abstracting from </w:t>
      </w:r>
      <w:r w:rsidR="0058583D">
        <w:t xml:space="preserve">the </w:t>
      </w:r>
      <w:r w:rsidR="0058583D" w:rsidRPr="00DF57B9">
        <w:t xml:space="preserve">break in the latter series). </w:t>
      </w:r>
    </w:p>
    <w:p w:rsidR="00C969B3" w:rsidRPr="00AD3F77" w:rsidRDefault="00C969B3" w:rsidP="00C969B3">
      <w:pPr>
        <w:pStyle w:val="FigureTitle"/>
      </w:pPr>
      <w:r w:rsidRPr="00AD3F77">
        <w:rPr>
          <w:b w:val="0"/>
        </w:rPr>
        <w:lastRenderedPageBreak/>
        <w:t xml:space="preserve">Figure </w:t>
      </w:r>
      <w:bookmarkStart w:id="9" w:name="OLE_LINK31"/>
      <w:proofErr w:type="spellStart"/>
      <w:r w:rsidR="00B06C44">
        <w:rPr>
          <w:b w:val="0"/>
        </w:rPr>
        <w:t>G.</w:t>
      </w:r>
      <w:r w:rsidR="00FE417C">
        <w:rPr>
          <w:b w:val="0"/>
          <w:noProof/>
        </w:rPr>
        <w:t>4</w:t>
      </w:r>
      <w:bookmarkEnd w:id="9"/>
      <w:proofErr w:type="spellEnd"/>
      <w:r w:rsidRPr="00AD3F77">
        <w:tab/>
      </w:r>
      <w:bookmarkStart w:id="10" w:name="FigureTitle"/>
      <w:r w:rsidRPr="00AD3F77">
        <w:t>Comparison of data sources for employ</w:t>
      </w:r>
      <w:r>
        <w:t>ment</w:t>
      </w:r>
      <w:r w:rsidRPr="00AD3F77">
        <w:t xml:space="preserve"> in FBT</w:t>
      </w:r>
      <w:bookmarkEnd w:id="10"/>
      <w:r w:rsidR="008D7AF2" w:rsidRPr="008D7AF2">
        <w:rPr>
          <w:rStyle w:val="NoteLabel"/>
          <w:b/>
        </w:rPr>
        <w:t>a</w:t>
      </w:r>
    </w:p>
    <w:p w:rsidR="00C969B3" w:rsidRPr="00AD3F77" w:rsidRDefault="00C969B3" w:rsidP="00C969B3">
      <w:pPr>
        <w:pStyle w:val="Subtitle"/>
      </w:pPr>
      <w:r w:rsidRPr="00AD3F77">
        <w:t>Number of persons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969B3" w:rsidRPr="00AD3F77" w:rsidTr="00B36200">
        <w:tc>
          <w:tcPr>
            <w:tcW w:w="8777" w:type="dxa"/>
          </w:tcPr>
          <w:p w:rsidR="00C969B3" w:rsidRPr="00AD3F77" w:rsidRDefault="002B607E" w:rsidP="00D575C2">
            <w:pPr>
              <w:pStyle w:val="Figure"/>
              <w:spacing w:before="0" w:after="0"/>
            </w:pPr>
            <w:r>
              <w:pict>
                <v:shape id="_x0000_i1029" type="#_x0000_t75" alt="This figure compares employment estimates from the LFS and EAS surveys. While these two employment series are not directly comparable, there are some broad similarities in trend, with apparent faster growth in cycle 4 than cycle 3 in both series. A dip in the LFS series in the cycle 3 end and cycle 4 start year, 2003-04, is likely to lead to a lower growth rate in cycle 3 and a higher growth rate in cycle 4 than the EAS series." style="width:424.45pt;height:197.6pt">
                  <v:imagedata r:id="rId13" o:title=""/>
                </v:shape>
              </w:pict>
            </w:r>
          </w:p>
        </w:tc>
      </w:tr>
    </w:tbl>
    <w:p w:rsidR="00C969B3" w:rsidRPr="00AD3F77" w:rsidRDefault="00C969B3" w:rsidP="00C969B3">
      <w:pPr>
        <w:pStyle w:val="Note"/>
      </w:pPr>
      <w:r w:rsidRPr="00AD3F77">
        <w:rPr>
          <w:rStyle w:val="NoteLabel"/>
        </w:rPr>
        <w:t>a</w:t>
      </w:r>
      <w:r w:rsidRPr="00AD3F77">
        <w:t xml:space="preserve"> </w:t>
      </w:r>
      <w:r w:rsidR="008D7AF2">
        <w:t xml:space="preserve">FBT employment from EAS has been adjusted for </w:t>
      </w:r>
      <w:r w:rsidR="008D7AF2" w:rsidRPr="00F048CF">
        <w:t xml:space="preserve">1998-99 and 1999-00 for change in </w:t>
      </w:r>
      <w:r w:rsidR="008D7AF2">
        <w:t>survey</w:t>
      </w:r>
      <w:r w:rsidR="008D7AF2" w:rsidRPr="00F048CF">
        <w:t xml:space="preserve"> methodology</w:t>
      </w:r>
      <w:r w:rsidR="008D7AF2">
        <w:t xml:space="preserve"> </w:t>
      </w:r>
      <w:r w:rsidR="008D7AF2" w:rsidRPr="00F048CF">
        <w:t>(appendix A)</w:t>
      </w:r>
      <w:r w:rsidR="008D7AF2">
        <w:t>, but has not been adjusted for change to ANZS</w:t>
      </w:r>
      <w:r w:rsidR="008D7AF2" w:rsidRPr="00F048CF">
        <w:t>IC06 in 2006-07</w:t>
      </w:r>
      <w:r w:rsidR="008D7AF2">
        <w:t>.</w:t>
      </w:r>
      <w:r w:rsidR="008702E0">
        <w:t xml:space="preserve"> </w:t>
      </w:r>
    </w:p>
    <w:p w:rsidR="00C969B3" w:rsidRDefault="00C969B3" w:rsidP="00C969B3">
      <w:pPr>
        <w:pStyle w:val="Source"/>
      </w:pPr>
      <w:r w:rsidRPr="00AD3F77">
        <w:rPr>
          <w:i/>
        </w:rPr>
        <w:t>Data source</w:t>
      </w:r>
      <w:r w:rsidR="00A312B9">
        <w:rPr>
          <w:i/>
        </w:rPr>
        <w:t>s</w:t>
      </w:r>
      <w:r w:rsidRPr="00AD3F77">
        <w:t xml:space="preserve">: </w:t>
      </w:r>
      <w:r w:rsidR="00A312B9">
        <w:t>Authors’ estimates based on ABS (</w:t>
      </w:r>
      <w:r w:rsidR="00A312B9">
        <w:rPr>
          <w:i/>
        </w:rPr>
        <w:t xml:space="preserve">Manufacturing Industry, Australia, </w:t>
      </w:r>
      <w:r w:rsidR="00A312B9" w:rsidRPr="00613E4C">
        <w:t>various issues,</w:t>
      </w:r>
      <w:r w:rsidR="00A312B9">
        <w:rPr>
          <w:i/>
        </w:rPr>
        <w:t xml:space="preserve"> </w:t>
      </w:r>
      <w:r w:rsidR="00A312B9">
        <w:t xml:space="preserve">Cat. no. 8221.0); </w:t>
      </w:r>
      <w:r w:rsidR="00BA5552">
        <w:t>ABS (</w:t>
      </w:r>
      <w:r w:rsidR="00BA5552" w:rsidRPr="00BA5552">
        <w:rPr>
          <w:i/>
        </w:rPr>
        <w:t>Experimental Estimates for the Manufacturing Industry</w:t>
      </w:r>
      <w:r w:rsidR="00BA5552" w:rsidRPr="00BA5552">
        <w:t xml:space="preserve">, </w:t>
      </w:r>
      <w:r w:rsidR="00BA5552">
        <w:t xml:space="preserve">various issues, </w:t>
      </w:r>
      <w:r w:rsidR="00BA5552" w:rsidRPr="00BA5552">
        <w:t>Cat.</w:t>
      </w:r>
      <w:r w:rsidR="0011510B">
        <w:t> </w:t>
      </w:r>
      <w:r w:rsidR="00BA5552" w:rsidRPr="00BA5552">
        <w:t>no.</w:t>
      </w:r>
      <w:r w:rsidR="00BA5552">
        <w:t> </w:t>
      </w:r>
      <w:r w:rsidR="00BA5552" w:rsidRPr="00BA5552">
        <w:t>8159.0</w:t>
      </w:r>
      <w:r w:rsidR="00BA5552">
        <w:t xml:space="preserve">); </w:t>
      </w:r>
      <w:r w:rsidR="00A312B9">
        <w:t>ABS (</w:t>
      </w:r>
      <w:r w:rsidR="00A312B9">
        <w:rPr>
          <w:i/>
        </w:rPr>
        <w:t>Australian Industry</w:t>
      </w:r>
      <w:r w:rsidR="00A312B9">
        <w:t xml:space="preserve">, </w:t>
      </w:r>
      <w:r w:rsidR="00A312B9" w:rsidRPr="00613E4C">
        <w:t>various issues,</w:t>
      </w:r>
      <w:r w:rsidR="00A312B9">
        <w:rPr>
          <w:i/>
        </w:rPr>
        <w:t xml:space="preserve"> </w:t>
      </w:r>
      <w:r w:rsidR="00A312B9">
        <w:t>Cat. no. 8155.0)</w:t>
      </w:r>
      <w:r w:rsidR="00A312B9" w:rsidRPr="00A312B9">
        <w:t>; and</w:t>
      </w:r>
      <w:r w:rsidR="00A312B9">
        <w:rPr>
          <w:i/>
        </w:rPr>
        <w:t xml:space="preserve"> </w:t>
      </w:r>
      <w:r w:rsidR="00A312B9">
        <w:t>ABS (</w:t>
      </w:r>
      <w:r w:rsidRPr="00AD3F77">
        <w:t xml:space="preserve">unpublished </w:t>
      </w:r>
      <w:r w:rsidR="00A312B9">
        <w:t xml:space="preserve">Labour Force Survey </w:t>
      </w:r>
      <w:r w:rsidRPr="00AD3F77">
        <w:t>data).</w:t>
      </w:r>
    </w:p>
    <w:p w:rsidR="00621BFD" w:rsidRDefault="00621BFD" w:rsidP="00086B4D">
      <w:pPr>
        <w:pStyle w:val="BodyText"/>
      </w:pPr>
      <w:r>
        <w:t xml:space="preserve">One source of difference between surveys can be the </w:t>
      </w:r>
      <w:r w:rsidR="007525C0">
        <w:t xml:space="preserve">difference in the </w:t>
      </w:r>
      <w:r>
        <w:t xml:space="preserve">accuracy of the details given by different types of respondents. </w:t>
      </w:r>
      <w:r w:rsidR="00236C29">
        <w:t>Household s</w:t>
      </w:r>
      <w:r>
        <w:t>urveys</w:t>
      </w:r>
      <w:r w:rsidR="00DF57B9" w:rsidRPr="00DF57B9">
        <w:t xml:space="preserve">, such as the LFS, </w:t>
      </w:r>
      <w:r w:rsidR="00E9696D" w:rsidRPr="00DF57B9">
        <w:t xml:space="preserve">sometimes provide a less accurate picture of the distribution of employment across </w:t>
      </w:r>
      <w:r w:rsidR="00E9696D" w:rsidRPr="00621BFD">
        <w:rPr>
          <w:i/>
        </w:rPr>
        <w:t>industries</w:t>
      </w:r>
      <w:r w:rsidR="00E9696D" w:rsidRPr="00DF57B9">
        <w:t xml:space="preserve"> than </w:t>
      </w:r>
      <w:r w:rsidR="00236C29">
        <w:t xml:space="preserve">business </w:t>
      </w:r>
      <w:r>
        <w:t>surveys</w:t>
      </w:r>
      <w:r w:rsidR="00DF57B9" w:rsidRPr="00DF57B9">
        <w:t>, such as the EAS. This is</w:t>
      </w:r>
      <w:r w:rsidR="00E9696D" w:rsidRPr="00DF57B9">
        <w:t xml:space="preserve"> because employees may provide a less accurate description of the industry in which they are employed </w:t>
      </w:r>
      <w:r>
        <w:t>than their employers</w:t>
      </w:r>
      <w:r w:rsidR="00CC58EA">
        <w:t>. T</w:t>
      </w:r>
      <w:r w:rsidR="00CC58EA" w:rsidRPr="00DF57B9">
        <w:t xml:space="preserve">his problem is likely to be greater the more detailed the industry breakdown. </w:t>
      </w:r>
      <w:r w:rsidR="00EF2DAE">
        <w:t>In the LFS, w</w:t>
      </w:r>
      <w:r w:rsidR="00EF2DAE" w:rsidRPr="00EF2DAE">
        <w:t>here there is insufficient detail collected from the survey respondent to allocate</w:t>
      </w:r>
      <w:r w:rsidR="003973E7">
        <w:t xml:space="preserve"> to</w:t>
      </w:r>
      <w:r w:rsidR="00EF2DAE" w:rsidRPr="00EF2DAE">
        <w:t xml:space="preserve"> the most detailed level of industry code, 'not further defined' </w:t>
      </w:r>
      <w:r w:rsidR="00EF2DAE">
        <w:t xml:space="preserve">(nfd) </w:t>
      </w:r>
      <w:r w:rsidR="00EF2DAE" w:rsidRPr="00EF2DAE">
        <w:t>codes are used.</w:t>
      </w:r>
      <w:r w:rsidR="00EF2DAE">
        <w:t xml:space="preserve"> </w:t>
      </w:r>
      <w:r w:rsidR="00CC58EA">
        <w:t>Since 2000, there has been some growth in allocation</w:t>
      </w:r>
      <w:r w:rsidR="00EF2DAE">
        <w:t xml:space="preserve">s </w:t>
      </w:r>
      <w:r w:rsidR="00CC58EA">
        <w:t xml:space="preserve">to </w:t>
      </w:r>
      <w:r w:rsidR="00EF2DAE">
        <w:t>nfd industry categories as a result of</w:t>
      </w:r>
      <w:r w:rsidR="00C261F0">
        <w:t xml:space="preserve"> ch</w:t>
      </w:r>
      <w:r w:rsidR="00CC58EA">
        <w:t xml:space="preserve">anges </w:t>
      </w:r>
      <w:r w:rsidR="00EF2DAE">
        <w:t xml:space="preserve">to </w:t>
      </w:r>
      <w:r w:rsidR="00CC58EA">
        <w:t>coding practices</w:t>
      </w:r>
      <w:r w:rsidR="00C261F0">
        <w:t xml:space="preserve"> (</w:t>
      </w:r>
      <w:r w:rsidR="00C261F0" w:rsidRPr="001C18E6">
        <w:t xml:space="preserve">ABS </w:t>
      </w:r>
      <w:r w:rsidR="003D0C40">
        <w:t>1999, 2003, 2005</w:t>
      </w:r>
      <w:r w:rsidR="00EF2DAE">
        <w:t xml:space="preserve">). </w:t>
      </w:r>
      <w:r w:rsidR="00CC58EA">
        <w:t xml:space="preserve">See </w:t>
      </w:r>
      <w:r w:rsidR="00CC58EA" w:rsidRPr="001C18E6">
        <w:t xml:space="preserve">Connolly et al. </w:t>
      </w:r>
      <w:r w:rsidR="009E29B0" w:rsidRPr="001C18E6">
        <w:t>(</w:t>
      </w:r>
      <w:r w:rsidR="00CC58EA" w:rsidRPr="001C18E6">
        <w:t>201</w:t>
      </w:r>
      <w:r w:rsidR="00E042C0" w:rsidRPr="001C18E6">
        <w:t>3</w:t>
      </w:r>
      <w:r w:rsidR="009E29B0" w:rsidRPr="001C18E6">
        <w:t>)</w:t>
      </w:r>
      <w:r w:rsidR="00CC58EA">
        <w:t xml:space="preserve"> for further discussion of </w:t>
      </w:r>
      <w:r w:rsidR="00EF2DAE">
        <w:t>differences</w:t>
      </w:r>
      <w:r w:rsidR="00CC58EA">
        <w:t xml:space="preserve"> between EAS and LFS </w:t>
      </w:r>
      <w:r w:rsidR="009E29B0">
        <w:t>employment estimates</w:t>
      </w:r>
      <w:r w:rsidR="00EF2DAE">
        <w:t>.</w:t>
      </w:r>
    </w:p>
    <w:p w:rsidR="007B1A3B" w:rsidRDefault="00621BFD" w:rsidP="00086B4D">
      <w:pPr>
        <w:pStyle w:val="BodyText"/>
      </w:pPr>
      <w:r>
        <w:t xml:space="preserve">The extent of the difference between LFS and EAS data for employment varies across ANZSIC group within FBT. </w:t>
      </w:r>
      <w:r w:rsidR="007B1A3B">
        <w:t xml:space="preserve">For example, figure </w:t>
      </w:r>
      <w:proofErr w:type="spellStart"/>
      <w:r w:rsidR="00D57741">
        <w:t>G.5</w:t>
      </w:r>
      <w:proofErr w:type="spellEnd"/>
      <w:r w:rsidR="007B1A3B">
        <w:t xml:space="preserve"> compares labour input </w:t>
      </w:r>
      <w:r w:rsidR="00236C29">
        <w:t xml:space="preserve">(hours worked and employment) </w:t>
      </w:r>
      <w:r w:rsidR="007B1A3B">
        <w:t xml:space="preserve">measures based on LFS data and on EAS data for the three ANZSIC groups that contributed most to the large increase in hours worked growth for FBT in total between cycles 3 and 4. </w:t>
      </w:r>
    </w:p>
    <w:p w:rsidR="004C768B" w:rsidRPr="001F75AF" w:rsidRDefault="004C768B" w:rsidP="004C768B">
      <w:pPr>
        <w:pStyle w:val="FigureTitle"/>
      </w:pPr>
      <w:r w:rsidRPr="00F048CF">
        <w:rPr>
          <w:b w:val="0"/>
        </w:rPr>
        <w:lastRenderedPageBreak/>
        <w:t xml:space="preserve">Figure </w:t>
      </w:r>
      <w:bookmarkStart w:id="11" w:name="OLE_LINK6"/>
      <w:proofErr w:type="spellStart"/>
      <w:r w:rsidR="00B06C44">
        <w:rPr>
          <w:b w:val="0"/>
        </w:rPr>
        <w:t>G.</w:t>
      </w:r>
      <w:r w:rsidR="00FE417C">
        <w:rPr>
          <w:b w:val="0"/>
          <w:noProof/>
        </w:rPr>
        <w:t>5</w:t>
      </w:r>
      <w:bookmarkEnd w:id="11"/>
      <w:proofErr w:type="spellEnd"/>
      <w:r w:rsidRPr="00F048CF">
        <w:tab/>
        <w:t xml:space="preserve">Comparison of </w:t>
      </w:r>
      <w:r w:rsidR="0035267D">
        <w:t>data sources</w:t>
      </w:r>
      <w:r w:rsidR="00F675F4">
        <w:t xml:space="preserve"> for labour input</w:t>
      </w:r>
      <w:r w:rsidRPr="00F048CF">
        <w:t>, selected</w:t>
      </w:r>
      <w:r w:rsidR="0035267D">
        <w:t xml:space="preserve"> ANZSIC</w:t>
      </w:r>
      <w:r w:rsidRPr="00F048CF">
        <w:t xml:space="preserve"> groups</w:t>
      </w:r>
      <w:r w:rsidR="00F675F4">
        <w:t xml:space="preserve"> within </w:t>
      </w:r>
      <w:r w:rsidR="00F675F4" w:rsidRPr="001F75AF">
        <w:t>FBT</w:t>
      </w:r>
    </w:p>
    <w:p w:rsidR="004C768B" w:rsidRPr="00F048CF" w:rsidRDefault="00B6292A" w:rsidP="004C768B">
      <w:pPr>
        <w:pStyle w:val="Subtitle"/>
      </w:pPr>
      <w:r>
        <w:t>Average annual growth rate (per cent)</w:t>
      </w:r>
    </w:p>
    <w:tbl>
      <w:tblPr>
        <w:tblW w:w="0" w:type="auto"/>
        <w:tblInd w:w="11" w:type="dxa"/>
        <w:tblBorders>
          <w:top w:val="single" w:sz="6" w:space="0" w:color="auto"/>
          <w:bottom w:val="single" w:sz="6" w:space="0" w:color="auto"/>
        </w:tblBorders>
        <w:tblLayout w:type="fixed"/>
        <w:tblCellMar>
          <w:left w:w="0" w:type="dxa"/>
          <w:right w:w="0" w:type="dxa"/>
        </w:tblCellMar>
        <w:tblLook w:val="04A0" w:firstRow="1" w:lastRow="0" w:firstColumn="1" w:lastColumn="0" w:noHBand="0" w:noVBand="1"/>
      </w:tblPr>
      <w:tblGrid>
        <w:gridCol w:w="4388"/>
        <w:gridCol w:w="4389"/>
      </w:tblGrid>
      <w:tr w:rsidR="00966616" w:rsidRPr="00966616" w:rsidTr="00966616">
        <w:tc>
          <w:tcPr>
            <w:tcW w:w="4388" w:type="dxa"/>
            <w:tcBorders>
              <w:top w:val="single" w:sz="6" w:space="0" w:color="auto"/>
              <w:left w:val="nil"/>
              <w:bottom w:val="nil"/>
              <w:right w:val="nil"/>
            </w:tcBorders>
          </w:tcPr>
          <w:p w:rsidR="00966616" w:rsidRPr="00966616" w:rsidRDefault="00966616" w:rsidP="00966616">
            <w:pPr>
              <w:pStyle w:val="Figure"/>
              <w:spacing w:before="60" w:after="0"/>
              <w:rPr>
                <w:i/>
                <w:sz w:val="22"/>
                <w:szCs w:val="22"/>
              </w:rPr>
            </w:pPr>
            <w:r w:rsidRPr="00966616">
              <w:rPr>
                <w:i/>
                <w:sz w:val="22"/>
                <w:szCs w:val="22"/>
              </w:rPr>
              <w:t>Meat</w:t>
            </w:r>
          </w:p>
        </w:tc>
        <w:tc>
          <w:tcPr>
            <w:tcW w:w="4389" w:type="dxa"/>
            <w:tcBorders>
              <w:top w:val="single" w:sz="6" w:space="0" w:color="auto"/>
              <w:left w:val="nil"/>
              <w:bottom w:val="nil"/>
              <w:right w:val="nil"/>
            </w:tcBorders>
          </w:tcPr>
          <w:p w:rsidR="00966616" w:rsidRPr="00966616" w:rsidRDefault="00966616" w:rsidP="00966616">
            <w:pPr>
              <w:pStyle w:val="Figure"/>
              <w:spacing w:before="60" w:after="0"/>
              <w:rPr>
                <w:i/>
                <w:sz w:val="22"/>
                <w:szCs w:val="22"/>
              </w:rPr>
            </w:pPr>
            <w:r w:rsidRPr="00966616">
              <w:rPr>
                <w:i/>
                <w:sz w:val="22"/>
                <w:szCs w:val="22"/>
              </w:rPr>
              <w:t>Sugar &amp; confectionery</w:t>
            </w:r>
          </w:p>
        </w:tc>
      </w:tr>
      <w:tr w:rsidR="004C768B" w:rsidRPr="00F048CF" w:rsidTr="00966616">
        <w:tc>
          <w:tcPr>
            <w:tcW w:w="4388" w:type="dxa"/>
            <w:tcBorders>
              <w:top w:val="nil"/>
              <w:left w:val="nil"/>
              <w:bottom w:val="nil"/>
              <w:right w:val="nil"/>
            </w:tcBorders>
            <w:hideMark/>
          </w:tcPr>
          <w:p w:rsidR="004C768B" w:rsidRPr="00F048CF" w:rsidRDefault="002B607E" w:rsidP="006E0711">
            <w:pPr>
              <w:pStyle w:val="Figure"/>
              <w:spacing w:before="0" w:after="0"/>
            </w:pPr>
            <w:r>
              <w:pict>
                <v:shape id="_x0000_i1030" type="#_x0000_t75" alt="This figure compares labour input measures, in terms of hours worked and employment, based on LFS data and on EAS data for the three ANZSIC groups that contributed most to the large increase in hours worked growth for total FBT between cycles 3 and 4.&#10;For Meat, EAS employment grew more strongly between cycles than LFS employment or hours worked. For Sugar and confectionery, the opposite was the case, due to employment falling in the LFS but rising in the EAS over cycle 3. For Bakery, EAS employment growth is significantly stronger between cycles due to the addition of Non-factory bakery from 2006-07, while the LFS has been backcast to include Non-factory bakery throughout the period.&#10;" style="width:203.45pt;height:198.4pt">
                  <v:imagedata r:id="rId14" o:title=""/>
                </v:shape>
              </w:pict>
            </w:r>
          </w:p>
        </w:tc>
        <w:tc>
          <w:tcPr>
            <w:tcW w:w="4389" w:type="dxa"/>
            <w:tcBorders>
              <w:top w:val="nil"/>
              <w:left w:val="nil"/>
              <w:bottom w:val="nil"/>
              <w:right w:val="nil"/>
            </w:tcBorders>
            <w:hideMark/>
          </w:tcPr>
          <w:p w:rsidR="004C768B" w:rsidRPr="00F048CF" w:rsidRDefault="002B607E" w:rsidP="006E0711">
            <w:pPr>
              <w:pStyle w:val="Figure"/>
              <w:spacing w:before="0" w:after="0"/>
            </w:pPr>
            <w:r>
              <w:pict>
                <v:shape id="_x0000_i1031" type="#_x0000_t75" alt="This figure compares labour input measures, in terms of hours worked and employment, based on LFS data and on EAS data for the three ANZSIC groups that contributed most to the large increase in hours worked growth for total FBT between cycles 3 and 4.&#10;For Meat, EAS employment grew more strongly between cycles than LFS employment or hours worked. For Sugar and confectionery, the opposite was the case, due to employment falling in the LFS but rising in the EAS over cycle 3. For Bakery, EAS employment growth is significantly stronger between cycles due to the addition of Non-factory bakery from 2006-07, while the LFS has been backcast to include Non-factory bakery throughout the period.&#10;" style="width:205.95pt;height:198.4pt;mso-position-horizontal:absolute">
                  <v:imagedata r:id="rId15" o:title=""/>
                </v:shape>
              </w:pict>
            </w:r>
          </w:p>
        </w:tc>
      </w:tr>
      <w:tr w:rsidR="00966616" w:rsidRPr="00966616" w:rsidTr="00966616">
        <w:tc>
          <w:tcPr>
            <w:tcW w:w="4388" w:type="dxa"/>
            <w:tcBorders>
              <w:top w:val="nil"/>
              <w:left w:val="nil"/>
              <w:bottom w:val="nil"/>
              <w:right w:val="nil"/>
            </w:tcBorders>
            <w:vAlign w:val="bottom"/>
          </w:tcPr>
          <w:p w:rsidR="00966616" w:rsidRPr="00966616" w:rsidRDefault="00966616" w:rsidP="00966616">
            <w:pPr>
              <w:pStyle w:val="Figure"/>
              <w:spacing w:before="60" w:after="0"/>
              <w:rPr>
                <w:i/>
                <w:sz w:val="22"/>
                <w:szCs w:val="22"/>
              </w:rPr>
            </w:pPr>
            <w:r w:rsidRPr="00966616">
              <w:rPr>
                <w:i/>
                <w:sz w:val="22"/>
                <w:szCs w:val="22"/>
              </w:rPr>
              <w:t>Bakery</w:t>
            </w:r>
          </w:p>
        </w:tc>
        <w:tc>
          <w:tcPr>
            <w:tcW w:w="4389" w:type="dxa"/>
            <w:tcBorders>
              <w:top w:val="nil"/>
              <w:left w:val="nil"/>
              <w:bottom w:val="nil"/>
              <w:right w:val="nil"/>
            </w:tcBorders>
            <w:vAlign w:val="bottom"/>
          </w:tcPr>
          <w:p w:rsidR="00966616" w:rsidRPr="00966616" w:rsidRDefault="00966616" w:rsidP="00966616">
            <w:pPr>
              <w:pStyle w:val="Figure"/>
              <w:spacing w:before="60" w:after="0"/>
              <w:rPr>
                <w:i/>
                <w:sz w:val="22"/>
                <w:szCs w:val="22"/>
              </w:rPr>
            </w:pPr>
          </w:p>
        </w:tc>
      </w:tr>
      <w:tr w:rsidR="004C768B" w:rsidRPr="00F048CF" w:rsidTr="00966616">
        <w:tc>
          <w:tcPr>
            <w:tcW w:w="4388" w:type="dxa"/>
            <w:tcBorders>
              <w:top w:val="nil"/>
              <w:left w:val="nil"/>
              <w:bottom w:val="single" w:sz="6" w:space="0" w:color="auto"/>
              <w:right w:val="nil"/>
            </w:tcBorders>
            <w:vAlign w:val="center"/>
            <w:hideMark/>
          </w:tcPr>
          <w:p w:rsidR="004C768B" w:rsidRPr="00F048CF" w:rsidRDefault="002B607E" w:rsidP="006E0711">
            <w:pPr>
              <w:pStyle w:val="Figure"/>
              <w:spacing w:before="0" w:after="0"/>
            </w:pPr>
            <w:r>
              <w:rPr>
                <w:noProof/>
              </w:rPr>
              <w:pict>
                <v:shape id="_x0000_i1032" type="#_x0000_t75" alt="This figure compares labour input measures, in terms of hours worked and employment, based on LFS data and on EAS data for the three ANZSIC groups that contributed most to the large increase in hours worked growth for total FBT between cycles 3 and 4.&#10;For Meat, EAS employment grew more strongly between cycles than LFS employment or hours worked. For Sugar and confectionery, the opposite was the case, due to employment falling in the LFS but rising in the EAS over cycle 3. For Bakery, EAS employment growth is significantly stronger between cycles due to the addition of Non-factory bakery from 2006-07, while the LFS has been backcast to include Non-factory bakery throughout the period.&#10;" style="width:205.95pt;height:198.4pt">
                  <v:imagedata r:id="rId16" o:title=""/>
                </v:shape>
              </w:pict>
            </w:r>
          </w:p>
        </w:tc>
        <w:tc>
          <w:tcPr>
            <w:tcW w:w="4389" w:type="dxa"/>
            <w:tcBorders>
              <w:top w:val="nil"/>
              <w:left w:val="nil"/>
              <w:bottom w:val="single" w:sz="6" w:space="0" w:color="auto"/>
              <w:right w:val="nil"/>
            </w:tcBorders>
            <w:vAlign w:val="center"/>
            <w:hideMark/>
          </w:tcPr>
          <w:p w:rsidR="00F048CF" w:rsidRPr="00F048CF" w:rsidRDefault="002B607E" w:rsidP="00966616">
            <w:pPr>
              <w:pStyle w:val="Figure"/>
              <w:spacing w:before="0" w:after="0"/>
              <w:rPr>
                <w:i/>
              </w:rPr>
            </w:pPr>
            <w:r>
              <w:rPr>
                <w:i/>
              </w:rPr>
              <w:pict>
                <v:shape id="_x0000_i1033" type="#_x0000_t75" alt="This figure compares labour input measures, in terms of hours worked and employment, based on LFS data and on EAS data for the three ANZSIC groups that contributed most to the large increase in hours worked growth for total FBT between cycles 3 and 4.&#10;For Meat, EAS employment grew more strongly between cycles than LFS employment or hours worked. For Sugar and confectionery, the opposite was the case, due to employment falling in the LFS but rising in the EAS over cycle 3. For Bakery, EAS employment growth is significantly stronger between cycles due to the addition of Non-factory bakery from 2006-07, while the LFS has been backcast to include Non-factory bakery throughout the period.&#10;" style="width:194.25pt;height:101.3pt">
                  <v:imagedata r:id="rId17" o:title=""/>
                </v:shape>
              </w:pict>
            </w:r>
          </w:p>
        </w:tc>
      </w:tr>
    </w:tbl>
    <w:p w:rsidR="004C768B" w:rsidRPr="006857F0" w:rsidRDefault="004C768B" w:rsidP="00966616">
      <w:pPr>
        <w:pStyle w:val="Note"/>
        <w:spacing w:line="200" w:lineRule="exact"/>
      </w:pPr>
      <w:r w:rsidRPr="006857F0">
        <w:rPr>
          <w:rStyle w:val="NoteLabel"/>
        </w:rPr>
        <w:t>a</w:t>
      </w:r>
      <w:r w:rsidRPr="006857F0">
        <w:t xml:space="preserve"> 2007-08 employment </w:t>
      </w:r>
      <w:r w:rsidR="00D91D30">
        <w:t xml:space="preserve">imputed as </w:t>
      </w:r>
      <w:r w:rsidR="00917D74" w:rsidRPr="006857F0">
        <w:t>midpoint of 2006-07 and 2008-09</w:t>
      </w:r>
      <w:r w:rsidR="00D91D30">
        <w:t xml:space="preserve"> EAS data — </w:t>
      </w:r>
      <w:r w:rsidR="00917D74" w:rsidRPr="006857F0">
        <w:t xml:space="preserve">no disaggregated </w:t>
      </w:r>
      <w:r w:rsidR="00D91D30">
        <w:t xml:space="preserve">EAS </w:t>
      </w:r>
      <w:r w:rsidR="00917D74" w:rsidRPr="006857F0">
        <w:t xml:space="preserve">data </w:t>
      </w:r>
      <w:r w:rsidR="00D91D30">
        <w:t xml:space="preserve">was </w:t>
      </w:r>
      <w:r w:rsidR="00917D74" w:rsidRPr="006857F0">
        <w:t>published</w:t>
      </w:r>
      <w:r w:rsidR="00D91D30">
        <w:t xml:space="preserve"> in 2007-08</w:t>
      </w:r>
      <w:r w:rsidR="00917D74" w:rsidRPr="006857F0">
        <w:t xml:space="preserve">. 1998-99 </w:t>
      </w:r>
      <w:r w:rsidR="00D91D30">
        <w:t xml:space="preserve">EAS data </w:t>
      </w:r>
      <w:r w:rsidR="009F37A7" w:rsidRPr="006857F0">
        <w:t xml:space="preserve">has been </w:t>
      </w:r>
      <w:r w:rsidR="00917D74" w:rsidRPr="006857F0">
        <w:t xml:space="preserve">adjusted for change in </w:t>
      </w:r>
      <w:r w:rsidR="00D91D30">
        <w:t>survey</w:t>
      </w:r>
      <w:r w:rsidR="00917D74" w:rsidRPr="006857F0">
        <w:t xml:space="preserve"> methodology</w:t>
      </w:r>
      <w:r w:rsidR="00D91D30">
        <w:t xml:space="preserve"> by applying the adjustment factor identified by ABS for FBT on average </w:t>
      </w:r>
      <w:r w:rsidR="00917D74" w:rsidRPr="006857F0">
        <w:t xml:space="preserve">(appendix A). </w:t>
      </w:r>
      <w:r w:rsidR="00D91D30">
        <w:t xml:space="preserve">No adjustment has been made for the </w:t>
      </w:r>
      <w:r w:rsidR="00917D74" w:rsidRPr="006857F0">
        <w:t xml:space="preserve">ANZSIC06 change in 2006-07, which affects Bakery </w:t>
      </w:r>
      <w:r w:rsidR="00D91D30">
        <w:t xml:space="preserve">but not </w:t>
      </w:r>
      <w:r w:rsidR="00CB31B2">
        <w:t xml:space="preserve">Meat and Sugar and </w:t>
      </w:r>
      <w:r w:rsidR="00917D74" w:rsidRPr="006857F0">
        <w:t>confectionery</w:t>
      </w:r>
      <w:r w:rsidRPr="006857F0">
        <w:t>.</w:t>
      </w:r>
    </w:p>
    <w:p w:rsidR="008C71C0" w:rsidRDefault="008C71C0" w:rsidP="000260F8">
      <w:pPr>
        <w:pStyle w:val="Source"/>
        <w:spacing w:line="200" w:lineRule="exact"/>
      </w:pPr>
      <w:r w:rsidRPr="00AD3F77">
        <w:rPr>
          <w:i/>
        </w:rPr>
        <w:t>Data source</w:t>
      </w:r>
      <w:r>
        <w:rPr>
          <w:i/>
        </w:rPr>
        <w:t>s</w:t>
      </w:r>
      <w:r w:rsidRPr="00AD3F77">
        <w:t xml:space="preserve">: </w:t>
      </w:r>
      <w:r>
        <w:t>Authors’ estimates based on ABS (</w:t>
      </w:r>
      <w:r>
        <w:rPr>
          <w:i/>
        </w:rPr>
        <w:t xml:space="preserve">Manufacturing Industry, Australia, </w:t>
      </w:r>
      <w:r w:rsidRPr="00613E4C">
        <w:t>various issues,</w:t>
      </w:r>
      <w:r>
        <w:rPr>
          <w:i/>
        </w:rPr>
        <w:t xml:space="preserve"> </w:t>
      </w:r>
      <w:r>
        <w:t xml:space="preserve">Cat. no. 8221.0); </w:t>
      </w:r>
      <w:r w:rsidR="00217317">
        <w:t>ABS (</w:t>
      </w:r>
      <w:r w:rsidR="00217317" w:rsidRPr="00BA5552">
        <w:rPr>
          <w:i/>
        </w:rPr>
        <w:t>Experimental Estimates for the Manufacturing Industry</w:t>
      </w:r>
      <w:r w:rsidR="00217317" w:rsidRPr="00BA5552">
        <w:t xml:space="preserve">, </w:t>
      </w:r>
      <w:r w:rsidR="00217317">
        <w:t xml:space="preserve">various issues, </w:t>
      </w:r>
      <w:r w:rsidR="00217317" w:rsidRPr="00BA5552">
        <w:t>Cat.</w:t>
      </w:r>
      <w:r w:rsidR="0011510B">
        <w:t> </w:t>
      </w:r>
      <w:r w:rsidR="00217317" w:rsidRPr="00BA5552">
        <w:t>no.</w:t>
      </w:r>
      <w:r w:rsidR="00217317">
        <w:t> </w:t>
      </w:r>
      <w:r w:rsidR="00217317" w:rsidRPr="00BA5552">
        <w:t>8159.0</w:t>
      </w:r>
      <w:r w:rsidR="00217317">
        <w:t xml:space="preserve">); </w:t>
      </w:r>
      <w:r>
        <w:t>ABS (</w:t>
      </w:r>
      <w:r>
        <w:rPr>
          <w:i/>
        </w:rPr>
        <w:t>Australian Industry</w:t>
      </w:r>
      <w:r>
        <w:t xml:space="preserve">, </w:t>
      </w:r>
      <w:r w:rsidRPr="00613E4C">
        <w:t>various issues,</w:t>
      </w:r>
      <w:r>
        <w:rPr>
          <w:i/>
        </w:rPr>
        <w:t xml:space="preserve"> </w:t>
      </w:r>
      <w:r>
        <w:t>Cat. no. 8155.0)</w:t>
      </w:r>
      <w:r w:rsidRPr="00A312B9">
        <w:t>; and</w:t>
      </w:r>
      <w:r>
        <w:rPr>
          <w:i/>
        </w:rPr>
        <w:t xml:space="preserve"> </w:t>
      </w:r>
      <w:r>
        <w:t>ABS (</w:t>
      </w:r>
      <w:r w:rsidRPr="00AD3F77">
        <w:t xml:space="preserve">unpublished </w:t>
      </w:r>
      <w:r>
        <w:t xml:space="preserve">Labour Force Survey </w:t>
      </w:r>
      <w:r w:rsidRPr="00AD3F77">
        <w:t>data).</w:t>
      </w:r>
    </w:p>
    <w:p w:rsidR="00CD1C83" w:rsidRDefault="00CD1C83" w:rsidP="00CD1C83">
      <w:pPr>
        <w:pStyle w:val="ListBullet"/>
        <w:spacing w:before="240"/>
      </w:pPr>
      <w:r>
        <w:t xml:space="preserve">For Meat, </w:t>
      </w:r>
      <w:proofErr w:type="spellStart"/>
      <w:r>
        <w:t>EAS</w:t>
      </w:r>
      <w:proofErr w:type="spellEnd"/>
      <w:r>
        <w:t xml:space="preserve"> employment grew more strongly between cycles than </w:t>
      </w:r>
      <w:proofErr w:type="spellStart"/>
      <w:r>
        <w:t>LFS</w:t>
      </w:r>
      <w:proofErr w:type="spellEnd"/>
      <w:r>
        <w:t xml:space="preserve"> employment or hours worked.</w:t>
      </w:r>
    </w:p>
    <w:p w:rsidR="00966616" w:rsidRDefault="00966616" w:rsidP="00966616">
      <w:pPr>
        <w:pStyle w:val="ListBullet"/>
      </w:pPr>
      <w:r>
        <w:t>For Sugar and confectionery, the opposite was the case. LFS employment and hours worked grew more strongly between cycles than EAS employment — mainly due to employment falling in the LFS but rising in the EAS over cycle 3.</w:t>
      </w:r>
    </w:p>
    <w:p w:rsidR="00966616" w:rsidRDefault="00966616" w:rsidP="00966616">
      <w:pPr>
        <w:pStyle w:val="ListBullet"/>
      </w:pPr>
      <w:r>
        <w:lastRenderedPageBreak/>
        <w:t>For Bakery, the ANZSIC change hampers comparisons. The large difference over cycle 4 is attributable to the addition of Non-factory bakery to Bakery in the EAS from 2006-07, while the LFS has been backcast to include Non-factory bakery throughout the period.</w:t>
      </w:r>
    </w:p>
    <w:p w:rsidR="00281645" w:rsidRDefault="005D7FA7" w:rsidP="00346D4B">
      <w:pPr>
        <w:pStyle w:val="Heading4"/>
      </w:pPr>
      <w:r>
        <w:t>Shift-share analysis of l</w:t>
      </w:r>
      <w:r w:rsidR="00281645">
        <w:t>abour intensity</w:t>
      </w:r>
    </w:p>
    <w:p w:rsidR="00C53E8B" w:rsidRDefault="00281645" w:rsidP="00CD1C83">
      <w:pPr>
        <w:pStyle w:val="BodyText"/>
        <w:spacing w:before="200"/>
        <w:rPr>
          <w:rFonts w:eastAsiaTheme="minorHAnsi"/>
          <w:lang w:eastAsia="en-US"/>
        </w:rPr>
      </w:pPr>
      <w:r>
        <w:rPr>
          <w:rFonts w:eastAsiaTheme="minorHAnsi"/>
          <w:lang w:eastAsia="en-US"/>
        </w:rPr>
        <w:t>Average l</w:t>
      </w:r>
      <w:r w:rsidRPr="00D62E43">
        <w:rPr>
          <w:rFonts w:eastAsiaTheme="minorHAnsi"/>
          <w:lang w:eastAsia="en-US"/>
        </w:rPr>
        <w:t xml:space="preserve">abour </w:t>
      </w:r>
      <w:r>
        <w:rPr>
          <w:rFonts w:eastAsiaTheme="minorHAnsi"/>
          <w:lang w:eastAsia="en-US"/>
        </w:rPr>
        <w:t xml:space="preserve">intensity </w:t>
      </w:r>
      <w:r w:rsidRPr="00D62E43">
        <w:rPr>
          <w:rFonts w:eastAsiaTheme="minorHAnsi"/>
          <w:lang w:eastAsia="en-US"/>
        </w:rPr>
        <w:t xml:space="preserve">in FBT, measured as </w:t>
      </w:r>
      <w:r>
        <w:rPr>
          <w:rFonts w:eastAsiaTheme="minorHAnsi"/>
          <w:lang w:eastAsia="en-US"/>
        </w:rPr>
        <w:t>employed persons per million</w:t>
      </w:r>
      <w:r w:rsidR="00C53E8B">
        <w:rPr>
          <w:rFonts w:eastAsiaTheme="minorHAnsi"/>
          <w:lang w:eastAsia="en-US"/>
        </w:rPr>
        <w:t xml:space="preserve"> dollars</w:t>
      </w:r>
      <w:r>
        <w:rPr>
          <w:rFonts w:eastAsiaTheme="minorHAnsi"/>
          <w:lang w:eastAsia="en-US"/>
        </w:rPr>
        <w:t xml:space="preserve"> of </w:t>
      </w:r>
      <w:r w:rsidRPr="00D62E43">
        <w:rPr>
          <w:rFonts w:eastAsiaTheme="minorHAnsi"/>
          <w:lang w:eastAsia="en-US"/>
        </w:rPr>
        <w:t xml:space="preserve">real </w:t>
      </w:r>
      <w:r w:rsidR="00AC5094">
        <w:rPr>
          <w:rFonts w:eastAsiaTheme="minorHAnsi"/>
          <w:lang w:eastAsia="en-US"/>
        </w:rPr>
        <w:t>VA</w:t>
      </w:r>
      <w:r w:rsidRPr="00D62E43">
        <w:rPr>
          <w:rFonts w:eastAsiaTheme="minorHAnsi"/>
          <w:lang w:eastAsia="en-US"/>
        </w:rPr>
        <w:t>,</w:t>
      </w:r>
      <w:r w:rsidR="00B144BE">
        <w:rPr>
          <w:rStyle w:val="FootnoteReference"/>
          <w:rFonts w:eastAsiaTheme="minorHAnsi"/>
          <w:lang w:eastAsia="en-US"/>
        </w:rPr>
        <w:footnoteReference w:id="5"/>
      </w:r>
      <w:r>
        <w:rPr>
          <w:rFonts w:eastAsiaTheme="minorHAnsi"/>
          <w:lang w:eastAsia="en-US"/>
        </w:rPr>
        <w:t xml:space="preserve"> increased</w:t>
      </w:r>
      <w:r w:rsidRPr="00D62E43">
        <w:rPr>
          <w:rFonts w:eastAsiaTheme="minorHAnsi"/>
          <w:lang w:eastAsia="en-US"/>
        </w:rPr>
        <w:t xml:space="preserve"> </w:t>
      </w:r>
      <w:r>
        <w:rPr>
          <w:rFonts w:eastAsiaTheme="minorHAnsi"/>
          <w:lang w:eastAsia="en-US"/>
        </w:rPr>
        <w:t>by 21.2 per cent between</w:t>
      </w:r>
      <w:r w:rsidRPr="00D62E43">
        <w:rPr>
          <w:rFonts w:eastAsiaTheme="minorHAnsi"/>
          <w:lang w:eastAsia="en-US"/>
        </w:rPr>
        <w:t xml:space="preserve"> 2003-04 </w:t>
      </w:r>
      <w:r w:rsidR="00EB1828">
        <w:rPr>
          <w:rFonts w:eastAsiaTheme="minorHAnsi"/>
          <w:lang w:eastAsia="en-US"/>
        </w:rPr>
        <w:t>and</w:t>
      </w:r>
      <w:r w:rsidRPr="00D62E43">
        <w:rPr>
          <w:rFonts w:eastAsiaTheme="minorHAnsi"/>
          <w:lang w:eastAsia="en-US"/>
        </w:rPr>
        <w:t xml:space="preserve"> 200</w:t>
      </w:r>
      <w:r>
        <w:rPr>
          <w:rFonts w:eastAsiaTheme="minorHAnsi"/>
          <w:lang w:eastAsia="en-US"/>
        </w:rPr>
        <w:t>6-07</w:t>
      </w:r>
      <w:r w:rsidRPr="00D62E43">
        <w:rPr>
          <w:rFonts w:eastAsiaTheme="minorHAnsi"/>
          <w:lang w:eastAsia="en-US"/>
        </w:rPr>
        <w:t xml:space="preserve"> (table</w:t>
      </w:r>
      <w:r w:rsidR="00C53E8B">
        <w:rPr>
          <w:rFonts w:eastAsiaTheme="minorHAnsi"/>
          <w:lang w:eastAsia="en-US"/>
        </w:rPr>
        <w:t> </w:t>
      </w:r>
      <w:proofErr w:type="spellStart"/>
      <w:r w:rsidR="00B06C44">
        <w:t>G.1</w:t>
      </w:r>
      <w:proofErr w:type="spellEnd"/>
      <w:r>
        <w:rPr>
          <w:rFonts w:eastAsiaTheme="minorHAnsi"/>
          <w:lang w:eastAsia="en-US"/>
        </w:rPr>
        <w:t>)</w:t>
      </w:r>
      <w:r w:rsidRPr="00D62E43">
        <w:rPr>
          <w:rFonts w:eastAsiaTheme="minorHAnsi"/>
          <w:lang w:eastAsia="en-US"/>
        </w:rPr>
        <w:t xml:space="preserve">. This is a significant </w:t>
      </w:r>
      <w:r>
        <w:rPr>
          <w:rFonts w:eastAsiaTheme="minorHAnsi"/>
          <w:lang w:eastAsia="en-US"/>
        </w:rPr>
        <w:t xml:space="preserve">increase, compared with </w:t>
      </w:r>
      <w:r w:rsidRPr="00D62E43">
        <w:rPr>
          <w:rFonts w:eastAsiaTheme="minorHAnsi"/>
          <w:lang w:eastAsia="en-US"/>
        </w:rPr>
        <w:t xml:space="preserve">the </w:t>
      </w:r>
      <w:r>
        <w:rPr>
          <w:rFonts w:eastAsiaTheme="minorHAnsi"/>
          <w:lang w:eastAsia="en-US"/>
        </w:rPr>
        <w:t>5.8</w:t>
      </w:r>
      <w:r w:rsidRPr="00D62E43">
        <w:rPr>
          <w:rFonts w:eastAsiaTheme="minorHAnsi"/>
          <w:lang w:eastAsia="en-US"/>
        </w:rPr>
        <w:t xml:space="preserve"> per cent </w:t>
      </w:r>
      <w:r>
        <w:rPr>
          <w:rFonts w:eastAsiaTheme="minorHAnsi"/>
          <w:lang w:eastAsia="en-US"/>
        </w:rPr>
        <w:t>decline between 1998</w:t>
      </w:r>
      <w:r w:rsidR="00CB31B2">
        <w:rPr>
          <w:rFonts w:eastAsiaTheme="minorHAnsi"/>
          <w:lang w:eastAsia="en-US"/>
        </w:rPr>
        <w:noBreakHyphen/>
      </w:r>
      <w:r>
        <w:rPr>
          <w:rFonts w:eastAsiaTheme="minorHAnsi"/>
          <w:lang w:eastAsia="en-US"/>
        </w:rPr>
        <w:t xml:space="preserve">99 </w:t>
      </w:r>
      <w:r w:rsidR="002B3D5F">
        <w:rPr>
          <w:rFonts w:eastAsiaTheme="minorHAnsi"/>
          <w:lang w:eastAsia="en-US"/>
        </w:rPr>
        <w:t>and</w:t>
      </w:r>
      <w:r>
        <w:rPr>
          <w:rFonts w:eastAsiaTheme="minorHAnsi"/>
          <w:lang w:eastAsia="en-US"/>
        </w:rPr>
        <w:t xml:space="preserve"> 2003-04 (</w:t>
      </w:r>
      <w:r w:rsidRPr="00D62E43">
        <w:rPr>
          <w:rFonts w:eastAsiaTheme="minorHAnsi"/>
          <w:lang w:eastAsia="en-US"/>
        </w:rPr>
        <w:t>cycle 3</w:t>
      </w:r>
      <w:r>
        <w:rPr>
          <w:rFonts w:eastAsiaTheme="minorHAnsi"/>
          <w:lang w:eastAsia="en-US"/>
        </w:rPr>
        <w:t>)</w:t>
      </w:r>
      <w:r w:rsidR="00C53E8B">
        <w:rPr>
          <w:rFonts w:eastAsiaTheme="minorHAnsi"/>
          <w:lang w:eastAsia="en-US"/>
        </w:rPr>
        <w:t xml:space="preserve"> — although the change in ANZSIC classification in 2006</w:t>
      </w:r>
      <w:r w:rsidR="00CB31B2">
        <w:rPr>
          <w:rFonts w:eastAsiaTheme="minorHAnsi"/>
          <w:lang w:eastAsia="en-US"/>
        </w:rPr>
        <w:noBreakHyphen/>
      </w:r>
      <w:r w:rsidR="00C53E8B">
        <w:rPr>
          <w:rFonts w:eastAsiaTheme="minorHAnsi"/>
          <w:lang w:eastAsia="en-US"/>
        </w:rPr>
        <w:t>07 is a factor in the increase (with the addition of non-factory baking).</w:t>
      </w:r>
    </w:p>
    <w:p w:rsidR="005D790C" w:rsidRDefault="00281645" w:rsidP="00CD1C83">
      <w:pPr>
        <w:pStyle w:val="BodyText"/>
        <w:spacing w:before="200"/>
        <w:rPr>
          <w:rFonts w:eastAsiaTheme="minorHAnsi"/>
          <w:lang w:eastAsia="en-US"/>
        </w:rPr>
      </w:pPr>
      <w:r>
        <w:rPr>
          <w:rFonts w:eastAsiaTheme="minorHAnsi"/>
          <w:lang w:eastAsia="en-US"/>
        </w:rPr>
        <w:t xml:space="preserve">Around 72 per cent of this increase </w:t>
      </w:r>
      <w:r w:rsidRPr="00D62E43">
        <w:rPr>
          <w:rFonts w:eastAsiaTheme="minorHAnsi"/>
          <w:lang w:eastAsia="en-US"/>
        </w:rPr>
        <w:t>(</w:t>
      </w:r>
      <w:r>
        <w:rPr>
          <w:rFonts w:eastAsiaTheme="minorHAnsi"/>
          <w:lang w:eastAsia="en-US"/>
        </w:rPr>
        <w:t>15.2</w:t>
      </w:r>
      <w:r w:rsidRPr="00D62E43">
        <w:rPr>
          <w:rFonts w:eastAsiaTheme="minorHAnsi"/>
          <w:lang w:eastAsia="en-US"/>
        </w:rPr>
        <w:t xml:space="preserve"> percentage points) was the result of </w:t>
      </w:r>
      <w:r>
        <w:rPr>
          <w:rFonts w:eastAsiaTheme="minorHAnsi"/>
          <w:lang w:eastAsia="en-US"/>
        </w:rPr>
        <w:t xml:space="preserve">changes in labour intensity </w:t>
      </w:r>
      <w:r w:rsidR="00C53E8B">
        <w:rPr>
          <w:rFonts w:eastAsiaTheme="minorHAnsi"/>
          <w:lang w:eastAsia="en-US"/>
        </w:rPr>
        <w:t>of</w:t>
      </w:r>
      <w:r w:rsidRPr="00D62E43">
        <w:rPr>
          <w:rFonts w:eastAsiaTheme="minorHAnsi"/>
          <w:lang w:eastAsia="en-US"/>
        </w:rPr>
        <w:t xml:space="preserve"> the FBT industry groups</w:t>
      </w:r>
      <w:r w:rsidR="005D7FA7">
        <w:rPr>
          <w:rFonts w:eastAsiaTheme="minorHAnsi"/>
          <w:lang w:eastAsia="en-US"/>
        </w:rPr>
        <w:t xml:space="preserve"> (the ‘shift’ effect)</w:t>
      </w:r>
      <w:r w:rsidR="00C53E8B">
        <w:rPr>
          <w:rFonts w:eastAsiaTheme="minorHAnsi"/>
          <w:lang w:eastAsia="en-US"/>
        </w:rPr>
        <w:t xml:space="preserve">, rather than a change in the relative </w:t>
      </w:r>
      <w:r w:rsidR="005D7FA7">
        <w:rPr>
          <w:rFonts w:eastAsiaTheme="minorHAnsi"/>
          <w:lang w:eastAsia="en-US"/>
        </w:rPr>
        <w:t>size of the FBT groups in VA terms (the ‘share’ effect)</w:t>
      </w:r>
      <w:r w:rsidR="00C53E8B">
        <w:rPr>
          <w:rFonts w:eastAsiaTheme="minorHAnsi"/>
          <w:lang w:eastAsia="en-US"/>
        </w:rPr>
        <w:t xml:space="preserve"> or the interaction of the shift and share effects</w:t>
      </w:r>
      <w:r w:rsidR="005D7FA7">
        <w:rPr>
          <w:rFonts w:eastAsiaTheme="minorHAnsi"/>
          <w:lang w:eastAsia="en-US"/>
        </w:rPr>
        <w:t xml:space="preserve"> (the ‘dynamic’ effect)</w:t>
      </w:r>
      <w:r w:rsidRPr="00D62E43">
        <w:rPr>
          <w:rFonts w:eastAsiaTheme="minorHAnsi"/>
          <w:lang w:eastAsia="en-US"/>
        </w:rPr>
        <w:t>.</w:t>
      </w:r>
      <w:r w:rsidR="00E7432B">
        <w:rPr>
          <w:rFonts w:eastAsiaTheme="minorHAnsi"/>
          <w:lang w:eastAsia="en-US"/>
        </w:rPr>
        <w:t xml:space="preserve"> </w:t>
      </w:r>
    </w:p>
    <w:p w:rsidR="00281645" w:rsidRDefault="00E7432B" w:rsidP="00CD1C83">
      <w:pPr>
        <w:pStyle w:val="BodyText"/>
        <w:spacing w:before="200"/>
        <w:rPr>
          <w:rFonts w:eastAsiaTheme="minorHAnsi"/>
          <w:lang w:eastAsia="en-US"/>
        </w:rPr>
      </w:pPr>
      <w:r>
        <w:rPr>
          <w:rFonts w:eastAsiaTheme="minorHAnsi"/>
          <w:lang w:eastAsia="en-US"/>
        </w:rPr>
        <w:t xml:space="preserve">Bakery manufacturing made the largest contribution to the ‘shift’ effect in labour intensity but part of this </w:t>
      </w:r>
      <w:r w:rsidR="003937CE">
        <w:rPr>
          <w:rFonts w:eastAsiaTheme="minorHAnsi"/>
          <w:lang w:eastAsia="en-US"/>
        </w:rPr>
        <w:t>wa</w:t>
      </w:r>
      <w:r>
        <w:rPr>
          <w:rFonts w:eastAsiaTheme="minorHAnsi"/>
          <w:lang w:eastAsia="en-US"/>
        </w:rPr>
        <w:t xml:space="preserve">s due to changes in ANZSIC. (Nevertheless, </w:t>
      </w:r>
      <w:r w:rsidR="005D790C">
        <w:rPr>
          <w:rFonts w:eastAsiaTheme="minorHAnsi"/>
          <w:lang w:eastAsia="en-US"/>
        </w:rPr>
        <w:t xml:space="preserve">labour intensity in FBT would still have increased and the </w:t>
      </w:r>
      <w:r>
        <w:rPr>
          <w:rFonts w:eastAsiaTheme="minorHAnsi"/>
          <w:lang w:eastAsia="en-US"/>
        </w:rPr>
        <w:t>‘shift’ effect would still have dominated if Bakery manufacturing was excluded from the analysis</w:t>
      </w:r>
      <w:r w:rsidR="00390032">
        <w:rPr>
          <w:rFonts w:eastAsiaTheme="minorHAnsi"/>
          <w:lang w:eastAsia="en-US"/>
        </w:rPr>
        <w:t>.</w:t>
      </w:r>
      <w:r>
        <w:rPr>
          <w:rFonts w:eastAsiaTheme="minorHAnsi"/>
          <w:lang w:eastAsia="en-US"/>
        </w:rPr>
        <w:t>)</w:t>
      </w:r>
    </w:p>
    <w:p w:rsidR="00281645" w:rsidRDefault="00281645">
      <w:pPr>
        <w:pStyle w:val="TableTitle"/>
      </w:pPr>
      <w:r>
        <w:rPr>
          <w:b w:val="0"/>
        </w:rPr>
        <w:t xml:space="preserve">Table </w:t>
      </w:r>
      <w:bookmarkStart w:id="12" w:name="OLE_LINK18"/>
      <w:proofErr w:type="spellStart"/>
      <w:r w:rsidR="00B06C44">
        <w:rPr>
          <w:b w:val="0"/>
        </w:rPr>
        <w:t>G.</w:t>
      </w:r>
      <w:r w:rsidR="00FE417C">
        <w:rPr>
          <w:b w:val="0"/>
          <w:noProof/>
        </w:rPr>
        <w:t>1</w:t>
      </w:r>
      <w:bookmarkEnd w:id="12"/>
      <w:proofErr w:type="spellEnd"/>
      <w:r>
        <w:tab/>
        <w:t>S</w:t>
      </w:r>
      <w:r w:rsidRPr="00D62E43">
        <w:t>hift</w:t>
      </w:r>
      <w:r>
        <w:t>-</w:t>
      </w:r>
      <w:r w:rsidRPr="00D62E43">
        <w:t>share analysis</w:t>
      </w:r>
      <w:r>
        <w:t xml:space="preserve"> of FBT labour intensity, </w:t>
      </w:r>
      <w:r w:rsidRPr="00281645">
        <w:t>2003-04 to 2006-07</w:t>
      </w:r>
    </w:p>
    <w:p w:rsidR="00281645" w:rsidRDefault="00281645">
      <w:pPr>
        <w:pStyle w:val="Subtitle"/>
      </w:pPr>
      <w:r>
        <w:t>Percentage points</w:t>
      </w:r>
    </w:p>
    <w:tbl>
      <w:tblPr>
        <w:tblW w:w="5000" w:type="pct"/>
        <w:tblCellMar>
          <w:left w:w="0" w:type="dxa"/>
          <w:right w:w="0" w:type="dxa"/>
        </w:tblCellMar>
        <w:tblLook w:val="0000" w:firstRow="0" w:lastRow="0" w:firstColumn="0" w:lastColumn="0" w:noHBand="0" w:noVBand="0"/>
      </w:tblPr>
      <w:tblGrid>
        <w:gridCol w:w="2931"/>
        <w:gridCol w:w="1465"/>
        <w:gridCol w:w="1465"/>
        <w:gridCol w:w="1464"/>
        <w:gridCol w:w="1464"/>
      </w:tblGrid>
      <w:tr w:rsidR="00281645" w:rsidRPr="00C53E8B" w:rsidTr="006C501D">
        <w:tc>
          <w:tcPr>
            <w:tcW w:w="1667" w:type="pct"/>
            <w:tcBorders>
              <w:top w:val="single" w:sz="6" w:space="0" w:color="auto"/>
              <w:bottom w:val="single" w:sz="4" w:space="0" w:color="auto"/>
            </w:tcBorders>
            <w:shd w:val="clear" w:color="auto" w:fill="auto"/>
          </w:tcPr>
          <w:p w:rsidR="00281645" w:rsidRPr="00C53E8B" w:rsidRDefault="00281645" w:rsidP="006C501D">
            <w:pPr>
              <w:pStyle w:val="TableColumnHeading"/>
              <w:jc w:val="left"/>
            </w:pPr>
            <w:r w:rsidRPr="00C53E8B">
              <w:t>ANZSIC group</w:t>
            </w:r>
          </w:p>
        </w:tc>
        <w:tc>
          <w:tcPr>
            <w:tcW w:w="833" w:type="pct"/>
            <w:tcBorders>
              <w:top w:val="single" w:sz="6" w:space="0" w:color="auto"/>
              <w:bottom w:val="single" w:sz="4" w:space="0" w:color="auto"/>
            </w:tcBorders>
            <w:shd w:val="clear" w:color="auto" w:fill="auto"/>
          </w:tcPr>
          <w:p w:rsidR="00281645" w:rsidRPr="00C53E8B" w:rsidRDefault="00281645" w:rsidP="00C53E8B">
            <w:pPr>
              <w:pStyle w:val="TableColumnHeading"/>
            </w:pPr>
            <w:r w:rsidRPr="00C53E8B">
              <w:t>'Shift'</w:t>
            </w:r>
          </w:p>
        </w:tc>
        <w:tc>
          <w:tcPr>
            <w:tcW w:w="833" w:type="pct"/>
            <w:tcBorders>
              <w:top w:val="single" w:sz="6" w:space="0" w:color="auto"/>
              <w:bottom w:val="single" w:sz="4" w:space="0" w:color="auto"/>
            </w:tcBorders>
            <w:shd w:val="clear" w:color="auto" w:fill="auto"/>
          </w:tcPr>
          <w:p w:rsidR="00281645" w:rsidRPr="00482284" w:rsidRDefault="00281645" w:rsidP="00C53E8B">
            <w:pPr>
              <w:pStyle w:val="TableColumnHeading"/>
            </w:pPr>
            <w:r w:rsidRPr="00482284">
              <w:t xml:space="preserve">'Share' </w:t>
            </w:r>
          </w:p>
        </w:tc>
        <w:tc>
          <w:tcPr>
            <w:tcW w:w="833" w:type="pct"/>
            <w:tcBorders>
              <w:top w:val="single" w:sz="6" w:space="0" w:color="auto"/>
              <w:bottom w:val="single" w:sz="4" w:space="0" w:color="auto"/>
            </w:tcBorders>
            <w:shd w:val="clear" w:color="auto" w:fill="auto"/>
          </w:tcPr>
          <w:p w:rsidR="00281645" w:rsidRPr="00C53E8B" w:rsidRDefault="00281645" w:rsidP="00C53E8B">
            <w:pPr>
              <w:pStyle w:val="TableColumnHeading"/>
            </w:pPr>
            <w:r w:rsidRPr="00C53E8B">
              <w:t>'Dynamic'</w:t>
            </w:r>
          </w:p>
        </w:tc>
        <w:tc>
          <w:tcPr>
            <w:tcW w:w="833" w:type="pct"/>
            <w:tcBorders>
              <w:top w:val="single" w:sz="6" w:space="0" w:color="auto"/>
              <w:bottom w:val="single" w:sz="4" w:space="0" w:color="auto"/>
            </w:tcBorders>
            <w:shd w:val="clear" w:color="auto" w:fill="auto"/>
          </w:tcPr>
          <w:p w:rsidR="00281645" w:rsidRPr="00C53E8B" w:rsidRDefault="00281645" w:rsidP="00C53E8B">
            <w:pPr>
              <w:pStyle w:val="TableColumnHeading"/>
            </w:pPr>
            <w:r w:rsidRPr="00C53E8B">
              <w:t>Total</w:t>
            </w:r>
          </w:p>
        </w:tc>
      </w:tr>
      <w:tr w:rsidR="00B144BE" w:rsidTr="00561212">
        <w:tc>
          <w:tcPr>
            <w:tcW w:w="1667" w:type="pct"/>
            <w:tcBorders>
              <w:top w:val="single" w:sz="4" w:space="0" w:color="auto"/>
            </w:tcBorders>
            <w:shd w:val="clear" w:color="auto" w:fill="D9D9D9" w:themeFill="background1" w:themeFillShade="D9"/>
            <w:vAlign w:val="bottom"/>
          </w:tcPr>
          <w:p w:rsidR="00B144BE" w:rsidRDefault="00B144BE" w:rsidP="006C501D">
            <w:pPr>
              <w:pStyle w:val="TableBodyText"/>
              <w:jc w:val="left"/>
            </w:pPr>
            <w:r w:rsidRPr="00D62E43">
              <w:t>Meat</w:t>
            </w:r>
          </w:p>
        </w:tc>
        <w:tc>
          <w:tcPr>
            <w:tcW w:w="833" w:type="pct"/>
            <w:tcBorders>
              <w:top w:val="single" w:sz="4" w:space="0" w:color="auto"/>
            </w:tcBorders>
            <w:shd w:val="clear" w:color="auto" w:fill="D9D9D9" w:themeFill="background1" w:themeFillShade="D9"/>
            <w:vAlign w:val="bottom"/>
          </w:tcPr>
          <w:p w:rsidR="00B144BE" w:rsidRDefault="00B144BE" w:rsidP="006C501D">
            <w:pPr>
              <w:pStyle w:val="TableBodyText"/>
            </w:pPr>
            <w:r w:rsidRPr="008E6630">
              <w:t>1.7</w:t>
            </w:r>
          </w:p>
        </w:tc>
        <w:tc>
          <w:tcPr>
            <w:tcW w:w="833" w:type="pct"/>
            <w:tcBorders>
              <w:top w:val="single" w:sz="4" w:space="0" w:color="auto"/>
            </w:tcBorders>
            <w:shd w:val="clear" w:color="auto" w:fill="D9D9D9" w:themeFill="background1" w:themeFillShade="D9"/>
            <w:vAlign w:val="bottom"/>
          </w:tcPr>
          <w:p w:rsidR="00B144BE" w:rsidRDefault="00B144BE" w:rsidP="006C501D">
            <w:pPr>
              <w:pStyle w:val="TableBodyText"/>
            </w:pPr>
            <w:r w:rsidRPr="008E6630">
              <w:t>0.7</w:t>
            </w:r>
          </w:p>
        </w:tc>
        <w:tc>
          <w:tcPr>
            <w:tcW w:w="833" w:type="pct"/>
            <w:tcBorders>
              <w:top w:val="single" w:sz="4" w:space="0" w:color="auto"/>
            </w:tcBorders>
            <w:shd w:val="clear" w:color="auto" w:fill="D9D9D9" w:themeFill="background1" w:themeFillShade="D9"/>
            <w:vAlign w:val="bottom"/>
          </w:tcPr>
          <w:p w:rsidR="00B144BE" w:rsidRDefault="00B144BE" w:rsidP="006C501D">
            <w:pPr>
              <w:pStyle w:val="TableBodyText"/>
            </w:pPr>
            <w:r w:rsidRPr="008E6630">
              <w:t>0.0</w:t>
            </w:r>
          </w:p>
        </w:tc>
        <w:tc>
          <w:tcPr>
            <w:tcW w:w="833" w:type="pct"/>
            <w:tcBorders>
              <w:top w:val="single" w:sz="4" w:space="0" w:color="auto"/>
            </w:tcBorders>
            <w:shd w:val="clear" w:color="auto" w:fill="D9D9D9" w:themeFill="background1" w:themeFillShade="D9"/>
            <w:vAlign w:val="bottom"/>
          </w:tcPr>
          <w:p w:rsidR="00B144BE" w:rsidRDefault="00B144BE" w:rsidP="006C501D">
            <w:pPr>
              <w:pStyle w:val="TableBodyText"/>
            </w:pPr>
            <w:r>
              <w:t>2.4</w:t>
            </w:r>
          </w:p>
        </w:tc>
      </w:tr>
      <w:tr w:rsidR="00B144BE" w:rsidTr="006C501D">
        <w:tc>
          <w:tcPr>
            <w:tcW w:w="1667" w:type="pct"/>
            <w:vAlign w:val="bottom"/>
          </w:tcPr>
          <w:p w:rsidR="00B144BE" w:rsidRDefault="00B144BE" w:rsidP="006C501D">
            <w:pPr>
              <w:pStyle w:val="TableBodyText"/>
              <w:jc w:val="left"/>
            </w:pPr>
            <w:r w:rsidRPr="00D62E43">
              <w:t>Seafood</w:t>
            </w:r>
          </w:p>
        </w:tc>
        <w:tc>
          <w:tcPr>
            <w:tcW w:w="833" w:type="pct"/>
            <w:vAlign w:val="bottom"/>
          </w:tcPr>
          <w:p w:rsidR="00B144BE" w:rsidRDefault="00B144BE" w:rsidP="006C501D">
            <w:pPr>
              <w:pStyle w:val="TableBodyText"/>
            </w:pPr>
            <w:r w:rsidRPr="008E6630">
              <w:t>0.9</w:t>
            </w:r>
          </w:p>
        </w:tc>
        <w:tc>
          <w:tcPr>
            <w:tcW w:w="833" w:type="pct"/>
            <w:vAlign w:val="bottom"/>
          </w:tcPr>
          <w:p w:rsidR="00B144BE" w:rsidRDefault="00B144BE" w:rsidP="006C501D">
            <w:pPr>
              <w:pStyle w:val="TableBodyText"/>
            </w:pPr>
            <w:r w:rsidRPr="008E6630">
              <w:t>-1.2</w:t>
            </w:r>
          </w:p>
        </w:tc>
        <w:tc>
          <w:tcPr>
            <w:tcW w:w="833" w:type="pct"/>
            <w:vAlign w:val="bottom"/>
          </w:tcPr>
          <w:p w:rsidR="00B144BE" w:rsidRDefault="00B144BE" w:rsidP="006C501D">
            <w:pPr>
              <w:pStyle w:val="TableBodyText"/>
            </w:pPr>
            <w:r w:rsidRPr="008E6630">
              <w:t>-0.5</w:t>
            </w:r>
          </w:p>
        </w:tc>
        <w:tc>
          <w:tcPr>
            <w:tcW w:w="833" w:type="pct"/>
            <w:vAlign w:val="bottom"/>
          </w:tcPr>
          <w:p w:rsidR="00B144BE" w:rsidRDefault="00B144BE" w:rsidP="006C501D">
            <w:pPr>
              <w:pStyle w:val="TableBodyText"/>
            </w:pPr>
            <w:r>
              <w:t>-0.8</w:t>
            </w:r>
          </w:p>
        </w:tc>
      </w:tr>
      <w:tr w:rsidR="00B144BE" w:rsidTr="00561212">
        <w:tc>
          <w:tcPr>
            <w:tcW w:w="1667" w:type="pct"/>
            <w:shd w:val="clear" w:color="auto" w:fill="D9D9D9" w:themeFill="background1" w:themeFillShade="D9"/>
            <w:vAlign w:val="bottom"/>
          </w:tcPr>
          <w:p w:rsidR="00B144BE" w:rsidRDefault="00B144BE" w:rsidP="006C501D">
            <w:pPr>
              <w:pStyle w:val="TableBodyText"/>
              <w:jc w:val="left"/>
            </w:pPr>
            <w:r w:rsidRPr="00D62E43">
              <w:t>Dairy</w:t>
            </w:r>
          </w:p>
        </w:tc>
        <w:tc>
          <w:tcPr>
            <w:tcW w:w="833" w:type="pct"/>
            <w:shd w:val="clear" w:color="auto" w:fill="D9D9D9" w:themeFill="background1" w:themeFillShade="D9"/>
            <w:vAlign w:val="bottom"/>
          </w:tcPr>
          <w:p w:rsidR="00B144BE" w:rsidRDefault="00B144BE" w:rsidP="006C501D">
            <w:pPr>
              <w:pStyle w:val="TableBodyText"/>
            </w:pPr>
            <w:r w:rsidRPr="008E6630">
              <w:t>-1.5</w:t>
            </w:r>
          </w:p>
        </w:tc>
        <w:tc>
          <w:tcPr>
            <w:tcW w:w="833" w:type="pct"/>
            <w:shd w:val="clear" w:color="auto" w:fill="D9D9D9" w:themeFill="background1" w:themeFillShade="D9"/>
            <w:vAlign w:val="bottom"/>
          </w:tcPr>
          <w:p w:rsidR="00B144BE" w:rsidRDefault="00B144BE" w:rsidP="006C501D">
            <w:pPr>
              <w:pStyle w:val="TableBodyText"/>
            </w:pPr>
            <w:r w:rsidRPr="008E6630">
              <w:t>1.1</w:t>
            </w:r>
          </w:p>
        </w:tc>
        <w:tc>
          <w:tcPr>
            <w:tcW w:w="833" w:type="pct"/>
            <w:shd w:val="clear" w:color="auto" w:fill="D9D9D9" w:themeFill="background1" w:themeFillShade="D9"/>
            <w:vAlign w:val="bottom"/>
          </w:tcPr>
          <w:p w:rsidR="00B144BE" w:rsidRDefault="00B144BE" w:rsidP="006C501D">
            <w:pPr>
              <w:pStyle w:val="TableBodyText"/>
            </w:pPr>
            <w:r w:rsidRPr="008E6630">
              <w:t>-0.2</w:t>
            </w:r>
          </w:p>
        </w:tc>
        <w:tc>
          <w:tcPr>
            <w:tcW w:w="833" w:type="pct"/>
            <w:shd w:val="clear" w:color="auto" w:fill="D9D9D9" w:themeFill="background1" w:themeFillShade="D9"/>
            <w:vAlign w:val="bottom"/>
          </w:tcPr>
          <w:p w:rsidR="00B144BE" w:rsidRDefault="00B144BE" w:rsidP="006C501D">
            <w:pPr>
              <w:pStyle w:val="TableBodyText"/>
            </w:pPr>
            <w:r>
              <w:t>-0.5</w:t>
            </w:r>
          </w:p>
        </w:tc>
      </w:tr>
      <w:tr w:rsidR="00B144BE" w:rsidTr="006C501D">
        <w:tc>
          <w:tcPr>
            <w:tcW w:w="1667" w:type="pct"/>
            <w:shd w:val="clear" w:color="auto" w:fill="auto"/>
            <w:vAlign w:val="bottom"/>
          </w:tcPr>
          <w:p w:rsidR="00B144BE" w:rsidRPr="00D62E43" w:rsidRDefault="00B144BE" w:rsidP="006C501D">
            <w:pPr>
              <w:pStyle w:val="TableBodyText"/>
              <w:jc w:val="left"/>
            </w:pPr>
            <w:r w:rsidRPr="00D62E43">
              <w:t>Fruit &amp; vegetables</w:t>
            </w:r>
          </w:p>
        </w:tc>
        <w:tc>
          <w:tcPr>
            <w:tcW w:w="833" w:type="pct"/>
            <w:shd w:val="clear" w:color="auto" w:fill="auto"/>
            <w:vAlign w:val="bottom"/>
          </w:tcPr>
          <w:p w:rsidR="00B144BE" w:rsidRDefault="00B144BE" w:rsidP="006C501D">
            <w:pPr>
              <w:pStyle w:val="TableBodyText"/>
            </w:pPr>
            <w:r w:rsidRPr="008E6630">
              <w:t>2.3</w:t>
            </w:r>
          </w:p>
        </w:tc>
        <w:tc>
          <w:tcPr>
            <w:tcW w:w="833" w:type="pct"/>
            <w:shd w:val="clear" w:color="auto" w:fill="auto"/>
            <w:vAlign w:val="bottom"/>
          </w:tcPr>
          <w:p w:rsidR="00B144BE" w:rsidRDefault="00B144BE" w:rsidP="006C501D">
            <w:pPr>
              <w:pStyle w:val="TableBodyText"/>
            </w:pPr>
            <w:r w:rsidRPr="008E6630">
              <w:t>-1.3</w:t>
            </w:r>
          </w:p>
        </w:tc>
        <w:tc>
          <w:tcPr>
            <w:tcW w:w="833" w:type="pct"/>
            <w:shd w:val="clear" w:color="auto" w:fill="auto"/>
            <w:vAlign w:val="bottom"/>
          </w:tcPr>
          <w:p w:rsidR="00B144BE" w:rsidRDefault="00B144BE" w:rsidP="006C501D">
            <w:pPr>
              <w:pStyle w:val="TableBodyText"/>
            </w:pPr>
            <w:r w:rsidRPr="008E6630">
              <w:t>-0.4</w:t>
            </w:r>
          </w:p>
        </w:tc>
        <w:tc>
          <w:tcPr>
            <w:tcW w:w="833" w:type="pct"/>
            <w:shd w:val="clear" w:color="auto" w:fill="auto"/>
            <w:vAlign w:val="bottom"/>
          </w:tcPr>
          <w:p w:rsidR="00B144BE" w:rsidRDefault="00B144BE" w:rsidP="006C501D">
            <w:pPr>
              <w:pStyle w:val="TableBodyText"/>
            </w:pPr>
            <w:r>
              <w:t>0.5</w:t>
            </w:r>
          </w:p>
        </w:tc>
      </w:tr>
      <w:tr w:rsidR="00B144BE" w:rsidTr="00561212">
        <w:tc>
          <w:tcPr>
            <w:tcW w:w="1667" w:type="pct"/>
            <w:shd w:val="clear" w:color="auto" w:fill="D9D9D9" w:themeFill="background1" w:themeFillShade="D9"/>
            <w:vAlign w:val="bottom"/>
          </w:tcPr>
          <w:p w:rsidR="00B144BE" w:rsidRPr="00D62E43" w:rsidRDefault="00B144BE" w:rsidP="006C501D">
            <w:pPr>
              <w:pStyle w:val="TableBodyText"/>
              <w:jc w:val="left"/>
            </w:pPr>
            <w:r w:rsidRPr="00D62E43">
              <w:t>Oil &amp; fat</w:t>
            </w:r>
          </w:p>
        </w:tc>
        <w:tc>
          <w:tcPr>
            <w:tcW w:w="833" w:type="pct"/>
            <w:shd w:val="clear" w:color="auto" w:fill="D9D9D9" w:themeFill="background1" w:themeFillShade="D9"/>
            <w:vAlign w:val="bottom"/>
          </w:tcPr>
          <w:p w:rsidR="00B144BE" w:rsidRDefault="00B144BE" w:rsidP="006C501D">
            <w:pPr>
              <w:pStyle w:val="TableBodyText"/>
            </w:pPr>
            <w:r w:rsidRPr="008E6630">
              <w:t>0.1</w:t>
            </w:r>
          </w:p>
        </w:tc>
        <w:tc>
          <w:tcPr>
            <w:tcW w:w="833" w:type="pct"/>
            <w:shd w:val="clear" w:color="auto" w:fill="D9D9D9" w:themeFill="background1" w:themeFillShade="D9"/>
            <w:vAlign w:val="bottom"/>
          </w:tcPr>
          <w:p w:rsidR="00B144BE" w:rsidRDefault="00B144BE" w:rsidP="006C501D">
            <w:pPr>
              <w:pStyle w:val="TableBodyText"/>
            </w:pPr>
            <w:r w:rsidRPr="008E6630">
              <w:t>-0.6</w:t>
            </w:r>
          </w:p>
        </w:tc>
        <w:tc>
          <w:tcPr>
            <w:tcW w:w="833" w:type="pct"/>
            <w:shd w:val="clear" w:color="auto" w:fill="D9D9D9" w:themeFill="background1" w:themeFillShade="D9"/>
            <w:vAlign w:val="bottom"/>
          </w:tcPr>
          <w:p w:rsidR="00B144BE" w:rsidRDefault="00B144BE" w:rsidP="006C501D">
            <w:pPr>
              <w:pStyle w:val="TableBodyText"/>
            </w:pPr>
            <w:r w:rsidRPr="008E6630">
              <w:t>-0.1</w:t>
            </w:r>
          </w:p>
        </w:tc>
        <w:tc>
          <w:tcPr>
            <w:tcW w:w="833" w:type="pct"/>
            <w:shd w:val="clear" w:color="auto" w:fill="D9D9D9" w:themeFill="background1" w:themeFillShade="D9"/>
            <w:vAlign w:val="bottom"/>
          </w:tcPr>
          <w:p w:rsidR="00B144BE" w:rsidRDefault="00B144BE" w:rsidP="006C501D">
            <w:pPr>
              <w:pStyle w:val="TableBodyText"/>
            </w:pPr>
            <w:r>
              <w:t>-0.6</w:t>
            </w:r>
          </w:p>
        </w:tc>
      </w:tr>
      <w:tr w:rsidR="00B144BE" w:rsidTr="006C501D">
        <w:tc>
          <w:tcPr>
            <w:tcW w:w="1667" w:type="pct"/>
            <w:shd w:val="clear" w:color="auto" w:fill="auto"/>
            <w:vAlign w:val="bottom"/>
          </w:tcPr>
          <w:p w:rsidR="00B144BE" w:rsidRPr="00D62E43" w:rsidRDefault="00B144BE" w:rsidP="006C501D">
            <w:pPr>
              <w:pStyle w:val="TableBodyText"/>
              <w:jc w:val="left"/>
            </w:pPr>
            <w:r w:rsidRPr="00D62E43">
              <w:t>Grain &amp; cereal</w:t>
            </w:r>
          </w:p>
        </w:tc>
        <w:tc>
          <w:tcPr>
            <w:tcW w:w="833" w:type="pct"/>
            <w:shd w:val="clear" w:color="auto" w:fill="auto"/>
            <w:vAlign w:val="bottom"/>
          </w:tcPr>
          <w:p w:rsidR="00B144BE" w:rsidRDefault="00B144BE" w:rsidP="006C501D">
            <w:pPr>
              <w:pStyle w:val="TableBodyText"/>
            </w:pPr>
            <w:r w:rsidRPr="008E6630">
              <w:t>-0.1</w:t>
            </w:r>
          </w:p>
        </w:tc>
        <w:tc>
          <w:tcPr>
            <w:tcW w:w="833" w:type="pct"/>
            <w:shd w:val="clear" w:color="auto" w:fill="auto"/>
            <w:vAlign w:val="bottom"/>
          </w:tcPr>
          <w:p w:rsidR="00B144BE" w:rsidRDefault="00B144BE" w:rsidP="006C501D">
            <w:pPr>
              <w:pStyle w:val="TableBodyText"/>
            </w:pPr>
            <w:r w:rsidRPr="008E6630">
              <w:t>-0.1</w:t>
            </w:r>
          </w:p>
        </w:tc>
        <w:tc>
          <w:tcPr>
            <w:tcW w:w="833" w:type="pct"/>
            <w:shd w:val="clear" w:color="auto" w:fill="auto"/>
            <w:vAlign w:val="bottom"/>
          </w:tcPr>
          <w:p w:rsidR="00B144BE" w:rsidRDefault="00B144BE" w:rsidP="006C501D">
            <w:pPr>
              <w:pStyle w:val="TableBodyText"/>
            </w:pPr>
            <w:r w:rsidRPr="008E6630">
              <w:t>0.0</w:t>
            </w:r>
          </w:p>
        </w:tc>
        <w:tc>
          <w:tcPr>
            <w:tcW w:w="833" w:type="pct"/>
            <w:shd w:val="clear" w:color="auto" w:fill="auto"/>
            <w:vAlign w:val="bottom"/>
          </w:tcPr>
          <w:p w:rsidR="00B144BE" w:rsidRDefault="00B144BE" w:rsidP="006C501D">
            <w:pPr>
              <w:pStyle w:val="TableBodyText"/>
            </w:pPr>
            <w:r>
              <w:t>-0.2</w:t>
            </w:r>
          </w:p>
        </w:tc>
      </w:tr>
      <w:tr w:rsidR="00B144BE" w:rsidTr="00561212">
        <w:tc>
          <w:tcPr>
            <w:tcW w:w="1667" w:type="pct"/>
            <w:shd w:val="clear" w:color="auto" w:fill="D9D9D9" w:themeFill="background1" w:themeFillShade="D9"/>
            <w:vAlign w:val="bottom"/>
          </w:tcPr>
          <w:p w:rsidR="00B144BE" w:rsidRPr="00D62E43" w:rsidRDefault="00B144BE" w:rsidP="006C501D">
            <w:pPr>
              <w:pStyle w:val="TableBodyText"/>
              <w:jc w:val="left"/>
            </w:pPr>
            <w:r w:rsidRPr="00D62E43">
              <w:t>Bakery</w:t>
            </w:r>
          </w:p>
        </w:tc>
        <w:tc>
          <w:tcPr>
            <w:tcW w:w="833" w:type="pct"/>
            <w:shd w:val="clear" w:color="auto" w:fill="D9D9D9" w:themeFill="background1" w:themeFillShade="D9"/>
            <w:vAlign w:val="bottom"/>
          </w:tcPr>
          <w:p w:rsidR="00B144BE" w:rsidRDefault="00B144BE" w:rsidP="006C501D">
            <w:pPr>
              <w:pStyle w:val="TableBodyText"/>
            </w:pPr>
            <w:r w:rsidRPr="008E6630">
              <w:t>8.8</w:t>
            </w:r>
          </w:p>
        </w:tc>
        <w:tc>
          <w:tcPr>
            <w:tcW w:w="833" w:type="pct"/>
            <w:shd w:val="clear" w:color="auto" w:fill="D9D9D9" w:themeFill="background1" w:themeFillShade="D9"/>
            <w:vAlign w:val="bottom"/>
          </w:tcPr>
          <w:p w:rsidR="00B144BE" w:rsidRDefault="00B144BE" w:rsidP="006C501D">
            <w:pPr>
              <w:pStyle w:val="TableBodyText"/>
            </w:pPr>
            <w:r w:rsidRPr="008E6630">
              <w:t>6.5</w:t>
            </w:r>
          </w:p>
        </w:tc>
        <w:tc>
          <w:tcPr>
            <w:tcW w:w="833" w:type="pct"/>
            <w:shd w:val="clear" w:color="auto" w:fill="D9D9D9" w:themeFill="background1" w:themeFillShade="D9"/>
            <w:vAlign w:val="bottom"/>
          </w:tcPr>
          <w:p w:rsidR="00B144BE" w:rsidRDefault="00B144BE" w:rsidP="006C501D">
            <w:pPr>
              <w:pStyle w:val="TableBodyText"/>
            </w:pPr>
            <w:r w:rsidRPr="008E6630">
              <w:t>4.4</w:t>
            </w:r>
          </w:p>
        </w:tc>
        <w:tc>
          <w:tcPr>
            <w:tcW w:w="833" w:type="pct"/>
            <w:shd w:val="clear" w:color="auto" w:fill="D9D9D9" w:themeFill="background1" w:themeFillShade="D9"/>
            <w:vAlign w:val="bottom"/>
          </w:tcPr>
          <w:p w:rsidR="00B144BE" w:rsidRDefault="00B144BE" w:rsidP="006C501D">
            <w:pPr>
              <w:pStyle w:val="TableBodyText"/>
            </w:pPr>
            <w:r>
              <w:t>19.7</w:t>
            </w:r>
          </w:p>
        </w:tc>
      </w:tr>
      <w:tr w:rsidR="00B144BE" w:rsidTr="006C501D">
        <w:tc>
          <w:tcPr>
            <w:tcW w:w="1667" w:type="pct"/>
            <w:shd w:val="clear" w:color="auto" w:fill="auto"/>
            <w:vAlign w:val="bottom"/>
          </w:tcPr>
          <w:p w:rsidR="00B144BE" w:rsidRPr="00D62E43" w:rsidRDefault="00B144BE" w:rsidP="006C501D">
            <w:pPr>
              <w:pStyle w:val="TableBodyText"/>
              <w:jc w:val="left"/>
            </w:pPr>
            <w:r w:rsidRPr="00D62E43">
              <w:t>Sugar &amp; confectionery</w:t>
            </w:r>
          </w:p>
        </w:tc>
        <w:tc>
          <w:tcPr>
            <w:tcW w:w="833" w:type="pct"/>
            <w:shd w:val="clear" w:color="auto" w:fill="auto"/>
            <w:vAlign w:val="bottom"/>
          </w:tcPr>
          <w:p w:rsidR="00B144BE" w:rsidRDefault="00B144BE" w:rsidP="006C501D">
            <w:pPr>
              <w:pStyle w:val="TableBodyText"/>
            </w:pPr>
            <w:r w:rsidRPr="008E6630">
              <w:t>0.0</w:t>
            </w:r>
          </w:p>
        </w:tc>
        <w:tc>
          <w:tcPr>
            <w:tcW w:w="833" w:type="pct"/>
            <w:shd w:val="clear" w:color="auto" w:fill="auto"/>
            <w:vAlign w:val="bottom"/>
          </w:tcPr>
          <w:p w:rsidR="00B144BE" w:rsidRDefault="00B144BE" w:rsidP="006C501D">
            <w:pPr>
              <w:pStyle w:val="TableBodyText"/>
            </w:pPr>
            <w:r w:rsidRPr="008E6630">
              <w:t>0.7</w:t>
            </w:r>
          </w:p>
        </w:tc>
        <w:tc>
          <w:tcPr>
            <w:tcW w:w="833" w:type="pct"/>
            <w:shd w:val="clear" w:color="auto" w:fill="auto"/>
            <w:vAlign w:val="bottom"/>
          </w:tcPr>
          <w:p w:rsidR="00B144BE" w:rsidRDefault="00B144BE" w:rsidP="006C501D">
            <w:pPr>
              <w:pStyle w:val="TableBodyText"/>
            </w:pPr>
            <w:r w:rsidRPr="008E6630">
              <w:t>0.0</w:t>
            </w:r>
          </w:p>
        </w:tc>
        <w:tc>
          <w:tcPr>
            <w:tcW w:w="833" w:type="pct"/>
            <w:shd w:val="clear" w:color="auto" w:fill="auto"/>
            <w:vAlign w:val="bottom"/>
          </w:tcPr>
          <w:p w:rsidR="00B144BE" w:rsidRDefault="00B144BE" w:rsidP="006C501D">
            <w:pPr>
              <w:pStyle w:val="TableBodyText"/>
            </w:pPr>
            <w:r>
              <w:t>0.7</w:t>
            </w:r>
          </w:p>
        </w:tc>
      </w:tr>
      <w:tr w:rsidR="00B144BE" w:rsidTr="00561212">
        <w:tc>
          <w:tcPr>
            <w:tcW w:w="1667" w:type="pct"/>
            <w:shd w:val="clear" w:color="auto" w:fill="D9D9D9" w:themeFill="background1" w:themeFillShade="D9"/>
            <w:vAlign w:val="bottom"/>
          </w:tcPr>
          <w:p w:rsidR="00B144BE" w:rsidRPr="00D62E43" w:rsidRDefault="00B144BE" w:rsidP="006C501D">
            <w:pPr>
              <w:pStyle w:val="TableBodyText"/>
              <w:jc w:val="left"/>
            </w:pPr>
            <w:r w:rsidRPr="00D62E43">
              <w:t>Other food</w:t>
            </w:r>
          </w:p>
        </w:tc>
        <w:tc>
          <w:tcPr>
            <w:tcW w:w="833" w:type="pct"/>
            <w:shd w:val="clear" w:color="auto" w:fill="D9D9D9" w:themeFill="background1" w:themeFillShade="D9"/>
            <w:vAlign w:val="bottom"/>
          </w:tcPr>
          <w:p w:rsidR="00B144BE" w:rsidRDefault="00B144BE" w:rsidP="006C501D">
            <w:pPr>
              <w:pStyle w:val="TableBodyText"/>
            </w:pPr>
            <w:r w:rsidRPr="008E6630">
              <w:t>-0.8</w:t>
            </w:r>
          </w:p>
        </w:tc>
        <w:tc>
          <w:tcPr>
            <w:tcW w:w="833" w:type="pct"/>
            <w:shd w:val="clear" w:color="auto" w:fill="D9D9D9" w:themeFill="background1" w:themeFillShade="D9"/>
            <w:vAlign w:val="bottom"/>
          </w:tcPr>
          <w:p w:rsidR="00B144BE" w:rsidRDefault="00B144BE" w:rsidP="006C501D">
            <w:pPr>
              <w:pStyle w:val="TableBodyText"/>
            </w:pPr>
            <w:r w:rsidRPr="008E6630">
              <w:t>-1.1</w:t>
            </w:r>
          </w:p>
        </w:tc>
        <w:tc>
          <w:tcPr>
            <w:tcW w:w="833" w:type="pct"/>
            <w:shd w:val="clear" w:color="auto" w:fill="D9D9D9" w:themeFill="background1" w:themeFillShade="D9"/>
            <w:vAlign w:val="bottom"/>
          </w:tcPr>
          <w:p w:rsidR="00B144BE" w:rsidRDefault="00B144BE" w:rsidP="006C501D">
            <w:pPr>
              <w:pStyle w:val="TableBodyText"/>
            </w:pPr>
            <w:r w:rsidRPr="008E6630">
              <w:t>0.1</w:t>
            </w:r>
          </w:p>
        </w:tc>
        <w:tc>
          <w:tcPr>
            <w:tcW w:w="833" w:type="pct"/>
            <w:shd w:val="clear" w:color="auto" w:fill="D9D9D9" w:themeFill="background1" w:themeFillShade="D9"/>
            <w:vAlign w:val="bottom"/>
          </w:tcPr>
          <w:p w:rsidR="00B144BE" w:rsidRDefault="00B144BE" w:rsidP="006C501D">
            <w:pPr>
              <w:pStyle w:val="TableBodyText"/>
            </w:pPr>
            <w:r>
              <w:t>-1.8</w:t>
            </w:r>
          </w:p>
        </w:tc>
      </w:tr>
      <w:tr w:rsidR="00B144BE" w:rsidTr="006C501D">
        <w:tc>
          <w:tcPr>
            <w:tcW w:w="1667" w:type="pct"/>
            <w:shd w:val="clear" w:color="auto" w:fill="auto"/>
            <w:vAlign w:val="bottom"/>
          </w:tcPr>
          <w:p w:rsidR="00B144BE" w:rsidRPr="00D62E43" w:rsidRDefault="00B144BE" w:rsidP="006C501D">
            <w:pPr>
              <w:pStyle w:val="TableBodyText"/>
              <w:jc w:val="left"/>
            </w:pPr>
            <w:r w:rsidRPr="00D62E43">
              <w:t>Soft drink</w:t>
            </w:r>
          </w:p>
        </w:tc>
        <w:tc>
          <w:tcPr>
            <w:tcW w:w="833" w:type="pct"/>
            <w:shd w:val="clear" w:color="auto" w:fill="auto"/>
            <w:vAlign w:val="bottom"/>
          </w:tcPr>
          <w:p w:rsidR="00B144BE" w:rsidRDefault="00B144BE" w:rsidP="006C501D">
            <w:pPr>
              <w:pStyle w:val="TableBodyText"/>
            </w:pPr>
            <w:r w:rsidRPr="008E6630">
              <w:t>0.3</w:t>
            </w:r>
          </w:p>
        </w:tc>
        <w:tc>
          <w:tcPr>
            <w:tcW w:w="833" w:type="pct"/>
            <w:shd w:val="clear" w:color="auto" w:fill="auto"/>
            <w:vAlign w:val="bottom"/>
          </w:tcPr>
          <w:p w:rsidR="00B144BE" w:rsidRDefault="00B144BE" w:rsidP="006C501D">
            <w:pPr>
              <w:pStyle w:val="TableBodyText"/>
            </w:pPr>
            <w:r w:rsidRPr="008E6630">
              <w:t>0.7</w:t>
            </w:r>
          </w:p>
        </w:tc>
        <w:tc>
          <w:tcPr>
            <w:tcW w:w="833" w:type="pct"/>
            <w:shd w:val="clear" w:color="auto" w:fill="auto"/>
            <w:vAlign w:val="bottom"/>
          </w:tcPr>
          <w:p w:rsidR="00B144BE" w:rsidRDefault="00B144BE" w:rsidP="006C501D">
            <w:pPr>
              <w:pStyle w:val="TableBodyText"/>
            </w:pPr>
            <w:r w:rsidRPr="008E6630">
              <w:t>0.1</w:t>
            </w:r>
          </w:p>
        </w:tc>
        <w:tc>
          <w:tcPr>
            <w:tcW w:w="833" w:type="pct"/>
            <w:shd w:val="clear" w:color="auto" w:fill="auto"/>
            <w:vAlign w:val="bottom"/>
          </w:tcPr>
          <w:p w:rsidR="00B144BE" w:rsidRDefault="00B144BE" w:rsidP="006C501D">
            <w:pPr>
              <w:pStyle w:val="TableBodyText"/>
            </w:pPr>
            <w:r>
              <w:t>1.0</w:t>
            </w:r>
          </w:p>
        </w:tc>
      </w:tr>
      <w:tr w:rsidR="00B144BE" w:rsidTr="00561212">
        <w:tc>
          <w:tcPr>
            <w:tcW w:w="1667" w:type="pct"/>
            <w:shd w:val="clear" w:color="auto" w:fill="D9D9D9" w:themeFill="background1" w:themeFillShade="D9"/>
            <w:vAlign w:val="bottom"/>
          </w:tcPr>
          <w:p w:rsidR="00B144BE" w:rsidRPr="00D62E43" w:rsidRDefault="00B144BE" w:rsidP="006C501D">
            <w:pPr>
              <w:pStyle w:val="TableBodyText"/>
              <w:jc w:val="left"/>
            </w:pPr>
            <w:r w:rsidRPr="00D62E43">
              <w:t>Wine</w:t>
            </w:r>
          </w:p>
        </w:tc>
        <w:tc>
          <w:tcPr>
            <w:tcW w:w="833" w:type="pct"/>
            <w:shd w:val="clear" w:color="auto" w:fill="D9D9D9" w:themeFill="background1" w:themeFillShade="D9"/>
            <w:vAlign w:val="bottom"/>
          </w:tcPr>
          <w:p w:rsidR="00B144BE" w:rsidRDefault="00B144BE" w:rsidP="006C501D">
            <w:pPr>
              <w:pStyle w:val="TableBodyText"/>
            </w:pPr>
            <w:r w:rsidRPr="008E6630">
              <w:t>2.9</w:t>
            </w:r>
          </w:p>
        </w:tc>
        <w:tc>
          <w:tcPr>
            <w:tcW w:w="833" w:type="pct"/>
            <w:shd w:val="clear" w:color="auto" w:fill="D9D9D9" w:themeFill="background1" w:themeFillShade="D9"/>
            <w:vAlign w:val="bottom"/>
          </w:tcPr>
          <w:p w:rsidR="00B144BE" w:rsidRDefault="00B144BE" w:rsidP="006C501D">
            <w:pPr>
              <w:pStyle w:val="TableBodyText"/>
            </w:pPr>
            <w:r w:rsidRPr="008E6630">
              <w:t>-1.4</w:t>
            </w:r>
          </w:p>
        </w:tc>
        <w:tc>
          <w:tcPr>
            <w:tcW w:w="833" w:type="pct"/>
            <w:shd w:val="clear" w:color="auto" w:fill="D9D9D9" w:themeFill="background1" w:themeFillShade="D9"/>
            <w:vAlign w:val="bottom"/>
          </w:tcPr>
          <w:p w:rsidR="00B144BE" w:rsidRDefault="00B144BE" w:rsidP="006C501D">
            <w:pPr>
              <w:pStyle w:val="TableBodyText"/>
            </w:pPr>
            <w:r w:rsidRPr="008E6630">
              <w:t>-0.5</w:t>
            </w:r>
          </w:p>
        </w:tc>
        <w:tc>
          <w:tcPr>
            <w:tcW w:w="833" w:type="pct"/>
            <w:shd w:val="clear" w:color="auto" w:fill="D9D9D9" w:themeFill="background1" w:themeFillShade="D9"/>
            <w:vAlign w:val="bottom"/>
          </w:tcPr>
          <w:p w:rsidR="00B144BE" w:rsidRDefault="00B144BE" w:rsidP="006C501D">
            <w:pPr>
              <w:pStyle w:val="TableBodyText"/>
            </w:pPr>
            <w:r>
              <w:t>0.9</w:t>
            </w:r>
          </w:p>
        </w:tc>
      </w:tr>
      <w:tr w:rsidR="00B144BE" w:rsidTr="006C501D">
        <w:tc>
          <w:tcPr>
            <w:tcW w:w="1667" w:type="pct"/>
            <w:shd w:val="clear" w:color="auto" w:fill="auto"/>
            <w:vAlign w:val="bottom"/>
          </w:tcPr>
          <w:p w:rsidR="00B144BE" w:rsidRPr="00D62E43" w:rsidRDefault="00B144BE" w:rsidP="006C501D">
            <w:pPr>
              <w:pStyle w:val="TableBodyText"/>
              <w:jc w:val="left"/>
            </w:pPr>
            <w:r w:rsidRPr="00D62E43">
              <w:t>Other BT</w:t>
            </w:r>
          </w:p>
        </w:tc>
        <w:tc>
          <w:tcPr>
            <w:tcW w:w="833" w:type="pct"/>
            <w:shd w:val="clear" w:color="auto" w:fill="auto"/>
            <w:vAlign w:val="bottom"/>
          </w:tcPr>
          <w:p w:rsidR="00B144BE" w:rsidRDefault="00B144BE" w:rsidP="006C501D">
            <w:pPr>
              <w:pStyle w:val="TableBodyText"/>
            </w:pPr>
            <w:r w:rsidRPr="008E6630">
              <w:t>0.5</w:t>
            </w:r>
          </w:p>
        </w:tc>
        <w:tc>
          <w:tcPr>
            <w:tcW w:w="833" w:type="pct"/>
            <w:shd w:val="clear" w:color="auto" w:fill="auto"/>
            <w:vAlign w:val="bottom"/>
          </w:tcPr>
          <w:p w:rsidR="00B144BE" w:rsidRDefault="00B144BE" w:rsidP="006C501D">
            <w:pPr>
              <w:pStyle w:val="TableBodyText"/>
            </w:pPr>
            <w:r w:rsidRPr="008E6630">
              <w:t>-0.6</w:t>
            </w:r>
          </w:p>
        </w:tc>
        <w:tc>
          <w:tcPr>
            <w:tcW w:w="833" w:type="pct"/>
            <w:shd w:val="clear" w:color="auto" w:fill="auto"/>
            <w:vAlign w:val="bottom"/>
          </w:tcPr>
          <w:p w:rsidR="00B144BE" w:rsidRDefault="00B144BE" w:rsidP="006C501D">
            <w:pPr>
              <w:pStyle w:val="TableBodyText"/>
            </w:pPr>
            <w:r w:rsidRPr="008E6630">
              <w:t>-0.1</w:t>
            </w:r>
          </w:p>
        </w:tc>
        <w:tc>
          <w:tcPr>
            <w:tcW w:w="833" w:type="pct"/>
            <w:shd w:val="clear" w:color="auto" w:fill="auto"/>
            <w:vAlign w:val="bottom"/>
          </w:tcPr>
          <w:p w:rsidR="00B144BE" w:rsidRDefault="00B144BE" w:rsidP="006C501D">
            <w:pPr>
              <w:pStyle w:val="TableBodyText"/>
            </w:pPr>
            <w:r>
              <w:t>-0.1</w:t>
            </w:r>
          </w:p>
        </w:tc>
      </w:tr>
      <w:tr w:rsidR="00B144BE" w:rsidRPr="00561212" w:rsidTr="00561212">
        <w:tc>
          <w:tcPr>
            <w:tcW w:w="1667" w:type="pct"/>
            <w:tcBorders>
              <w:bottom w:val="single" w:sz="6" w:space="0" w:color="auto"/>
            </w:tcBorders>
            <w:shd w:val="clear" w:color="auto" w:fill="D9D9D9" w:themeFill="background1" w:themeFillShade="D9"/>
            <w:vAlign w:val="bottom"/>
          </w:tcPr>
          <w:p w:rsidR="00B144BE" w:rsidRPr="00561212" w:rsidRDefault="00B144BE" w:rsidP="006C501D">
            <w:pPr>
              <w:pStyle w:val="TableBodyText"/>
              <w:jc w:val="left"/>
              <w:rPr>
                <w:b/>
              </w:rPr>
            </w:pPr>
            <w:r w:rsidRPr="00561212">
              <w:rPr>
                <w:b/>
              </w:rPr>
              <w:t>Total FBT</w:t>
            </w:r>
          </w:p>
        </w:tc>
        <w:tc>
          <w:tcPr>
            <w:tcW w:w="833" w:type="pct"/>
            <w:tcBorders>
              <w:bottom w:val="single" w:sz="6" w:space="0" w:color="auto"/>
            </w:tcBorders>
            <w:shd w:val="clear" w:color="auto" w:fill="D9D9D9" w:themeFill="background1" w:themeFillShade="D9"/>
            <w:vAlign w:val="bottom"/>
          </w:tcPr>
          <w:p w:rsidR="00B144BE" w:rsidRPr="00561212" w:rsidRDefault="00B144BE" w:rsidP="006C501D">
            <w:pPr>
              <w:pStyle w:val="TableBodyText"/>
              <w:rPr>
                <w:b/>
              </w:rPr>
            </w:pPr>
            <w:r w:rsidRPr="00561212">
              <w:rPr>
                <w:b/>
              </w:rPr>
              <w:t>15.2</w:t>
            </w:r>
          </w:p>
        </w:tc>
        <w:tc>
          <w:tcPr>
            <w:tcW w:w="833" w:type="pct"/>
            <w:tcBorders>
              <w:bottom w:val="single" w:sz="6" w:space="0" w:color="auto"/>
            </w:tcBorders>
            <w:shd w:val="clear" w:color="auto" w:fill="D9D9D9" w:themeFill="background1" w:themeFillShade="D9"/>
            <w:vAlign w:val="bottom"/>
          </w:tcPr>
          <w:p w:rsidR="00B144BE" w:rsidRPr="00561212" w:rsidRDefault="00B144BE" w:rsidP="006C501D">
            <w:pPr>
              <w:pStyle w:val="TableBodyText"/>
              <w:rPr>
                <w:b/>
              </w:rPr>
            </w:pPr>
            <w:r w:rsidRPr="00561212">
              <w:rPr>
                <w:b/>
              </w:rPr>
              <w:t>3.1</w:t>
            </w:r>
          </w:p>
        </w:tc>
        <w:tc>
          <w:tcPr>
            <w:tcW w:w="833" w:type="pct"/>
            <w:tcBorders>
              <w:bottom w:val="single" w:sz="6" w:space="0" w:color="auto"/>
            </w:tcBorders>
            <w:shd w:val="clear" w:color="auto" w:fill="D9D9D9" w:themeFill="background1" w:themeFillShade="D9"/>
            <w:vAlign w:val="bottom"/>
          </w:tcPr>
          <w:p w:rsidR="00B144BE" w:rsidRPr="00561212" w:rsidRDefault="00B144BE" w:rsidP="006C501D">
            <w:pPr>
              <w:pStyle w:val="TableBodyText"/>
              <w:rPr>
                <w:b/>
              </w:rPr>
            </w:pPr>
            <w:r w:rsidRPr="00561212">
              <w:rPr>
                <w:b/>
              </w:rPr>
              <w:t>2.9</w:t>
            </w:r>
          </w:p>
        </w:tc>
        <w:tc>
          <w:tcPr>
            <w:tcW w:w="833" w:type="pct"/>
            <w:tcBorders>
              <w:bottom w:val="single" w:sz="6" w:space="0" w:color="auto"/>
            </w:tcBorders>
            <w:shd w:val="clear" w:color="auto" w:fill="D9D9D9" w:themeFill="background1" w:themeFillShade="D9"/>
          </w:tcPr>
          <w:p w:rsidR="00B144BE" w:rsidRPr="00561212" w:rsidRDefault="00B144BE" w:rsidP="006C501D">
            <w:pPr>
              <w:pStyle w:val="TableBodyText"/>
              <w:rPr>
                <w:b/>
              </w:rPr>
            </w:pPr>
            <w:r w:rsidRPr="00561212">
              <w:rPr>
                <w:b/>
              </w:rPr>
              <w:t>21.2</w:t>
            </w:r>
          </w:p>
        </w:tc>
      </w:tr>
    </w:tbl>
    <w:p w:rsidR="00281645" w:rsidRPr="008E77FE" w:rsidRDefault="00871F1F" w:rsidP="00B144BE">
      <w:pPr>
        <w:pStyle w:val="Source"/>
      </w:pPr>
      <w:r>
        <w:rPr>
          <w:i/>
        </w:rPr>
        <w:t>Sources</w:t>
      </w:r>
      <w:r w:rsidR="00281645">
        <w:t xml:space="preserve">: </w:t>
      </w:r>
      <w:r w:rsidR="00E7432B" w:rsidRPr="00E7432B">
        <w:t>Authors’ estimates based on ABS (</w:t>
      </w:r>
      <w:r w:rsidR="00E7432B" w:rsidRPr="00E7432B">
        <w:rPr>
          <w:i/>
        </w:rPr>
        <w:t>Manufacturing Industry, Australia</w:t>
      </w:r>
      <w:r w:rsidR="00E7432B" w:rsidRPr="00E7432B">
        <w:t>, various issues, Cat. no.</w:t>
      </w:r>
      <w:r w:rsidR="007A3F29">
        <w:t> </w:t>
      </w:r>
      <w:r w:rsidR="00E7432B" w:rsidRPr="00E7432B">
        <w:t>8221.0); and ABS (</w:t>
      </w:r>
      <w:r w:rsidR="00E7432B" w:rsidRPr="00E7432B">
        <w:rPr>
          <w:i/>
        </w:rPr>
        <w:t>Producer Price Indexes</w:t>
      </w:r>
      <w:r w:rsidR="00E7432B" w:rsidRPr="007A3F29">
        <w:rPr>
          <w:i/>
        </w:rPr>
        <w:t>, Australia, June 2012</w:t>
      </w:r>
      <w:r w:rsidR="00E7432B" w:rsidRPr="00E7432B">
        <w:t>, Cat. no. 6427.0).</w:t>
      </w:r>
    </w:p>
    <w:p w:rsidR="00CD092B" w:rsidRDefault="00B06C44" w:rsidP="00CD092B">
      <w:pPr>
        <w:pStyle w:val="Heading2"/>
      </w:pPr>
      <w:proofErr w:type="spellStart"/>
      <w:r>
        <w:lastRenderedPageBreak/>
        <w:t>G.</w:t>
      </w:r>
      <w:r w:rsidR="00FE417C">
        <w:rPr>
          <w:noProof/>
        </w:rPr>
        <w:t>2</w:t>
      </w:r>
      <w:proofErr w:type="spellEnd"/>
      <w:r w:rsidR="00CD092B">
        <w:tab/>
      </w:r>
      <w:proofErr w:type="spellStart"/>
      <w:r w:rsidR="001E4DB2">
        <w:t>FBT</w:t>
      </w:r>
      <w:proofErr w:type="spellEnd"/>
      <w:r w:rsidR="009A184A">
        <w:t xml:space="preserve"> in aggregate</w:t>
      </w:r>
    </w:p>
    <w:p w:rsidR="00E3166F" w:rsidRDefault="00E3166F" w:rsidP="00D575C2">
      <w:pPr>
        <w:pStyle w:val="Heading3"/>
        <w:spacing w:before="280"/>
      </w:pPr>
      <w:r>
        <w:t>Investment</w:t>
      </w:r>
    </w:p>
    <w:p w:rsidR="00B477A3" w:rsidRDefault="004000DC" w:rsidP="00E3166F">
      <w:pPr>
        <w:pStyle w:val="BodyText"/>
        <w:widowControl w:val="0"/>
      </w:pPr>
      <w:r>
        <w:t xml:space="preserve">Figure </w:t>
      </w:r>
      <w:proofErr w:type="spellStart"/>
      <w:r w:rsidR="00B06C44">
        <w:t>G.6</w:t>
      </w:r>
      <w:proofErr w:type="spellEnd"/>
      <w:r>
        <w:t xml:space="preserve"> shows available data for </w:t>
      </w:r>
      <w:r w:rsidR="00E3166F">
        <w:t>investment by ANZSIC group</w:t>
      </w:r>
      <w:r w:rsidR="002A0E74">
        <w:t>/class</w:t>
      </w:r>
      <w:r>
        <w:t xml:space="preserve"> over the period 2001-02 to 2006-07. </w:t>
      </w:r>
      <w:r w:rsidR="00D575C2">
        <w:t xml:space="preserve">Large projects result in some </w:t>
      </w:r>
      <w:r w:rsidR="00B477A3">
        <w:t>lumpiness in investment</w:t>
      </w:r>
      <w:r w:rsidR="00D575C2">
        <w:t>.</w:t>
      </w:r>
      <w:r w:rsidR="00B477A3">
        <w:t xml:space="preserve"> </w:t>
      </w:r>
    </w:p>
    <w:p w:rsidR="00E3166F" w:rsidRDefault="00E3166F" w:rsidP="00E3166F">
      <w:pPr>
        <w:pStyle w:val="FigureTitle"/>
        <w:rPr>
          <w:rStyle w:val="NoteLabel"/>
          <w:b/>
        </w:rPr>
      </w:pPr>
      <w:r>
        <w:rPr>
          <w:b w:val="0"/>
        </w:rPr>
        <w:t xml:space="preserve">Figure </w:t>
      </w:r>
      <w:bookmarkStart w:id="13" w:name="OLE_LINK20"/>
      <w:proofErr w:type="spellStart"/>
      <w:r w:rsidR="00B06C44">
        <w:rPr>
          <w:b w:val="0"/>
        </w:rPr>
        <w:t>G.</w:t>
      </w:r>
      <w:r w:rsidR="00FE417C">
        <w:rPr>
          <w:b w:val="0"/>
          <w:noProof/>
        </w:rPr>
        <w:t>6</w:t>
      </w:r>
      <w:bookmarkEnd w:id="13"/>
      <w:proofErr w:type="spellEnd"/>
      <w:r>
        <w:tab/>
        <w:t>Investment</w:t>
      </w:r>
      <w:r w:rsidR="005243D2">
        <w:rPr>
          <w:rStyle w:val="NoteLabel"/>
          <w:b/>
        </w:rPr>
        <w:t>a</w:t>
      </w:r>
      <w:r>
        <w:t xml:space="preserve"> by </w:t>
      </w:r>
      <w:r w:rsidR="00A5320B">
        <w:t xml:space="preserve">ANZSIC </w:t>
      </w:r>
      <w:r>
        <w:t>groups</w:t>
      </w:r>
      <w:r w:rsidR="00DB0D84">
        <w:t>/classes</w:t>
      </w:r>
      <w:r w:rsidR="00B36546">
        <w:rPr>
          <w:rStyle w:val="NoteLabel"/>
          <w:b/>
        </w:rPr>
        <w:t>b</w:t>
      </w:r>
      <w:r>
        <w:t xml:space="preserve"> within FBT</w:t>
      </w:r>
    </w:p>
    <w:p w:rsidR="00DB0D84" w:rsidRPr="00DB0D84" w:rsidRDefault="00DB0D84" w:rsidP="00DB0D84">
      <w:pPr>
        <w:pStyle w:val="Subtitle"/>
      </w:pPr>
      <w:r w:rsidRPr="00DB0D84">
        <w:t>$m</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3166F" w:rsidTr="00E636D1">
        <w:tc>
          <w:tcPr>
            <w:tcW w:w="8777" w:type="dxa"/>
          </w:tcPr>
          <w:p w:rsidR="00E3166F" w:rsidRDefault="002B607E" w:rsidP="00E636D1">
            <w:pPr>
              <w:pStyle w:val="Figure"/>
              <w:spacing w:before="0" w:after="0"/>
            </w:pPr>
            <w:r>
              <w:rPr>
                <w:noProof/>
              </w:rPr>
              <w:pict>
                <v:shape id="_x0000_i1034" type="#_x0000_t75" alt="This figure shows that investment within FBT groups or classes varied somewhat from year to year over the period 2001-02 to 2006-07. Further explanation is in the text following the figure." style="width:424.45pt;height:198.4pt">
                  <v:imagedata r:id="rId18" o:title=""/>
                </v:shape>
              </w:pict>
            </w:r>
          </w:p>
        </w:tc>
      </w:tr>
    </w:tbl>
    <w:p w:rsidR="00E3166F" w:rsidRPr="00E248A5" w:rsidRDefault="005243D2" w:rsidP="00E3166F">
      <w:pPr>
        <w:pStyle w:val="Note"/>
      </w:pPr>
      <w:r>
        <w:rPr>
          <w:rStyle w:val="NoteLabel"/>
        </w:rPr>
        <w:t>a</w:t>
      </w:r>
      <w:r w:rsidR="00E3166F">
        <w:rPr>
          <w:rStyle w:val="NoteLabel"/>
        </w:rPr>
        <w:t xml:space="preserve"> </w:t>
      </w:r>
      <w:r w:rsidR="00843A3B">
        <w:t xml:space="preserve">Investment is total acquisitions (expenditure on the acquisition of capital including plant, machinery and equipment, buildings, and other assets) and is not net of disposals of assets. </w:t>
      </w:r>
      <w:r>
        <w:rPr>
          <w:rStyle w:val="NoteLabel"/>
        </w:rPr>
        <w:t>b</w:t>
      </w:r>
      <w:r>
        <w:t xml:space="preserve"> </w:t>
      </w:r>
      <w:r w:rsidR="00B36546">
        <w:t>A</w:t>
      </w:r>
      <w:r>
        <w:t>ffected by ANZSIC change so groups</w:t>
      </w:r>
      <w:r w:rsidR="001B50BE">
        <w:t>/classes</w:t>
      </w:r>
      <w:r>
        <w:t xml:space="preserve"> are only broadly comparable. Baking includes </w:t>
      </w:r>
      <w:r w:rsidR="00E15617">
        <w:t>N</w:t>
      </w:r>
      <w:r>
        <w:t>on-factory bak</w:t>
      </w:r>
      <w:r w:rsidR="00E15617">
        <w:t>ery</w:t>
      </w:r>
      <w:r>
        <w:t xml:space="preserve"> only in 2006-07.</w:t>
      </w:r>
    </w:p>
    <w:p w:rsidR="00E3166F" w:rsidRDefault="00E3166F" w:rsidP="00E3166F">
      <w:pPr>
        <w:pStyle w:val="Source"/>
      </w:pPr>
      <w:r>
        <w:rPr>
          <w:i/>
        </w:rPr>
        <w:t>Data source</w:t>
      </w:r>
      <w:r w:rsidRPr="00167F06">
        <w:t xml:space="preserve">: </w:t>
      </w:r>
      <w:r>
        <w:t>ABS (</w:t>
      </w:r>
      <w:r w:rsidR="000A2C30">
        <w:rPr>
          <w:i/>
        </w:rPr>
        <w:t>Manufacturing Industry, Australia</w:t>
      </w:r>
      <w:r w:rsidR="000A2C30" w:rsidRPr="008C71C0">
        <w:t xml:space="preserve">, </w:t>
      </w:r>
      <w:r w:rsidR="008C71C0" w:rsidRPr="008C71C0">
        <w:t>various issues,</w:t>
      </w:r>
      <w:r w:rsidR="008C71C0">
        <w:rPr>
          <w:i/>
        </w:rPr>
        <w:t xml:space="preserve"> </w:t>
      </w:r>
      <w:r>
        <w:t>Cat. no. 8221.0).</w:t>
      </w:r>
    </w:p>
    <w:p w:rsidR="00B477A3" w:rsidRDefault="00B477A3" w:rsidP="00B477A3">
      <w:pPr>
        <w:pStyle w:val="BodyText"/>
        <w:widowControl w:val="0"/>
      </w:pPr>
      <w:r>
        <w:t xml:space="preserve">Over the period 2003-04 to 2006-07 (which is the closest available to cycle 4) more than half of the investment in FBT is likely to have been in four FBT groups/classes — Wine (16 per cent), Meat (15 per cent) and Dairy (13 per cent), and Sugar </w:t>
      </w:r>
      <w:r w:rsidR="007F087E">
        <w:t>and</w:t>
      </w:r>
      <w:r>
        <w:t xml:space="preserve"> confectionery (10 per cent).</w:t>
      </w:r>
      <w:r>
        <w:rPr>
          <w:rStyle w:val="FootnoteReference"/>
        </w:rPr>
        <w:footnoteReference w:id="6"/>
      </w:r>
      <w:r>
        <w:t xml:space="preserve"> </w:t>
      </w:r>
    </w:p>
    <w:p w:rsidR="00BC782B" w:rsidRDefault="00BC782B" w:rsidP="00BC782B">
      <w:pPr>
        <w:pStyle w:val="Heading3"/>
      </w:pPr>
      <w:r>
        <w:t xml:space="preserve">Linkages </w:t>
      </w:r>
      <w:r w:rsidR="006D3CFB">
        <w:t xml:space="preserve">between FBT and </w:t>
      </w:r>
      <w:r>
        <w:t>other parts of the economy</w:t>
      </w:r>
    </w:p>
    <w:p w:rsidR="00BC782B" w:rsidRDefault="00BC782B" w:rsidP="00BC782B">
      <w:pPr>
        <w:pStyle w:val="BodyText"/>
      </w:pPr>
      <w:r>
        <w:t xml:space="preserve">FBT includes resource processing of agricultural products but also more elaborately transformed products. Table </w:t>
      </w:r>
      <w:proofErr w:type="spellStart"/>
      <w:r w:rsidR="00B06C44">
        <w:t>G.2</w:t>
      </w:r>
      <w:proofErr w:type="spellEnd"/>
      <w:r>
        <w:t xml:space="preserve"> (third column) shows that intermediate inputs make up around 70 per cent of the value of FBT output, the highest intermediates share of all subsectors within </w:t>
      </w:r>
      <w:r w:rsidR="00497BCE">
        <w:t>M</w:t>
      </w:r>
      <w:r>
        <w:t xml:space="preserve">anufacturing. Large shares of FBT’s intermediate </w:t>
      </w:r>
      <w:r>
        <w:lastRenderedPageBreak/>
        <w:t xml:space="preserve">inputs come from Agriculture (44 per cent), Services (30 per cent), and other parts of FBT (17 per cent). </w:t>
      </w:r>
    </w:p>
    <w:p w:rsidR="00BC782B" w:rsidRDefault="00BC782B" w:rsidP="00BC782B">
      <w:pPr>
        <w:pStyle w:val="BodyText"/>
      </w:pPr>
      <w:r>
        <w:t>FBT provides inputs to a range of other parts of the economy. Table </w:t>
      </w:r>
      <w:proofErr w:type="spellStart"/>
      <w:r w:rsidR="00B06C44">
        <w:t>G.2</w:t>
      </w:r>
      <w:proofErr w:type="spellEnd"/>
      <w:r>
        <w:t xml:space="preserve"> (third row) shows that FBT provides between 0.</w:t>
      </w:r>
      <w:r w:rsidR="004C1231">
        <w:t>4</w:t>
      </w:r>
      <w:r>
        <w:t xml:space="preserve"> and </w:t>
      </w:r>
      <w:r w:rsidR="00595C89">
        <w:t xml:space="preserve">6.6 </w:t>
      </w:r>
      <w:r>
        <w:t>per cent of total intermediates used by other sectors of the economy and 5</w:t>
      </w:r>
      <w:r w:rsidR="00595C89">
        <w:t>.2</w:t>
      </w:r>
      <w:r>
        <w:t xml:space="preserve"> per cent of intermediates used by </w:t>
      </w:r>
      <w:r w:rsidR="00497BCE">
        <w:t>M</w:t>
      </w:r>
      <w:r>
        <w:t xml:space="preserve">anufacturing in total. </w:t>
      </w:r>
    </w:p>
    <w:p w:rsidR="00BC782B" w:rsidRDefault="00BC782B" w:rsidP="00BC782B">
      <w:pPr>
        <w:pStyle w:val="TableTitle"/>
      </w:pPr>
      <w:r w:rsidRPr="00CD7905">
        <w:rPr>
          <w:b w:val="0"/>
        </w:rPr>
        <w:t xml:space="preserve">Table </w:t>
      </w:r>
      <w:bookmarkStart w:id="14" w:name="OLE_LINK15"/>
      <w:proofErr w:type="spellStart"/>
      <w:r w:rsidR="00B06C44">
        <w:rPr>
          <w:b w:val="0"/>
        </w:rPr>
        <w:t>G.</w:t>
      </w:r>
      <w:r w:rsidR="00FE417C">
        <w:rPr>
          <w:b w:val="0"/>
          <w:noProof/>
        </w:rPr>
        <w:t>2</w:t>
      </w:r>
      <w:bookmarkEnd w:id="14"/>
      <w:proofErr w:type="spellEnd"/>
      <w:r>
        <w:tab/>
      </w:r>
      <w:proofErr w:type="spellStart"/>
      <w:r w:rsidR="00F675F4">
        <w:t>FBT</w:t>
      </w:r>
      <w:proofErr w:type="spellEnd"/>
      <w:r w:rsidR="00F675F4">
        <w:t xml:space="preserve"> i</w:t>
      </w:r>
      <w:r>
        <w:t>nput-output linkages</w:t>
      </w:r>
      <w:r w:rsidR="00F675F4">
        <w:t>,</w:t>
      </w:r>
      <w:r>
        <w:t xml:space="preserve"> 2008-09</w:t>
      </w:r>
      <w:r w:rsidR="00555643" w:rsidRPr="00D77011">
        <w:rPr>
          <w:rStyle w:val="NoteLabel"/>
          <w:b/>
        </w:rPr>
        <w:t>a</w:t>
      </w:r>
    </w:p>
    <w:p w:rsidR="00BC782B" w:rsidRPr="0054333E" w:rsidRDefault="00BC782B" w:rsidP="00BC782B">
      <w:pPr>
        <w:pStyle w:val="Subtitle"/>
      </w:pPr>
      <w:r w:rsidRPr="0054333E">
        <w:t>Percentage shares</w:t>
      </w:r>
      <w:r w:rsidR="00096A8B">
        <w:t xml:space="preserve"> of total intermediate inputs</w:t>
      </w:r>
    </w:p>
    <w:tbl>
      <w:tblPr>
        <w:tblW w:w="5000" w:type="pct"/>
        <w:tblLayout w:type="fixed"/>
        <w:tblCellMar>
          <w:left w:w="0" w:type="dxa"/>
          <w:right w:w="0" w:type="dxa"/>
        </w:tblCellMar>
        <w:tblLook w:val="0000" w:firstRow="0" w:lastRow="0" w:firstColumn="0" w:lastColumn="0" w:noHBand="0" w:noVBand="0"/>
      </w:tblPr>
      <w:tblGrid>
        <w:gridCol w:w="1128"/>
        <w:gridCol w:w="638"/>
        <w:gridCol w:w="638"/>
        <w:gridCol w:w="640"/>
        <w:gridCol w:w="638"/>
        <w:gridCol w:w="640"/>
        <w:gridCol w:w="638"/>
        <w:gridCol w:w="638"/>
        <w:gridCol w:w="640"/>
        <w:gridCol w:w="638"/>
        <w:gridCol w:w="640"/>
        <w:gridCol w:w="638"/>
        <w:gridCol w:w="635"/>
      </w:tblGrid>
      <w:tr w:rsidR="00BC782B" w:rsidTr="00757EB8">
        <w:tc>
          <w:tcPr>
            <w:tcW w:w="642" w:type="pct"/>
            <w:tcBorders>
              <w:top w:val="single" w:sz="4" w:space="0" w:color="auto"/>
            </w:tcBorders>
            <w:shd w:val="clear" w:color="auto" w:fill="auto"/>
            <w:vAlign w:val="bottom"/>
          </w:tcPr>
          <w:p w:rsidR="00BC782B" w:rsidRDefault="00BC782B" w:rsidP="00D63C35">
            <w:pPr>
              <w:keepNext/>
              <w:keepLines/>
              <w:rPr>
                <w:rFonts w:ascii="Calibri" w:hAnsi="Calibri" w:cs="Calibri"/>
                <w:color w:val="000000"/>
                <w:sz w:val="22"/>
                <w:szCs w:val="22"/>
              </w:rPr>
            </w:pPr>
          </w:p>
        </w:tc>
        <w:tc>
          <w:tcPr>
            <w:tcW w:w="4358" w:type="pct"/>
            <w:gridSpan w:val="12"/>
            <w:tcBorders>
              <w:top w:val="single" w:sz="6" w:space="0" w:color="auto"/>
              <w:bottom w:val="single" w:sz="4" w:space="0" w:color="auto"/>
            </w:tcBorders>
            <w:shd w:val="clear" w:color="auto" w:fill="auto"/>
            <w:vAlign w:val="bottom"/>
          </w:tcPr>
          <w:p w:rsidR="00BC782B" w:rsidRPr="00D63C35" w:rsidRDefault="00BC782B" w:rsidP="00D63C35">
            <w:pPr>
              <w:pStyle w:val="TableColumnHeading"/>
              <w:jc w:val="center"/>
              <w:rPr>
                <w:b/>
              </w:rPr>
            </w:pPr>
            <w:r w:rsidRPr="00D63C35">
              <w:rPr>
                <w:b/>
              </w:rPr>
              <w:t>TO</w:t>
            </w:r>
          </w:p>
        </w:tc>
      </w:tr>
      <w:tr w:rsidR="00757EB8" w:rsidTr="00757EB8">
        <w:tc>
          <w:tcPr>
            <w:tcW w:w="642" w:type="pct"/>
            <w:shd w:val="clear" w:color="auto" w:fill="auto"/>
            <w:vAlign w:val="bottom"/>
          </w:tcPr>
          <w:p w:rsidR="00757EB8" w:rsidRDefault="00757EB8" w:rsidP="00D63C35">
            <w:pPr>
              <w:keepNext/>
              <w:keepLines/>
              <w:rPr>
                <w:rFonts w:ascii="Calibri" w:hAnsi="Calibri" w:cs="Calibri"/>
                <w:color w:val="000000"/>
                <w:sz w:val="22"/>
                <w:szCs w:val="22"/>
              </w:rPr>
            </w:pPr>
          </w:p>
        </w:tc>
        <w:tc>
          <w:tcPr>
            <w:tcW w:w="363" w:type="pct"/>
            <w:shd w:val="clear" w:color="auto" w:fill="auto"/>
            <w:vAlign w:val="bottom"/>
          </w:tcPr>
          <w:p w:rsidR="00757EB8" w:rsidRPr="0054333E" w:rsidRDefault="00757EB8" w:rsidP="00476BA2">
            <w:pPr>
              <w:pStyle w:val="TableColumnHeading"/>
              <w:spacing w:before="0" w:line="240" w:lineRule="auto"/>
              <w:ind w:right="0"/>
            </w:pPr>
          </w:p>
        </w:tc>
        <w:tc>
          <w:tcPr>
            <w:tcW w:w="363" w:type="pct"/>
            <w:shd w:val="clear" w:color="auto" w:fill="auto"/>
            <w:vAlign w:val="bottom"/>
          </w:tcPr>
          <w:p w:rsidR="00757EB8" w:rsidRPr="0054333E" w:rsidRDefault="00757EB8" w:rsidP="00096A8B">
            <w:pPr>
              <w:pStyle w:val="TableColumnHeading"/>
              <w:spacing w:before="0" w:line="240" w:lineRule="auto"/>
              <w:ind w:right="0"/>
            </w:pPr>
          </w:p>
        </w:tc>
        <w:tc>
          <w:tcPr>
            <w:tcW w:w="3271" w:type="pct"/>
            <w:gridSpan w:val="9"/>
            <w:tcBorders>
              <w:top w:val="single" w:sz="4" w:space="0" w:color="auto"/>
              <w:bottom w:val="single" w:sz="4" w:space="0" w:color="auto"/>
            </w:tcBorders>
            <w:shd w:val="clear" w:color="auto" w:fill="auto"/>
            <w:vAlign w:val="bottom"/>
          </w:tcPr>
          <w:p w:rsidR="00757EB8" w:rsidRPr="0054333E" w:rsidRDefault="00757EB8" w:rsidP="00757EB8">
            <w:pPr>
              <w:pStyle w:val="TableColumnHeading"/>
              <w:spacing w:before="0" w:line="240" w:lineRule="auto"/>
              <w:ind w:right="0"/>
              <w:jc w:val="center"/>
            </w:pPr>
            <w:r>
              <w:t>Manufacturing</w:t>
            </w:r>
            <w:r>
              <w:rPr>
                <w:rStyle w:val="NoteLabel"/>
                <w:i w:val="0"/>
              </w:rPr>
              <w:t>b</w:t>
            </w:r>
          </w:p>
        </w:tc>
        <w:tc>
          <w:tcPr>
            <w:tcW w:w="361" w:type="pct"/>
            <w:tcBorders>
              <w:top w:val="single" w:sz="4" w:space="0" w:color="auto"/>
            </w:tcBorders>
            <w:shd w:val="clear" w:color="auto" w:fill="auto"/>
            <w:vAlign w:val="bottom"/>
          </w:tcPr>
          <w:p w:rsidR="00757EB8" w:rsidRPr="0054333E" w:rsidRDefault="00757EB8" w:rsidP="00096A8B">
            <w:pPr>
              <w:pStyle w:val="TableColumnHeading"/>
              <w:spacing w:before="0" w:line="240" w:lineRule="auto"/>
              <w:ind w:right="0"/>
            </w:pPr>
          </w:p>
        </w:tc>
      </w:tr>
      <w:tr w:rsidR="00BC782B" w:rsidTr="00757EB8">
        <w:tc>
          <w:tcPr>
            <w:tcW w:w="642" w:type="pct"/>
            <w:tcBorders>
              <w:bottom w:val="single" w:sz="4" w:space="0" w:color="auto"/>
            </w:tcBorders>
            <w:shd w:val="clear" w:color="auto" w:fill="auto"/>
            <w:vAlign w:val="bottom"/>
          </w:tcPr>
          <w:p w:rsidR="00BC782B" w:rsidRPr="00D63C35" w:rsidRDefault="00D63C35" w:rsidP="00D63C35">
            <w:pPr>
              <w:pStyle w:val="TableColumnHeading"/>
              <w:jc w:val="left"/>
              <w:rPr>
                <w:b/>
              </w:rPr>
            </w:pPr>
            <w:r w:rsidRPr="00D63C35">
              <w:rPr>
                <w:b/>
              </w:rPr>
              <w:t>FROM</w:t>
            </w:r>
          </w:p>
        </w:tc>
        <w:tc>
          <w:tcPr>
            <w:tcW w:w="363" w:type="pct"/>
            <w:tcBorders>
              <w:bottom w:val="single" w:sz="4" w:space="0" w:color="auto"/>
            </w:tcBorders>
            <w:shd w:val="clear" w:color="auto" w:fill="auto"/>
            <w:vAlign w:val="bottom"/>
          </w:tcPr>
          <w:p w:rsidR="00BC782B" w:rsidRPr="00D63C35" w:rsidRDefault="00BC782B" w:rsidP="00D63C35">
            <w:pPr>
              <w:pStyle w:val="TableColumnHeading"/>
              <w:rPr>
                <w:sz w:val="18"/>
                <w:szCs w:val="18"/>
              </w:rPr>
            </w:pPr>
            <w:r w:rsidRPr="00D63C35">
              <w:rPr>
                <w:sz w:val="18"/>
                <w:szCs w:val="18"/>
              </w:rPr>
              <w:t>Ag</w:t>
            </w:r>
            <w:r w:rsidR="00D63C35" w:rsidRPr="00D63C35">
              <w:rPr>
                <w:sz w:val="18"/>
                <w:szCs w:val="18"/>
              </w:rPr>
              <w:t>.</w:t>
            </w:r>
          </w:p>
        </w:tc>
        <w:tc>
          <w:tcPr>
            <w:tcW w:w="363" w:type="pct"/>
            <w:tcBorders>
              <w:bottom w:val="single" w:sz="4" w:space="0" w:color="auto"/>
            </w:tcBorders>
            <w:shd w:val="clear" w:color="auto" w:fill="auto"/>
            <w:vAlign w:val="bottom"/>
          </w:tcPr>
          <w:p w:rsidR="00BC782B" w:rsidRPr="00D63C35" w:rsidRDefault="00BC782B" w:rsidP="007A3F29">
            <w:pPr>
              <w:pStyle w:val="TableColumnHeading"/>
              <w:ind w:right="0"/>
              <w:rPr>
                <w:sz w:val="18"/>
                <w:szCs w:val="18"/>
              </w:rPr>
            </w:pPr>
            <w:r w:rsidRPr="00D63C35">
              <w:rPr>
                <w:sz w:val="18"/>
                <w:szCs w:val="18"/>
              </w:rPr>
              <w:t>Min</w:t>
            </w:r>
            <w:r w:rsidR="00096A8B" w:rsidRPr="00D63C35">
              <w:rPr>
                <w:sz w:val="18"/>
                <w:szCs w:val="18"/>
              </w:rPr>
              <w:t>ing</w:t>
            </w:r>
          </w:p>
        </w:tc>
        <w:tc>
          <w:tcPr>
            <w:tcW w:w="364" w:type="pct"/>
            <w:tcBorders>
              <w:top w:val="single" w:sz="4" w:space="0" w:color="auto"/>
              <w:bottom w:val="single" w:sz="4" w:space="0" w:color="auto"/>
            </w:tcBorders>
            <w:shd w:val="clear" w:color="auto" w:fill="auto"/>
            <w:vAlign w:val="bottom"/>
          </w:tcPr>
          <w:p w:rsidR="00BC782B" w:rsidRPr="00D63C35" w:rsidRDefault="00BC782B" w:rsidP="00D63C35">
            <w:pPr>
              <w:pStyle w:val="TableColumnHeading"/>
              <w:rPr>
                <w:sz w:val="18"/>
                <w:szCs w:val="18"/>
              </w:rPr>
            </w:pPr>
            <w:r w:rsidRPr="00D63C35">
              <w:rPr>
                <w:sz w:val="18"/>
                <w:szCs w:val="18"/>
              </w:rPr>
              <w:t>FBT</w:t>
            </w:r>
          </w:p>
        </w:tc>
        <w:tc>
          <w:tcPr>
            <w:tcW w:w="363" w:type="pct"/>
            <w:tcBorders>
              <w:top w:val="single" w:sz="4" w:space="0" w:color="auto"/>
              <w:bottom w:val="single" w:sz="4" w:space="0" w:color="auto"/>
            </w:tcBorders>
            <w:shd w:val="clear" w:color="auto" w:fill="auto"/>
            <w:vAlign w:val="bottom"/>
          </w:tcPr>
          <w:p w:rsidR="00BC782B" w:rsidRPr="00D63C35" w:rsidRDefault="00BC782B" w:rsidP="00D63C35">
            <w:pPr>
              <w:pStyle w:val="TableColumnHeading"/>
              <w:rPr>
                <w:sz w:val="18"/>
                <w:szCs w:val="18"/>
              </w:rPr>
            </w:pPr>
            <w:r w:rsidRPr="00D63C35">
              <w:rPr>
                <w:sz w:val="18"/>
                <w:szCs w:val="18"/>
              </w:rPr>
              <w:t>TC</w:t>
            </w:r>
            <w:r w:rsidR="003C180B" w:rsidRPr="00D63C35">
              <w:rPr>
                <w:sz w:val="18"/>
                <w:szCs w:val="18"/>
              </w:rPr>
              <w:t>O</w:t>
            </w:r>
          </w:p>
        </w:tc>
        <w:tc>
          <w:tcPr>
            <w:tcW w:w="364" w:type="pct"/>
            <w:tcBorders>
              <w:top w:val="single" w:sz="4" w:space="0" w:color="auto"/>
              <w:bottom w:val="single" w:sz="4" w:space="0" w:color="auto"/>
            </w:tcBorders>
            <w:shd w:val="clear" w:color="auto" w:fill="auto"/>
            <w:vAlign w:val="bottom"/>
          </w:tcPr>
          <w:p w:rsidR="00BC782B" w:rsidRPr="00D63C35" w:rsidRDefault="00BC782B" w:rsidP="00D63C35">
            <w:pPr>
              <w:pStyle w:val="TableColumnHeading"/>
              <w:rPr>
                <w:sz w:val="18"/>
                <w:szCs w:val="18"/>
              </w:rPr>
            </w:pPr>
            <w:r w:rsidRPr="00D63C35">
              <w:rPr>
                <w:sz w:val="18"/>
                <w:szCs w:val="18"/>
              </w:rPr>
              <w:t>WP</w:t>
            </w:r>
          </w:p>
        </w:tc>
        <w:tc>
          <w:tcPr>
            <w:tcW w:w="363" w:type="pct"/>
            <w:tcBorders>
              <w:top w:val="single" w:sz="4" w:space="0" w:color="auto"/>
              <w:bottom w:val="single" w:sz="4" w:space="0" w:color="auto"/>
            </w:tcBorders>
            <w:shd w:val="clear" w:color="auto" w:fill="auto"/>
            <w:vAlign w:val="bottom"/>
          </w:tcPr>
          <w:p w:rsidR="00BC782B" w:rsidRPr="00D63C35" w:rsidRDefault="00BC782B" w:rsidP="00D63C35">
            <w:pPr>
              <w:pStyle w:val="TableColumnHeading"/>
              <w:rPr>
                <w:sz w:val="18"/>
                <w:szCs w:val="18"/>
              </w:rPr>
            </w:pPr>
            <w:r w:rsidRPr="00D63C35">
              <w:rPr>
                <w:sz w:val="18"/>
                <w:szCs w:val="18"/>
              </w:rPr>
              <w:t>PRM</w:t>
            </w:r>
          </w:p>
        </w:tc>
        <w:tc>
          <w:tcPr>
            <w:tcW w:w="363" w:type="pct"/>
            <w:tcBorders>
              <w:top w:val="single" w:sz="4" w:space="0" w:color="auto"/>
              <w:bottom w:val="single" w:sz="4" w:space="0" w:color="auto"/>
            </w:tcBorders>
            <w:shd w:val="clear" w:color="auto" w:fill="auto"/>
            <w:vAlign w:val="bottom"/>
          </w:tcPr>
          <w:p w:rsidR="00BC782B" w:rsidRPr="00D63C35" w:rsidRDefault="00BC782B" w:rsidP="007A3F29">
            <w:pPr>
              <w:pStyle w:val="TableColumnHeading"/>
              <w:ind w:right="0"/>
              <w:rPr>
                <w:sz w:val="18"/>
                <w:szCs w:val="18"/>
              </w:rPr>
            </w:pPr>
            <w:r w:rsidRPr="00D63C35">
              <w:rPr>
                <w:sz w:val="18"/>
                <w:szCs w:val="18"/>
              </w:rPr>
              <w:t>PCCR</w:t>
            </w:r>
          </w:p>
        </w:tc>
        <w:tc>
          <w:tcPr>
            <w:tcW w:w="364" w:type="pct"/>
            <w:tcBorders>
              <w:top w:val="single" w:sz="4" w:space="0" w:color="auto"/>
              <w:bottom w:val="single" w:sz="4" w:space="0" w:color="auto"/>
            </w:tcBorders>
            <w:shd w:val="clear" w:color="auto" w:fill="auto"/>
            <w:vAlign w:val="bottom"/>
          </w:tcPr>
          <w:p w:rsidR="00BC782B" w:rsidRPr="00D63C35" w:rsidRDefault="00BC782B" w:rsidP="00D63C35">
            <w:pPr>
              <w:pStyle w:val="TableColumnHeading"/>
              <w:rPr>
                <w:sz w:val="18"/>
                <w:szCs w:val="18"/>
              </w:rPr>
            </w:pPr>
            <w:r w:rsidRPr="00D63C35">
              <w:rPr>
                <w:sz w:val="18"/>
                <w:szCs w:val="18"/>
              </w:rPr>
              <w:t>NM</w:t>
            </w:r>
          </w:p>
        </w:tc>
        <w:tc>
          <w:tcPr>
            <w:tcW w:w="363" w:type="pct"/>
            <w:tcBorders>
              <w:top w:val="single" w:sz="4" w:space="0" w:color="auto"/>
              <w:bottom w:val="single" w:sz="4" w:space="0" w:color="auto"/>
            </w:tcBorders>
            <w:shd w:val="clear" w:color="auto" w:fill="auto"/>
            <w:vAlign w:val="bottom"/>
          </w:tcPr>
          <w:p w:rsidR="00BC782B" w:rsidRPr="00D63C35" w:rsidRDefault="00BC782B" w:rsidP="00D63C35">
            <w:pPr>
              <w:pStyle w:val="TableColumnHeading"/>
              <w:rPr>
                <w:sz w:val="18"/>
                <w:szCs w:val="18"/>
              </w:rPr>
            </w:pPr>
            <w:r w:rsidRPr="00D63C35">
              <w:rPr>
                <w:sz w:val="18"/>
                <w:szCs w:val="18"/>
              </w:rPr>
              <w:t>MP</w:t>
            </w:r>
          </w:p>
        </w:tc>
        <w:tc>
          <w:tcPr>
            <w:tcW w:w="364" w:type="pct"/>
            <w:tcBorders>
              <w:top w:val="single" w:sz="4" w:space="0" w:color="auto"/>
              <w:bottom w:val="single" w:sz="4" w:space="0" w:color="auto"/>
            </w:tcBorders>
            <w:shd w:val="clear" w:color="auto" w:fill="auto"/>
            <w:vAlign w:val="bottom"/>
          </w:tcPr>
          <w:p w:rsidR="00BC782B" w:rsidRPr="00D63C35" w:rsidRDefault="00BC782B" w:rsidP="00D63C35">
            <w:pPr>
              <w:pStyle w:val="TableColumnHeading"/>
              <w:rPr>
                <w:sz w:val="18"/>
                <w:szCs w:val="18"/>
              </w:rPr>
            </w:pPr>
            <w:r w:rsidRPr="00D63C35">
              <w:rPr>
                <w:sz w:val="18"/>
                <w:szCs w:val="18"/>
              </w:rPr>
              <w:t>ME</w:t>
            </w:r>
          </w:p>
        </w:tc>
        <w:tc>
          <w:tcPr>
            <w:tcW w:w="363" w:type="pct"/>
            <w:tcBorders>
              <w:top w:val="single" w:sz="4" w:space="0" w:color="auto"/>
              <w:bottom w:val="single" w:sz="4" w:space="0" w:color="auto"/>
            </w:tcBorders>
            <w:shd w:val="clear" w:color="auto" w:fill="auto"/>
            <w:vAlign w:val="bottom"/>
          </w:tcPr>
          <w:p w:rsidR="00BC782B" w:rsidRPr="00D63C35" w:rsidRDefault="00D63C35" w:rsidP="00D63C35">
            <w:pPr>
              <w:pStyle w:val="TableColumnHeading"/>
              <w:rPr>
                <w:sz w:val="18"/>
                <w:szCs w:val="18"/>
              </w:rPr>
            </w:pPr>
            <w:r>
              <w:rPr>
                <w:sz w:val="18"/>
                <w:szCs w:val="18"/>
              </w:rPr>
              <w:t>Total</w:t>
            </w:r>
            <w:r w:rsidR="00BC782B" w:rsidRPr="00D63C35">
              <w:rPr>
                <w:sz w:val="18"/>
                <w:szCs w:val="18"/>
              </w:rPr>
              <w:t xml:space="preserve"> </w:t>
            </w:r>
            <w:r>
              <w:rPr>
                <w:sz w:val="18"/>
                <w:szCs w:val="18"/>
              </w:rPr>
              <w:t>M</w:t>
            </w:r>
            <w:r w:rsidR="00BC782B" w:rsidRPr="00D63C35">
              <w:rPr>
                <w:sz w:val="18"/>
                <w:szCs w:val="18"/>
              </w:rPr>
              <w:t>fg</w:t>
            </w:r>
          </w:p>
        </w:tc>
        <w:tc>
          <w:tcPr>
            <w:tcW w:w="361" w:type="pct"/>
            <w:tcBorders>
              <w:bottom w:val="single" w:sz="6" w:space="0" w:color="auto"/>
            </w:tcBorders>
            <w:shd w:val="clear" w:color="auto" w:fill="auto"/>
            <w:vAlign w:val="bottom"/>
          </w:tcPr>
          <w:p w:rsidR="00BC782B" w:rsidRPr="00D63C35" w:rsidRDefault="00BC782B" w:rsidP="00805A92">
            <w:pPr>
              <w:pStyle w:val="TableColumnHeading"/>
              <w:ind w:right="0"/>
              <w:rPr>
                <w:sz w:val="18"/>
                <w:szCs w:val="18"/>
              </w:rPr>
            </w:pPr>
            <w:r w:rsidRPr="00D63C35">
              <w:rPr>
                <w:sz w:val="18"/>
                <w:szCs w:val="18"/>
              </w:rPr>
              <w:t>Serv</w:t>
            </w:r>
            <w:r w:rsidR="00D63C35">
              <w:rPr>
                <w:sz w:val="18"/>
                <w:szCs w:val="18"/>
              </w:rPr>
              <w:t>-</w:t>
            </w:r>
            <w:r w:rsidR="00805A92" w:rsidRPr="00D63C35">
              <w:rPr>
                <w:sz w:val="18"/>
                <w:szCs w:val="18"/>
              </w:rPr>
              <w:t>ices</w:t>
            </w:r>
            <w:r w:rsidR="00805A92">
              <w:rPr>
                <w:rStyle w:val="NoteLabel"/>
                <w:i w:val="0"/>
                <w:szCs w:val="18"/>
              </w:rPr>
              <w:t>c</w:t>
            </w:r>
          </w:p>
        </w:tc>
      </w:tr>
      <w:tr w:rsidR="00E80EFF" w:rsidRPr="00E80EFF" w:rsidTr="00757EB8">
        <w:tc>
          <w:tcPr>
            <w:tcW w:w="5000" w:type="pct"/>
            <w:gridSpan w:val="13"/>
            <w:shd w:val="clear" w:color="auto" w:fill="auto"/>
            <w:vAlign w:val="bottom"/>
          </w:tcPr>
          <w:p w:rsidR="00E80EFF" w:rsidRPr="00E80EFF" w:rsidRDefault="00E80EFF" w:rsidP="00E80EFF">
            <w:pPr>
              <w:pStyle w:val="TableBodyText"/>
              <w:jc w:val="center"/>
              <w:rPr>
                <w:i/>
              </w:rPr>
            </w:pPr>
            <w:r w:rsidRPr="00E80EFF">
              <w:rPr>
                <w:i/>
              </w:rPr>
              <w:t>Share of total intermediate inputs</w:t>
            </w:r>
          </w:p>
        </w:tc>
      </w:tr>
      <w:tr w:rsidR="00757EB8" w:rsidTr="00757EB8">
        <w:tc>
          <w:tcPr>
            <w:tcW w:w="642" w:type="pct"/>
            <w:shd w:val="clear" w:color="auto" w:fill="D9D9D9" w:themeFill="background1" w:themeFillShade="D9"/>
            <w:vAlign w:val="bottom"/>
          </w:tcPr>
          <w:p w:rsidR="00BC782B" w:rsidRPr="0054333E" w:rsidRDefault="00BC782B" w:rsidP="00D63C35">
            <w:pPr>
              <w:pStyle w:val="TableBodyText"/>
              <w:jc w:val="left"/>
            </w:pPr>
            <w:r w:rsidRPr="0054333E">
              <w:t>Ag</w:t>
            </w:r>
          </w:p>
        </w:tc>
        <w:tc>
          <w:tcPr>
            <w:tcW w:w="363" w:type="pct"/>
            <w:shd w:val="clear" w:color="auto" w:fill="D9D9D9" w:themeFill="background1" w:themeFillShade="D9"/>
            <w:vAlign w:val="bottom"/>
          </w:tcPr>
          <w:p w:rsidR="00BC782B" w:rsidRDefault="00BC782B" w:rsidP="00D63C35">
            <w:pPr>
              <w:pStyle w:val="TableBodyText"/>
            </w:pPr>
          </w:p>
        </w:tc>
        <w:tc>
          <w:tcPr>
            <w:tcW w:w="363" w:type="pct"/>
            <w:shd w:val="clear" w:color="auto" w:fill="D9D9D9" w:themeFill="background1" w:themeFillShade="D9"/>
            <w:vAlign w:val="bottom"/>
          </w:tcPr>
          <w:p w:rsidR="00BC782B" w:rsidRDefault="00BC782B" w:rsidP="00D63C35">
            <w:pPr>
              <w:pStyle w:val="TableBodyText"/>
            </w:pPr>
          </w:p>
        </w:tc>
        <w:tc>
          <w:tcPr>
            <w:tcW w:w="364" w:type="pct"/>
            <w:shd w:val="clear" w:color="auto" w:fill="D9D9D9" w:themeFill="background1" w:themeFillShade="D9"/>
            <w:vAlign w:val="center"/>
          </w:tcPr>
          <w:p w:rsidR="00BC782B" w:rsidRPr="00596C78" w:rsidRDefault="00BC782B" w:rsidP="00D63C35">
            <w:pPr>
              <w:pStyle w:val="TableBodyText"/>
              <w:rPr>
                <w:rFonts w:cs="Arial"/>
                <w:b/>
                <w:color w:val="000000"/>
              </w:rPr>
            </w:pPr>
            <w:r w:rsidRPr="00596C78">
              <w:rPr>
                <w:rFonts w:cs="Arial"/>
                <w:b/>
                <w:color w:val="000000"/>
              </w:rPr>
              <w:t>43.7</w:t>
            </w:r>
          </w:p>
        </w:tc>
        <w:tc>
          <w:tcPr>
            <w:tcW w:w="363" w:type="pct"/>
            <w:shd w:val="clear" w:color="auto" w:fill="D9D9D9" w:themeFill="background1" w:themeFillShade="D9"/>
            <w:vAlign w:val="bottom"/>
          </w:tcPr>
          <w:p w:rsidR="00BC782B" w:rsidRDefault="00BC782B" w:rsidP="00D63C35">
            <w:pPr>
              <w:pStyle w:val="TableBodyText"/>
            </w:pPr>
          </w:p>
        </w:tc>
        <w:tc>
          <w:tcPr>
            <w:tcW w:w="364" w:type="pct"/>
            <w:shd w:val="clear" w:color="auto" w:fill="D9D9D9" w:themeFill="background1" w:themeFillShade="D9"/>
            <w:vAlign w:val="bottom"/>
          </w:tcPr>
          <w:p w:rsidR="00BC782B" w:rsidRDefault="00BC782B" w:rsidP="00D63C35">
            <w:pPr>
              <w:pStyle w:val="TableBodyText"/>
            </w:pPr>
          </w:p>
        </w:tc>
        <w:tc>
          <w:tcPr>
            <w:tcW w:w="363" w:type="pct"/>
            <w:shd w:val="clear" w:color="auto" w:fill="D9D9D9" w:themeFill="background1" w:themeFillShade="D9"/>
            <w:vAlign w:val="bottom"/>
          </w:tcPr>
          <w:p w:rsidR="00BC782B" w:rsidRDefault="00BC782B" w:rsidP="00D63C35">
            <w:pPr>
              <w:pStyle w:val="TableBodyText"/>
            </w:pPr>
          </w:p>
        </w:tc>
        <w:tc>
          <w:tcPr>
            <w:tcW w:w="363" w:type="pct"/>
            <w:shd w:val="clear" w:color="auto" w:fill="D9D9D9" w:themeFill="background1" w:themeFillShade="D9"/>
            <w:vAlign w:val="bottom"/>
          </w:tcPr>
          <w:p w:rsidR="00BC782B" w:rsidRDefault="00BC782B" w:rsidP="00D63C35">
            <w:pPr>
              <w:pStyle w:val="TableBodyText"/>
            </w:pPr>
          </w:p>
        </w:tc>
        <w:tc>
          <w:tcPr>
            <w:tcW w:w="364" w:type="pct"/>
            <w:shd w:val="clear" w:color="auto" w:fill="D9D9D9" w:themeFill="background1" w:themeFillShade="D9"/>
            <w:vAlign w:val="bottom"/>
          </w:tcPr>
          <w:p w:rsidR="00BC782B" w:rsidRDefault="00BC782B" w:rsidP="00D63C35">
            <w:pPr>
              <w:pStyle w:val="TableBodyText"/>
            </w:pPr>
          </w:p>
        </w:tc>
        <w:tc>
          <w:tcPr>
            <w:tcW w:w="363" w:type="pct"/>
            <w:shd w:val="clear" w:color="auto" w:fill="D9D9D9" w:themeFill="background1" w:themeFillShade="D9"/>
            <w:vAlign w:val="bottom"/>
          </w:tcPr>
          <w:p w:rsidR="00BC782B" w:rsidRDefault="00BC782B" w:rsidP="00D63C35">
            <w:pPr>
              <w:pStyle w:val="TableBodyText"/>
            </w:pPr>
          </w:p>
        </w:tc>
        <w:tc>
          <w:tcPr>
            <w:tcW w:w="364" w:type="pct"/>
            <w:shd w:val="clear" w:color="auto" w:fill="D9D9D9" w:themeFill="background1" w:themeFillShade="D9"/>
            <w:vAlign w:val="bottom"/>
          </w:tcPr>
          <w:p w:rsidR="00BC782B" w:rsidRDefault="00BC782B" w:rsidP="00D63C35">
            <w:pPr>
              <w:pStyle w:val="TableBodyText"/>
            </w:pPr>
          </w:p>
        </w:tc>
        <w:tc>
          <w:tcPr>
            <w:tcW w:w="363" w:type="pct"/>
            <w:shd w:val="clear" w:color="auto" w:fill="D9D9D9" w:themeFill="background1" w:themeFillShade="D9"/>
            <w:vAlign w:val="center"/>
          </w:tcPr>
          <w:p w:rsidR="00BC782B" w:rsidRDefault="00BC782B" w:rsidP="00D63C35">
            <w:pPr>
              <w:pStyle w:val="TableBodyText"/>
              <w:rPr>
                <w:rFonts w:cs="Arial"/>
                <w:color w:val="000000"/>
              </w:rPr>
            </w:pPr>
            <w:r>
              <w:rPr>
                <w:rFonts w:cs="Arial"/>
                <w:color w:val="000000"/>
              </w:rPr>
              <w:t>13.0</w:t>
            </w:r>
          </w:p>
        </w:tc>
        <w:tc>
          <w:tcPr>
            <w:tcW w:w="361" w:type="pct"/>
            <w:shd w:val="clear" w:color="auto" w:fill="D9D9D9" w:themeFill="background1" w:themeFillShade="D9"/>
            <w:vAlign w:val="bottom"/>
          </w:tcPr>
          <w:p w:rsidR="00BC782B" w:rsidRDefault="00BC782B" w:rsidP="00D63C35">
            <w:pPr>
              <w:pStyle w:val="TableBodyText"/>
            </w:pPr>
          </w:p>
        </w:tc>
      </w:tr>
      <w:tr w:rsidR="00BC782B" w:rsidTr="00757EB8">
        <w:tc>
          <w:tcPr>
            <w:tcW w:w="642" w:type="pct"/>
            <w:vAlign w:val="bottom"/>
          </w:tcPr>
          <w:p w:rsidR="00BC782B" w:rsidRPr="0054333E" w:rsidRDefault="00BC782B" w:rsidP="00D63C35">
            <w:pPr>
              <w:pStyle w:val="TableBodyText"/>
              <w:jc w:val="left"/>
            </w:pPr>
            <w:r w:rsidRPr="0054333E">
              <w:t>Mining</w:t>
            </w:r>
          </w:p>
        </w:tc>
        <w:tc>
          <w:tcPr>
            <w:tcW w:w="363" w:type="pct"/>
            <w:vAlign w:val="bottom"/>
          </w:tcPr>
          <w:p w:rsidR="00BC782B" w:rsidRDefault="00BC782B" w:rsidP="00D63C35">
            <w:pPr>
              <w:pStyle w:val="TableBodyText"/>
            </w:pPr>
          </w:p>
        </w:tc>
        <w:tc>
          <w:tcPr>
            <w:tcW w:w="363" w:type="pct"/>
            <w:vAlign w:val="bottom"/>
          </w:tcPr>
          <w:p w:rsidR="00BC782B" w:rsidRDefault="00BC782B" w:rsidP="00D63C35">
            <w:pPr>
              <w:pStyle w:val="TableBodyText"/>
            </w:pPr>
          </w:p>
        </w:tc>
        <w:tc>
          <w:tcPr>
            <w:tcW w:w="364" w:type="pct"/>
            <w:vAlign w:val="center"/>
          </w:tcPr>
          <w:p w:rsidR="00BC782B" w:rsidRPr="00596C78" w:rsidRDefault="00BC782B" w:rsidP="00D63C35">
            <w:pPr>
              <w:pStyle w:val="TableBodyText"/>
              <w:rPr>
                <w:rFonts w:cs="Arial"/>
                <w:b/>
                <w:color w:val="000000"/>
              </w:rPr>
            </w:pPr>
            <w:r w:rsidRPr="00596C78">
              <w:rPr>
                <w:rFonts w:cs="Arial"/>
                <w:b/>
                <w:color w:val="000000"/>
              </w:rPr>
              <w:t>0.8</w:t>
            </w:r>
          </w:p>
        </w:tc>
        <w:tc>
          <w:tcPr>
            <w:tcW w:w="363" w:type="pct"/>
            <w:vAlign w:val="bottom"/>
          </w:tcPr>
          <w:p w:rsidR="00BC782B" w:rsidRDefault="00BC782B" w:rsidP="00D63C35">
            <w:pPr>
              <w:pStyle w:val="TableBodyText"/>
            </w:pPr>
          </w:p>
        </w:tc>
        <w:tc>
          <w:tcPr>
            <w:tcW w:w="364" w:type="pct"/>
            <w:vAlign w:val="bottom"/>
          </w:tcPr>
          <w:p w:rsidR="00BC782B" w:rsidRDefault="00BC782B" w:rsidP="00D63C35">
            <w:pPr>
              <w:pStyle w:val="TableBodyText"/>
            </w:pPr>
          </w:p>
        </w:tc>
        <w:tc>
          <w:tcPr>
            <w:tcW w:w="363" w:type="pct"/>
            <w:vAlign w:val="bottom"/>
          </w:tcPr>
          <w:p w:rsidR="00BC782B" w:rsidRDefault="00BC782B" w:rsidP="00D63C35">
            <w:pPr>
              <w:pStyle w:val="TableBodyText"/>
            </w:pPr>
          </w:p>
        </w:tc>
        <w:tc>
          <w:tcPr>
            <w:tcW w:w="363" w:type="pct"/>
            <w:vAlign w:val="bottom"/>
          </w:tcPr>
          <w:p w:rsidR="00BC782B" w:rsidRDefault="00BC782B" w:rsidP="00D63C35">
            <w:pPr>
              <w:pStyle w:val="TableBodyText"/>
            </w:pPr>
          </w:p>
        </w:tc>
        <w:tc>
          <w:tcPr>
            <w:tcW w:w="364" w:type="pct"/>
            <w:vAlign w:val="bottom"/>
          </w:tcPr>
          <w:p w:rsidR="00BC782B" w:rsidRDefault="00BC782B" w:rsidP="00D63C35">
            <w:pPr>
              <w:pStyle w:val="TableBodyText"/>
            </w:pPr>
          </w:p>
        </w:tc>
        <w:tc>
          <w:tcPr>
            <w:tcW w:w="363" w:type="pct"/>
            <w:vAlign w:val="bottom"/>
          </w:tcPr>
          <w:p w:rsidR="00BC782B" w:rsidRDefault="00BC782B" w:rsidP="00D63C35">
            <w:pPr>
              <w:pStyle w:val="TableBodyText"/>
            </w:pPr>
          </w:p>
        </w:tc>
        <w:tc>
          <w:tcPr>
            <w:tcW w:w="364" w:type="pct"/>
            <w:vAlign w:val="bottom"/>
          </w:tcPr>
          <w:p w:rsidR="00BC782B" w:rsidRDefault="00BC782B" w:rsidP="00D63C35">
            <w:pPr>
              <w:pStyle w:val="TableBodyText"/>
            </w:pPr>
          </w:p>
        </w:tc>
        <w:tc>
          <w:tcPr>
            <w:tcW w:w="363" w:type="pct"/>
            <w:vAlign w:val="center"/>
          </w:tcPr>
          <w:p w:rsidR="00BC782B" w:rsidRDefault="00BC782B" w:rsidP="00D63C35">
            <w:pPr>
              <w:pStyle w:val="TableBodyText"/>
              <w:rPr>
                <w:rFonts w:cs="Arial"/>
                <w:color w:val="000000"/>
              </w:rPr>
            </w:pPr>
            <w:r>
              <w:rPr>
                <w:rFonts w:cs="Arial"/>
                <w:color w:val="000000"/>
              </w:rPr>
              <w:t>14.9</w:t>
            </w:r>
          </w:p>
        </w:tc>
        <w:tc>
          <w:tcPr>
            <w:tcW w:w="361" w:type="pct"/>
            <w:vAlign w:val="bottom"/>
          </w:tcPr>
          <w:p w:rsidR="00BC782B" w:rsidRDefault="00BC782B" w:rsidP="00D63C35">
            <w:pPr>
              <w:pStyle w:val="TableBodyText"/>
            </w:pPr>
          </w:p>
        </w:tc>
      </w:tr>
      <w:tr w:rsidR="00757EB8" w:rsidRPr="0054333E" w:rsidTr="00757EB8">
        <w:tc>
          <w:tcPr>
            <w:tcW w:w="642" w:type="pct"/>
            <w:shd w:val="clear" w:color="auto" w:fill="D9D9D9" w:themeFill="background1" w:themeFillShade="D9"/>
            <w:vAlign w:val="bottom"/>
          </w:tcPr>
          <w:p w:rsidR="00BC782B" w:rsidRPr="0054333E" w:rsidRDefault="00BC782B" w:rsidP="00D63C35">
            <w:pPr>
              <w:pStyle w:val="TableBodyText"/>
              <w:jc w:val="left"/>
              <w:rPr>
                <w:b/>
              </w:rPr>
            </w:pPr>
            <w:r w:rsidRPr="0054333E">
              <w:rPr>
                <w:b/>
              </w:rPr>
              <w:t>FBT</w:t>
            </w:r>
          </w:p>
        </w:tc>
        <w:tc>
          <w:tcPr>
            <w:tcW w:w="363" w:type="pct"/>
            <w:shd w:val="clear" w:color="auto" w:fill="D9D9D9" w:themeFill="background1" w:themeFillShade="D9"/>
            <w:vAlign w:val="center"/>
          </w:tcPr>
          <w:p w:rsidR="00BC782B" w:rsidRPr="0052733D" w:rsidRDefault="00BC782B" w:rsidP="00D63C35">
            <w:pPr>
              <w:pStyle w:val="TableBodyText"/>
              <w:rPr>
                <w:rFonts w:cs="Arial"/>
                <w:b/>
                <w:color w:val="000000"/>
              </w:rPr>
            </w:pPr>
            <w:r w:rsidRPr="0052733D">
              <w:rPr>
                <w:rFonts w:cs="Arial"/>
                <w:b/>
                <w:color w:val="000000"/>
              </w:rPr>
              <w:t>4.3</w:t>
            </w:r>
          </w:p>
        </w:tc>
        <w:tc>
          <w:tcPr>
            <w:tcW w:w="363" w:type="pct"/>
            <w:shd w:val="clear" w:color="auto" w:fill="D9D9D9" w:themeFill="background1" w:themeFillShade="D9"/>
            <w:vAlign w:val="center"/>
          </w:tcPr>
          <w:p w:rsidR="00BC782B" w:rsidRPr="0052733D" w:rsidRDefault="00BC782B" w:rsidP="00D63C35">
            <w:pPr>
              <w:pStyle w:val="TableBodyText"/>
              <w:rPr>
                <w:rFonts w:cs="Arial"/>
                <w:b/>
                <w:color w:val="000000"/>
              </w:rPr>
            </w:pPr>
            <w:r w:rsidRPr="0052733D">
              <w:rPr>
                <w:rFonts w:cs="Arial"/>
                <w:b/>
                <w:color w:val="000000"/>
              </w:rPr>
              <w:t>0.5</w:t>
            </w:r>
          </w:p>
        </w:tc>
        <w:tc>
          <w:tcPr>
            <w:tcW w:w="364" w:type="pct"/>
            <w:shd w:val="clear" w:color="auto" w:fill="D9D9D9" w:themeFill="background1" w:themeFillShade="D9"/>
            <w:vAlign w:val="center"/>
          </w:tcPr>
          <w:p w:rsidR="00BC782B" w:rsidRPr="0052733D" w:rsidRDefault="00BC782B" w:rsidP="00D63C35">
            <w:pPr>
              <w:pStyle w:val="TableBodyText"/>
              <w:rPr>
                <w:rFonts w:cs="Arial"/>
                <w:b/>
                <w:color w:val="000000"/>
              </w:rPr>
            </w:pPr>
            <w:r w:rsidRPr="0052733D">
              <w:rPr>
                <w:rFonts w:cs="Arial"/>
                <w:b/>
                <w:color w:val="000000"/>
              </w:rPr>
              <w:t>17.1</w:t>
            </w:r>
          </w:p>
        </w:tc>
        <w:tc>
          <w:tcPr>
            <w:tcW w:w="363" w:type="pct"/>
            <w:shd w:val="clear" w:color="auto" w:fill="D9D9D9" w:themeFill="background1" w:themeFillShade="D9"/>
            <w:vAlign w:val="center"/>
          </w:tcPr>
          <w:p w:rsidR="00BC782B" w:rsidRPr="0052733D" w:rsidRDefault="00BC782B" w:rsidP="00D63C35">
            <w:pPr>
              <w:pStyle w:val="TableBodyText"/>
              <w:rPr>
                <w:rFonts w:cs="Arial"/>
                <w:b/>
                <w:color w:val="000000"/>
              </w:rPr>
            </w:pPr>
            <w:r w:rsidRPr="0052733D">
              <w:rPr>
                <w:rFonts w:cs="Arial"/>
                <w:b/>
                <w:color w:val="000000"/>
              </w:rPr>
              <w:t>6.6</w:t>
            </w:r>
          </w:p>
        </w:tc>
        <w:tc>
          <w:tcPr>
            <w:tcW w:w="364" w:type="pct"/>
            <w:shd w:val="clear" w:color="auto" w:fill="D9D9D9" w:themeFill="background1" w:themeFillShade="D9"/>
            <w:vAlign w:val="center"/>
          </w:tcPr>
          <w:p w:rsidR="00BC782B" w:rsidRPr="0052733D" w:rsidRDefault="00BC782B" w:rsidP="00D63C35">
            <w:pPr>
              <w:pStyle w:val="TableBodyText"/>
              <w:rPr>
                <w:rFonts w:cs="Arial"/>
                <w:b/>
                <w:color w:val="000000"/>
              </w:rPr>
            </w:pPr>
            <w:r w:rsidRPr="0052733D">
              <w:rPr>
                <w:rFonts w:cs="Arial"/>
                <w:b/>
                <w:color w:val="000000"/>
              </w:rPr>
              <w:t>0.4</w:t>
            </w:r>
          </w:p>
        </w:tc>
        <w:tc>
          <w:tcPr>
            <w:tcW w:w="363" w:type="pct"/>
            <w:shd w:val="clear" w:color="auto" w:fill="D9D9D9" w:themeFill="background1" w:themeFillShade="D9"/>
            <w:vAlign w:val="center"/>
          </w:tcPr>
          <w:p w:rsidR="00BC782B" w:rsidRPr="0052733D" w:rsidRDefault="00BC782B" w:rsidP="00D63C35">
            <w:pPr>
              <w:pStyle w:val="TableBodyText"/>
              <w:rPr>
                <w:rFonts w:cs="Arial"/>
                <w:b/>
                <w:color w:val="000000"/>
              </w:rPr>
            </w:pPr>
            <w:r w:rsidRPr="0052733D">
              <w:rPr>
                <w:rFonts w:cs="Arial"/>
                <w:b/>
                <w:color w:val="000000"/>
              </w:rPr>
              <w:t>0.5</w:t>
            </w:r>
          </w:p>
        </w:tc>
        <w:tc>
          <w:tcPr>
            <w:tcW w:w="363" w:type="pct"/>
            <w:shd w:val="clear" w:color="auto" w:fill="D9D9D9" w:themeFill="background1" w:themeFillShade="D9"/>
            <w:vAlign w:val="center"/>
          </w:tcPr>
          <w:p w:rsidR="00BC782B" w:rsidRPr="0052733D" w:rsidRDefault="00BC782B" w:rsidP="00D63C35">
            <w:pPr>
              <w:pStyle w:val="TableBodyText"/>
              <w:rPr>
                <w:rFonts w:cs="Arial"/>
                <w:b/>
                <w:color w:val="000000"/>
              </w:rPr>
            </w:pPr>
            <w:r w:rsidRPr="0052733D">
              <w:rPr>
                <w:rFonts w:cs="Arial"/>
                <w:b/>
                <w:color w:val="000000"/>
              </w:rPr>
              <w:t>1.7</w:t>
            </w:r>
          </w:p>
        </w:tc>
        <w:tc>
          <w:tcPr>
            <w:tcW w:w="364" w:type="pct"/>
            <w:shd w:val="clear" w:color="auto" w:fill="D9D9D9" w:themeFill="background1" w:themeFillShade="D9"/>
            <w:vAlign w:val="center"/>
          </w:tcPr>
          <w:p w:rsidR="00BC782B" w:rsidRPr="0052733D" w:rsidRDefault="00BC782B" w:rsidP="00D63C35">
            <w:pPr>
              <w:pStyle w:val="TableBodyText"/>
              <w:rPr>
                <w:rFonts w:cs="Arial"/>
                <w:b/>
                <w:color w:val="000000"/>
              </w:rPr>
            </w:pPr>
            <w:r w:rsidRPr="0052733D">
              <w:rPr>
                <w:rFonts w:cs="Arial"/>
                <w:b/>
                <w:color w:val="000000"/>
              </w:rPr>
              <w:t>0.4</w:t>
            </w:r>
          </w:p>
        </w:tc>
        <w:tc>
          <w:tcPr>
            <w:tcW w:w="363" w:type="pct"/>
            <w:shd w:val="clear" w:color="auto" w:fill="D9D9D9" w:themeFill="background1" w:themeFillShade="D9"/>
            <w:vAlign w:val="center"/>
          </w:tcPr>
          <w:p w:rsidR="00BC782B" w:rsidRPr="0052733D" w:rsidRDefault="00BC782B" w:rsidP="00D63C35">
            <w:pPr>
              <w:pStyle w:val="TableBodyText"/>
              <w:rPr>
                <w:rFonts w:cs="Arial"/>
                <w:b/>
                <w:color w:val="000000"/>
              </w:rPr>
            </w:pPr>
            <w:r w:rsidRPr="0052733D">
              <w:rPr>
                <w:rFonts w:cs="Arial"/>
                <w:b/>
                <w:color w:val="000000"/>
              </w:rPr>
              <w:t>0.1</w:t>
            </w:r>
          </w:p>
        </w:tc>
        <w:tc>
          <w:tcPr>
            <w:tcW w:w="364" w:type="pct"/>
            <w:shd w:val="clear" w:color="auto" w:fill="D9D9D9" w:themeFill="background1" w:themeFillShade="D9"/>
            <w:vAlign w:val="center"/>
          </w:tcPr>
          <w:p w:rsidR="00BC782B" w:rsidRPr="0052733D" w:rsidRDefault="00BC782B" w:rsidP="00D63C35">
            <w:pPr>
              <w:pStyle w:val="TableBodyText"/>
              <w:rPr>
                <w:rFonts w:cs="Arial"/>
                <w:b/>
                <w:color w:val="000000"/>
              </w:rPr>
            </w:pPr>
            <w:r w:rsidRPr="0052733D">
              <w:rPr>
                <w:rFonts w:cs="Arial"/>
                <w:b/>
                <w:color w:val="000000"/>
              </w:rPr>
              <w:t>0.4</w:t>
            </w:r>
          </w:p>
        </w:tc>
        <w:tc>
          <w:tcPr>
            <w:tcW w:w="363" w:type="pct"/>
            <w:shd w:val="clear" w:color="auto" w:fill="D9D9D9" w:themeFill="background1" w:themeFillShade="D9"/>
            <w:vAlign w:val="center"/>
          </w:tcPr>
          <w:p w:rsidR="00BC782B" w:rsidRPr="0052733D" w:rsidRDefault="00BC782B" w:rsidP="00D63C35">
            <w:pPr>
              <w:pStyle w:val="TableBodyText"/>
              <w:rPr>
                <w:rFonts w:cs="Arial"/>
                <w:b/>
                <w:color w:val="000000"/>
              </w:rPr>
            </w:pPr>
            <w:r w:rsidRPr="0052733D">
              <w:rPr>
                <w:rFonts w:cs="Arial"/>
                <w:b/>
                <w:color w:val="000000"/>
              </w:rPr>
              <w:t>5.2</w:t>
            </w:r>
          </w:p>
        </w:tc>
        <w:tc>
          <w:tcPr>
            <w:tcW w:w="361" w:type="pct"/>
            <w:shd w:val="clear" w:color="auto" w:fill="D9D9D9" w:themeFill="background1" w:themeFillShade="D9"/>
            <w:vAlign w:val="center"/>
          </w:tcPr>
          <w:p w:rsidR="00BC782B" w:rsidRPr="0052733D" w:rsidRDefault="00BC782B" w:rsidP="00D63C35">
            <w:pPr>
              <w:pStyle w:val="TableBodyText"/>
              <w:rPr>
                <w:rFonts w:cs="Arial"/>
                <w:b/>
                <w:color w:val="000000"/>
              </w:rPr>
            </w:pPr>
            <w:r w:rsidRPr="0052733D">
              <w:rPr>
                <w:rFonts w:cs="Arial"/>
                <w:b/>
                <w:color w:val="000000"/>
              </w:rPr>
              <w:t>2.7</w:t>
            </w:r>
          </w:p>
        </w:tc>
      </w:tr>
      <w:tr w:rsidR="00BC782B" w:rsidTr="00757EB8">
        <w:tc>
          <w:tcPr>
            <w:tcW w:w="642" w:type="pct"/>
            <w:vAlign w:val="bottom"/>
          </w:tcPr>
          <w:p w:rsidR="00BC782B" w:rsidRDefault="00BC782B" w:rsidP="00D63C35">
            <w:pPr>
              <w:pStyle w:val="TableBodyText"/>
              <w:jc w:val="left"/>
            </w:pPr>
            <w:proofErr w:type="spellStart"/>
            <w:r>
              <w:t>TCO</w:t>
            </w:r>
            <w:proofErr w:type="spellEnd"/>
          </w:p>
        </w:tc>
        <w:tc>
          <w:tcPr>
            <w:tcW w:w="363" w:type="pct"/>
            <w:vAlign w:val="bottom"/>
          </w:tcPr>
          <w:p w:rsidR="00BC782B" w:rsidRDefault="00BC782B" w:rsidP="00D63C35">
            <w:pPr>
              <w:pStyle w:val="TableBodyText"/>
            </w:pPr>
          </w:p>
        </w:tc>
        <w:tc>
          <w:tcPr>
            <w:tcW w:w="363" w:type="pct"/>
            <w:vAlign w:val="bottom"/>
          </w:tcPr>
          <w:p w:rsidR="00BC782B" w:rsidRDefault="00BC782B" w:rsidP="00D63C35">
            <w:pPr>
              <w:pStyle w:val="TableBodyText"/>
            </w:pPr>
          </w:p>
        </w:tc>
        <w:tc>
          <w:tcPr>
            <w:tcW w:w="364" w:type="pct"/>
            <w:vAlign w:val="center"/>
          </w:tcPr>
          <w:p w:rsidR="00BC782B" w:rsidRPr="00596C78" w:rsidRDefault="00BC782B" w:rsidP="00D63C35">
            <w:pPr>
              <w:pStyle w:val="TableBodyText"/>
              <w:rPr>
                <w:rFonts w:cs="Arial"/>
                <w:b/>
                <w:color w:val="000000"/>
              </w:rPr>
            </w:pPr>
            <w:r w:rsidRPr="00596C78">
              <w:rPr>
                <w:rFonts w:cs="Arial"/>
                <w:b/>
                <w:color w:val="000000"/>
              </w:rPr>
              <w:t>0.3</w:t>
            </w:r>
          </w:p>
        </w:tc>
        <w:tc>
          <w:tcPr>
            <w:tcW w:w="363" w:type="pct"/>
            <w:vAlign w:val="bottom"/>
          </w:tcPr>
          <w:p w:rsidR="00BC782B" w:rsidRDefault="00BC782B" w:rsidP="00D63C35">
            <w:pPr>
              <w:pStyle w:val="TableBodyText"/>
            </w:pPr>
          </w:p>
        </w:tc>
        <w:tc>
          <w:tcPr>
            <w:tcW w:w="364" w:type="pct"/>
            <w:vAlign w:val="bottom"/>
          </w:tcPr>
          <w:p w:rsidR="00BC782B" w:rsidRDefault="00BC782B" w:rsidP="00D63C35">
            <w:pPr>
              <w:pStyle w:val="TableBodyText"/>
            </w:pPr>
          </w:p>
        </w:tc>
        <w:tc>
          <w:tcPr>
            <w:tcW w:w="363" w:type="pct"/>
            <w:vAlign w:val="bottom"/>
          </w:tcPr>
          <w:p w:rsidR="00BC782B" w:rsidRDefault="00BC782B" w:rsidP="00D63C35">
            <w:pPr>
              <w:pStyle w:val="TableBodyText"/>
            </w:pPr>
          </w:p>
        </w:tc>
        <w:tc>
          <w:tcPr>
            <w:tcW w:w="363" w:type="pct"/>
            <w:vAlign w:val="bottom"/>
          </w:tcPr>
          <w:p w:rsidR="00BC782B" w:rsidRDefault="00BC782B" w:rsidP="00D63C35">
            <w:pPr>
              <w:pStyle w:val="TableBodyText"/>
            </w:pPr>
          </w:p>
        </w:tc>
        <w:tc>
          <w:tcPr>
            <w:tcW w:w="364" w:type="pct"/>
            <w:vAlign w:val="bottom"/>
          </w:tcPr>
          <w:p w:rsidR="00BC782B" w:rsidRDefault="00BC782B" w:rsidP="00D63C35">
            <w:pPr>
              <w:pStyle w:val="TableBodyText"/>
            </w:pPr>
          </w:p>
        </w:tc>
        <w:tc>
          <w:tcPr>
            <w:tcW w:w="363" w:type="pct"/>
            <w:vAlign w:val="bottom"/>
          </w:tcPr>
          <w:p w:rsidR="00BC782B" w:rsidRDefault="00BC782B" w:rsidP="00D63C35">
            <w:pPr>
              <w:pStyle w:val="TableBodyText"/>
            </w:pPr>
          </w:p>
        </w:tc>
        <w:tc>
          <w:tcPr>
            <w:tcW w:w="364" w:type="pct"/>
            <w:vAlign w:val="bottom"/>
          </w:tcPr>
          <w:p w:rsidR="00BC782B" w:rsidRDefault="00BC782B" w:rsidP="00D63C35">
            <w:pPr>
              <w:pStyle w:val="TableBodyText"/>
            </w:pPr>
          </w:p>
        </w:tc>
        <w:tc>
          <w:tcPr>
            <w:tcW w:w="363" w:type="pct"/>
            <w:vAlign w:val="center"/>
          </w:tcPr>
          <w:p w:rsidR="00BC782B" w:rsidRDefault="00BC782B" w:rsidP="00D63C35">
            <w:pPr>
              <w:pStyle w:val="TableBodyText"/>
              <w:rPr>
                <w:rFonts w:cs="Arial"/>
                <w:color w:val="000000"/>
              </w:rPr>
            </w:pPr>
            <w:r>
              <w:rPr>
                <w:rFonts w:cs="Arial"/>
                <w:color w:val="000000"/>
              </w:rPr>
              <w:t>0.7</w:t>
            </w:r>
          </w:p>
        </w:tc>
        <w:tc>
          <w:tcPr>
            <w:tcW w:w="361" w:type="pct"/>
            <w:vAlign w:val="bottom"/>
          </w:tcPr>
          <w:p w:rsidR="00BC782B" w:rsidRDefault="00BC782B" w:rsidP="00D63C35">
            <w:pPr>
              <w:pStyle w:val="TableBodyText"/>
            </w:pPr>
          </w:p>
        </w:tc>
      </w:tr>
      <w:tr w:rsidR="00757EB8" w:rsidTr="00757EB8">
        <w:tc>
          <w:tcPr>
            <w:tcW w:w="642" w:type="pct"/>
            <w:shd w:val="clear" w:color="auto" w:fill="D9D9D9" w:themeFill="background1" w:themeFillShade="D9"/>
            <w:vAlign w:val="bottom"/>
          </w:tcPr>
          <w:p w:rsidR="00BC782B" w:rsidRDefault="00BC782B" w:rsidP="00D63C35">
            <w:pPr>
              <w:pStyle w:val="TableBodyText"/>
              <w:jc w:val="left"/>
            </w:pPr>
            <w:r>
              <w:t>WP</w:t>
            </w:r>
          </w:p>
        </w:tc>
        <w:tc>
          <w:tcPr>
            <w:tcW w:w="363" w:type="pct"/>
            <w:shd w:val="clear" w:color="auto" w:fill="D9D9D9" w:themeFill="background1" w:themeFillShade="D9"/>
            <w:vAlign w:val="bottom"/>
          </w:tcPr>
          <w:p w:rsidR="00BC782B" w:rsidRDefault="00BC782B" w:rsidP="00D63C35">
            <w:pPr>
              <w:pStyle w:val="TableBodyText"/>
            </w:pPr>
          </w:p>
        </w:tc>
        <w:tc>
          <w:tcPr>
            <w:tcW w:w="363" w:type="pct"/>
            <w:shd w:val="clear" w:color="auto" w:fill="D9D9D9" w:themeFill="background1" w:themeFillShade="D9"/>
            <w:vAlign w:val="bottom"/>
          </w:tcPr>
          <w:p w:rsidR="00BC782B" w:rsidRDefault="00BC782B" w:rsidP="00D63C35">
            <w:pPr>
              <w:pStyle w:val="TableBodyText"/>
            </w:pPr>
          </w:p>
        </w:tc>
        <w:tc>
          <w:tcPr>
            <w:tcW w:w="364" w:type="pct"/>
            <w:shd w:val="clear" w:color="auto" w:fill="D9D9D9" w:themeFill="background1" w:themeFillShade="D9"/>
            <w:vAlign w:val="center"/>
          </w:tcPr>
          <w:p w:rsidR="00BC782B" w:rsidRPr="00596C78" w:rsidRDefault="00BC782B" w:rsidP="00D63C35">
            <w:pPr>
              <w:pStyle w:val="TableBodyText"/>
              <w:rPr>
                <w:rFonts w:cs="Arial"/>
                <w:b/>
                <w:color w:val="000000"/>
              </w:rPr>
            </w:pPr>
            <w:r w:rsidRPr="00596C78">
              <w:rPr>
                <w:rFonts w:cs="Arial"/>
                <w:b/>
                <w:color w:val="000000"/>
              </w:rPr>
              <w:t>2.2</w:t>
            </w:r>
          </w:p>
        </w:tc>
        <w:tc>
          <w:tcPr>
            <w:tcW w:w="363" w:type="pct"/>
            <w:shd w:val="clear" w:color="auto" w:fill="D9D9D9" w:themeFill="background1" w:themeFillShade="D9"/>
            <w:vAlign w:val="bottom"/>
          </w:tcPr>
          <w:p w:rsidR="00BC782B" w:rsidRDefault="00BC782B" w:rsidP="00D63C35">
            <w:pPr>
              <w:pStyle w:val="TableBodyText"/>
            </w:pPr>
          </w:p>
        </w:tc>
        <w:tc>
          <w:tcPr>
            <w:tcW w:w="364" w:type="pct"/>
            <w:shd w:val="clear" w:color="auto" w:fill="D9D9D9" w:themeFill="background1" w:themeFillShade="D9"/>
            <w:vAlign w:val="bottom"/>
          </w:tcPr>
          <w:p w:rsidR="00BC782B" w:rsidRDefault="00BC782B" w:rsidP="00D63C35">
            <w:pPr>
              <w:pStyle w:val="TableBodyText"/>
            </w:pPr>
          </w:p>
        </w:tc>
        <w:tc>
          <w:tcPr>
            <w:tcW w:w="363" w:type="pct"/>
            <w:shd w:val="clear" w:color="auto" w:fill="D9D9D9" w:themeFill="background1" w:themeFillShade="D9"/>
            <w:vAlign w:val="bottom"/>
          </w:tcPr>
          <w:p w:rsidR="00BC782B" w:rsidRDefault="00BC782B" w:rsidP="00D63C35">
            <w:pPr>
              <w:pStyle w:val="TableBodyText"/>
            </w:pPr>
          </w:p>
        </w:tc>
        <w:tc>
          <w:tcPr>
            <w:tcW w:w="363" w:type="pct"/>
            <w:shd w:val="clear" w:color="auto" w:fill="D9D9D9" w:themeFill="background1" w:themeFillShade="D9"/>
            <w:vAlign w:val="bottom"/>
          </w:tcPr>
          <w:p w:rsidR="00BC782B" w:rsidRDefault="00BC782B" w:rsidP="00D63C35">
            <w:pPr>
              <w:pStyle w:val="TableBodyText"/>
            </w:pPr>
          </w:p>
        </w:tc>
        <w:tc>
          <w:tcPr>
            <w:tcW w:w="364" w:type="pct"/>
            <w:shd w:val="clear" w:color="auto" w:fill="D9D9D9" w:themeFill="background1" w:themeFillShade="D9"/>
            <w:vAlign w:val="bottom"/>
          </w:tcPr>
          <w:p w:rsidR="00BC782B" w:rsidRDefault="00BC782B" w:rsidP="00D63C35">
            <w:pPr>
              <w:pStyle w:val="TableBodyText"/>
            </w:pPr>
          </w:p>
        </w:tc>
        <w:tc>
          <w:tcPr>
            <w:tcW w:w="363" w:type="pct"/>
            <w:shd w:val="clear" w:color="auto" w:fill="D9D9D9" w:themeFill="background1" w:themeFillShade="D9"/>
            <w:vAlign w:val="bottom"/>
          </w:tcPr>
          <w:p w:rsidR="00BC782B" w:rsidRDefault="00BC782B" w:rsidP="00D63C35">
            <w:pPr>
              <w:pStyle w:val="TableBodyText"/>
            </w:pPr>
          </w:p>
        </w:tc>
        <w:tc>
          <w:tcPr>
            <w:tcW w:w="364" w:type="pct"/>
            <w:shd w:val="clear" w:color="auto" w:fill="D9D9D9" w:themeFill="background1" w:themeFillShade="D9"/>
            <w:vAlign w:val="bottom"/>
          </w:tcPr>
          <w:p w:rsidR="00BC782B" w:rsidRDefault="00BC782B" w:rsidP="00D63C35">
            <w:pPr>
              <w:pStyle w:val="TableBodyText"/>
            </w:pPr>
          </w:p>
        </w:tc>
        <w:tc>
          <w:tcPr>
            <w:tcW w:w="363" w:type="pct"/>
            <w:shd w:val="clear" w:color="auto" w:fill="D9D9D9" w:themeFill="background1" w:themeFillShade="D9"/>
            <w:vAlign w:val="center"/>
          </w:tcPr>
          <w:p w:rsidR="00BC782B" w:rsidRDefault="00BC782B" w:rsidP="00D63C35">
            <w:pPr>
              <w:pStyle w:val="TableBodyText"/>
              <w:rPr>
                <w:rFonts w:cs="Arial"/>
                <w:color w:val="000000"/>
              </w:rPr>
            </w:pPr>
            <w:r>
              <w:rPr>
                <w:rFonts w:cs="Arial"/>
                <w:color w:val="000000"/>
              </w:rPr>
              <w:t>2.3</w:t>
            </w:r>
          </w:p>
        </w:tc>
        <w:tc>
          <w:tcPr>
            <w:tcW w:w="361" w:type="pct"/>
            <w:shd w:val="clear" w:color="auto" w:fill="D9D9D9" w:themeFill="background1" w:themeFillShade="D9"/>
            <w:vAlign w:val="bottom"/>
          </w:tcPr>
          <w:p w:rsidR="00BC782B" w:rsidRDefault="00BC782B" w:rsidP="00D63C35">
            <w:pPr>
              <w:pStyle w:val="TableBodyText"/>
            </w:pPr>
          </w:p>
        </w:tc>
      </w:tr>
      <w:tr w:rsidR="00BC782B" w:rsidTr="00757EB8">
        <w:tc>
          <w:tcPr>
            <w:tcW w:w="642" w:type="pct"/>
            <w:vAlign w:val="bottom"/>
          </w:tcPr>
          <w:p w:rsidR="00BC782B" w:rsidRDefault="00BC782B" w:rsidP="00D63C35">
            <w:pPr>
              <w:pStyle w:val="TableBodyText"/>
              <w:jc w:val="left"/>
            </w:pPr>
            <w:proofErr w:type="spellStart"/>
            <w:r>
              <w:t>PRM</w:t>
            </w:r>
            <w:proofErr w:type="spellEnd"/>
          </w:p>
        </w:tc>
        <w:tc>
          <w:tcPr>
            <w:tcW w:w="363" w:type="pct"/>
            <w:vAlign w:val="bottom"/>
          </w:tcPr>
          <w:p w:rsidR="00BC782B" w:rsidRDefault="00BC782B" w:rsidP="00D63C35">
            <w:pPr>
              <w:pStyle w:val="TableBodyText"/>
            </w:pPr>
          </w:p>
        </w:tc>
        <w:tc>
          <w:tcPr>
            <w:tcW w:w="363" w:type="pct"/>
            <w:vAlign w:val="bottom"/>
          </w:tcPr>
          <w:p w:rsidR="00BC782B" w:rsidRDefault="00BC782B" w:rsidP="00D63C35">
            <w:pPr>
              <w:pStyle w:val="TableBodyText"/>
            </w:pPr>
          </w:p>
        </w:tc>
        <w:tc>
          <w:tcPr>
            <w:tcW w:w="364" w:type="pct"/>
            <w:vAlign w:val="center"/>
          </w:tcPr>
          <w:p w:rsidR="00BC782B" w:rsidRPr="00596C78" w:rsidRDefault="00BC782B" w:rsidP="00D63C35">
            <w:pPr>
              <w:pStyle w:val="TableBodyText"/>
              <w:rPr>
                <w:rFonts w:cs="Arial"/>
                <w:b/>
                <w:color w:val="000000"/>
              </w:rPr>
            </w:pPr>
            <w:r w:rsidRPr="00596C78">
              <w:rPr>
                <w:rFonts w:cs="Arial"/>
                <w:b/>
                <w:color w:val="000000"/>
              </w:rPr>
              <w:t>0.2</w:t>
            </w:r>
          </w:p>
        </w:tc>
        <w:tc>
          <w:tcPr>
            <w:tcW w:w="363" w:type="pct"/>
            <w:vAlign w:val="bottom"/>
          </w:tcPr>
          <w:p w:rsidR="00BC782B" w:rsidRDefault="00BC782B" w:rsidP="00D63C35">
            <w:pPr>
              <w:pStyle w:val="TableBodyText"/>
            </w:pPr>
          </w:p>
        </w:tc>
        <w:tc>
          <w:tcPr>
            <w:tcW w:w="364" w:type="pct"/>
            <w:vAlign w:val="bottom"/>
          </w:tcPr>
          <w:p w:rsidR="00BC782B" w:rsidRDefault="00BC782B" w:rsidP="00D63C35">
            <w:pPr>
              <w:pStyle w:val="TableBodyText"/>
            </w:pPr>
          </w:p>
        </w:tc>
        <w:tc>
          <w:tcPr>
            <w:tcW w:w="363" w:type="pct"/>
            <w:vAlign w:val="bottom"/>
          </w:tcPr>
          <w:p w:rsidR="00BC782B" w:rsidRDefault="00BC782B" w:rsidP="00D63C35">
            <w:pPr>
              <w:pStyle w:val="TableBodyText"/>
            </w:pPr>
          </w:p>
        </w:tc>
        <w:tc>
          <w:tcPr>
            <w:tcW w:w="363" w:type="pct"/>
            <w:vAlign w:val="bottom"/>
          </w:tcPr>
          <w:p w:rsidR="00BC782B" w:rsidRDefault="00BC782B" w:rsidP="00D63C35">
            <w:pPr>
              <w:pStyle w:val="TableBodyText"/>
            </w:pPr>
          </w:p>
        </w:tc>
        <w:tc>
          <w:tcPr>
            <w:tcW w:w="364" w:type="pct"/>
            <w:vAlign w:val="bottom"/>
          </w:tcPr>
          <w:p w:rsidR="00BC782B" w:rsidRDefault="00BC782B" w:rsidP="00D63C35">
            <w:pPr>
              <w:pStyle w:val="TableBodyText"/>
            </w:pPr>
          </w:p>
        </w:tc>
        <w:tc>
          <w:tcPr>
            <w:tcW w:w="363" w:type="pct"/>
            <w:vAlign w:val="bottom"/>
          </w:tcPr>
          <w:p w:rsidR="00BC782B" w:rsidRDefault="00BC782B" w:rsidP="00D63C35">
            <w:pPr>
              <w:pStyle w:val="TableBodyText"/>
            </w:pPr>
          </w:p>
        </w:tc>
        <w:tc>
          <w:tcPr>
            <w:tcW w:w="364" w:type="pct"/>
            <w:vAlign w:val="bottom"/>
          </w:tcPr>
          <w:p w:rsidR="00BC782B" w:rsidRDefault="00BC782B" w:rsidP="00D63C35">
            <w:pPr>
              <w:pStyle w:val="TableBodyText"/>
            </w:pPr>
          </w:p>
        </w:tc>
        <w:tc>
          <w:tcPr>
            <w:tcW w:w="363" w:type="pct"/>
            <w:vAlign w:val="center"/>
          </w:tcPr>
          <w:p w:rsidR="00BC782B" w:rsidRDefault="00BC782B" w:rsidP="00D63C35">
            <w:pPr>
              <w:pStyle w:val="TableBodyText"/>
              <w:rPr>
                <w:rFonts w:cs="Arial"/>
                <w:color w:val="000000"/>
              </w:rPr>
            </w:pPr>
            <w:r>
              <w:rPr>
                <w:rFonts w:cs="Arial"/>
                <w:color w:val="000000"/>
              </w:rPr>
              <w:t>0.4</w:t>
            </w:r>
          </w:p>
        </w:tc>
        <w:tc>
          <w:tcPr>
            <w:tcW w:w="361" w:type="pct"/>
            <w:vAlign w:val="bottom"/>
          </w:tcPr>
          <w:p w:rsidR="00BC782B" w:rsidRDefault="00BC782B" w:rsidP="00D63C35">
            <w:pPr>
              <w:pStyle w:val="TableBodyText"/>
            </w:pPr>
          </w:p>
        </w:tc>
      </w:tr>
      <w:tr w:rsidR="00757EB8" w:rsidTr="00757EB8">
        <w:tc>
          <w:tcPr>
            <w:tcW w:w="642" w:type="pct"/>
            <w:shd w:val="clear" w:color="auto" w:fill="D9D9D9" w:themeFill="background1" w:themeFillShade="D9"/>
            <w:vAlign w:val="bottom"/>
          </w:tcPr>
          <w:p w:rsidR="00BC782B" w:rsidRDefault="00BC782B" w:rsidP="00D63C35">
            <w:pPr>
              <w:pStyle w:val="TableBodyText"/>
              <w:jc w:val="left"/>
            </w:pPr>
            <w:r>
              <w:t>PCCR</w:t>
            </w:r>
          </w:p>
        </w:tc>
        <w:tc>
          <w:tcPr>
            <w:tcW w:w="363" w:type="pct"/>
            <w:shd w:val="clear" w:color="auto" w:fill="D9D9D9" w:themeFill="background1" w:themeFillShade="D9"/>
            <w:vAlign w:val="bottom"/>
          </w:tcPr>
          <w:p w:rsidR="00BC782B" w:rsidRDefault="00BC782B" w:rsidP="00D63C35">
            <w:pPr>
              <w:pStyle w:val="TableBodyText"/>
            </w:pPr>
          </w:p>
        </w:tc>
        <w:tc>
          <w:tcPr>
            <w:tcW w:w="363" w:type="pct"/>
            <w:shd w:val="clear" w:color="auto" w:fill="D9D9D9" w:themeFill="background1" w:themeFillShade="D9"/>
            <w:vAlign w:val="bottom"/>
          </w:tcPr>
          <w:p w:rsidR="00BC782B" w:rsidRDefault="00BC782B" w:rsidP="00D63C35">
            <w:pPr>
              <w:pStyle w:val="TableBodyText"/>
            </w:pPr>
          </w:p>
        </w:tc>
        <w:tc>
          <w:tcPr>
            <w:tcW w:w="364" w:type="pct"/>
            <w:shd w:val="clear" w:color="auto" w:fill="D9D9D9" w:themeFill="background1" w:themeFillShade="D9"/>
            <w:vAlign w:val="center"/>
          </w:tcPr>
          <w:p w:rsidR="00BC782B" w:rsidRPr="00596C78" w:rsidRDefault="00BC782B" w:rsidP="00D63C35">
            <w:pPr>
              <w:pStyle w:val="TableBodyText"/>
              <w:rPr>
                <w:rFonts w:cs="Arial"/>
                <w:b/>
                <w:color w:val="000000"/>
              </w:rPr>
            </w:pPr>
            <w:r w:rsidRPr="00596C78">
              <w:rPr>
                <w:rFonts w:cs="Arial"/>
                <w:b/>
                <w:color w:val="000000"/>
              </w:rPr>
              <w:t>3.2</w:t>
            </w:r>
          </w:p>
        </w:tc>
        <w:tc>
          <w:tcPr>
            <w:tcW w:w="363" w:type="pct"/>
            <w:shd w:val="clear" w:color="auto" w:fill="D9D9D9" w:themeFill="background1" w:themeFillShade="D9"/>
            <w:vAlign w:val="bottom"/>
          </w:tcPr>
          <w:p w:rsidR="00BC782B" w:rsidRDefault="00BC782B" w:rsidP="00D63C35">
            <w:pPr>
              <w:pStyle w:val="TableBodyText"/>
            </w:pPr>
          </w:p>
        </w:tc>
        <w:tc>
          <w:tcPr>
            <w:tcW w:w="364" w:type="pct"/>
            <w:shd w:val="clear" w:color="auto" w:fill="D9D9D9" w:themeFill="background1" w:themeFillShade="D9"/>
            <w:vAlign w:val="bottom"/>
          </w:tcPr>
          <w:p w:rsidR="00BC782B" w:rsidRDefault="00BC782B" w:rsidP="00D63C35">
            <w:pPr>
              <w:pStyle w:val="TableBodyText"/>
            </w:pPr>
          </w:p>
        </w:tc>
        <w:tc>
          <w:tcPr>
            <w:tcW w:w="363" w:type="pct"/>
            <w:shd w:val="clear" w:color="auto" w:fill="D9D9D9" w:themeFill="background1" w:themeFillShade="D9"/>
            <w:vAlign w:val="bottom"/>
          </w:tcPr>
          <w:p w:rsidR="00BC782B" w:rsidRDefault="00BC782B" w:rsidP="00D63C35">
            <w:pPr>
              <w:pStyle w:val="TableBodyText"/>
            </w:pPr>
          </w:p>
        </w:tc>
        <w:tc>
          <w:tcPr>
            <w:tcW w:w="363" w:type="pct"/>
            <w:shd w:val="clear" w:color="auto" w:fill="D9D9D9" w:themeFill="background1" w:themeFillShade="D9"/>
            <w:vAlign w:val="bottom"/>
          </w:tcPr>
          <w:p w:rsidR="00BC782B" w:rsidRDefault="00BC782B" w:rsidP="00D63C35">
            <w:pPr>
              <w:pStyle w:val="TableBodyText"/>
            </w:pPr>
          </w:p>
        </w:tc>
        <w:tc>
          <w:tcPr>
            <w:tcW w:w="364" w:type="pct"/>
            <w:shd w:val="clear" w:color="auto" w:fill="D9D9D9" w:themeFill="background1" w:themeFillShade="D9"/>
            <w:vAlign w:val="bottom"/>
          </w:tcPr>
          <w:p w:rsidR="00BC782B" w:rsidRDefault="00BC782B" w:rsidP="00D63C35">
            <w:pPr>
              <w:pStyle w:val="TableBodyText"/>
            </w:pPr>
          </w:p>
        </w:tc>
        <w:tc>
          <w:tcPr>
            <w:tcW w:w="363" w:type="pct"/>
            <w:shd w:val="clear" w:color="auto" w:fill="D9D9D9" w:themeFill="background1" w:themeFillShade="D9"/>
            <w:vAlign w:val="bottom"/>
          </w:tcPr>
          <w:p w:rsidR="00BC782B" w:rsidRDefault="00BC782B" w:rsidP="00D63C35">
            <w:pPr>
              <w:pStyle w:val="TableBodyText"/>
            </w:pPr>
          </w:p>
        </w:tc>
        <w:tc>
          <w:tcPr>
            <w:tcW w:w="364" w:type="pct"/>
            <w:shd w:val="clear" w:color="auto" w:fill="D9D9D9" w:themeFill="background1" w:themeFillShade="D9"/>
            <w:vAlign w:val="bottom"/>
          </w:tcPr>
          <w:p w:rsidR="00BC782B" w:rsidRDefault="00BC782B" w:rsidP="00D63C35">
            <w:pPr>
              <w:pStyle w:val="TableBodyText"/>
            </w:pPr>
          </w:p>
        </w:tc>
        <w:tc>
          <w:tcPr>
            <w:tcW w:w="363" w:type="pct"/>
            <w:shd w:val="clear" w:color="auto" w:fill="D9D9D9" w:themeFill="background1" w:themeFillShade="D9"/>
            <w:vAlign w:val="center"/>
          </w:tcPr>
          <w:p w:rsidR="00BC782B" w:rsidRDefault="00BC782B" w:rsidP="00D63C35">
            <w:pPr>
              <w:pStyle w:val="TableBodyText"/>
              <w:rPr>
                <w:rFonts w:cs="Arial"/>
                <w:color w:val="000000"/>
              </w:rPr>
            </w:pPr>
            <w:r>
              <w:rPr>
                <w:rFonts w:cs="Arial"/>
                <w:color w:val="000000"/>
              </w:rPr>
              <w:t>6.1</w:t>
            </w:r>
          </w:p>
        </w:tc>
        <w:tc>
          <w:tcPr>
            <w:tcW w:w="361" w:type="pct"/>
            <w:shd w:val="clear" w:color="auto" w:fill="D9D9D9" w:themeFill="background1" w:themeFillShade="D9"/>
            <w:vAlign w:val="bottom"/>
          </w:tcPr>
          <w:p w:rsidR="00BC782B" w:rsidRDefault="00BC782B" w:rsidP="00D63C35">
            <w:pPr>
              <w:pStyle w:val="TableBodyText"/>
            </w:pPr>
          </w:p>
        </w:tc>
      </w:tr>
      <w:tr w:rsidR="00BC782B" w:rsidTr="00757EB8">
        <w:tc>
          <w:tcPr>
            <w:tcW w:w="642" w:type="pct"/>
            <w:vAlign w:val="bottom"/>
          </w:tcPr>
          <w:p w:rsidR="00BC782B" w:rsidRDefault="00BC782B" w:rsidP="00D63C35">
            <w:pPr>
              <w:pStyle w:val="TableBodyText"/>
              <w:jc w:val="left"/>
            </w:pPr>
            <w:r>
              <w:t>NM</w:t>
            </w:r>
          </w:p>
        </w:tc>
        <w:tc>
          <w:tcPr>
            <w:tcW w:w="363" w:type="pct"/>
            <w:vAlign w:val="bottom"/>
          </w:tcPr>
          <w:p w:rsidR="00BC782B" w:rsidRDefault="00BC782B" w:rsidP="00D63C35">
            <w:pPr>
              <w:pStyle w:val="TableBodyText"/>
            </w:pPr>
          </w:p>
        </w:tc>
        <w:tc>
          <w:tcPr>
            <w:tcW w:w="363" w:type="pct"/>
            <w:vAlign w:val="bottom"/>
          </w:tcPr>
          <w:p w:rsidR="00BC782B" w:rsidRDefault="00BC782B" w:rsidP="00D63C35">
            <w:pPr>
              <w:pStyle w:val="TableBodyText"/>
            </w:pPr>
          </w:p>
        </w:tc>
        <w:tc>
          <w:tcPr>
            <w:tcW w:w="364" w:type="pct"/>
            <w:vAlign w:val="center"/>
          </w:tcPr>
          <w:p w:rsidR="00BC782B" w:rsidRPr="00596C78" w:rsidRDefault="00BC782B" w:rsidP="00D63C35">
            <w:pPr>
              <w:pStyle w:val="TableBodyText"/>
              <w:rPr>
                <w:rFonts w:cs="Arial"/>
                <w:b/>
                <w:color w:val="000000"/>
              </w:rPr>
            </w:pPr>
            <w:r w:rsidRPr="00596C78">
              <w:rPr>
                <w:rFonts w:cs="Arial"/>
                <w:b/>
                <w:color w:val="000000"/>
              </w:rPr>
              <w:t>0.8</w:t>
            </w:r>
          </w:p>
        </w:tc>
        <w:tc>
          <w:tcPr>
            <w:tcW w:w="363" w:type="pct"/>
            <w:vAlign w:val="bottom"/>
          </w:tcPr>
          <w:p w:rsidR="00BC782B" w:rsidRDefault="00BC782B" w:rsidP="00D63C35">
            <w:pPr>
              <w:pStyle w:val="TableBodyText"/>
            </w:pPr>
          </w:p>
        </w:tc>
        <w:tc>
          <w:tcPr>
            <w:tcW w:w="364" w:type="pct"/>
            <w:vAlign w:val="bottom"/>
          </w:tcPr>
          <w:p w:rsidR="00BC782B" w:rsidRDefault="00BC782B" w:rsidP="00D63C35">
            <w:pPr>
              <w:pStyle w:val="TableBodyText"/>
            </w:pPr>
          </w:p>
        </w:tc>
        <w:tc>
          <w:tcPr>
            <w:tcW w:w="363" w:type="pct"/>
            <w:vAlign w:val="bottom"/>
          </w:tcPr>
          <w:p w:rsidR="00BC782B" w:rsidRDefault="00BC782B" w:rsidP="00D63C35">
            <w:pPr>
              <w:pStyle w:val="TableBodyText"/>
            </w:pPr>
          </w:p>
        </w:tc>
        <w:tc>
          <w:tcPr>
            <w:tcW w:w="363" w:type="pct"/>
            <w:vAlign w:val="bottom"/>
          </w:tcPr>
          <w:p w:rsidR="00BC782B" w:rsidRDefault="00BC782B" w:rsidP="00D63C35">
            <w:pPr>
              <w:pStyle w:val="TableBodyText"/>
            </w:pPr>
          </w:p>
        </w:tc>
        <w:tc>
          <w:tcPr>
            <w:tcW w:w="364" w:type="pct"/>
            <w:vAlign w:val="bottom"/>
          </w:tcPr>
          <w:p w:rsidR="00BC782B" w:rsidRDefault="00BC782B" w:rsidP="00D63C35">
            <w:pPr>
              <w:pStyle w:val="TableBodyText"/>
            </w:pPr>
          </w:p>
        </w:tc>
        <w:tc>
          <w:tcPr>
            <w:tcW w:w="363" w:type="pct"/>
            <w:vAlign w:val="bottom"/>
          </w:tcPr>
          <w:p w:rsidR="00BC782B" w:rsidRDefault="00BC782B" w:rsidP="00D63C35">
            <w:pPr>
              <w:pStyle w:val="TableBodyText"/>
            </w:pPr>
          </w:p>
        </w:tc>
        <w:tc>
          <w:tcPr>
            <w:tcW w:w="364" w:type="pct"/>
            <w:vAlign w:val="bottom"/>
          </w:tcPr>
          <w:p w:rsidR="00BC782B" w:rsidRDefault="00BC782B" w:rsidP="00D63C35">
            <w:pPr>
              <w:pStyle w:val="TableBodyText"/>
            </w:pPr>
          </w:p>
        </w:tc>
        <w:tc>
          <w:tcPr>
            <w:tcW w:w="363" w:type="pct"/>
            <w:vAlign w:val="center"/>
          </w:tcPr>
          <w:p w:rsidR="00BC782B" w:rsidRDefault="00BC782B" w:rsidP="00D63C35">
            <w:pPr>
              <w:pStyle w:val="TableBodyText"/>
              <w:rPr>
                <w:rFonts w:cs="Arial"/>
                <w:color w:val="000000"/>
              </w:rPr>
            </w:pPr>
            <w:r>
              <w:rPr>
                <w:rFonts w:cs="Arial"/>
                <w:color w:val="000000"/>
              </w:rPr>
              <w:t>1.7</w:t>
            </w:r>
          </w:p>
        </w:tc>
        <w:tc>
          <w:tcPr>
            <w:tcW w:w="361" w:type="pct"/>
            <w:vAlign w:val="bottom"/>
          </w:tcPr>
          <w:p w:rsidR="00BC782B" w:rsidRDefault="00BC782B" w:rsidP="00D63C35">
            <w:pPr>
              <w:pStyle w:val="TableBodyText"/>
            </w:pPr>
          </w:p>
        </w:tc>
      </w:tr>
      <w:tr w:rsidR="00757EB8" w:rsidTr="00757EB8">
        <w:tc>
          <w:tcPr>
            <w:tcW w:w="642" w:type="pct"/>
            <w:shd w:val="clear" w:color="auto" w:fill="D9D9D9" w:themeFill="background1" w:themeFillShade="D9"/>
            <w:vAlign w:val="bottom"/>
          </w:tcPr>
          <w:p w:rsidR="00BC782B" w:rsidRDefault="00BC782B" w:rsidP="00D63C35">
            <w:pPr>
              <w:pStyle w:val="TableBodyText"/>
              <w:jc w:val="left"/>
            </w:pPr>
            <w:r>
              <w:t>MP</w:t>
            </w:r>
          </w:p>
        </w:tc>
        <w:tc>
          <w:tcPr>
            <w:tcW w:w="363" w:type="pct"/>
            <w:shd w:val="clear" w:color="auto" w:fill="D9D9D9" w:themeFill="background1" w:themeFillShade="D9"/>
            <w:vAlign w:val="bottom"/>
          </w:tcPr>
          <w:p w:rsidR="00BC782B" w:rsidRDefault="00BC782B" w:rsidP="00D63C35">
            <w:pPr>
              <w:pStyle w:val="TableBodyText"/>
            </w:pPr>
          </w:p>
        </w:tc>
        <w:tc>
          <w:tcPr>
            <w:tcW w:w="363" w:type="pct"/>
            <w:shd w:val="clear" w:color="auto" w:fill="D9D9D9" w:themeFill="background1" w:themeFillShade="D9"/>
            <w:vAlign w:val="bottom"/>
          </w:tcPr>
          <w:p w:rsidR="00BC782B" w:rsidRDefault="00BC782B" w:rsidP="00D63C35">
            <w:pPr>
              <w:pStyle w:val="TableBodyText"/>
            </w:pPr>
          </w:p>
        </w:tc>
        <w:tc>
          <w:tcPr>
            <w:tcW w:w="364" w:type="pct"/>
            <w:shd w:val="clear" w:color="auto" w:fill="D9D9D9" w:themeFill="background1" w:themeFillShade="D9"/>
            <w:vAlign w:val="center"/>
          </w:tcPr>
          <w:p w:rsidR="00BC782B" w:rsidRPr="00596C78" w:rsidRDefault="00BC782B" w:rsidP="00D63C35">
            <w:pPr>
              <w:pStyle w:val="TableBodyText"/>
              <w:rPr>
                <w:rFonts w:cs="Arial"/>
                <w:b/>
                <w:color w:val="000000"/>
              </w:rPr>
            </w:pPr>
            <w:r w:rsidRPr="00596C78">
              <w:rPr>
                <w:rFonts w:cs="Arial"/>
                <w:b/>
                <w:color w:val="000000"/>
              </w:rPr>
              <w:t>0.8</w:t>
            </w:r>
          </w:p>
        </w:tc>
        <w:tc>
          <w:tcPr>
            <w:tcW w:w="363" w:type="pct"/>
            <w:shd w:val="clear" w:color="auto" w:fill="D9D9D9" w:themeFill="background1" w:themeFillShade="D9"/>
            <w:vAlign w:val="bottom"/>
          </w:tcPr>
          <w:p w:rsidR="00BC782B" w:rsidRDefault="00BC782B" w:rsidP="00D63C35">
            <w:pPr>
              <w:pStyle w:val="TableBodyText"/>
            </w:pPr>
          </w:p>
        </w:tc>
        <w:tc>
          <w:tcPr>
            <w:tcW w:w="364" w:type="pct"/>
            <w:shd w:val="clear" w:color="auto" w:fill="D9D9D9" w:themeFill="background1" w:themeFillShade="D9"/>
            <w:vAlign w:val="bottom"/>
          </w:tcPr>
          <w:p w:rsidR="00BC782B" w:rsidRDefault="00BC782B" w:rsidP="00D63C35">
            <w:pPr>
              <w:pStyle w:val="TableBodyText"/>
            </w:pPr>
          </w:p>
        </w:tc>
        <w:tc>
          <w:tcPr>
            <w:tcW w:w="363" w:type="pct"/>
            <w:shd w:val="clear" w:color="auto" w:fill="D9D9D9" w:themeFill="background1" w:themeFillShade="D9"/>
            <w:vAlign w:val="bottom"/>
          </w:tcPr>
          <w:p w:rsidR="00BC782B" w:rsidRDefault="00BC782B" w:rsidP="00D63C35">
            <w:pPr>
              <w:pStyle w:val="TableBodyText"/>
            </w:pPr>
          </w:p>
        </w:tc>
        <w:tc>
          <w:tcPr>
            <w:tcW w:w="363" w:type="pct"/>
            <w:shd w:val="clear" w:color="auto" w:fill="D9D9D9" w:themeFill="background1" w:themeFillShade="D9"/>
            <w:vAlign w:val="bottom"/>
          </w:tcPr>
          <w:p w:rsidR="00BC782B" w:rsidRDefault="00BC782B" w:rsidP="00D63C35">
            <w:pPr>
              <w:pStyle w:val="TableBodyText"/>
            </w:pPr>
          </w:p>
        </w:tc>
        <w:tc>
          <w:tcPr>
            <w:tcW w:w="364" w:type="pct"/>
            <w:shd w:val="clear" w:color="auto" w:fill="D9D9D9" w:themeFill="background1" w:themeFillShade="D9"/>
            <w:vAlign w:val="bottom"/>
          </w:tcPr>
          <w:p w:rsidR="00BC782B" w:rsidRDefault="00BC782B" w:rsidP="00D63C35">
            <w:pPr>
              <w:pStyle w:val="TableBodyText"/>
            </w:pPr>
          </w:p>
        </w:tc>
        <w:tc>
          <w:tcPr>
            <w:tcW w:w="363" w:type="pct"/>
            <w:shd w:val="clear" w:color="auto" w:fill="D9D9D9" w:themeFill="background1" w:themeFillShade="D9"/>
            <w:vAlign w:val="bottom"/>
          </w:tcPr>
          <w:p w:rsidR="00BC782B" w:rsidRDefault="00BC782B" w:rsidP="00D63C35">
            <w:pPr>
              <w:pStyle w:val="TableBodyText"/>
            </w:pPr>
          </w:p>
        </w:tc>
        <w:tc>
          <w:tcPr>
            <w:tcW w:w="364" w:type="pct"/>
            <w:shd w:val="clear" w:color="auto" w:fill="D9D9D9" w:themeFill="background1" w:themeFillShade="D9"/>
            <w:vAlign w:val="bottom"/>
          </w:tcPr>
          <w:p w:rsidR="00BC782B" w:rsidRDefault="00BC782B" w:rsidP="00D63C35">
            <w:pPr>
              <w:pStyle w:val="TableBodyText"/>
            </w:pPr>
          </w:p>
        </w:tc>
        <w:tc>
          <w:tcPr>
            <w:tcW w:w="363" w:type="pct"/>
            <w:shd w:val="clear" w:color="auto" w:fill="D9D9D9" w:themeFill="background1" w:themeFillShade="D9"/>
            <w:vAlign w:val="center"/>
          </w:tcPr>
          <w:p w:rsidR="00BC782B" w:rsidRDefault="00BC782B" w:rsidP="00D63C35">
            <w:pPr>
              <w:pStyle w:val="TableBodyText"/>
              <w:rPr>
                <w:rFonts w:cs="Arial"/>
                <w:color w:val="000000"/>
              </w:rPr>
            </w:pPr>
            <w:r>
              <w:rPr>
                <w:rFonts w:cs="Arial"/>
                <w:color w:val="000000"/>
              </w:rPr>
              <w:t>16.6</w:t>
            </w:r>
          </w:p>
        </w:tc>
        <w:tc>
          <w:tcPr>
            <w:tcW w:w="361" w:type="pct"/>
            <w:shd w:val="clear" w:color="auto" w:fill="D9D9D9" w:themeFill="background1" w:themeFillShade="D9"/>
            <w:vAlign w:val="bottom"/>
          </w:tcPr>
          <w:p w:rsidR="00BC782B" w:rsidRDefault="00BC782B" w:rsidP="00D63C35">
            <w:pPr>
              <w:pStyle w:val="TableBodyText"/>
            </w:pPr>
          </w:p>
        </w:tc>
      </w:tr>
      <w:tr w:rsidR="00BC782B" w:rsidTr="00757EB8">
        <w:tc>
          <w:tcPr>
            <w:tcW w:w="642" w:type="pct"/>
            <w:vAlign w:val="bottom"/>
          </w:tcPr>
          <w:p w:rsidR="00BC782B" w:rsidRDefault="00BC782B" w:rsidP="00D63C35">
            <w:pPr>
              <w:pStyle w:val="TableBodyText"/>
              <w:jc w:val="left"/>
            </w:pPr>
            <w:r>
              <w:t>ME</w:t>
            </w:r>
          </w:p>
        </w:tc>
        <w:tc>
          <w:tcPr>
            <w:tcW w:w="363" w:type="pct"/>
            <w:vAlign w:val="bottom"/>
          </w:tcPr>
          <w:p w:rsidR="00BC782B" w:rsidRDefault="00BC782B" w:rsidP="00D63C35">
            <w:pPr>
              <w:pStyle w:val="TableBodyText"/>
            </w:pPr>
          </w:p>
        </w:tc>
        <w:tc>
          <w:tcPr>
            <w:tcW w:w="363" w:type="pct"/>
            <w:vAlign w:val="bottom"/>
          </w:tcPr>
          <w:p w:rsidR="00BC782B" w:rsidRDefault="00BC782B" w:rsidP="00D63C35">
            <w:pPr>
              <w:pStyle w:val="TableBodyText"/>
            </w:pPr>
          </w:p>
        </w:tc>
        <w:tc>
          <w:tcPr>
            <w:tcW w:w="364" w:type="pct"/>
            <w:vAlign w:val="center"/>
          </w:tcPr>
          <w:p w:rsidR="00BC782B" w:rsidRPr="00596C78" w:rsidRDefault="00BC782B" w:rsidP="00D63C35">
            <w:pPr>
              <w:pStyle w:val="TableBodyText"/>
              <w:rPr>
                <w:rFonts w:cs="Arial"/>
                <w:b/>
                <w:color w:val="000000"/>
              </w:rPr>
            </w:pPr>
            <w:r w:rsidRPr="00596C78">
              <w:rPr>
                <w:rFonts w:cs="Arial"/>
                <w:b/>
                <w:color w:val="000000"/>
              </w:rPr>
              <w:t>0.4</w:t>
            </w:r>
          </w:p>
        </w:tc>
        <w:tc>
          <w:tcPr>
            <w:tcW w:w="363" w:type="pct"/>
            <w:vAlign w:val="bottom"/>
          </w:tcPr>
          <w:p w:rsidR="00BC782B" w:rsidRDefault="00BC782B" w:rsidP="00D63C35">
            <w:pPr>
              <w:pStyle w:val="TableBodyText"/>
            </w:pPr>
          </w:p>
        </w:tc>
        <w:tc>
          <w:tcPr>
            <w:tcW w:w="364" w:type="pct"/>
            <w:vAlign w:val="bottom"/>
          </w:tcPr>
          <w:p w:rsidR="00BC782B" w:rsidRDefault="00BC782B" w:rsidP="00D63C35">
            <w:pPr>
              <w:pStyle w:val="TableBodyText"/>
            </w:pPr>
          </w:p>
        </w:tc>
        <w:tc>
          <w:tcPr>
            <w:tcW w:w="363" w:type="pct"/>
            <w:vAlign w:val="bottom"/>
          </w:tcPr>
          <w:p w:rsidR="00BC782B" w:rsidRDefault="00BC782B" w:rsidP="00D63C35">
            <w:pPr>
              <w:pStyle w:val="TableBodyText"/>
            </w:pPr>
          </w:p>
        </w:tc>
        <w:tc>
          <w:tcPr>
            <w:tcW w:w="363" w:type="pct"/>
            <w:vAlign w:val="bottom"/>
          </w:tcPr>
          <w:p w:rsidR="00BC782B" w:rsidRDefault="00BC782B" w:rsidP="00D63C35">
            <w:pPr>
              <w:pStyle w:val="TableBodyText"/>
            </w:pPr>
          </w:p>
        </w:tc>
        <w:tc>
          <w:tcPr>
            <w:tcW w:w="364" w:type="pct"/>
            <w:vAlign w:val="bottom"/>
          </w:tcPr>
          <w:p w:rsidR="00BC782B" w:rsidRDefault="00BC782B" w:rsidP="00D63C35">
            <w:pPr>
              <w:pStyle w:val="TableBodyText"/>
            </w:pPr>
          </w:p>
        </w:tc>
        <w:tc>
          <w:tcPr>
            <w:tcW w:w="363" w:type="pct"/>
            <w:vAlign w:val="bottom"/>
          </w:tcPr>
          <w:p w:rsidR="00BC782B" w:rsidRDefault="00BC782B" w:rsidP="00D63C35">
            <w:pPr>
              <w:pStyle w:val="TableBodyText"/>
            </w:pPr>
          </w:p>
        </w:tc>
        <w:tc>
          <w:tcPr>
            <w:tcW w:w="364" w:type="pct"/>
            <w:vAlign w:val="bottom"/>
          </w:tcPr>
          <w:p w:rsidR="00BC782B" w:rsidRDefault="00BC782B" w:rsidP="00D63C35">
            <w:pPr>
              <w:pStyle w:val="TableBodyText"/>
            </w:pPr>
          </w:p>
        </w:tc>
        <w:tc>
          <w:tcPr>
            <w:tcW w:w="363" w:type="pct"/>
            <w:vAlign w:val="center"/>
          </w:tcPr>
          <w:p w:rsidR="00BC782B" w:rsidRDefault="00BC782B" w:rsidP="00D63C35">
            <w:pPr>
              <w:pStyle w:val="TableBodyText"/>
              <w:rPr>
                <w:rFonts w:cs="Arial"/>
                <w:color w:val="000000"/>
              </w:rPr>
            </w:pPr>
            <w:r>
              <w:rPr>
                <w:rFonts w:cs="Arial"/>
                <w:color w:val="000000"/>
              </w:rPr>
              <w:t>2.3</w:t>
            </w:r>
          </w:p>
        </w:tc>
        <w:tc>
          <w:tcPr>
            <w:tcW w:w="361" w:type="pct"/>
            <w:vAlign w:val="bottom"/>
          </w:tcPr>
          <w:p w:rsidR="00BC782B" w:rsidRDefault="00BC782B" w:rsidP="00D63C35">
            <w:pPr>
              <w:pStyle w:val="TableBodyText"/>
            </w:pPr>
          </w:p>
        </w:tc>
      </w:tr>
      <w:tr w:rsidR="00757EB8" w:rsidTr="00757EB8">
        <w:tc>
          <w:tcPr>
            <w:tcW w:w="642" w:type="pct"/>
            <w:shd w:val="clear" w:color="auto" w:fill="D9D9D9" w:themeFill="background1" w:themeFillShade="D9"/>
            <w:vAlign w:val="bottom"/>
          </w:tcPr>
          <w:p w:rsidR="00BC782B" w:rsidRPr="0054333E" w:rsidRDefault="00BC782B" w:rsidP="00D63C35">
            <w:pPr>
              <w:pStyle w:val="TableBodyText"/>
              <w:jc w:val="left"/>
            </w:pPr>
            <w:r w:rsidRPr="0054333E">
              <w:t>Total Mfg.</w:t>
            </w:r>
          </w:p>
        </w:tc>
        <w:tc>
          <w:tcPr>
            <w:tcW w:w="363" w:type="pct"/>
            <w:shd w:val="clear" w:color="auto" w:fill="D9D9D9" w:themeFill="background1" w:themeFillShade="D9"/>
            <w:vAlign w:val="center"/>
          </w:tcPr>
          <w:p w:rsidR="00BC782B" w:rsidRDefault="00BC782B" w:rsidP="00D63C35">
            <w:pPr>
              <w:pStyle w:val="TableBodyText"/>
              <w:rPr>
                <w:rFonts w:cs="Arial"/>
                <w:color w:val="000000"/>
              </w:rPr>
            </w:pPr>
            <w:r>
              <w:rPr>
                <w:rFonts w:cs="Arial"/>
                <w:color w:val="000000"/>
              </w:rPr>
              <w:t>16.4</w:t>
            </w:r>
          </w:p>
        </w:tc>
        <w:tc>
          <w:tcPr>
            <w:tcW w:w="363" w:type="pct"/>
            <w:shd w:val="clear" w:color="auto" w:fill="D9D9D9" w:themeFill="background1" w:themeFillShade="D9"/>
            <w:vAlign w:val="center"/>
          </w:tcPr>
          <w:p w:rsidR="00BC782B" w:rsidRDefault="00BC782B" w:rsidP="00D63C35">
            <w:pPr>
              <w:pStyle w:val="TableBodyText"/>
              <w:rPr>
                <w:rFonts w:cs="Arial"/>
                <w:color w:val="000000"/>
              </w:rPr>
            </w:pPr>
            <w:r>
              <w:rPr>
                <w:rFonts w:cs="Arial"/>
                <w:color w:val="000000"/>
              </w:rPr>
              <w:t>15.3</w:t>
            </w:r>
          </w:p>
        </w:tc>
        <w:tc>
          <w:tcPr>
            <w:tcW w:w="364" w:type="pct"/>
            <w:shd w:val="clear" w:color="auto" w:fill="D9D9D9" w:themeFill="background1" w:themeFillShade="D9"/>
            <w:vAlign w:val="center"/>
          </w:tcPr>
          <w:p w:rsidR="00BC782B" w:rsidRPr="0052733D" w:rsidRDefault="00BC782B" w:rsidP="00D63C35">
            <w:pPr>
              <w:pStyle w:val="TableBodyText"/>
              <w:rPr>
                <w:rFonts w:cs="Arial"/>
                <w:b/>
                <w:color w:val="000000"/>
              </w:rPr>
            </w:pPr>
            <w:r w:rsidRPr="0052733D">
              <w:rPr>
                <w:rFonts w:cs="Arial"/>
                <w:b/>
                <w:color w:val="000000"/>
              </w:rPr>
              <w:t>25.2</w:t>
            </w:r>
          </w:p>
        </w:tc>
        <w:tc>
          <w:tcPr>
            <w:tcW w:w="363" w:type="pct"/>
            <w:shd w:val="clear" w:color="auto" w:fill="D9D9D9" w:themeFill="background1" w:themeFillShade="D9"/>
            <w:vAlign w:val="center"/>
          </w:tcPr>
          <w:p w:rsidR="00BC782B" w:rsidRDefault="00BC782B" w:rsidP="00D63C35">
            <w:pPr>
              <w:pStyle w:val="TableBodyText"/>
              <w:rPr>
                <w:rFonts w:cs="Arial"/>
                <w:color w:val="000000"/>
              </w:rPr>
            </w:pPr>
            <w:r>
              <w:rPr>
                <w:rFonts w:cs="Arial"/>
                <w:color w:val="000000"/>
              </w:rPr>
              <w:t>43.6</w:t>
            </w:r>
          </w:p>
        </w:tc>
        <w:tc>
          <w:tcPr>
            <w:tcW w:w="364" w:type="pct"/>
            <w:shd w:val="clear" w:color="auto" w:fill="D9D9D9" w:themeFill="background1" w:themeFillShade="D9"/>
            <w:vAlign w:val="center"/>
          </w:tcPr>
          <w:p w:rsidR="00BC782B" w:rsidRDefault="00BC782B" w:rsidP="00D63C35">
            <w:pPr>
              <w:pStyle w:val="TableBodyText"/>
              <w:rPr>
                <w:rFonts w:cs="Arial"/>
                <w:color w:val="000000"/>
              </w:rPr>
            </w:pPr>
            <w:r>
              <w:rPr>
                <w:rFonts w:cs="Arial"/>
                <w:color w:val="000000"/>
              </w:rPr>
              <w:t>27.3</w:t>
            </w:r>
          </w:p>
        </w:tc>
        <w:tc>
          <w:tcPr>
            <w:tcW w:w="363" w:type="pct"/>
            <w:shd w:val="clear" w:color="auto" w:fill="D9D9D9" w:themeFill="background1" w:themeFillShade="D9"/>
            <w:vAlign w:val="center"/>
          </w:tcPr>
          <w:p w:rsidR="00BC782B" w:rsidRDefault="00BC782B" w:rsidP="00D63C35">
            <w:pPr>
              <w:pStyle w:val="TableBodyText"/>
              <w:rPr>
                <w:rFonts w:cs="Arial"/>
                <w:color w:val="000000"/>
              </w:rPr>
            </w:pPr>
            <w:r>
              <w:rPr>
                <w:rFonts w:cs="Arial"/>
                <w:color w:val="000000"/>
              </w:rPr>
              <w:t>35.7</w:t>
            </w:r>
          </w:p>
        </w:tc>
        <w:tc>
          <w:tcPr>
            <w:tcW w:w="363" w:type="pct"/>
            <w:shd w:val="clear" w:color="auto" w:fill="D9D9D9" w:themeFill="background1" w:themeFillShade="D9"/>
            <w:vAlign w:val="center"/>
          </w:tcPr>
          <w:p w:rsidR="00BC782B" w:rsidRDefault="00BC782B" w:rsidP="00D63C35">
            <w:pPr>
              <w:pStyle w:val="TableBodyText"/>
              <w:rPr>
                <w:rFonts w:cs="Arial"/>
                <w:color w:val="000000"/>
              </w:rPr>
            </w:pPr>
            <w:r>
              <w:rPr>
                <w:rFonts w:cs="Arial"/>
                <w:color w:val="000000"/>
              </w:rPr>
              <w:t>27.7</w:t>
            </w:r>
          </w:p>
        </w:tc>
        <w:tc>
          <w:tcPr>
            <w:tcW w:w="364" w:type="pct"/>
            <w:shd w:val="clear" w:color="auto" w:fill="D9D9D9" w:themeFill="background1" w:themeFillShade="D9"/>
            <w:vAlign w:val="center"/>
          </w:tcPr>
          <w:p w:rsidR="00BC782B" w:rsidRDefault="00BC782B" w:rsidP="00D63C35">
            <w:pPr>
              <w:pStyle w:val="TableBodyText"/>
              <w:rPr>
                <w:rFonts w:cs="Arial"/>
                <w:color w:val="000000"/>
              </w:rPr>
            </w:pPr>
            <w:r>
              <w:rPr>
                <w:rFonts w:cs="Arial"/>
                <w:color w:val="000000"/>
              </w:rPr>
              <w:t>34.7</w:t>
            </w:r>
          </w:p>
        </w:tc>
        <w:tc>
          <w:tcPr>
            <w:tcW w:w="363" w:type="pct"/>
            <w:shd w:val="clear" w:color="auto" w:fill="D9D9D9" w:themeFill="background1" w:themeFillShade="D9"/>
            <w:vAlign w:val="center"/>
          </w:tcPr>
          <w:p w:rsidR="00BC782B" w:rsidRDefault="00BC782B" w:rsidP="00D63C35">
            <w:pPr>
              <w:pStyle w:val="TableBodyText"/>
              <w:rPr>
                <w:rFonts w:cs="Arial"/>
                <w:color w:val="000000"/>
              </w:rPr>
            </w:pPr>
            <w:r>
              <w:rPr>
                <w:rFonts w:cs="Arial"/>
                <w:color w:val="000000"/>
              </w:rPr>
              <w:t>40.1</w:t>
            </w:r>
          </w:p>
        </w:tc>
        <w:tc>
          <w:tcPr>
            <w:tcW w:w="364" w:type="pct"/>
            <w:shd w:val="clear" w:color="auto" w:fill="D9D9D9" w:themeFill="background1" w:themeFillShade="D9"/>
            <w:vAlign w:val="center"/>
          </w:tcPr>
          <w:p w:rsidR="00BC782B" w:rsidRDefault="00BC782B" w:rsidP="00D63C35">
            <w:pPr>
              <w:pStyle w:val="TableBodyText"/>
              <w:rPr>
                <w:rFonts w:cs="Arial"/>
                <w:color w:val="000000"/>
              </w:rPr>
            </w:pPr>
            <w:r>
              <w:rPr>
                <w:rFonts w:cs="Arial"/>
                <w:color w:val="000000"/>
              </w:rPr>
              <w:t>51.8</w:t>
            </w:r>
          </w:p>
        </w:tc>
        <w:tc>
          <w:tcPr>
            <w:tcW w:w="363" w:type="pct"/>
            <w:shd w:val="clear" w:color="auto" w:fill="D9D9D9" w:themeFill="background1" w:themeFillShade="D9"/>
            <w:vAlign w:val="center"/>
          </w:tcPr>
          <w:p w:rsidR="00BC782B" w:rsidRDefault="00BC782B" w:rsidP="00D63C35">
            <w:pPr>
              <w:pStyle w:val="TableBodyText"/>
              <w:rPr>
                <w:rFonts w:cs="Arial"/>
                <w:color w:val="000000"/>
              </w:rPr>
            </w:pPr>
            <w:r>
              <w:rPr>
                <w:rFonts w:cs="Arial"/>
                <w:color w:val="000000"/>
              </w:rPr>
              <w:t>35.2</w:t>
            </w:r>
          </w:p>
        </w:tc>
        <w:tc>
          <w:tcPr>
            <w:tcW w:w="361" w:type="pct"/>
            <w:shd w:val="clear" w:color="auto" w:fill="D9D9D9" w:themeFill="background1" w:themeFillShade="D9"/>
            <w:vAlign w:val="center"/>
          </w:tcPr>
          <w:p w:rsidR="00BC782B" w:rsidRDefault="00BC782B" w:rsidP="00D63C35">
            <w:pPr>
              <w:pStyle w:val="TableBodyText"/>
              <w:rPr>
                <w:rFonts w:cs="Arial"/>
                <w:color w:val="000000"/>
              </w:rPr>
            </w:pPr>
            <w:r>
              <w:rPr>
                <w:rFonts w:cs="Arial"/>
                <w:color w:val="000000"/>
              </w:rPr>
              <w:t>15.1</w:t>
            </w:r>
          </w:p>
        </w:tc>
      </w:tr>
      <w:tr w:rsidR="00BC782B" w:rsidRPr="0054333E" w:rsidTr="00757EB8">
        <w:tc>
          <w:tcPr>
            <w:tcW w:w="642" w:type="pct"/>
            <w:vAlign w:val="bottom"/>
          </w:tcPr>
          <w:p w:rsidR="00BC782B" w:rsidRPr="0054333E" w:rsidRDefault="00BC782B" w:rsidP="00D63C35">
            <w:pPr>
              <w:pStyle w:val="TableBodyText"/>
              <w:jc w:val="left"/>
            </w:pPr>
            <w:r w:rsidRPr="0054333E">
              <w:t>Services</w:t>
            </w:r>
          </w:p>
        </w:tc>
        <w:tc>
          <w:tcPr>
            <w:tcW w:w="363" w:type="pct"/>
            <w:vAlign w:val="bottom"/>
          </w:tcPr>
          <w:p w:rsidR="00BC782B" w:rsidRPr="0054333E" w:rsidRDefault="00BC782B" w:rsidP="00D63C35">
            <w:pPr>
              <w:pStyle w:val="TableBodyText"/>
            </w:pPr>
          </w:p>
        </w:tc>
        <w:tc>
          <w:tcPr>
            <w:tcW w:w="363" w:type="pct"/>
            <w:vAlign w:val="bottom"/>
          </w:tcPr>
          <w:p w:rsidR="00BC782B" w:rsidRPr="0054333E" w:rsidRDefault="00BC782B" w:rsidP="00D63C35">
            <w:pPr>
              <w:pStyle w:val="TableBodyText"/>
            </w:pPr>
          </w:p>
        </w:tc>
        <w:tc>
          <w:tcPr>
            <w:tcW w:w="364" w:type="pct"/>
            <w:vAlign w:val="center"/>
          </w:tcPr>
          <w:p w:rsidR="00BC782B" w:rsidRPr="00596C78" w:rsidRDefault="00BC782B" w:rsidP="00D63C35">
            <w:pPr>
              <w:pStyle w:val="TableBodyText"/>
              <w:rPr>
                <w:rFonts w:cs="Arial"/>
                <w:b/>
                <w:color w:val="000000"/>
              </w:rPr>
            </w:pPr>
            <w:r w:rsidRPr="00596C78">
              <w:rPr>
                <w:rFonts w:cs="Arial"/>
                <w:b/>
                <w:color w:val="000000"/>
              </w:rPr>
              <w:t>30.3</w:t>
            </w:r>
          </w:p>
        </w:tc>
        <w:tc>
          <w:tcPr>
            <w:tcW w:w="363" w:type="pct"/>
            <w:vAlign w:val="bottom"/>
          </w:tcPr>
          <w:p w:rsidR="00BC782B" w:rsidRPr="0054333E" w:rsidRDefault="00BC782B" w:rsidP="00D63C35">
            <w:pPr>
              <w:pStyle w:val="TableBodyText"/>
            </w:pPr>
          </w:p>
        </w:tc>
        <w:tc>
          <w:tcPr>
            <w:tcW w:w="364" w:type="pct"/>
            <w:vAlign w:val="bottom"/>
          </w:tcPr>
          <w:p w:rsidR="00BC782B" w:rsidRPr="0054333E" w:rsidRDefault="00BC782B" w:rsidP="00D63C35">
            <w:pPr>
              <w:pStyle w:val="TableBodyText"/>
            </w:pPr>
          </w:p>
        </w:tc>
        <w:tc>
          <w:tcPr>
            <w:tcW w:w="363" w:type="pct"/>
            <w:vAlign w:val="bottom"/>
          </w:tcPr>
          <w:p w:rsidR="00BC782B" w:rsidRPr="0054333E" w:rsidRDefault="00BC782B" w:rsidP="00D63C35">
            <w:pPr>
              <w:pStyle w:val="TableBodyText"/>
            </w:pPr>
          </w:p>
        </w:tc>
        <w:tc>
          <w:tcPr>
            <w:tcW w:w="363" w:type="pct"/>
            <w:vAlign w:val="bottom"/>
          </w:tcPr>
          <w:p w:rsidR="00BC782B" w:rsidRPr="0054333E" w:rsidRDefault="00BC782B" w:rsidP="00D63C35">
            <w:pPr>
              <w:pStyle w:val="TableBodyText"/>
            </w:pPr>
          </w:p>
        </w:tc>
        <w:tc>
          <w:tcPr>
            <w:tcW w:w="364" w:type="pct"/>
            <w:vAlign w:val="bottom"/>
          </w:tcPr>
          <w:p w:rsidR="00BC782B" w:rsidRPr="0054333E" w:rsidRDefault="00BC782B" w:rsidP="00D63C35">
            <w:pPr>
              <w:pStyle w:val="TableBodyText"/>
            </w:pPr>
          </w:p>
        </w:tc>
        <w:tc>
          <w:tcPr>
            <w:tcW w:w="363" w:type="pct"/>
            <w:vAlign w:val="bottom"/>
          </w:tcPr>
          <w:p w:rsidR="00BC782B" w:rsidRPr="0054333E" w:rsidRDefault="00BC782B" w:rsidP="00D63C35">
            <w:pPr>
              <w:pStyle w:val="TableBodyText"/>
            </w:pPr>
          </w:p>
        </w:tc>
        <w:tc>
          <w:tcPr>
            <w:tcW w:w="364" w:type="pct"/>
            <w:vAlign w:val="bottom"/>
          </w:tcPr>
          <w:p w:rsidR="00BC782B" w:rsidRPr="0054333E" w:rsidRDefault="00BC782B" w:rsidP="00D63C35">
            <w:pPr>
              <w:pStyle w:val="TableBodyText"/>
            </w:pPr>
          </w:p>
        </w:tc>
        <w:tc>
          <w:tcPr>
            <w:tcW w:w="363" w:type="pct"/>
            <w:vAlign w:val="center"/>
          </w:tcPr>
          <w:p w:rsidR="00BC782B" w:rsidRDefault="00BC782B" w:rsidP="00D63C35">
            <w:pPr>
              <w:pStyle w:val="TableBodyText"/>
              <w:rPr>
                <w:rFonts w:cs="Arial"/>
                <w:color w:val="000000"/>
              </w:rPr>
            </w:pPr>
            <w:r>
              <w:rPr>
                <w:rFonts w:cs="Arial"/>
                <w:color w:val="000000"/>
              </w:rPr>
              <w:t>36.9</w:t>
            </w:r>
          </w:p>
        </w:tc>
        <w:tc>
          <w:tcPr>
            <w:tcW w:w="361" w:type="pct"/>
            <w:vAlign w:val="bottom"/>
          </w:tcPr>
          <w:p w:rsidR="00BC782B" w:rsidRPr="0054333E" w:rsidRDefault="00BC782B" w:rsidP="00D63C35">
            <w:pPr>
              <w:pStyle w:val="TableBodyText"/>
            </w:pPr>
          </w:p>
        </w:tc>
      </w:tr>
      <w:tr w:rsidR="00757EB8" w:rsidRPr="00D52C6C" w:rsidTr="00757EB8">
        <w:tc>
          <w:tcPr>
            <w:tcW w:w="642" w:type="pct"/>
            <w:shd w:val="clear" w:color="auto" w:fill="D9D9D9" w:themeFill="background1" w:themeFillShade="D9"/>
            <w:vAlign w:val="bottom"/>
          </w:tcPr>
          <w:p w:rsidR="00BC782B" w:rsidRPr="00D52C6C" w:rsidRDefault="00561212" w:rsidP="00561212">
            <w:pPr>
              <w:pStyle w:val="TableBodyText"/>
              <w:ind w:right="-144"/>
              <w:jc w:val="left"/>
              <w:rPr>
                <w:i/>
              </w:rPr>
            </w:pPr>
            <w:r>
              <w:rPr>
                <w:i/>
              </w:rPr>
              <w:t>All sectors</w:t>
            </w:r>
          </w:p>
        </w:tc>
        <w:tc>
          <w:tcPr>
            <w:tcW w:w="363" w:type="pct"/>
            <w:shd w:val="clear" w:color="auto" w:fill="D9D9D9" w:themeFill="background1" w:themeFillShade="D9"/>
            <w:vAlign w:val="bottom"/>
          </w:tcPr>
          <w:p w:rsidR="00BC782B" w:rsidRDefault="00BC782B" w:rsidP="00D63C35">
            <w:pPr>
              <w:pStyle w:val="TableBodyText"/>
              <w:rPr>
                <w:rFonts w:cs="Arial"/>
                <w:i/>
                <w:iCs/>
                <w:color w:val="000000"/>
              </w:rPr>
            </w:pPr>
            <w:r>
              <w:rPr>
                <w:rFonts w:cs="Arial"/>
                <w:i/>
                <w:iCs/>
                <w:color w:val="000000"/>
              </w:rPr>
              <w:t>100</w:t>
            </w:r>
          </w:p>
        </w:tc>
        <w:tc>
          <w:tcPr>
            <w:tcW w:w="363" w:type="pct"/>
            <w:shd w:val="clear" w:color="auto" w:fill="D9D9D9" w:themeFill="background1" w:themeFillShade="D9"/>
            <w:vAlign w:val="bottom"/>
          </w:tcPr>
          <w:p w:rsidR="00BC782B" w:rsidRDefault="00BC782B" w:rsidP="00D63C35">
            <w:pPr>
              <w:pStyle w:val="TableBodyText"/>
              <w:rPr>
                <w:rFonts w:cs="Arial"/>
                <w:i/>
                <w:iCs/>
                <w:color w:val="000000"/>
              </w:rPr>
            </w:pPr>
            <w:r>
              <w:rPr>
                <w:rFonts w:cs="Arial"/>
                <w:i/>
                <w:iCs/>
                <w:color w:val="000000"/>
              </w:rPr>
              <w:t>100</w:t>
            </w:r>
          </w:p>
        </w:tc>
        <w:tc>
          <w:tcPr>
            <w:tcW w:w="364" w:type="pct"/>
            <w:shd w:val="clear" w:color="auto" w:fill="D9D9D9" w:themeFill="background1" w:themeFillShade="D9"/>
            <w:vAlign w:val="bottom"/>
          </w:tcPr>
          <w:p w:rsidR="00BC782B" w:rsidRPr="0054333E" w:rsidRDefault="00BC782B" w:rsidP="00D63C35">
            <w:pPr>
              <w:pStyle w:val="TableBodyText"/>
              <w:rPr>
                <w:rFonts w:cs="Arial"/>
                <w:b/>
                <w:i/>
                <w:iCs/>
                <w:color w:val="000000"/>
              </w:rPr>
            </w:pPr>
            <w:r w:rsidRPr="0054333E">
              <w:rPr>
                <w:rFonts w:cs="Arial"/>
                <w:b/>
                <w:i/>
                <w:iCs/>
                <w:color w:val="000000"/>
              </w:rPr>
              <w:t>100</w:t>
            </w:r>
          </w:p>
        </w:tc>
        <w:tc>
          <w:tcPr>
            <w:tcW w:w="363" w:type="pct"/>
            <w:shd w:val="clear" w:color="auto" w:fill="D9D9D9" w:themeFill="background1" w:themeFillShade="D9"/>
            <w:vAlign w:val="bottom"/>
          </w:tcPr>
          <w:p w:rsidR="00BC782B" w:rsidRDefault="00BC782B" w:rsidP="00D63C35">
            <w:pPr>
              <w:pStyle w:val="TableBodyText"/>
              <w:rPr>
                <w:rFonts w:cs="Arial"/>
                <w:i/>
                <w:iCs/>
                <w:color w:val="000000"/>
              </w:rPr>
            </w:pPr>
            <w:r>
              <w:rPr>
                <w:rFonts w:cs="Arial"/>
                <w:i/>
                <w:iCs/>
                <w:color w:val="000000"/>
              </w:rPr>
              <w:t>100</w:t>
            </w:r>
          </w:p>
        </w:tc>
        <w:tc>
          <w:tcPr>
            <w:tcW w:w="364" w:type="pct"/>
            <w:shd w:val="clear" w:color="auto" w:fill="D9D9D9" w:themeFill="background1" w:themeFillShade="D9"/>
            <w:vAlign w:val="bottom"/>
          </w:tcPr>
          <w:p w:rsidR="00BC782B" w:rsidRDefault="00BC782B" w:rsidP="00D63C35">
            <w:pPr>
              <w:pStyle w:val="TableBodyText"/>
              <w:rPr>
                <w:rFonts w:cs="Arial"/>
                <w:i/>
                <w:iCs/>
                <w:color w:val="000000"/>
              </w:rPr>
            </w:pPr>
            <w:r>
              <w:rPr>
                <w:rFonts w:cs="Arial"/>
                <w:i/>
                <w:iCs/>
                <w:color w:val="000000"/>
              </w:rPr>
              <w:t>100</w:t>
            </w:r>
          </w:p>
        </w:tc>
        <w:tc>
          <w:tcPr>
            <w:tcW w:w="363" w:type="pct"/>
            <w:shd w:val="clear" w:color="auto" w:fill="D9D9D9" w:themeFill="background1" w:themeFillShade="D9"/>
            <w:vAlign w:val="bottom"/>
          </w:tcPr>
          <w:p w:rsidR="00BC782B" w:rsidRDefault="00BC782B" w:rsidP="00D63C35">
            <w:pPr>
              <w:pStyle w:val="TableBodyText"/>
              <w:rPr>
                <w:rFonts w:cs="Arial"/>
                <w:i/>
                <w:iCs/>
                <w:color w:val="000000"/>
              </w:rPr>
            </w:pPr>
            <w:r>
              <w:rPr>
                <w:rFonts w:cs="Arial"/>
                <w:i/>
                <w:iCs/>
                <w:color w:val="000000"/>
              </w:rPr>
              <w:t>100</w:t>
            </w:r>
          </w:p>
        </w:tc>
        <w:tc>
          <w:tcPr>
            <w:tcW w:w="363" w:type="pct"/>
            <w:shd w:val="clear" w:color="auto" w:fill="D9D9D9" w:themeFill="background1" w:themeFillShade="D9"/>
            <w:vAlign w:val="bottom"/>
          </w:tcPr>
          <w:p w:rsidR="00BC782B" w:rsidRDefault="00BC782B" w:rsidP="00D63C35">
            <w:pPr>
              <w:pStyle w:val="TableBodyText"/>
              <w:rPr>
                <w:rFonts w:cs="Arial"/>
                <w:i/>
                <w:iCs/>
                <w:color w:val="000000"/>
              </w:rPr>
            </w:pPr>
            <w:r>
              <w:rPr>
                <w:rFonts w:cs="Arial"/>
                <w:i/>
                <w:iCs/>
                <w:color w:val="000000"/>
              </w:rPr>
              <w:t>100</w:t>
            </w:r>
          </w:p>
        </w:tc>
        <w:tc>
          <w:tcPr>
            <w:tcW w:w="364" w:type="pct"/>
            <w:shd w:val="clear" w:color="auto" w:fill="D9D9D9" w:themeFill="background1" w:themeFillShade="D9"/>
            <w:vAlign w:val="bottom"/>
          </w:tcPr>
          <w:p w:rsidR="00BC782B" w:rsidRDefault="00BC782B" w:rsidP="00D63C35">
            <w:pPr>
              <w:pStyle w:val="TableBodyText"/>
              <w:rPr>
                <w:rFonts w:cs="Arial"/>
                <w:i/>
                <w:iCs/>
                <w:color w:val="000000"/>
              </w:rPr>
            </w:pPr>
            <w:r>
              <w:rPr>
                <w:rFonts w:cs="Arial"/>
                <w:i/>
                <w:iCs/>
                <w:color w:val="000000"/>
              </w:rPr>
              <w:t>100</w:t>
            </w:r>
          </w:p>
        </w:tc>
        <w:tc>
          <w:tcPr>
            <w:tcW w:w="363" w:type="pct"/>
            <w:shd w:val="clear" w:color="auto" w:fill="D9D9D9" w:themeFill="background1" w:themeFillShade="D9"/>
            <w:vAlign w:val="bottom"/>
          </w:tcPr>
          <w:p w:rsidR="00BC782B" w:rsidRDefault="00BC782B" w:rsidP="00D63C35">
            <w:pPr>
              <w:pStyle w:val="TableBodyText"/>
              <w:rPr>
                <w:rFonts w:cs="Arial"/>
                <w:i/>
                <w:iCs/>
                <w:color w:val="000000"/>
              </w:rPr>
            </w:pPr>
            <w:r>
              <w:rPr>
                <w:rFonts w:cs="Arial"/>
                <w:i/>
                <w:iCs/>
                <w:color w:val="000000"/>
              </w:rPr>
              <w:t>100</w:t>
            </w:r>
          </w:p>
        </w:tc>
        <w:tc>
          <w:tcPr>
            <w:tcW w:w="364" w:type="pct"/>
            <w:shd w:val="clear" w:color="auto" w:fill="D9D9D9" w:themeFill="background1" w:themeFillShade="D9"/>
            <w:vAlign w:val="bottom"/>
          </w:tcPr>
          <w:p w:rsidR="00BC782B" w:rsidRDefault="00BC782B" w:rsidP="00D63C35">
            <w:pPr>
              <w:pStyle w:val="TableBodyText"/>
              <w:rPr>
                <w:rFonts w:cs="Arial"/>
                <w:i/>
                <w:iCs/>
                <w:color w:val="000000"/>
              </w:rPr>
            </w:pPr>
            <w:r>
              <w:rPr>
                <w:rFonts w:cs="Arial"/>
                <w:i/>
                <w:iCs/>
                <w:color w:val="000000"/>
              </w:rPr>
              <w:t>100</w:t>
            </w:r>
          </w:p>
        </w:tc>
        <w:tc>
          <w:tcPr>
            <w:tcW w:w="363" w:type="pct"/>
            <w:shd w:val="clear" w:color="auto" w:fill="D9D9D9" w:themeFill="background1" w:themeFillShade="D9"/>
            <w:vAlign w:val="bottom"/>
          </w:tcPr>
          <w:p w:rsidR="00BC782B" w:rsidRDefault="00BC782B" w:rsidP="00D63C35">
            <w:pPr>
              <w:pStyle w:val="TableBodyText"/>
              <w:rPr>
                <w:rFonts w:cs="Arial"/>
                <w:i/>
                <w:iCs/>
                <w:color w:val="000000"/>
              </w:rPr>
            </w:pPr>
            <w:r>
              <w:rPr>
                <w:rFonts w:cs="Arial"/>
                <w:i/>
                <w:iCs/>
                <w:color w:val="000000"/>
              </w:rPr>
              <w:t>100</w:t>
            </w:r>
          </w:p>
        </w:tc>
        <w:tc>
          <w:tcPr>
            <w:tcW w:w="361" w:type="pct"/>
            <w:shd w:val="clear" w:color="auto" w:fill="D9D9D9" w:themeFill="background1" w:themeFillShade="D9"/>
            <w:vAlign w:val="bottom"/>
          </w:tcPr>
          <w:p w:rsidR="00BC782B" w:rsidRDefault="00BC782B" w:rsidP="00D63C35">
            <w:pPr>
              <w:pStyle w:val="TableBodyText"/>
              <w:rPr>
                <w:rFonts w:cs="Arial"/>
                <w:i/>
                <w:iCs/>
                <w:color w:val="000000"/>
              </w:rPr>
            </w:pPr>
            <w:r>
              <w:rPr>
                <w:rFonts w:cs="Arial"/>
                <w:i/>
                <w:iCs/>
                <w:color w:val="000000"/>
              </w:rPr>
              <w:t>100</w:t>
            </w:r>
          </w:p>
        </w:tc>
      </w:tr>
      <w:tr w:rsidR="00BC782B" w:rsidRPr="00D52C6C" w:rsidTr="00757EB8">
        <w:tc>
          <w:tcPr>
            <w:tcW w:w="5000" w:type="pct"/>
            <w:gridSpan w:val="13"/>
            <w:vAlign w:val="bottom"/>
          </w:tcPr>
          <w:p w:rsidR="00BC782B" w:rsidRPr="00D52C6C" w:rsidRDefault="00F21F09" w:rsidP="00555643">
            <w:pPr>
              <w:pStyle w:val="TableBodyText"/>
              <w:jc w:val="center"/>
              <w:rPr>
                <w:i/>
              </w:rPr>
            </w:pPr>
            <w:r>
              <w:rPr>
                <w:i/>
              </w:rPr>
              <w:t xml:space="preserve">Total </w:t>
            </w:r>
            <w:r w:rsidR="00FE0E70">
              <w:rPr>
                <w:i/>
              </w:rPr>
              <w:t>i</w:t>
            </w:r>
            <w:r w:rsidR="00996033" w:rsidRPr="00D63C35">
              <w:rPr>
                <w:i/>
              </w:rPr>
              <w:t>ntermediate inputs as a share of output</w:t>
            </w:r>
          </w:p>
        </w:tc>
      </w:tr>
      <w:tr w:rsidR="00757EB8" w:rsidRPr="00D52C6C" w:rsidTr="00757EB8">
        <w:tc>
          <w:tcPr>
            <w:tcW w:w="642" w:type="pct"/>
            <w:tcBorders>
              <w:bottom w:val="single" w:sz="4" w:space="0" w:color="auto"/>
            </w:tcBorders>
            <w:shd w:val="clear" w:color="auto" w:fill="D9D9D9" w:themeFill="background1" w:themeFillShade="D9"/>
            <w:vAlign w:val="bottom"/>
          </w:tcPr>
          <w:p w:rsidR="00BC782B" w:rsidRPr="00D52C6C" w:rsidRDefault="00561212" w:rsidP="00D63C35">
            <w:pPr>
              <w:pStyle w:val="TableBodyText"/>
              <w:ind w:right="0"/>
              <w:jc w:val="left"/>
              <w:rPr>
                <w:rFonts w:ascii="Calibri" w:hAnsi="Calibri" w:cs="Calibri"/>
                <w:i/>
                <w:color w:val="000000"/>
                <w:sz w:val="22"/>
                <w:szCs w:val="22"/>
              </w:rPr>
            </w:pPr>
            <w:r>
              <w:rPr>
                <w:rFonts w:ascii="Calibri" w:hAnsi="Calibri" w:cs="Calibri"/>
                <w:i/>
                <w:color w:val="000000"/>
                <w:sz w:val="22"/>
                <w:szCs w:val="22"/>
              </w:rPr>
              <w:t>All sectors</w:t>
            </w:r>
          </w:p>
        </w:tc>
        <w:tc>
          <w:tcPr>
            <w:tcW w:w="363" w:type="pct"/>
            <w:tcBorders>
              <w:bottom w:val="single" w:sz="4" w:space="0" w:color="auto"/>
            </w:tcBorders>
            <w:shd w:val="clear" w:color="auto" w:fill="D9D9D9" w:themeFill="background1" w:themeFillShade="D9"/>
            <w:vAlign w:val="bottom"/>
          </w:tcPr>
          <w:p w:rsidR="00BC782B" w:rsidRDefault="00BC782B" w:rsidP="00D63C35">
            <w:pPr>
              <w:pStyle w:val="TableBodyText"/>
              <w:rPr>
                <w:rFonts w:cs="Arial"/>
                <w:i/>
                <w:iCs/>
                <w:color w:val="000000"/>
              </w:rPr>
            </w:pPr>
            <w:r>
              <w:rPr>
                <w:rFonts w:cs="Arial"/>
                <w:i/>
                <w:iCs/>
                <w:color w:val="000000"/>
              </w:rPr>
              <w:t>50.4</w:t>
            </w:r>
          </w:p>
        </w:tc>
        <w:tc>
          <w:tcPr>
            <w:tcW w:w="363" w:type="pct"/>
            <w:tcBorders>
              <w:bottom w:val="single" w:sz="4" w:space="0" w:color="auto"/>
            </w:tcBorders>
            <w:shd w:val="clear" w:color="auto" w:fill="D9D9D9" w:themeFill="background1" w:themeFillShade="D9"/>
            <w:vAlign w:val="bottom"/>
          </w:tcPr>
          <w:p w:rsidR="00BC782B" w:rsidRDefault="00BC782B" w:rsidP="00D63C35">
            <w:pPr>
              <w:pStyle w:val="TableBodyText"/>
              <w:rPr>
                <w:rFonts w:cs="Arial"/>
                <w:i/>
                <w:iCs/>
                <w:color w:val="000000"/>
              </w:rPr>
            </w:pPr>
            <w:r>
              <w:rPr>
                <w:rFonts w:cs="Arial"/>
                <w:i/>
                <w:iCs/>
                <w:color w:val="000000"/>
              </w:rPr>
              <w:t>33.2</w:t>
            </w:r>
          </w:p>
        </w:tc>
        <w:tc>
          <w:tcPr>
            <w:tcW w:w="364" w:type="pct"/>
            <w:tcBorders>
              <w:bottom w:val="single" w:sz="4" w:space="0" w:color="auto"/>
            </w:tcBorders>
            <w:shd w:val="clear" w:color="auto" w:fill="D9D9D9" w:themeFill="background1" w:themeFillShade="D9"/>
            <w:vAlign w:val="bottom"/>
          </w:tcPr>
          <w:p w:rsidR="00BC782B" w:rsidRDefault="004B14BC" w:rsidP="00D63C35">
            <w:pPr>
              <w:pStyle w:val="TableBodyText"/>
              <w:rPr>
                <w:rFonts w:cs="Arial"/>
                <w:i/>
                <w:iCs/>
                <w:color w:val="000000"/>
              </w:rPr>
            </w:pPr>
            <w:r>
              <w:rPr>
                <w:rFonts w:cs="Arial"/>
                <w:i/>
                <w:iCs/>
                <w:color w:val="000000"/>
              </w:rPr>
              <w:t>67.4</w:t>
            </w:r>
          </w:p>
        </w:tc>
        <w:tc>
          <w:tcPr>
            <w:tcW w:w="363" w:type="pct"/>
            <w:tcBorders>
              <w:bottom w:val="single" w:sz="4" w:space="0" w:color="auto"/>
            </w:tcBorders>
            <w:shd w:val="clear" w:color="auto" w:fill="D9D9D9" w:themeFill="background1" w:themeFillShade="D9"/>
            <w:vAlign w:val="bottom"/>
          </w:tcPr>
          <w:p w:rsidR="00BC782B" w:rsidRDefault="004B14BC" w:rsidP="00D63C35">
            <w:pPr>
              <w:pStyle w:val="TableBodyText"/>
              <w:rPr>
                <w:rFonts w:cs="Arial"/>
                <w:i/>
                <w:iCs/>
                <w:color w:val="000000"/>
              </w:rPr>
            </w:pPr>
            <w:r>
              <w:rPr>
                <w:rFonts w:cs="Arial"/>
                <w:i/>
                <w:iCs/>
                <w:color w:val="000000"/>
              </w:rPr>
              <w:t>43.0</w:t>
            </w:r>
          </w:p>
        </w:tc>
        <w:tc>
          <w:tcPr>
            <w:tcW w:w="364" w:type="pct"/>
            <w:tcBorders>
              <w:bottom w:val="single" w:sz="4" w:space="0" w:color="auto"/>
            </w:tcBorders>
            <w:shd w:val="clear" w:color="auto" w:fill="D9D9D9" w:themeFill="background1" w:themeFillShade="D9"/>
            <w:vAlign w:val="bottom"/>
          </w:tcPr>
          <w:p w:rsidR="00BC782B" w:rsidRDefault="004B14BC" w:rsidP="00D63C35">
            <w:pPr>
              <w:pStyle w:val="TableBodyText"/>
              <w:rPr>
                <w:rFonts w:cs="Arial"/>
                <w:i/>
                <w:iCs/>
                <w:color w:val="000000"/>
              </w:rPr>
            </w:pPr>
            <w:r>
              <w:rPr>
                <w:rFonts w:cs="Arial"/>
                <w:i/>
                <w:iCs/>
                <w:color w:val="000000"/>
              </w:rPr>
              <w:t>54.2</w:t>
            </w:r>
          </w:p>
        </w:tc>
        <w:tc>
          <w:tcPr>
            <w:tcW w:w="363" w:type="pct"/>
            <w:tcBorders>
              <w:bottom w:val="single" w:sz="4" w:space="0" w:color="auto"/>
            </w:tcBorders>
            <w:shd w:val="clear" w:color="auto" w:fill="D9D9D9" w:themeFill="background1" w:themeFillShade="D9"/>
            <w:vAlign w:val="bottom"/>
          </w:tcPr>
          <w:p w:rsidR="00BC782B" w:rsidRDefault="004B14BC" w:rsidP="00D63C35">
            <w:pPr>
              <w:pStyle w:val="TableBodyText"/>
              <w:rPr>
                <w:rFonts w:cs="Arial"/>
                <w:i/>
                <w:iCs/>
                <w:color w:val="000000"/>
              </w:rPr>
            </w:pPr>
            <w:r>
              <w:rPr>
                <w:rFonts w:cs="Arial"/>
                <w:i/>
                <w:iCs/>
                <w:color w:val="000000"/>
              </w:rPr>
              <w:t>42.6</w:t>
            </w:r>
          </w:p>
        </w:tc>
        <w:tc>
          <w:tcPr>
            <w:tcW w:w="363" w:type="pct"/>
            <w:tcBorders>
              <w:bottom w:val="single" w:sz="4" w:space="0" w:color="auto"/>
            </w:tcBorders>
            <w:shd w:val="clear" w:color="auto" w:fill="D9D9D9" w:themeFill="background1" w:themeFillShade="D9"/>
            <w:vAlign w:val="bottom"/>
          </w:tcPr>
          <w:p w:rsidR="00BC782B" w:rsidRDefault="004B14BC" w:rsidP="00D63C35">
            <w:pPr>
              <w:pStyle w:val="TableBodyText"/>
              <w:rPr>
                <w:rFonts w:cs="Arial"/>
                <w:i/>
                <w:iCs/>
                <w:color w:val="000000"/>
              </w:rPr>
            </w:pPr>
            <w:r>
              <w:rPr>
                <w:rFonts w:cs="Arial"/>
                <w:i/>
                <w:iCs/>
                <w:color w:val="000000"/>
              </w:rPr>
              <w:t>46.1</w:t>
            </w:r>
          </w:p>
        </w:tc>
        <w:tc>
          <w:tcPr>
            <w:tcW w:w="364" w:type="pct"/>
            <w:tcBorders>
              <w:bottom w:val="single" w:sz="4" w:space="0" w:color="auto"/>
            </w:tcBorders>
            <w:shd w:val="clear" w:color="auto" w:fill="D9D9D9" w:themeFill="background1" w:themeFillShade="D9"/>
            <w:vAlign w:val="bottom"/>
          </w:tcPr>
          <w:p w:rsidR="00BC782B" w:rsidRDefault="004B14BC" w:rsidP="00D63C35">
            <w:pPr>
              <w:pStyle w:val="TableBodyText"/>
              <w:rPr>
                <w:rFonts w:cs="Arial"/>
                <w:i/>
                <w:iCs/>
                <w:color w:val="000000"/>
              </w:rPr>
            </w:pPr>
            <w:r>
              <w:rPr>
                <w:rFonts w:cs="Arial"/>
                <w:i/>
                <w:iCs/>
                <w:color w:val="000000"/>
              </w:rPr>
              <w:t>53.2</w:t>
            </w:r>
          </w:p>
        </w:tc>
        <w:tc>
          <w:tcPr>
            <w:tcW w:w="363" w:type="pct"/>
            <w:tcBorders>
              <w:bottom w:val="single" w:sz="4" w:space="0" w:color="auto"/>
            </w:tcBorders>
            <w:shd w:val="clear" w:color="auto" w:fill="D9D9D9" w:themeFill="background1" w:themeFillShade="D9"/>
            <w:vAlign w:val="bottom"/>
          </w:tcPr>
          <w:p w:rsidR="00BC782B" w:rsidRDefault="004B14BC" w:rsidP="00D63C35">
            <w:pPr>
              <w:pStyle w:val="TableBodyText"/>
              <w:rPr>
                <w:rFonts w:cs="Arial"/>
                <w:i/>
                <w:iCs/>
                <w:color w:val="000000"/>
              </w:rPr>
            </w:pPr>
            <w:r>
              <w:rPr>
                <w:rFonts w:cs="Arial"/>
                <w:i/>
                <w:iCs/>
                <w:color w:val="000000"/>
              </w:rPr>
              <w:t>59.5</w:t>
            </w:r>
          </w:p>
        </w:tc>
        <w:tc>
          <w:tcPr>
            <w:tcW w:w="364" w:type="pct"/>
            <w:tcBorders>
              <w:bottom w:val="single" w:sz="4" w:space="0" w:color="auto"/>
            </w:tcBorders>
            <w:shd w:val="clear" w:color="auto" w:fill="D9D9D9" w:themeFill="background1" w:themeFillShade="D9"/>
            <w:vAlign w:val="bottom"/>
          </w:tcPr>
          <w:p w:rsidR="00BC782B" w:rsidRDefault="00BC782B" w:rsidP="00D63C35">
            <w:pPr>
              <w:pStyle w:val="TableBodyText"/>
              <w:rPr>
                <w:rFonts w:cs="Arial"/>
                <w:i/>
                <w:iCs/>
                <w:color w:val="000000"/>
              </w:rPr>
            </w:pPr>
            <w:r>
              <w:rPr>
                <w:rFonts w:cs="Arial"/>
                <w:i/>
                <w:iCs/>
                <w:color w:val="000000"/>
              </w:rPr>
              <w:t>49.</w:t>
            </w:r>
            <w:r w:rsidR="004B14BC">
              <w:rPr>
                <w:rFonts w:cs="Arial"/>
                <w:i/>
                <w:iCs/>
                <w:color w:val="000000"/>
              </w:rPr>
              <w:t>9</w:t>
            </w:r>
          </w:p>
        </w:tc>
        <w:tc>
          <w:tcPr>
            <w:tcW w:w="363" w:type="pct"/>
            <w:tcBorders>
              <w:bottom w:val="single" w:sz="4" w:space="0" w:color="auto"/>
            </w:tcBorders>
            <w:shd w:val="clear" w:color="auto" w:fill="D9D9D9" w:themeFill="background1" w:themeFillShade="D9"/>
            <w:vAlign w:val="bottom"/>
          </w:tcPr>
          <w:p w:rsidR="00BC782B" w:rsidRDefault="004B14BC" w:rsidP="00D63C35">
            <w:pPr>
              <w:pStyle w:val="TableBodyText"/>
              <w:rPr>
                <w:rFonts w:cs="Arial"/>
                <w:i/>
                <w:iCs/>
                <w:color w:val="000000"/>
              </w:rPr>
            </w:pPr>
            <w:r>
              <w:rPr>
                <w:rFonts w:cs="Arial"/>
                <w:i/>
                <w:iCs/>
                <w:color w:val="000000"/>
              </w:rPr>
              <w:t>55.5</w:t>
            </w:r>
          </w:p>
        </w:tc>
        <w:tc>
          <w:tcPr>
            <w:tcW w:w="361" w:type="pct"/>
            <w:tcBorders>
              <w:bottom w:val="single" w:sz="4" w:space="0" w:color="auto"/>
            </w:tcBorders>
            <w:shd w:val="clear" w:color="auto" w:fill="D9D9D9" w:themeFill="background1" w:themeFillShade="D9"/>
            <w:vAlign w:val="bottom"/>
          </w:tcPr>
          <w:p w:rsidR="00BC782B" w:rsidRDefault="00BC782B" w:rsidP="00D63C35">
            <w:pPr>
              <w:pStyle w:val="TableBodyText"/>
              <w:rPr>
                <w:rFonts w:cs="Arial"/>
                <w:i/>
                <w:iCs/>
                <w:color w:val="000000"/>
              </w:rPr>
            </w:pPr>
            <w:r>
              <w:rPr>
                <w:rFonts w:cs="Arial"/>
                <w:i/>
                <w:iCs/>
                <w:color w:val="000000"/>
              </w:rPr>
              <w:t>44.0</w:t>
            </w:r>
          </w:p>
        </w:tc>
      </w:tr>
    </w:tbl>
    <w:p w:rsidR="00BC782B" w:rsidRPr="00E11AD0" w:rsidRDefault="00BC782B" w:rsidP="00BC782B">
      <w:pPr>
        <w:pStyle w:val="Note"/>
        <w:keepNext/>
      </w:pPr>
      <w:r w:rsidRPr="00CD7905">
        <w:rPr>
          <w:rStyle w:val="NoteLabel"/>
        </w:rPr>
        <w:t xml:space="preserve">a </w:t>
      </w:r>
      <w:r w:rsidR="005B2CBD" w:rsidRPr="005B2CBD">
        <w:t xml:space="preserve">Based on </w:t>
      </w:r>
      <w:r w:rsidR="005B2CBD">
        <w:t>i</w:t>
      </w:r>
      <w:r w:rsidR="005B2CBD" w:rsidRPr="005B2CBD">
        <w:t>ndustry by industry flow (direct allocation of imports).</w:t>
      </w:r>
      <w:r w:rsidR="005B2CBD">
        <w:rPr>
          <w:rStyle w:val="NoteLabel"/>
        </w:rPr>
        <w:t xml:space="preserve"> </w:t>
      </w:r>
      <w:r>
        <w:t>For simplicity, only</w:t>
      </w:r>
      <w:r w:rsidR="00146100">
        <w:t xml:space="preserve"> selected linkages are included</w:t>
      </w:r>
      <w:r>
        <w:t xml:space="preserve">. </w:t>
      </w:r>
      <w:r w:rsidRPr="001E4DB2">
        <w:t>Only includes domestically produced intermediates.</w:t>
      </w:r>
      <w:r w:rsidR="00E11AD0">
        <w:t xml:space="preserve"> </w:t>
      </w:r>
      <w:r w:rsidR="00805A92">
        <w:rPr>
          <w:rStyle w:val="NoteLabel"/>
        </w:rPr>
        <w:t>b</w:t>
      </w:r>
      <w:r w:rsidR="00805A92">
        <w:t xml:space="preserve"> </w:t>
      </w:r>
      <w:r w:rsidR="00805A92" w:rsidRPr="00D46D99">
        <w:t>FBT</w:t>
      </w:r>
      <w:r w:rsidR="00D20FC2">
        <w:t xml:space="preserve"> is </w:t>
      </w:r>
      <w:r w:rsidR="00805A92" w:rsidRPr="00D46D99">
        <w:t>Food, beverage &amp; tobacco products; TCF</w:t>
      </w:r>
      <w:r w:rsidR="00D20FC2">
        <w:t xml:space="preserve"> is </w:t>
      </w:r>
      <w:r w:rsidR="00805A92" w:rsidRPr="00D46D99">
        <w:t>Textile, clothing &amp; footwear; WP</w:t>
      </w:r>
      <w:r w:rsidR="00D20FC2">
        <w:t xml:space="preserve"> is </w:t>
      </w:r>
      <w:r w:rsidR="00805A92" w:rsidRPr="00D46D99">
        <w:t>Wood &amp; paper products; PRM</w:t>
      </w:r>
      <w:r w:rsidR="00D20FC2">
        <w:t xml:space="preserve"> is </w:t>
      </w:r>
      <w:r w:rsidR="00805A92" w:rsidRPr="00D46D99">
        <w:t>Printing &amp; recorded media; PCCR</w:t>
      </w:r>
      <w:r w:rsidR="00D20FC2">
        <w:t xml:space="preserve"> is </w:t>
      </w:r>
      <w:r w:rsidR="00805A92" w:rsidRPr="00D46D99">
        <w:t>Petroleum, coal, chemical &amp; rubber products; NM</w:t>
      </w:r>
      <w:r w:rsidR="00D20FC2">
        <w:t xml:space="preserve"> is </w:t>
      </w:r>
      <w:r w:rsidR="00805A92" w:rsidRPr="00D46D99">
        <w:t>Non-metallic mineral products; MP</w:t>
      </w:r>
      <w:r w:rsidR="00D20FC2">
        <w:t xml:space="preserve"> is </w:t>
      </w:r>
      <w:r w:rsidR="00805A92" w:rsidRPr="00D46D99">
        <w:t>Metal products; ME</w:t>
      </w:r>
      <w:r w:rsidR="00D20FC2">
        <w:t xml:space="preserve"> is </w:t>
      </w:r>
      <w:r w:rsidR="00805A92" w:rsidRPr="00D46D99">
        <w:t xml:space="preserve">Machinery &amp; equipment manufacturing. </w:t>
      </w:r>
      <w:r w:rsidR="00805A92">
        <w:rPr>
          <w:rStyle w:val="NoteLabel"/>
        </w:rPr>
        <w:t>c </w:t>
      </w:r>
      <w:r w:rsidR="00E11AD0">
        <w:t>Services includes non-market sector industries.</w:t>
      </w:r>
    </w:p>
    <w:p w:rsidR="00757EB8" w:rsidRDefault="00BC782B" w:rsidP="00757EB8">
      <w:pPr>
        <w:pStyle w:val="Source"/>
      </w:pPr>
      <w:r w:rsidRPr="004F064A">
        <w:rPr>
          <w:i/>
        </w:rPr>
        <w:t>Source</w:t>
      </w:r>
      <w:r w:rsidRPr="004F064A">
        <w:t xml:space="preserve">: </w:t>
      </w:r>
      <w:r w:rsidR="005B2CBD">
        <w:t xml:space="preserve">Authors’ estimates based on </w:t>
      </w:r>
      <w:r w:rsidRPr="004F064A">
        <w:t>ABS (</w:t>
      </w:r>
      <w:r w:rsidRPr="004F064A">
        <w:rPr>
          <w:i/>
        </w:rPr>
        <w:t>Australian National Accounts: Input-</w:t>
      </w:r>
      <w:r w:rsidR="00A649D0">
        <w:rPr>
          <w:i/>
        </w:rPr>
        <w:t>O</w:t>
      </w:r>
      <w:r w:rsidRPr="004F064A">
        <w:rPr>
          <w:i/>
        </w:rPr>
        <w:t>utput Tables</w:t>
      </w:r>
      <w:r w:rsidRPr="004F064A">
        <w:t xml:space="preserve">, </w:t>
      </w:r>
      <w:r w:rsidR="00A649D0">
        <w:rPr>
          <w:i/>
        </w:rPr>
        <w:t>2008</w:t>
      </w:r>
      <w:r w:rsidR="00A649D0" w:rsidRPr="00882096">
        <w:rPr>
          <w:i/>
        </w:rPr>
        <w:t>-09</w:t>
      </w:r>
      <w:r w:rsidR="00A649D0">
        <w:t xml:space="preserve">, </w:t>
      </w:r>
      <w:r w:rsidRPr="00A649D0">
        <w:t>Cat</w:t>
      </w:r>
      <w:r w:rsidR="005B2CBD">
        <w:t>.</w:t>
      </w:r>
      <w:r w:rsidR="00B97B16">
        <w:t> </w:t>
      </w:r>
      <w:r w:rsidR="005B2CBD">
        <w:t>no. 5209.0.55.001</w:t>
      </w:r>
      <w:r w:rsidR="0021454A">
        <w:t>, Table 5</w:t>
      </w:r>
      <w:r w:rsidRPr="004F064A">
        <w:t>).</w:t>
      </w:r>
    </w:p>
    <w:p w:rsidR="00BC782B" w:rsidRDefault="00BC782B" w:rsidP="00BC782B">
      <w:pPr>
        <w:pStyle w:val="BodyText"/>
      </w:pPr>
      <w:r>
        <w:t xml:space="preserve">A high proportion of FBT output is for final use rather than as intermediate inputs to other industries (table </w:t>
      </w:r>
      <w:proofErr w:type="spellStart"/>
      <w:r w:rsidR="00B06C44">
        <w:t>G.3</w:t>
      </w:r>
      <w:proofErr w:type="spellEnd"/>
      <w:r>
        <w:t xml:space="preserve">). </w:t>
      </w:r>
    </w:p>
    <w:p w:rsidR="00E50163" w:rsidRPr="00E50163" w:rsidRDefault="00E50163" w:rsidP="00E50163">
      <w:pPr>
        <w:pStyle w:val="TableTitle"/>
      </w:pPr>
      <w:bookmarkStart w:id="15" w:name="OLE_LINK8"/>
      <w:r w:rsidRPr="00E50163">
        <w:rPr>
          <w:b w:val="0"/>
        </w:rPr>
        <w:lastRenderedPageBreak/>
        <w:t xml:space="preserve">Table </w:t>
      </w:r>
      <w:bookmarkStart w:id="16" w:name="OLE_LINK16"/>
      <w:proofErr w:type="spellStart"/>
      <w:r w:rsidR="00B06C44">
        <w:rPr>
          <w:b w:val="0"/>
        </w:rPr>
        <w:t>G.</w:t>
      </w:r>
      <w:r w:rsidR="00FE417C">
        <w:rPr>
          <w:b w:val="0"/>
          <w:noProof/>
        </w:rPr>
        <w:t>3</w:t>
      </w:r>
      <w:bookmarkEnd w:id="16"/>
      <w:proofErr w:type="spellEnd"/>
      <w:r w:rsidRPr="00E50163">
        <w:tab/>
        <w:t xml:space="preserve">Breakdown of </w:t>
      </w:r>
      <w:proofErr w:type="spellStart"/>
      <w:r w:rsidRPr="00E50163">
        <w:t>FBT</w:t>
      </w:r>
      <w:proofErr w:type="spellEnd"/>
      <w:r w:rsidRPr="00E50163">
        <w:t xml:space="preserve"> output into industry and final use, 2008-09</w:t>
      </w:r>
      <w:r w:rsidR="0073580C" w:rsidRPr="0073580C">
        <w:rPr>
          <w:rStyle w:val="NoteLabel"/>
          <w:b/>
        </w:rPr>
        <w:t>a</w:t>
      </w:r>
    </w:p>
    <w:p w:rsidR="00E50163" w:rsidRPr="002747C0" w:rsidRDefault="00A5320B" w:rsidP="002747C0">
      <w:pPr>
        <w:pStyle w:val="Subtitle"/>
      </w:pPr>
      <w:r>
        <w:t>P</w:t>
      </w:r>
      <w:r w:rsidR="00E50163" w:rsidRPr="002747C0">
        <w:t>ercentage of total supply</w:t>
      </w:r>
    </w:p>
    <w:tbl>
      <w:tblPr>
        <w:tblW w:w="5000" w:type="pct"/>
        <w:tblCellMar>
          <w:left w:w="0" w:type="dxa"/>
          <w:right w:w="0" w:type="dxa"/>
        </w:tblCellMar>
        <w:tblLook w:val="0000" w:firstRow="0" w:lastRow="0" w:firstColumn="0" w:lastColumn="0" w:noHBand="0" w:noVBand="0"/>
      </w:tblPr>
      <w:tblGrid>
        <w:gridCol w:w="2833"/>
        <w:gridCol w:w="2978"/>
        <w:gridCol w:w="2978"/>
      </w:tblGrid>
      <w:tr w:rsidR="00E50163" w:rsidRPr="00E50163" w:rsidTr="00757EB8">
        <w:tc>
          <w:tcPr>
            <w:tcW w:w="1612" w:type="pct"/>
            <w:tcBorders>
              <w:top w:val="single" w:sz="6" w:space="0" w:color="auto"/>
              <w:bottom w:val="single" w:sz="6" w:space="0" w:color="auto"/>
            </w:tcBorders>
            <w:shd w:val="clear" w:color="auto" w:fill="auto"/>
          </w:tcPr>
          <w:p w:rsidR="00E50163" w:rsidRPr="00E50163" w:rsidRDefault="00E50163" w:rsidP="00E50163">
            <w:pPr>
              <w:pStyle w:val="TableColumnHeading"/>
            </w:pPr>
          </w:p>
        </w:tc>
        <w:tc>
          <w:tcPr>
            <w:tcW w:w="1694" w:type="pct"/>
            <w:tcBorders>
              <w:top w:val="single" w:sz="6" w:space="0" w:color="auto"/>
              <w:bottom w:val="single" w:sz="6" w:space="0" w:color="auto"/>
            </w:tcBorders>
            <w:shd w:val="clear" w:color="auto" w:fill="auto"/>
            <w:vAlign w:val="bottom"/>
          </w:tcPr>
          <w:p w:rsidR="00E50163" w:rsidRPr="00E50163" w:rsidRDefault="00E50163" w:rsidP="004F064A">
            <w:pPr>
              <w:pStyle w:val="TableColumnHeading"/>
            </w:pPr>
            <w:proofErr w:type="spellStart"/>
            <w:r w:rsidRPr="00E50163">
              <w:t>FBT</w:t>
            </w:r>
            <w:proofErr w:type="spellEnd"/>
          </w:p>
        </w:tc>
        <w:tc>
          <w:tcPr>
            <w:tcW w:w="1694" w:type="pct"/>
            <w:tcBorders>
              <w:top w:val="single" w:sz="6" w:space="0" w:color="auto"/>
              <w:bottom w:val="single" w:sz="6" w:space="0" w:color="auto"/>
            </w:tcBorders>
            <w:shd w:val="clear" w:color="auto" w:fill="auto"/>
            <w:vAlign w:val="bottom"/>
          </w:tcPr>
          <w:p w:rsidR="00E50163" w:rsidRPr="00E50163" w:rsidRDefault="00E50163" w:rsidP="004F064A">
            <w:pPr>
              <w:pStyle w:val="TableColumnHeading"/>
            </w:pPr>
            <w:r w:rsidRPr="00E50163">
              <w:t xml:space="preserve">Total </w:t>
            </w:r>
            <w:r w:rsidR="004F064A">
              <w:t>Manufacturing</w:t>
            </w:r>
          </w:p>
        </w:tc>
      </w:tr>
      <w:tr w:rsidR="00E50163" w:rsidRPr="00476BA2" w:rsidTr="00757EB8">
        <w:trPr>
          <w:trHeight w:val="317"/>
        </w:trPr>
        <w:tc>
          <w:tcPr>
            <w:tcW w:w="1612" w:type="pct"/>
            <w:shd w:val="clear" w:color="auto" w:fill="D9D9D9" w:themeFill="background1" w:themeFillShade="D9"/>
            <w:vAlign w:val="bottom"/>
          </w:tcPr>
          <w:p w:rsidR="00E50163" w:rsidRPr="00C27A16" w:rsidRDefault="00E50163" w:rsidP="00476C9E">
            <w:pPr>
              <w:pStyle w:val="TableBodyText"/>
              <w:spacing w:before="100" w:beforeAutospacing="1"/>
              <w:jc w:val="left"/>
              <w:rPr>
                <w:i/>
              </w:rPr>
            </w:pPr>
            <w:r w:rsidRPr="00C27A16">
              <w:rPr>
                <w:i/>
              </w:rPr>
              <w:t>Industry use</w:t>
            </w:r>
          </w:p>
        </w:tc>
        <w:tc>
          <w:tcPr>
            <w:tcW w:w="1694" w:type="pct"/>
            <w:shd w:val="clear" w:color="auto" w:fill="D9D9D9" w:themeFill="background1" w:themeFillShade="D9"/>
            <w:vAlign w:val="bottom"/>
          </w:tcPr>
          <w:p w:rsidR="00E50163" w:rsidRPr="00476BA2" w:rsidRDefault="00E50163" w:rsidP="00476C9E">
            <w:pPr>
              <w:pStyle w:val="TableBodyText"/>
              <w:spacing w:before="100" w:beforeAutospacing="1"/>
              <w:rPr>
                <w:i/>
              </w:rPr>
            </w:pPr>
            <w:r w:rsidRPr="00476BA2">
              <w:rPr>
                <w:i/>
              </w:rPr>
              <w:t>40.5</w:t>
            </w:r>
          </w:p>
        </w:tc>
        <w:tc>
          <w:tcPr>
            <w:tcW w:w="1694" w:type="pct"/>
            <w:shd w:val="clear" w:color="auto" w:fill="D9D9D9" w:themeFill="background1" w:themeFillShade="D9"/>
            <w:vAlign w:val="bottom"/>
          </w:tcPr>
          <w:p w:rsidR="00E50163" w:rsidRPr="00476BA2" w:rsidRDefault="00E50163" w:rsidP="00476C9E">
            <w:pPr>
              <w:pStyle w:val="TableBodyText"/>
              <w:spacing w:before="100" w:beforeAutospacing="1"/>
              <w:rPr>
                <w:i/>
              </w:rPr>
            </w:pPr>
            <w:r w:rsidRPr="00476BA2">
              <w:rPr>
                <w:i/>
              </w:rPr>
              <w:t>53.6</w:t>
            </w:r>
          </w:p>
        </w:tc>
      </w:tr>
      <w:tr w:rsidR="00E50163" w:rsidRPr="00476BA2" w:rsidTr="00757EB8">
        <w:trPr>
          <w:trHeight w:val="317"/>
        </w:trPr>
        <w:tc>
          <w:tcPr>
            <w:tcW w:w="1612" w:type="pct"/>
            <w:vAlign w:val="bottom"/>
          </w:tcPr>
          <w:p w:rsidR="00E50163" w:rsidRPr="00C27A16" w:rsidRDefault="00C27A16" w:rsidP="00476C9E">
            <w:pPr>
              <w:pStyle w:val="TableBodyText"/>
              <w:spacing w:before="100" w:beforeAutospacing="1"/>
              <w:jc w:val="left"/>
              <w:rPr>
                <w:i/>
              </w:rPr>
            </w:pPr>
            <w:r>
              <w:rPr>
                <w:i/>
              </w:rPr>
              <w:t>Final u</w:t>
            </w:r>
            <w:r w:rsidR="00E50163" w:rsidRPr="00C27A16">
              <w:rPr>
                <w:i/>
              </w:rPr>
              <w:t>se</w:t>
            </w:r>
          </w:p>
        </w:tc>
        <w:tc>
          <w:tcPr>
            <w:tcW w:w="1694" w:type="pct"/>
            <w:vAlign w:val="bottom"/>
          </w:tcPr>
          <w:p w:rsidR="00E50163" w:rsidRPr="00476BA2" w:rsidRDefault="00E50163" w:rsidP="00476C9E">
            <w:pPr>
              <w:pStyle w:val="TableBodyText"/>
              <w:spacing w:before="100" w:beforeAutospacing="1"/>
              <w:rPr>
                <w:i/>
              </w:rPr>
            </w:pPr>
          </w:p>
        </w:tc>
        <w:tc>
          <w:tcPr>
            <w:tcW w:w="1694" w:type="pct"/>
            <w:vAlign w:val="bottom"/>
          </w:tcPr>
          <w:p w:rsidR="00E50163" w:rsidRPr="00476BA2" w:rsidRDefault="00E50163" w:rsidP="00476C9E">
            <w:pPr>
              <w:pStyle w:val="TableBodyText"/>
              <w:spacing w:before="100" w:beforeAutospacing="1"/>
              <w:rPr>
                <w:i/>
              </w:rPr>
            </w:pPr>
          </w:p>
        </w:tc>
      </w:tr>
      <w:tr w:rsidR="00E50163" w:rsidTr="00757EB8">
        <w:trPr>
          <w:trHeight w:val="317"/>
        </w:trPr>
        <w:tc>
          <w:tcPr>
            <w:tcW w:w="1612" w:type="pct"/>
            <w:shd w:val="clear" w:color="auto" w:fill="D9D9D9" w:themeFill="background1" w:themeFillShade="D9"/>
            <w:vAlign w:val="bottom"/>
          </w:tcPr>
          <w:p w:rsidR="00E50163" w:rsidRDefault="009A0025" w:rsidP="009A0025">
            <w:pPr>
              <w:pStyle w:val="TableBodyText"/>
              <w:tabs>
                <w:tab w:val="left" w:pos="285"/>
              </w:tabs>
              <w:spacing w:before="100" w:beforeAutospacing="1"/>
              <w:jc w:val="left"/>
            </w:pPr>
            <w:r>
              <w:tab/>
            </w:r>
            <w:r w:rsidR="00E50163">
              <w:t>Final consumption</w:t>
            </w:r>
          </w:p>
        </w:tc>
        <w:tc>
          <w:tcPr>
            <w:tcW w:w="1694" w:type="pct"/>
            <w:shd w:val="clear" w:color="auto" w:fill="D9D9D9" w:themeFill="background1" w:themeFillShade="D9"/>
            <w:vAlign w:val="bottom"/>
          </w:tcPr>
          <w:p w:rsidR="00E50163" w:rsidRDefault="00E50163" w:rsidP="00476C9E">
            <w:pPr>
              <w:pStyle w:val="TableBodyText"/>
              <w:spacing w:before="100" w:beforeAutospacing="1"/>
            </w:pPr>
            <w:r>
              <w:t>36.8</w:t>
            </w:r>
          </w:p>
        </w:tc>
        <w:tc>
          <w:tcPr>
            <w:tcW w:w="1694" w:type="pct"/>
            <w:shd w:val="clear" w:color="auto" w:fill="D9D9D9" w:themeFill="background1" w:themeFillShade="D9"/>
            <w:vAlign w:val="bottom"/>
          </w:tcPr>
          <w:p w:rsidR="00E50163" w:rsidRDefault="00E50163" w:rsidP="00476C9E">
            <w:pPr>
              <w:pStyle w:val="TableBodyText"/>
              <w:spacing w:before="100" w:beforeAutospacing="1"/>
            </w:pPr>
            <w:r>
              <w:t>17.0</w:t>
            </w:r>
          </w:p>
        </w:tc>
      </w:tr>
      <w:tr w:rsidR="00E50163" w:rsidTr="00757EB8">
        <w:trPr>
          <w:trHeight w:val="317"/>
        </w:trPr>
        <w:tc>
          <w:tcPr>
            <w:tcW w:w="1612" w:type="pct"/>
            <w:vAlign w:val="bottom"/>
          </w:tcPr>
          <w:p w:rsidR="00E50163" w:rsidRDefault="009A0025" w:rsidP="009A0025">
            <w:pPr>
              <w:pStyle w:val="TableBodyText"/>
              <w:tabs>
                <w:tab w:val="left" w:pos="285"/>
              </w:tabs>
              <w:spacing w:before="100" w:beforeAutospacing="1"/>
              <w:jc w:val="left"/>
            </w:pPr>
            <w:r>
              <w:tab/>
            </w:r>
            <w:r w:rsidR="00E50163">
              <w:t>Exports</w:t>
            </w:r>
          </w:p>
        </w:tc>
        <w:tc>
          <w:tcPr>
            <w:tcW w:w="1694" w:type="pct"/>
            <w:vAlign w:val="bottom"/>
          </w:tcPr>
          <w:p w:rsidR="00E50163" w:rsidRDefault="00E50163" w:rsidP="00476C9E">
            <w:pPr>
              <w:pStyle w:val="TableBodyText"/>
              <w:spacing w:before="100" w:beforeAutospacing="1"/>
            </w:pPr>
            <w:r>
              <w:t>21.8</w:t>
            </w:r>
          </w:p>
        </w:tc>
        <w:tc>
          <w:tcPr>
            <w:tcW w:w="1694" w:type="pct"/>
            <w:vAlign w:val="bottom"/>
          </w:tcPr>
          <w:p w:rsidR="00E50163" w:rsidRDefault="00E50163" w:rsidP="00476C9E">
            <w:pPr>
              <w:pStyle w:val="TableBodyText"/>
              <w:spacing w:before="100" w:beforeAutospacing="1"/>
            </w:pPr>
            <w:r>
              <w:t>21.9</w:t>
            </w:r>
          </w:p>
        </w:tc>
      </w:tr>
      <w:tr w:rsidR="00E50163" w:rsidTr="00757EB8">
        <w:trPr>
          <w:trHeight w:val="317"/>
        </w:trPr>
        <w:tc>
          <w:tcPr>
            <w:tcW w:w="1612" w:type="pct"/>
            <w:shd w:val="clear" w:color="auto" w:fill="D9D9D9" w:themeFill="background1" w:themeFillShade="D9"/>
            <w:vAlign w:val="bottom"/>
          </w:tcPr>
          <w:p w:rsidR="00E50163" w:rsidRDefault="009A0025" w:rsidP="009A0025">
            <w:pPr>
              <w:pStyle w:val="TableBodyText"/>
              <w:tabs>
                <w:tab w:val="left" w:pos="285"/>
              </w:tabs>
              <w:spacing w:before="100" w:beforeAutospacing="1"/>
              <w:jc w:val="left"/>
            </w:pPr>
            <w:r>
              <w:tab/>
            </w:r>
            <w:proofErr w:type="spellStart"/>
            <w:r w:rsidR="00E50163">
              <w:t>GFCF</w:t>
            </w:r>
            <w:proofErr w:type="spellEnd"/>
            <w:r w:rsidR="0073580C">
              <w:rPr>
                <w:rStyle w:val="NoteLabel"/>
              </w:rPr>
              <w:t>b</w:t>
            </w:r>
          </w:p>
        </w:tc>
        <w:tc>
          <w:tcPr>
            <w:tcW w:w="1694" w:type="pct"/>
            <w:shd w:val="clear" w:color="auto" w:fill="D9D9D9" w:themeFill="background1" w:themeFillShade="D9"/>
            <w:vAlign w:val="bottom"/>
          </w:tcPr>
          <w:p w:rsidR="00E50163" w:rsidRDefault="00E50163" w:rsidP="00476C9E">
            <w:pPr>
              <w:pStyle w:val="TableBodyText"/>
              <w:spacing w:before="100" w:beforeAutospacing="1"/>
            </w:pPr>
            <w:r>
              <w:t>0.9</w:t>
            </w:r>
          </w:p>
        </w:tc>
        <w:tc>
          <w:tcPr>
            <w:tcW w:w="1694" w:type="pct"/>
            <w:shd w:val="clear" w:color="auto" w:fill="D9D9D9" w:themeFill="background1" w:themeFillShade="D9"/>
            <w:vAlign w:val="bottom"/>
          </w:tcPr>
          <w:p w:rsidR="00E50163" w:rsidRDefault="00E50163" w:rsidP="00476C9E">
            <w:pPr>
              <w:pStyle w:val="TableBodyText"/>
              <w:spacing w:before="100" w:beforeAutospacing="1"/>
            </w:pPr>
            <w:r>
              <w:t>7.5</w:t>
            </w:r>
          </w:p>
        </w:tc>
      </w:tr>
      <w:tr w:rsidR="00E50163" w:rsidTr="00757EB8">
        <w:trPr>
          <w:trHeight w:val="317"/>
        </w:trPr>
        <w:tc>
          <w:tcPr>
            <w:tcW w:w="1612" w:type="pct"/>
            <w:tcBorders>
              <w:bottom w:val="single" w:sz="6" w:space="0" w:color="auto"/>
            </w:tcBorders>
            <w:shd w:val="clear" w:color="auto" w:fill="auto"/>
            <w:vAlign w:val="bottom"/>
          </w:tcPr>
          <w:p w:rsidR="00E50163" w:rsidRPr="000B1D69" w:rsidRDefault="00E50163" w:rsidP="00476C9E">
            <w:pPr>
              <w:pStyle w:val="TableBodyText"/>
              <w:spacing w:before="100" w:beforeAutospacing="1"/>
              <w:jc w:val="left"/>
              <w:rPr>
                <w:b/>
              </w:rPr>
            </w:pPr>
            <w:r w:rsidRPr="000B1D69">
              <w:rPr>
                <w:b/>
              </w:rPr>
              <w:t>Total</w:t>
            </w:r>
          </w:p>
        </w:tc>
        <w:tc>
          <w:tcPr>
            <w:tcW w:w="1694" w:type="pct"/>
            <w:tcBorders>
              <w:bottom w:val="single" w:sz="6" w:space="0" w:color="auto"/>
            </w:tcBorders>
            <w:shd w:val="clear" w:color="auto" w:fill="auto"/>
            <w:vAlign w:val="bottom"/>
          </w:tcPr>
          <w:p w:rsidR="00E50163" w:rsidRPr="00BA1D31" w:rsidRDefault="00E50163" w:rsidP="00476C9E">
            <w:pPr>
              <w:pStyle w:val="TableBodyText"/>
              <w:spacing w:before="100" w:beforeAutospacing="1"/>
              <w:rPr>
                <w:b/>
              </w:rPr>
            </w:pPr>
            <w:r w:rsidRPr="00BA1D31">
              <w:rPr>
                <w:b/>
              </w:rPr>
              <w:t>100</w:t>
            </w:r>
          </w:p>
        </w:tc>
        <w:tc>
          <w:tcPr>
            <w:tcW w:w="1694" w:type="pct"/>
            <w:tcBorders>
              <w:bottom w:val="single" w:sz="6" w:space="0" w:color="auto"/>
            </w:tcBorders>
            <w:shd w:val="clear" w:color="auto" w:fill="auto"/>
            <w:vAlign w:val="bottom"/>
          </w:tcPr>
          <w:p w:rsidR="00E50163" w:rsidRPr="00BA1D31" w:rsidRDefault="00E50163" w:rsidP="00476C9E">
            <w:pPr>
              <w:pStyle w:val="TableBodyText"/>
              <w:spacing w:before="100" w:beforeAutospacing="1"/>
              <w:rPr>
                <w:b/>
              </w:rPr>
            </w:pPr>
            <w:r w:rsidRPr="00BA1D31">
              <w:rPr>
                <w:b/>
              </w:rPr>
              <w:t>100</w:t>
            </w:r>
          </w:p>
        </w:tc>
      </w:tr>
    </w:tbl>
    <w:p w:rsidR="00E50163" w:rsidRPr="002747C0" w:rsidRDefault="0073580C" w:rsidP="002747C0">
      <w:pPr>
        <w:pStyle w:val="Note"/>
      </w:pPr>
      <w:r w:rsidRPr="00CD7905">
        <w:rPr>
          <w:rStyle w:val="NoteLabel"/>
        </w:rPr>
        <w:t xml:space="preserve">a </w:t>
      </w:r>
      <w:r w:rsidRPr="005B2CBD">
        <w:t xml:space="preserve">Based on </w:t>
      </w:r>
      <w:r>
        <w:t>i</w:t>
      </w:r>
      <w:r w:rsidRPr="005B2CBD">
        <w:t>ndustry by industry flow (direct allocation of imports).</w:t>
      </w:r>
      <w:r>
        <w:rPr>
          <w:rStyle w:val="NoteLabel"/>
        </w:rPr>
        <w:t xml:space="preserve"> b</w:t>
      </w:r>
      <w:r w:rsidR="00E50163" w:rsidRPr="002747C0">
        <w:t xml:space="preserve"> </w:t>
      </w:r>
      <w:r w:rsidR="00E63E44">
        <w:t xml:space="preserve">Gross fixed capital formation. </w:t>
      </w:r>
      <w:r w:rsidR="00E50163" w:rsidRPr="002747C0">
        <w:t>Includes change in inventories.</w:t>
      </w:r>
      <w:r w:rsidR="00E50163" w:rsidRPr="002747C0">
        <w:rPr>
          <w:rStyle w:val="NoteLabel"/>
          <w:b w:val="0"/>
          <w:position w:val="0"/>
        </w:rPr>
        <w:t xml:space="preserve"> </w:t>
      </w:r>
    </w:p>
    <w:p w:rsidR="00E50163" w:rsidRDefault="00E50163" w:rsidP="00E11AD0">
      <w:pPr>
        <w:pStyle w:val="Source"/>
      </w:pPr>
      <w:r w:rsidRPr="002747C0">
        <w:rPr>
          <w:i/>
        </w:rPr>
        <w:t>Source</w:t>
      </w:r>
      <w:r w:rsidRPr="002747C0">
        <w:t xml:space="preserve">: </w:t>
      </w:r>
      <w:r w:rsidR="0073580C">
        <w:t xml:space="preserve">Authors’ estimates based on </w:t>
      </w:r>
      <w:r w:rsidRPr="002747C0">
        <w:t>ABS (</w:t>
      </w:r>
      <w:r w:rsidRPr="00956146">
        <w:rPr>
          <w:i/>
        </w:rPr>
        <w:t>Australian National Accounts: Input-</w:t>
      </w:r>
      <w:r w:rsidR="005A01F0">
        <w:rPr>
          <w:i/>
        </w:rPr>
        <w:t>O</w:t>
      </w:r>
      <w:r w:rsidRPr="00956146">
        <w:rPr>
          <w:i/>
        </w:rPr>
        <w:t>utput Tables</w:t>
      </w:r>
      <w:r w:rsidR="005A01F0">
        <w:t xml:space="preserve">, </w:t>
      </w:r>
      <w:r w:rsidR="005A01F0">
        <w:rPr>
          <w:i/>
        </w:rPr>
        <w:t xml:space="preserve">2008-09, </w:t>
      </w:r>
      <w:r w:rsidR="005A01F0">
        <w:t>Cat.</w:t>
      </w:r>
      <w:r w:rsidR="00B97B16">
        <w:t> </w:t>
      </w:r>
      <w:r w:rsidR="005A01F0">
        <w:t>no. 5209.0.55.001</w:t>
      </w:r>
      <w:r w:rsidR="00C340A0">
        <w:t>, Table 5</w:t>
      </w:r>
      <w:r w:rsidRPr="002747C0">
        <w:t>).</w:t>
      </w:r>
    </w:p>
    <w:bookmarkEnd w:id="15"/>
    <w:p w:rsidR="00BC782B" w:rsidRPr="00E11AD0" w:rsidRDefault="00BC782B" w:rsidP="00E11AD0">
      <w:pPr>
        <w:pStyle w:val="Heading3"/>
      </w:pPr>
      <w:r w:rsidRPr="00E11AD0">
        <w:t>Trade</w:t>
      </w:r>
      <w:r w:rsidR="009503C6" w:rsidRPr="00E11AD0">
        <w:t xml:space="preserve"> and assistance</w:t>
      </w:r>
    </w:p>
    <w:p w:rsidR="00BC782B" w:rsidRDefault="00BC782B" w:rsidP="00A5320B">
      <w:pPr>
        <w:pStyle w:val="Heading4"/>
        <w:spacing w:before="240"/>
      </w:pPr>
      <w:r>
        <w:t>Imports for final consumption or inputs for industry</w:t>
      </w:r>
      <w:r w:rsidR="00146100">
        <w:t>?</w:t>
      </w:r>
    </w:p>
    <w:p w:rsidR="00BC782B" w:rsidRPr="00B763AF" w:rsidRDefault="00BC782B" w:rsidP="00BC782B">
      <w:pPr>
        <w:pStyle w:val="BodyText"/>
      </w:pPr>
      <w:r>
        <w:t>ABS estimates of imports of food and beverages, classified as ‘mainly for industry’ or ‘mainly for household consumption’, suggest that most of the increase in imports has been in final consumption goods rather than intermediate inputs. Food and beverage imports for consumption have risen strongly, particularly over cycle 4, while imports for industry use have been relatively stable (figure</w:t>
      </w:r>
      <w:r w:rsidR="0074076A">
        <w:t xml:space="preserve"> </w:t>
      </w:r>
      <w:proofErr w:type="spellStart"/>
      <w:r w:rsidR="00B06C44">
        <w:t>G.7</w:t>
      </w:r>
      <w:proofErr w:type="spellEnd"/>
      <w:r>
        <w:t xml:space="preserve">). </w:t>
      </w:r>
    </w:p>
    <w:p w:rsidR="00BC782B" w:rsidRDefault="00BC782B" w:rsidP="00BC782B">
      <w:pPr>
        <w:pStyle w:val="FigureTitle"/>
      </w:pPr>
      <w:r>
        <w:rPr>
          <w:b w:val="0"/>
        </w:rPr>
        <w:t xml:space="preserve">Figure </w:t>
      </w:r>
      <w:bookmarkStart w:id="17" w:name="OLE_LINK17"/>
      <w:proofErr w:type="spellStart"/>
      <w:r w:rsidR="00B06C44">
        <w:rPr>
          <w:b w:val="0"/>
        </w:rPr>
        <w:t>G.</w:t>
      </w:r>
      <w:r w:rsidR="00FE417C">
        <w:rPr>
          <w:b w:val="0"/>
          <w:noProof/>
        </w:rPr>
        <w:t>7</w:t>
      </w:r>
      <w:bookmarkEnd w:id="17"/>
      <w:proofErr w:type="spellEnd"/>
      <w:r>
        <w:tab/>
      </w:r>
      <w:r w:rsidR="00690564">
        <w:t>Food and beverage</w:t>
      </w:r>
      <w:r w:rsidR="00EE68EB">
        <w:t xml:space="preserve"> product i</w:t>
      </w:r>
      <w:r>
        <w:t xml:space="preserve">mports </w:t>
      </w:r>
      <w:r w:rsidR="00765115">
        <w:t>by economic category</w:t>
      </w:r>
      <w:r w:rsidR="00765115" w:rsidRPr="00765115">
        <w:rPr>
          <w:rStyle w:val="NoteLabel"/>
          <w:b/>
        </w:rPr>
        <w:t>a</w:t>
      </w:r>
    </w:p>
    <w:p w:rsidR="00BC782B" w:rsidRDefault="00F46BDE" w:rsidP="00BC782B">
      <w:pPr>
        <w:pStyle w:val="Subtitle"/>
      </w:pPr>
      <w:r>
        <w:t>2009-10</w:t>
      </w:r>
      <w:r w:rsidR="00BC782B">
        <w:t xml:space="preserve"> $m</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C782B" w:rsidTr="00E636D1">
        <w:tc>
          <w:tcPr>
            <w:tcW w:w="8777" w:type="dxa"/>
          </w:tcPr>
          <w:p w:rsidR="00BC782B" w:rsidRDefault="002B607E" w:rsidP="00476BA2">
            <w:pPr>
              <w:pStyle w:val="Figure"/>
              <w:spacing w:before="0" w:after="0"/>
            </w:pPr>
            <w:r>
              <w:pict>
                <v:shape id="_x0000_i1035" type="#_x0000_t75" alt="Details on this figure can be found within the text immediately before this image." style="width:424.45pt;height:198.4pt">
                  <v:imagedata r:id="rId19" o:title=""/>
                </v:shape>
              </w:pict>
            </w:r>
          </w:p>
        </w:tc>
      </w:tr>
    </w:tbl>
    <w:p w:rsidR="00765115" w:rsidRPr="00F452B2" w:rsidRDefault="00765115" w:rsidP="00F452B2">
      <w:pPr>
        <w:pStyle w:val="Note"/>
      </w:pPr>
      <w:r w:rsidRPr="00F452B2">
        <w:rPr>
          <w:rStyle w:val="NoteLabel"/>
        </w:rPr>
        <w:t>a</w:t>
      </w:r>
      <w:r w:rsidRPr="00F452B2">
        <w:t xml:space="preserve"> Balance of Payments Broad Economic Category basis.</w:t>
      </w:r>
    </w:p>
    <w:p w:rsidR="00BC782B" w:rsidRPr="00B97B16" w:rsidRDefault="00BC782B" w:rsidP="00B97B16">
      <w:pPr>
        <w:pStyle w:val="Source"/>
      </w:pPr>
      <w:r w:rsidRPr="00B97B16">
        <w:rPr>
          <w:i/>
        </w:rPr>
        <w:t>Data source</w:t>
      </w:r>
      <w:r w:rsidR="00A777ED" w:rsidRPr="00B97B16">
        <w:rPr>
          <w:i/>
        </w:rPr>
        <w:t>s</w:t>
      </w:r>
      <w:r w:rsidRPr="00B97B16">
        <w:t>: Authors’ estimates based on ABS (</w:t>
      </w:r>
      <w:r w:rsidRPr="00B97B16">
        <w:rPr>
          <w:i/>
        </w:rPr>
        <w:t>International Merchandise Imports, Australia</w:t>
      </w:r>
      <w:r w:rsidRPr="00B97B16">
        <w:t>, Mar</w:t>
      </w:r>
      <w:r w:rsidR="00376ABB" w:rsidRPr="00B97B16">
        <w:t>ch</w:t>
      </w:r>
      <w:r w:rsidRPr="00B97B16">
        <w:t xml:space="preserve"> 2013, Cat.</w:t>
      </w:r>
      <w:r w:rsidR="00A777ED" w:rsidRPr="00B97B16">
        <w:t> </w:t>
      </w:r>
      <w:r w:rsidRPr="00B97B16">
        <w:t>no</w:t>
      </w:r>
      <w:r w:rsidR="00A777ED" w:rsidRPr="00B97B16">
        <w:t>. 5439.0</w:t>
      </w:r>
      <w:r w:rsidRPr="00B97B16">
        <w:t>) and ABS (</w:t>
      </w:r>
      <w:r w:rsidRPr="00B97B16">
        <w:rPr>
          <w:i/>
        </w:rPr>
        <w:t>International Trade Price Indexes, Australia</w:t>
      </w:r>
      <w:r w:rsidRPr="00B97B16">
        <w:t>, Mar</w:t>
      </w:r>
      <w:r w:rsidR="00376ABB" w:rsidRPr="00B97B16">
        <w:t>ch</w:t>
      </w:r>
      <w:r w:rsidRPr="00B97B16">
        <w:t xml:space="preserve"> 2013</w:t>
      </w:r>
      <w:r w:rsidR="00A777ED" w:rsidRPr="00B97B16">
        <w:t>,</w:t>
      </w:r>
      <w:r w:rsidRPr="00B97B16">
        <w:t xml:space="preserve"> Cat. no. 6457.0).</w:t>
      </w:r>
    </w:p>
    <w:p w:rsidR="00CD092B" w:rsidRDefault="00146100" w:rsidP="009503C6">
      <w:pPr>
        <w:pStyle w:val="Heading4"/>
      </w:pPr>
      <w:r>
        <w:lastRenderedPageBreak/>
        <w:t>Effective rates of a</w:t>
      </w:r>
      <w:r w:rsidR="00CD092B">
        <w:t>ssistance</w:t>
      </w:r>
    </w:p>
    <w:p w:rsidR="00CD092B" w:rsidRDefault="00CD092B" w:rsidP="00CD092B">
      <w:pPr>
        <w:pStyle w:val="BodyText"/>
      </w:pPr>
      <w:r>
        <w:t xml:space="preserve">Over the last 15 years, there has not been a substantial change in the rate of assistance for FBT as a whole. The combined value of budget and tariff assistance to both FBT and </w:t>
      </w:r>
      <w:r w:rsidR="00497BCE">
        <w:t>M</w:t>
      </w:r>
      <w:r>
        <w:t xml:space="preserve">anufacturing, expressed as a share of their value of output, has been constant at less than 5 per cent (figure </w:t>
      </w:r>
      <w:proofErr w:type="spellStart"/>
      <w:r w:rsidR="00B06C44">
        <w:t>G.8</w:t>
      </w:r>
      <w:proofErr w:type="spellEnd"/>
      <w:r>
        <w:t xml:space="preserve">). Prior to this, from the early 1980s to the mid-1990s, the effective rate of assistance to FBT and </w:t>
      </w:r>
      <w:r w:rsidR="00497BCE">
        <w:t>M</w:t>
      </w:r>
      <w:r>
        <w:t xml:space="preserve">anufacturing in total declined — with FBT starting at a considerably lower level of assistance than </w:t>
      </w:r>
      <w:r w:rsidR="008334F5">
        <w:t>M</w:t>
      </w:r>
      <w:r>
        <w:t>anufacturing</w:t>
      </w:r>
      <w:r w:rsidR="008334F5">
        <w:t xml:space="preserve"> on average</w:t>
      </w:r>
      <w:r>
        <w:t>.</w:t>
      </w:r>
    </w:p>
    <w:p w:rsidR="00CD092B" w:rsidRDefault="00CD092B" w:rsidP="00CD092B">
      <w:pPr>
        <w:pStyle w:val="FigureTitle"/>
      </w:pPr>
      <w:r>
        <w:rPr>
          <w:b w:val="0"/>
        </w:rPr>
        <w:t xml:space="preserve">Figure </w:t>
      </w:r>
      <w:bookmarkStart w:id="18" w:name="OLE_LINK12"/>
      <w:proofErr w:type="spellStart"/>
      <w:r w:rsidR="00B06C44">
        <w:rPr>
          <w:b w:val="0"/>
        </w:rPr>
        <w:t>G.</w:t>
      </w:r>
      <w:r w:rsidR="00FE417C">
        <w:rPr>
          <w:b w:val="0"/>
          <w:noProof/>
        </w:rPr>
        <w:t>8</w:t>
      </w:r>
      <w:bookmarkEnd w:id="18"/>
      <w:proofErr w:type="spellEnd"/>
      <w:r>
        <w:tab/>
        <w:t xml:space="preserve">Effective rates of assistance, FBT and </w:t>
      </w:r>
      <w:r w:rsidR="00497BCE">
        <w:t>M</w:t>
      </w:r>
      <w:r>
        <w:t>anufacturing</w:t>
      </w:r>
      <w:r w:rsidR="004F064A" w:rsidRPr="004F064A">
        <w:rPr>
          <w:rStyle w:val="NoteLabel"/>
          <w:b/>
        </w:rPr>
        <w:t>a</w:t>
      </w:r>
    </w:p>
    <w:p w:rsidR="00C73E12" w:rsidRPr="00C73E12" w:rsidRDefault="00C73E12" w:rsidP="00C73E12">
      <w:pPr>
        <w:pStyle w:val="Subtitle"/>
      </w:pPr>
      <w:r w:rsidRPr="00C73E12">
        <w:t>Per cent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D092B" w:rsidTr="00D36369">
        <w:tc>
          <w:tcPr>
            <w:tcW w:w="8777" w:type="dxa"/>
          </w:tcPr>
          <w:p w:rsidR="00CD092B" w:rsidRDefault="002B607E" w:rsidP="00D36369">
            <w:pPr>
              <w:pStyle w:val="Figure"/>
              <w:spacing w:before="0" w:after="0"/>
            </w:pPr>
            <w:r>
              <w:rPr>
                <w:noProof/>
              </w:rPr>
              <w:pict>
                <v:shape id="_x0000_i1036" type="#_x0000_t75" alt="Details on this figure can be found within the text immediately before this image." style="width:424.45pt;height:198.4pt">
                  <v:imagedata r:id="rId20" o:title=""/>
                </v:shape>
              </w:pict>
            </w:r>
          </w:p>
        </w:tc>
      </w:tr>
    </w:tbl>
    <w:p w:rsidR="00B257B1" w:rsidRDefault="00B257B1" w:rsidP="00B257B1">
      <w:pPr>
        <w:pStyle w:val="Note"/>
      </w:pPr>
      <w:r>
        <w:rPr>
          <w:rStyle w:val="NoteLabel"/>
        </w:rPr>
        <w:t>a</w:t>
      </w:r>
      <w:r>
        <w:t xml:space="preserve"> Breaks in the series are represented by gaps in the chart, and overlaps are included to show the effects of the methodological and data </w:t>
      </w:r>
      <w:r w:rsidRPr="001C18E6">
        <w:t>changes made in moving</w:t>
      </w:r>
      <w:r>
        <w:t xml:space="preserve"> between series.</w:t>
      </w:r>
    </w:p>
    <w:p w:rsidR="00CD092B" w:rsidRDefault="00CD092B" w:rsidP="00CD092B">
      <w:pPr>
        <w:pStyle w:val="Source"/>
      </w:pPr>
      <w:r>
        <w:rPr>
          <w:i/>
        </w:rPr>
        <w:t>Data source</w:t>
      </w:r>
      <w:r w:rsidRPr="00167F06">
        <w:t xml:space="preserve">: </w:t>
      </w:r>
      <w:r w:rsidR="00D22C86" w:rsidRPr="00CA251B">
        <w:t xml:space="preserve">PC </w:t>
      </w:r>
      <w:r w:rsidR="00D22C86" w:rsidRPr="00BD397A">
        <w:t>(</w:t>
      </w:r>
      <w:r w:rsidR="00D22C86">
        <w:t>2011).</w:t>
      </w:r>
    </w:p>
    <w:p w:rsidR="00DB6807" w:rsidRPr="0060690C" w:rsidRDefault="00B06C44" w:rsidP="00DB6807">
      <w:pPr>
        <w:pStyle w:val="Heading2"/>
      </w:pPr>
      <w:proofErr w:type="spellStart"/>
      <w:r>
        <w:t>G.</w:t>
      </w:r>
      <w:r w:rsidR="00FE417C">
        <w:rPr>
          <w:noProof/>
        </w:rPr>
        <w:t>3</w:t>
      </w:r>
      <w:proofErr w:type="spellEnd"/>
      <w:r w:rsidR="00DB6807">
        <w:tab/>
        <w:t xml:space="preserve">Wine </w:t>
      </w:r>
      <w:r w:rsidR="009A184A">
        <w:t>manufacturing</w:t>
      </w:r>
    </w:p>
    <w:p w:rsidR="00DB6807" w:rsidRPr="0096314B" w:rsidRDefault="00013ED0" w:rsidP="000260F8">
      <w:pPr>
        <w:pStyle w:val="Heading3"/>
        <w:spacing w:before="280"/>
      </w:pPr>
      <w:r>
        <w:t>Excess supply of wine relative to demand</w:t>
      </w:r>
    </w:p>
    <w:p w:rsidR="00DB6807" w:rsidRDefault="00DB6807" w:rsidP="00DB6807">
      <w:pPr>
        <w:pStyle w:val="BodyText"/>
      </w:pPr>
      <w:r>
        <w:t xml:space="preserve">Strong production growth in cycle 3 and record levels of production in the first three years of cycle 4, contributed to a structural oversupply of wine. The gap between the volume of inventories held by Australian wineries and wine sales widened by 9.6 per cent a year during cycle 3 and peaked in the middle of cycle 4 (2005-06). The gap fell significantly by 43.3 per cent during the 2006-07 drought year (figure </w:t>
      </w:r>
      <w:proofErr w:type="spellStart"/>
      <w:r w:rsidR="00B06C44">
        <w:t>G.9</w:t>
      </w:r>
      <w:proofErr w:type="spellEnd"/>
      <w:r w:rsidR="00AE685A">
        <w:t>, left panel</w:t>
      </w:r>
      <w:r>
        <w:t>). At the end of cycle 4, wine inventories were around 62</w:t>
      </w:r>
      <w:r w:rsidR="006778BB">
        <w:t> </w:t>
      </w:r>
      <w:r>
        <w:t>per cent greater than total sales.</w:t>
      </w:r>
    </w:p>
    <w:p w:rsidR="00DB6807" w:rsidRDefault="00DB6807" w:rsidP="00DB6807">
      <w:pPr>
        <w:pStyle w:val="FigureTitle"/>
      </w:pPr>
      <w:r>
        <w:rPr>
          <w:b w:val="0"/>
        </w:rPr>
        <w:lastRenderedPageBreak/>
        <w:t xml:space="preserve">Figure </w:t>
      </w:r>
      <w:bookmarkStart w:id="19" w:name="OLE_LINK1"/>
      <w:proofErr w:type="spellStart"/>
      <w:r w:rsidR="00B06C44">
        <w:rPr>
          <w:b w:val="0"/>
        </w:rPr>
        <w:t>G.</w:t>
      </w:r>
      <w:r w:rsidR="00FE417C">
        <w:rPr>
          <w:b w:val="0"/>
          <w:noProof/>
        </w:rPr>
        <w:t>9</w:t>
      </w:r>
      <w:bookmarkEnd w:id="19"/>
      <w:proofErr w:type="spellEnd"/>
      <w:r>
        <w:tab/>
        <w:t>Sales and</w:t>
      </w:r>
      <w:r w:rsidR="009A184A">
        <w:t xml:space="preserve"> inventories of Australian wine</w:t>
      </w:r>
      <w:r w:rsidRPr="00AB790F">
        <w:rPr>
          <w:rStyle w:val="NoteLabel"/>
          <w:b/>
        </w:rPr>
        <w:t>a</w:t>
      </w:r>
    </w:p>
    <w:p w:rsidR="00DB6807" w:rsidRDefault="00DB6807" w:rsidP="00DB6807">
      <w:pPr>
        <w:pStyle w:val="Subtitle"/>
      </w:pPr>
      <w:r>
        <w:t>Volume</w:t>
      </w:r>
      <w:r w:rsidR="0032645E">
        <w:t xml:space="preserve"> (m</w:t>
      </w:r>
      <w:r>
        <w:t>egalitres</w:t>
      </w:r>
      <w:r w:rsidR="0032645E">
        <w: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F728AA" w:rsidRPr="009A0025" w:rsidTr="00A5320B">
        <w:trPr>
          <w:trHeight w:val="548"/>
        </w:trPr>
        <w:tc>
          <w:tcPr>
            <w:tcW w:w="4388" w:type="dxa"/>
            <w:vAlign w:val="bottom"/>
          </w:tcPr>
          <w:p w:rsidR="00F728AA" w:rsidRPr="009A0025" w:rsidRDefault="00F728AA" w:rsidP="009A0025">
            <w:pPr>
              <w:pStyle w:val="Figure"/>
              <w:spacing w:before="60" w:after="0"/>
              <w:rPr>
                <w:i/>
                <w:noProof/>
                <w:sz w:val="22"/>
                <w:szCs w:val="22"/>
                <w:vertAlign w:val="superscript"/>
              </w:rPr>
            </w:pPr>
            <w:r w:rsidRPr="009A0025">
              <w:rPr>
                <w:i/>
                <w:sz w:val="22"/>
                <w:szCs w:val="22"/>
              </w:rPr>
              <w:t xml:space="preserve">Total sales, production and </w:t>
            </w:r>
            <w:r w:rsidR="00A5320B" w:rsidRPr="009A0025">
              <w:rPr>
                <w:i/>
                <w:sz w:val="22"/>
                <w:szCs w:val="22"/>
              </w:rPr>
              <w:br/>
            </w:r>
            <w:r w:rsidRPr="009A0025">
              <w:rPr>
                <w:i/>
                <w:sz w:val="22"/>
                <w:szCs w:val="22"/>
              </w:rPr>
              <w:t>inventories of Australian wine</w:t>
            </w:r>
          </w:p>
        </w:tc>
        <w:tc>
          <w:tcPr>
            <w:tcW w:w="4389" w:type="dxa"/>
            <w:vAlign w:val="bottom"/>
          </w:tcPr>
          <w:p w:rsidR="00F728AA" w:rsidRPr="009A0025" w:rsidRDefault="00F728AA" w:rsidP="009A0025">
            <w:pPr>
              <w:pStyle w:val="Figure"/>
              <w:spacing w:before="60" w:after="0"/>
              <w:rPr>
                <w:noProof/>
                <w:sz w:val="22"/>
                <w:szCs w:val="22"/>
              </w:rPr>
            </w:pPr>
            <w:r w:rsidRPr="009A0025">
              <w:rPr>
                <w:i/>
                <w:sz w:val="22"/>
                <w:szCs w:val="22"/>
              </w:rPr>
              <w:t xml:space="preserve">Wine </w:t>
            </w:r>
            <w:r w:rsidR="00A5320B" w:rsidRPr="009A0025">
              <w:rPr>
                <w:i/>
                <w:sz w:val="22"/>
                <w:szCs w:val="22"/>
              </w:rPr>
              <w:t>s</w:t>
            </w:r>
            <w:r w:rsidRPr="009A0025">
              <w:rPr>
                <w:i/>
                <w:sz w:val="22"/>
                <w:szCs w:val="22"/>
              </w:rPr>
              <w:t>ales</w:t>
            </w:r>
          </w:p>
        </w:tc>
      </w:tr>
      <w:tr w:rsidR="00F728AA" w:rsidTr="00F728AA">
        <w:trPr>
          <w:trHeight w:val="547"/>
        </w:trPr>
        <w:tc>
          <w:tcPr>
            <w:tcW w:w="4388" w:type="dxa"/>
          </w:tcPr>
          <w:p w:rsidR="00F728AA" w:rsidRPr="008334F5" w:rsidRDefault="002B607E" w:rsidP="00544695">
            <w:pPr>
              <w:pStyle w:val="Figure"/>
              <w:spacing w:before="0" w:after="0"/>
              <w:ind w:right="-104"/>
            </w:pPr>
            <w:r>
              <w:pict>
                <v:shape id="_x0000_i1037" type="#_x0000_t75" alt="This figure comprises of two charts. The first chart shows total sales, production and inventories of Australian wine from 1998-99 to 2010-11. Wine inventories grew strongly up to 2005-06 compared to production and sales. The second chart shows wine sales divided into domestic sales, exports and imports. Exports growth continued strongly until 2006-07 before flattening out." style="width:205.95pt;height:197.6pt">
                  <v:imagedata r:id="rId21" o:title=""/>
                </v:shape>
              </w:pict>
            </w:r>
          </w:p>
        </w:tc>
        <w:tc>
          <w:tcPr>
            <w:tcW w:w="4389" w:type="dxa"/>
          </w:tcPr>
          <w:p w:rsidR="00F728AA" w:rsidRPr="008334F5" w:rsidRDefault="002B607E" w:rsidP="00544695">
            <w:pPr>
              <w:pStyle w:val="Figure"/>
              <w:spacing w:before="0" w:after="0"/>
              <w:ind w:left="-112"/>
            </w:pPr>
            <w:r>
              <w:pict>
                <v:shape id="_x0000_i1038" type="#_x0000_t75" alt="This figure comprises of two charts. The first chart shows total sales, production and inventories of Australian wine from 1998-99 to 2010-11. Wine inventories grew strongly up to 2005-06 compared to production and sales. The second chart shows wine sales divided into domestic sales, exports and imports. Exports growth continued strongly until 2006-07 before flattening out." style="width:206.8pt;height:197.6pt">
                  <v:imagedata r:id="rId22" o:title=""/>
                </v:shape>
              </w:pict>
            </w:r>
          </w:p>
        </w:tc>
      </w:tr>
    </w:tbl>
    <w:p w:rsidR="00DB6807" w:rsidRDefault="00DB6807" w:rsidP="00DB6807">
      <w:pPr>
        <w:pStyle w:val="Note"/>
      </w:pPr>
      <w:r>
        <w:rPr>
          <w:rStyle w:val="NoteLabel"/>
        </w:rPr>
        <w:t>a</w:t>
      </w:r>
      <w:r>
        <w:t xml:space="preserve"> </w:t>
      </w:r>
      <w:r w:rsidRPr="00A64F7B">
        <w:t>Inventory only includes wineries crushing more than 400 tonnes annually. Sales of Australian wine only includes winemakers with sales of 250</w:t>
      </w:r>
      <w:r w:rsidR="00F62EE1">
        <w:t> </w:t>
      </w:r>
      <w:r w:rsidRPr="00A64F7B">
        <w:t>000 litres or more in either of the previous two years</w:t>
      </w:r>
      <w:r>
        <w:t xml:space="preserve">. </w:t>
      </w:r>
    </w:p>
    <w:p w:rsidR="00DB6807" w:rsidRDefault="00DB6807" w:rsidP="00DB6807">
      <w:pPr>
        <w:pStyle w:val="Source"/>
      </w:pPr>
      <w:r>
        <w:rPr>
          <w:i/>
        </w:rPr>
        <w:t>Data source</w:t>
      </w:r>
      <w:r w:rsidRPr="00167F06">
        <w:t xml:space="preserve">: </w:t>
      </w:r>
      <w:r w:rsidRPr="00A64F7B">
        <w:t>ABS (</w:t>
      </w:r>
      <w:r w:rsidRPr="009A184A">
        <w:rPr>
          <w:i/>
        </w:rPr>
        <w:t>Australian Wine and Grape Industry</w:t>
      </w:r>
      <w:r>
        <w:t>,</w:t>
      </w:r>
      <w:r w:rsidR="003E71AC">
        <w:t xml:space="preserve"> various issues,</w:t>
      </w:r>
      <w:r>
        <w:t xml:space="preserve"> Cat. no. 1329.0)</w:t>
      </w:r>
      <w:r w:rsidRPr="00A64F7B">
        <w:t>.</w:t>
      </w:r>
    </w:p>
    <w:p w:rsidR="00DB6807" w:rsidRDefault="00DB6807" w:rsidP="00346D4B">
      <w:pPr>
        <w:pStyle w:val="Heading3"/>
      </w:pPr>
      <w:r w:rsidRPr="008E31DC">
        <w:t>International competition and competitiveness pressure</w:t>
      </w:r>
      <w:r w:rsidR="00690564">
        <w:t>s</w:t>
      </w:r>
    </w:p>
    <w:p w:rsidR="00DB6807" w:rsidRDefault="00DB6807" w:rsidP="00DB6807">
      <w:pPr>
        <w:pStyle w:val="BodyText"/>
      </w:pPr>
      <w:r>
        <w:t>Expansion of Australian wine production in the mid</w:t>
      </w:r>
      <w:r w:rsidR="009A184A">
        <w:t xml:space="preserve"> to </w:t>
      </w:r>
      <w:r>
        <w:t xml:space="preserve">late 1990s was particularly focused on the growth of Australian wine exports </w:t>
      </w:r>
    </w:p>
    <w:p w:rsidR="00DB6807" w:rsidRDefault="00DB6807" w:rsidP="00DB6807">
      <w:pPr>
        <w:pStyle w:val="Quote"/>
      </w:pPr>
      <w:r w:rsidRPr="00DE3909">
        <w:t>The vision is that by the Year 2025 the Australian wine industry will achieve $4.5</w:t>
      </w:r>
      <w:r w:rsidR="00376ABB">
        <w:t> </w:t>
      </w:r>
      <w:r w:rsidRPr="00DE3909">
        <w:t>billion in annual sales by being the world's most influential and profitable supplier of branded wines, pioneering wine as a universal first choice lifestyle beverage.</w:t>
      </w:r>
      <w:r w:rsidR="00FE147F">
        <w:t xml:space="preserve"> (</w:t>
      </w:r>
      <w:r w:rsidR="00811344" w:rsidRPr="001C18E6">
        <w:t xml:space="preserve">Australian Wine Foundation, Winemakers' Federation of Australia, and Peter Fuller &amp; Associates </w:t>
      </w:r>
      <w:r w:rsidR="00FE147F" w:rsidRPr="001C18E6">
        <w:t>1996</w:t>
      </w:r>
      <w:r w:rsidR="005B0DCC">
        <w:t>, p. 4</w:t>
      </w:r>
      <w:r w:rsidR="00FE147F">
        <w:t>)</w:t>
      </w:r>
    </w:p>
    <w:p w:rsidR="00DB6807" w:rsidRDefault="009E29B0" w:rsidP="00DB6807">
      <w:pPr>
        <w:pStyle w:val="BodyText"/>
      </w:pPr>
      <w:r>
        <w:t xml:space="preserve">The volume of </w:t>
      </w:r>
      <w:r w:rsidR="00DB6807">
        <w:t>Australian exports grew by 23.8 per cent a year during cycle</w:t>
      </w:r>
      <w:r w:rsidR="009A184A">
        <w:t xml:space="preserve"> 3</w:t>
      </w:r>
      <w:r w:rsidR="00DB6807">
        <w:t>, growing from 201 million litres in 1998-99 to 584 million litres in 2003-04 (figure</w:t>
      </w:r>
      <w:r w:rsidR="007F539A">
        <w:t> </w:t>
      </w:r>
      <w:proofErr w:type="spellStart"/>
      <w:r w:rsidR="00B06C44">
        <w:t>G.9</w:t>
      </w:r>
      <w:proofErr w:type="spellEnd"/>
      <w:r w:rsidR="00AE685A">
        <w:t>, right panel</w:t>
      </w:r>
      <w:r w:rsidR="00DB6807">
        <w:t xml:space="preserve">). By 2001-02, exports overtook domestic sales as the largest contributor to total Australian wine disposals. </w:t>
      </w:r>
    </w:p>
    <w:p w:rsidR="00DB6807" w:rsidRDefault="00DB6807" w:rsidP="00DB6807">
      <w:pPr>
        <w:pStyle w:val="BodyText"/>
      </w:pPr>
      <w:r>
        <w:t>Export growth slowed to 5.2 per cent a year over the most recent complete productivity cycle</w:t>
      </w:r>
      <w:r w:rsidR="009A184A">
        <w:t xml:space="preserve"> (cycle 4)</w:t>
      </w:r>
      <w:r>
        <w:t>, driven by a combination of: growing competition from other new</w:t>
      </w:r>
      <w:r>
        <w:noBreakHyphen/>
        <w:t>world wine producing nations, such as Chile, South Africa and New Zealand; the strength of the Australian dollar against our major export markets; the relatively high cost of Australian labour; and increased energy and water costs (</w:t>
      </w:r>
      <w:r w:rsidR="001C18E6">
        <w:t xml:space="preserve">Bailey </w:t>
      </w:r>
      <w:r w:rsidRPr="001C18E6">
        <w:t>2011</w:t>
      </w:r>
      <w:r>
        <w:t xml:space="preserve">). These factors also contributed to a 29.9 per cent per year growth, </w:t>
      </w:r>
      <w:r>
        <w:lastRenderedPageBreak/>
        <w:t xml:space="preserve">although from a relatively low-base, of imports cleared for the Australian market during this period (figure </w:t>
      </w:r>
      <w:proofErr w:type="spellStart"/>
      <w:r w:rsidR="00B06C44">
        <w:t>G.9</w:t>
      </w:r>
      <w:proofErr w:type="spellEnd"/>
      <w:r w:rsidR="00AE685A">
        <w:t>, right panel</w:t>
      </w:r>
      <w:r w:rsidR="009A184A">
        <w:t>).</w:t>
      </w:r>
    </w:p>
    <w:p w:rsidR="00DB6807" w:rsidRDefault="00DB6807" w:rsidP="00346D4B">
      <w:pPr>
        <w:pStyle w:val="Heading3"/>
      </w:pPr>
      <w:r w:rsidRPr="00DF5236">
        <w:t xml:space="preserve">Industry consolidation </w:t>
      </w:r>
    </w:p>
    <w:p w:rsidR="00DB6807" w:rsidRDefault="00DB6807" w:rsidP="00DB6807">
      <w:pPr>
        <w:pStyle w:val="BodyText"/>
      </w:pPr>
      <w:r>
        <w:t xml:space="preserve">The ABS reported some consolidation in the number of wine making businesses during cycle 4, with a decline of 1.5 per cent per year of those crushing over 50 tonnes of grapes a year (table </w:t>
      </w:r>
      <w:proofErr w:type="spellStart"/>
      <w:r w:rsidR="00B06C44">
        <w:t>G.4</w:t>
      </w:r>
      <w:proofErr w:type="spellEnd"/>
      <w:r>
        <w:t xml:space="preserve">). While some consolidation is also reported by industry sources, this has only been experienced by producers crushing over </w:t>
      </w:r>
      <w:r w:rsidRPr="00D206C8">
        <w:t>10</w:t>
      </w:r>
      <w:r>
        <w:t xml:space="preserve"> 000 tonnes of grapes a year (box </w:t>
      </w:r>
      <w:proofErr w:type="spellStart"/>
      <w:r w:rsidR="00B06C44">
        <w:t>G.2</w:t>
      </w:r>
      <w:proofErr w:type="spellEnd"/>
      <w:r>
        <w:t xml:space="preserve">). The number of smaller producers, on the other hand, is shown to be consistently growing during the same period (table </w:t>
      </w:r>
      <w:proofErr w:type="spellStart"/>
      <w:r w:rsidR="00B06C44">
        <w:t>G.4</w:t>
      </w:r>
      <w:proofErr w:type="spellEnd"/>
      <w:r>
        <w:t xml:space="preserve">). </w:t>
      </w:r>
    </w:p>
    <w:p w:rsidR="00DB6807" w:rsidRDefault="00DB6807" w:rsidP="00DB6807">
      <w:pPr>
        <w:pStyle w:val="TableTitle"/>
      </w:pPr>
      <w:r>
        <w:rPr>
          <w:b w:val="0"/>
        </w:rPr>
        <w:t xml:space="preserve">Table </w:t>
      </w:r>
      <w:bookmarkStart w:id="20" w:name="OLE_LINK4"/>
      <w:proofErr w:type="spellStart"/>
      <w:r w:rsidR="00B06C44">
        <w:rPr>
          <w:b w:val="0"/>
        </w:rPr>
        <w:t>G.</w:t>
      </w:r>
      <w:r w:rsidR="00FE417C">
        <w:rPr>
          <w:b w:val="0"/>
          <w:noProof/>
        </w:rPr>
        <w:t>4</w:t>
      </w:r>
      <w:bookmarkEnd w:id="20"/>
      <w:proofErr w:type="spellEnd"/>
      <w:r>
        <w:tab/>
        <w:t>Number of wine makers in Australia</w:t>
      </w:r>
      <w:r w:rsidR="0032645E">
        <w:t>, by tonnes crushed</w:t>
      </w:r>
    </w:p>
    <w:tbl>
      <w:tblPr>
        <w:tblW w:w="5000" w:type="pct"/>
        <w:tblLayout w:type="fixed"/>
        <w:tblCellMar>
          <w:left w:w="0" w:type="dxa"/>
          <w:right w:w="0" w:type="dxa"/>
        </w:tblCellMar>
        <w:tblLook w:val="0000" w:firstRow="0" w:lastRow="0" w:firstColumn="0" w:lastColumn="0" w:noHBand="0" w:noVBand="0"/>
      </w:tblPr>
      <w:tblGrid>
        <w:gridCol w:w="1272"/>
        <w:gridCol w:w="815"/>
        <w:gridCol w:w="815"/>
        <w:gridCol w:w="816"/>
        <w:gridCol w:w="816"/>
        <w:gridCol w:w="142"/>
        <w:gridCol w:w="823"/>
        <w:gridCol w:w="823"/>
        <w:gridCol w:w="823"/>
        <w:gridCol w:w="823"/>
        <w:gridCol w:w="821"/>
      </w:tblGrid>
      <w:tr w:rsidR="007A3F29" w:rsidTr="007A3F29">
        <w:tc>
          <w:tcPr>
            <w:tcW w:w="724" w:type="pct"/>
            <w:tcBorders>
              <w:top w:val="single" w:sz="4" w:space="0" w:color="auto"/>
            </w:tcBorders>
            <w:vAlign w:val="bottom"/>
          </w:tcPr>
          <w:p w:rsidR="007A3F29" w:rsidRDefault="007A3F29" w:rsidP="00113F7D">
            <w:pPr>
              <w:pStyle w:val="TableColumnHeading"/>
              <w:jc w:val="left"/>
            </w:pPr>
          </w:p>
        </w:tc>
        <w:tc>
          <w:tcPr>
            <w:tcW w:w="1856" w:type="pct"/>
            <w:gridSpan w:val="4"/>
            <w:tcBorders>
              <w:top w:val="single" w:sz="6" w:space="0" w:color="auto"/>
              <w:bottom w:val="single" w:sz="6" w:space="0" w:color="auto"/>
            </w:tcBorders>
            <w:vAlign w:val="bottom"/>
          </w:tcPr>
          <w:p w:rsidR="007A3F29" w:rsidRPr="00A36123" w:rsidRDefault="007A3F29" w:rsidP="00F92AA9">
            <w:pPr>
              <w:pStyle w:val="TableColumnHeading"/>
              <w:jc w:val="center"/>
            </w:pPr>
            <w:r>
              <w:t>Australian Bureau of Statistics</w:t>
            </w:r>
            <w:r>
              <w:br/>
              <w:t>Wine and Grape Industry Survey</w:t>
            </w:r>
            <w:r w:rsidRPr="00E749A2">
              <w:rPr>
                <w:rStyle w:val="NoteLabel"/>
                <w:i w:val="0"/>
              </w:rPr>
              <w:t>a</w:t>
            </w:r>
          </w:p>
        </w:tc>
        <w:tc>
          <w:tcPr>
            <w:tcW w:w="81" w:type="pct"/>
            <w:tcBorders>
              <w:top w:val="single" w:sz="4" w:space="0" w:color="auto"/>
            </w:tcBorders>
            <w:vAlign w:val="bottom"/>
          </w:tcPr>
          <w:p w:rsidR="007A3F29" w:rsidRDefault="007A3F29" w:rsidP="00A36123">
            <w:pPr>
              <w:pStyle w:val="TableColumnHeading"/>
              <w:jc w:val="center"/>
            </w:pPr>
          </w:p>
        </w:tc>
        <w:tc>
          <w:tcPr>
            <w:tcW w:w="2339" w:type="pct"/>
            <w:gridSpan w:val="5"/>
            <w:tcBorders>
              <w:top w:val="single" w:sz="6" w:space="0" w:color="auto"/>
              <w:bottom w:val="single" w:sz="6" w:space="0" w:color="auto"/>
            </w:tcBorders>
            <w:vAlign w:val="bottom"/>
          </w:tcPr>
          <w:p w:rsidR="007A3F29" w:rsidRDefault="007A3F29" w:rsidP="00A36123">
            <w:pPr>
              <w:pStyle w:val="TableColumnHeading"/>
              <w:jc w:val="center"/>
            </w:pPr>
            <w:r w:rsidRPr="00D004B7">
              <w:t>The Australian and New Z</w:t>
            </w:r>
            <w:r>
              <w:t xml:space="preserve">ealand </w:t>
            </w:r>
            <w:r>
              <w:br/>
              <w:t>Wine Industry Directory</w:t>
            </w:r>
            <w:r w:rsidRPr="00E749A2">
              <w:rPr>
                <w:rStyle w:val="NoteLabel"/>
                <w:i w:val="0"/>
              </w:rPr>
              <w:t>b</w:t>
            </w:r>
          </w:p>
        </w:tc>
      </w:tr>
      <w:tr w:rsidR="007A3F29" w:rsidTr="007A3F29">
        <w:tc>
          <w:tcPr>
            <w:tcW w:w="724" w:type="pct"/>
            <w:tcBorders>
              <w:bottom w:val="single" w:sz="4" w:space="0" w:color="auto"/>
            </w:tcBorders>
            <w:vAlign w:val="bottom"/>
          </w:tcPr>
          <w:p w:rsidR="007A3F29" w:rsidRPr="00E749A2" w:rsidRDefault="007A3F29" w:rsidP="00E749A2">
            <w:pPr>
              <w:pStyle w:val="TableColumnHeading"/>
              <w:jc w:val="left"/>
            </w:pPr>
            <w:r w:rsidRPr="00E749A2">
              <w:t>Year</w:t>
            </w:r>
          </w:p>
        </w:tc>
        <w:tc>
          <w:tcPr>
            <w:tcW w:w="464" w:type="pct"/>
            <w:tcBorders>
              <w:top w:val="single" w:sz="6" w:space="0" w:color="auto"/>
              <w:bottom w:val="single" w:sz="4" w:space="0" w:color="auto"/>
            </w:tcBorders>
            <w:vAlign w:val="bottom"/>
          </w:tcPr>
          <w:p w:rsidR="007A3F29" w:rsidRDefault="007A3F29" w:rsidP="007A3F29">
            <w:pPr>
              <w:pStyle w:val="TableUnitsRow"/>
              <w:ind w:right="0"/>
            </w:pPr>
            <w:r>
              <w:t>50-400</w:t>
            </w:r>
            <w:r w:rsidRPr="008E77FE">
              <w:rPr>
                <w:rStyle w:val="NoteLabel"/>
              </w:rPr>
              <w:t>a</w:t>
            </w:r>
          </w:p>
        </w:tc>
        <w:tc>
          <w:tcPr>
            <w:tcW w:w="464" w:type="pct"/>
            <w:tcBorders>
              <w:top w:val="single" w:sz="6" w:space="0" w:color="auto"/>
              <w:bottom w:val="single" w:sz="4" w:space="0" w:color="auto"/>
            </w:tcBorders>
            <w:vAlign w:val="bottom"/>
          </w:tcPr>
          <w:p w:rsidR="007A3F29" w:rsidRDefault="007A3F29" w:rsidP="00E749A2">
            <w:pPr>
              <w:pStyle w:val="TableUnitsRow"/>
            </w:pPr>
            <w:r>
              <w:t>401-10 000</w:t>
            </w:r>
          </w:p>
        </w:tc>
        <w:tc>
          <w:tcPr>
            <w:tcW w:w="464" w:type="pct"/>
            <w:tcBorders>
              <w:top w:val="single" w:sz="6" w:space="0" w:color="auto"/>
              <w:bottom w:val="single" w:sz="4" w:space="0" w:color="auto"/>
            </w:tcBorders>
            <w:vAlign w:val="bottom"/>
          </w:tcPr>
          <w:p w:rsidR="007A3F29" w:rsidRDefault="007A3F29" w:rsidP="00E749A2">
            <w:pPr>
              <w:pStyle w:val="TableUnitsRow"/>
            </w:pPr>
            <w:r>
              <w:t>10 001 or more</w:t>
            </w:r>
          </w:p>
        </w:tc>
        <w:tc>
          <w:tcPr>
            <w:tcW w:w="464" w:type="pct"/>
            <w:tcBorders>
              <w:top w:val="single" w:sz="6" w:space="0" w:color="auto"/>
              <w:bottom w:val="single" w:sz="4" w:space="0" w:color="auto"/>
            </w:tcBorders>
            <w:vAlign w:val="bottom"/>
          </w:tcPr>
          <w:p w:rsidR="007A3F29" w:rsidRPr="00B03FB5" w:rsidRDefault="007A3F29" w:rsidP="00113F7D">
            <w:pPr>
              <w:pStyle w:val="TableUnitsRow"/>
              <w:rPr>
                <w:b/>
              </w:rPr>
            </w:pPr>
            <w:r w:rsidRPr="00B03FB5">
              <w:rPr>
                <w:b/>
              </w:rPr>
              <w:t xml:space="preserve">Total </w:t>
            </w:r>
          </w:p>
        </w:tc>
        <w:tc>
          <w:tcPr>
            <w:tcW w:w="81" w:type="pct"/>
            <w:tcBorders>
              <w:bottom w:val="single" w:sz="4" w:space="0" w:color="auto"/>
            </w:tcBorders>
            <w:vAlign w:val="bottom"/>
          </w:tcPr>
          <w:p w:rsidR="007A3F29" w:rsidRDefault="007A3F29" w:rsidP="00113F7D">
            <w:pPr>
              <w:pStyle w:val="TableUnitsRow"/>
            </w:pPr>
          </w:p>
        </w:tc>
        <w:tc>
          <w:tcPr>
            <w:tcW w:w="468" w:type="pct"/>
            <w:tcBorders>
              <w:top w:val="single" w:sz="6" w:space="0" w:color="auto"/>
              <w:bottom w:val="single" w:sz="4" w:space="0" w:color="auto"/>
            </w:tcBorders>
            <w:vAlign w:val="bottom"/>
          </w:tcPr>
          <w:p w:rsidR="007A3F29" w:rsidRDefault="007A3F29" w:rsidP="008A1FB1">
            <w:pPr>
              <w:pStyle w:val="TableUnitsRow"/>
            </w:pPr>
            <w:r>
              <w:t>Less than 49</w:t>
            </w:r>
          </w:p>
        </w:tc>
        <w:tc>
          <w:tcPr>
            <w:tcW w:w="468" w:type="pct"/>
            <w:tcBorders>
              <w:top w:val="single" w:sz="6" w:space="0" w:color="auto"/>
              <w:bottom w:val="single" w:sz="4" w:space="0" w:color="auto"/>
            </w:tcBorders>
            <w:vAlign w:val="bottom"/>
          </w:tcPr>
          <w:p w:rsidR="007A3F29" w:rsidRDefault="007A3F29" w:rsidP="00113F7D">
            <w:pPr>
              <w:pStyle w:val="TableUnitsRow"/>
            </w:pPr>
            <w:r>
              <w:t>50-499</w:t>
            </w:r>
          </w:p>
        </w:tc>
        <w:tc>
          <w:tcPr>
            <w:tcW w:w="468" w:type="pct"/>
            <w:tcBorders>
              <w:top w:val="single" w:sz="6" w:space="0" w:color="auto"/>
              <w:bottom w:val="single" w:sz="4" w:space="0" w:color="auto"/>
            </w:tcBorders>
            <w:vAlign w:val="bottom"/>
          </w:tcPr>
          <w:p w:rsidR="007A3F29" w:rsidRDefault="007A3F29" w:rsidP="00E749A2">
            <w:pPr>
              <w:pStyle w:val="TableUnitsRow"/>
            </w:pPr>
            <w:r>
              <w:t>500-9 999</w:t>
            </w:r>
          </w:p>
        </w:tc>
        <w:tc>
          <w:tcPr>
            <w:tcW w:w="468" w:type="pct"/>
            <w:tcBorders>
              <w:top w:val="single" w:sz="6" w:space="0" w:color="auto"/>
              <w:bottom w:val="single" w:sz="4" w:space="0" w:color="auto"/>
            </w:tcBorders>
            <w:vAlign w:val="bottom"/>
          </w:tcPr>
          <w:p w:rsidR="007A3F29" w:rsidRDefault="007A3F29" w:rsidP="00E749A2">
            <w:pPr>
              <w:pStyle w:val="TableUnitsRow"/>
            </w:pPr>
            <w:r>
              <w:t>10 000 or more</w:t>
            </w:r>
          </w:p>
        </w:tc>
        <w:tc>
          <w:tcPr>
            <w:tcW w:w="468" w:type="pct"/>
            <w:tcBorders>
              <w:top w:val="single" w:sz="6" w:space="0" w:color="auto"/>
              <w:bottom w:val="single" w:sz="4" w:space="0" w:color="auto"/>
            </w:tcBorders>
            <w:vAlign w:val="bottom"/>
          </w:tcPr>
          <w:p w:rsidR="007A3F29" w:rsidRPr="00B03FB5" w:rsidRDefault="007A3F29" w:rsidP="00113F7D">
            <w:pPr>
              <w:pStyle w:val="TableUnitsRow"/>
              <w:rPr>
                <w:b/>
              </w:rPr>
            </w:pPr>
            <w:r w:rsidRPr="00B03FB5">
              <w:rPr>
                <w:b/>
              </w:rPr>
              <w:t>Total</w:t>
            </w:r>
          </w:p>
        </w:tc>
      </w:tr>
      <w:tr w:rsidR="007A3F29" w:rsidTr="00C0664E">
        <w:tc>
          <w:tcPr>
            <w:tcW w:w="724" w:type="pct"/>
            <w:tcBorders>
              <w:top w:val="single" w:sz="4" w:space="0" w:color="auto"/>
            </w:tcBorders>
            <w:shd w:val="clear" w:color="auto" w:fill="D9D9D9" w:themeFill="background1" w:themeFillShade="D9"/>
            <w:vAlign w:val="bottom"/>
          </w:tcPr>
          <w:p w:rsidR="007A3F29" w:rsidRDefault="007A3F29" w:rsidP="00113F7D">
            <w:pPr>
              <w:pStyle w:val="TableBodyText"/>
              <w:jc w:val="left"/>
            </w:pPr>
            <w:r>
              <w:t>1998-99</w:t>
            </w:r>
          </w:p>
        </w:tc>
        <w:tc>
          <w:tcPr>
            <w:tcW w:w="464" w:type="pct"/>
            <w:tcBorders>
              <w:top w:val="single" w:sz="4" w:space="0" w:color="auto"/>
            </w:tcBorders>
            <w:shd w:val="clear" w:color="auto" w:fill="D9D9D9" w:themeFill="background1" w:themeFillShade="D9"/>
            <w:vAlign w:val="bottom"/>
          </w:tcPr>
          <w:p w:rsidR="007A3F29" w:rsidRDefault="007A3F29" w:rsidP="00113F7D">
            <w:pPr>
              <w:pStyle w:val="TableBodyText"/>
            </w:pPr>
            <w:r>
              <w:t>163</w:t>
            </w:r>
          </w:p>
        </w:tc>
        <w:tc>
          <w:tcPr>
            <w:tcW w:w="464" w:type="pct"/>
            <w:tcBorders>
              <w:top w:val="single" w:sz="4" w:space="0" w:color="auto"/>
            </w:tcBorders>
            <w:shd w:val="clear" w:color="auto" w:fill="D9D9D9" w:themeFill="background1" w:themeFillShade="D9"/>
            <w:vAlign w:val="bottom"/>
          </w:tcPr>
          <w:p w:rsidR="007A3F29" w:rsidRDefault="007A3F29" w:rsidP="00113F7D">
            <w:pPr>
              <w:pStyle w:val="TableBodyText"/>
            </w:pPr>
            <w:r>
              <w:t>92</w:t>
            </w:r>
          </w:p>
        </w:tc>
        <w:tc>
          <w:tcPr>
            <w:tcW w:w="464" w:type="pct"/>
            <w:tcBorders>
              <w:top w:val="single" w:sz="4" w:space="0" w:color="auto"/>
            </w:tcBorders>
            <w:shd w:val="clear" w:color="auto" w:fill="D9D9D9" w:themeFill="background1" w:themeFillShade="D9"/>
            <w:vAlign w:val="bottom"/>
          </w:tcPr>
          <w:p w:rsidR="007A3F29" w:rsidRDefault="007A3F29" w:rsidP="00113F7D">
            <w:pPr>
              <w:pStyle w:val="TableBodyText"/>
            </w:pPr>
            <w:r>
              <w:t>21</w:t>
            </w:r>
          </w:p>
        </w:tc>
        <w:tc>
          <w:tcPr>
            <w:tcW w:w="464" w:type="pct"/>
            <w:tcBorders>
              <w:top w:val="single" w:sz="4" w:space="0" w:color="auto"/>
            </w:tcBorders>
            <w:shd w:val="clear" w:color="auto" w:fill="D9D9D9" w:themeFill="background1" w:themeFillShade="D9"/>
            <w:vAlign w:val="bottom"/>
          </w:tcPr>
          <w:p w:rsidR="007A3F29" w:rsidRPr="00B03FB5" w:rsidRDefault="007A3F29" w:rsidP="00113F7D">
            <w:pPr>
              <w:pStyle w:val="TableBodyText"/>
              <w:rPr>
                <w:b/>
              </w:rPr>
            </w:pPr>
            <w:r w:rsidRPr="00B03FB5">
              <w:rPr>
                <w:b/>
              </w:rPr>
              <w:t>276</w:t>
            </w:r>
          </w:p>
        </w:tc>
        <w:tc>
          <w:tcPr>
            <w:tcW w:w="81" w:type="pct"/>
            <w:tcBorders>
              <w:top w:val="single" w:sz="4" w:space="0" w:color="auto"/>
            </w:tcBorders>
            <w:shd w:val="clear" w:color="auto" w:fill="D9D9D9" w:themeFill="background1" w:themeFillShade="D9"/>
            <w:vAlign w:val="bottom"/>
          </w:tcPr>
          <w:p w:rsidR="007A3F29" w:rsidRDefault="007A3F29" w:rsidP="00113F7D">
            <w:pPr>
              <w:pStyle w:val="TableBodyText"/>
            </w:pPr>
          </w:p>
        </w:tc>
        <w:tc>
          <w:tcPr>
            <w:tcW w:w="468" w:type="pct"/>
            <w:tcBorders>
              <w:top w:val="single" w:sz="4" w:space="0" w:color="auto"/>
            </w:tcBorders>
            <w:shd w:val="clear" w:color="auto" w:fill="D9D9D9" w:themeFill="background1" w:themeFillShade="D9"/>
            <w:vAlign w:val="bottom"/>
          </w:tcPr>
          <w:p w:rsidR="007A3F29" w:rsidRDefault="007A3F29" w:rsidP="008A1FB1">
            <w:pPr>
              <w:pStyle w:val="TableBodyText"/>
            </w:pPr>
          </w:p>
        </w:tc>
        <w:tc>
          <w:tcPr>
            <w:tcW w:w="468" w:type="pct"/>
            <w:tcBorders>
              <w:top w:val="single" w:sz="4" w:space="0" w:color="auto"/>
            </w:tcBorders>
            <w:shd w:val="clear" w:color="auto" w:fill="D9D9D9" w:themeFill="background1" w:themeFillShade="D9"/>
            <w:vAlign w:val="bottom"/>
          </w:tcPr>
          <w:p w:rsidR="007A3F29" w:rsidRDefault="007A3F29" w:rsidP="00113F7D">
            <w:pPr>
              <w:pStyle w:val="TableBodyText"/>
            </w:pPr>
          </w:p>
        </w:tc>
        <w:tc>
          <w:tcPr>
            <w:tcW w:w="468" w:type="pct"/>
            <w:tcBorders>
              <w:top w:val="single" w:sz="4" w:space="0" w:color="auto"/>
            </w:tcBorders>
            <w:shd w:val="clear" w:color="auto" w:fill="D9D9D9" w:themeFill="background1" w:themeFillShade="D9"/>
            <w:vAlign w:val="bottom"/>
          </w:tcPr>
          <w:p w:rsidR="007A3F29" w:rsidRDefault="007A3F29" w:rsidP="00113F7D">
            <w:pPr>
              <w:pStyle w:val="TableBodyText"/>
            </w:pPr>
          </w:p>
        </w:tc>
        <w:tc>
          <w:tcPr>
            <w:tcW w:w="468" w:type="pct"/>
            <w:tcBorders>
              <w:top w:val="single" w:sz="4" w:space="0" w:color="auto"/>
            </w:tcBorders>
            <w:shd w:val="clear" w:color="auto" w:fill="D9D9D9" w:themeFill="background1" w:themeFillShade="D9"/>
            <w:vAlign w:val="bottom"/>
          </w:tcPr>
          <w:p w:rsidR="007A3F29" w:rsidRDefault="007A3F29" w:rsidP="00113F7D">
            <w:pPr>
              <w:pStyle w:val="TableBodyText"/>
            </w:pPr>
          </w:p>
        </w:tc>
        <w:tc>
          <w:tcPr>
            <w:tcW w:w="468" w:type="pct"/>
            <w:tcBorders>
              <w:top w:val="single" w:sz="4" w:space="0" w:color="auto"/>
            </w:tcBorders>
            <w:shd w:val="clear" w:color="auto" w:fill="D9D9D9" w:themeFill="background1" w:themeFillShade="D9"/>
            <w:vAlign w:val="bottom"/>
          </w:tcPr>
          <w:p w:rsidR="007A3F29" w:rsidRPr="00B03FB5" w:rsidRDefault="007A3F29" w:rsidP="00113F7D">
            <w:pPr>
              <w:pStyle w:val="TableBodyText"/>
              <w:rPr>
                <w:b/>
              </w:rPr>
            </w:pPr>
          </w:p>
        </w:tc>
      </w:tr>
      <w:tr w:rsidR="007A3F29" w:rsidTr="007A3F29">
        <w:tc>
          <w:tcPr>
            <w:tcW w:w="724" w:type="pct"/>
            <w:vAlign w:val="bottom"/>
          </w:tcPr>
          <w:p w:rsidR="007A3F29" w:rsidRDefault="007A3F29" w:rsidP="00113F7D">
            <w:pPr>
              <w:pStyle w:val="TableBodyText"/>
              <w:jc w:val="left"/>
            </w:pPr>
            <w:r>
              <w:t>2003-04</w:t>
            </w:r>
          </w:p>
        </w:tc>
        <w:tc>
          <w:tcPr>
            <w:tcW w:w="464" w:type="pct"/>
            <w:vAlign w:val="bottom"/>
          </w:tcPr>
          <w:p w:rsidR="007A3F29" w:rsidRDefault="007A3F29" w:rsidP="00113F7D">
            <w:pPr>
              <w:pStyle w:val="TableBodyText"/>
            </w:pPr>
            <w:r>
              <w:t>185</w:t>
            </w:r>
          </w:p>
        </w:tc>
        <w:tc>
          <w:tcPr>
            <w:tcW w:w="464" w:type="pct"/>
            <w:vAlign w:val="bottom"/>
          </w:tcPr>
          <w:p w:rsidR="007A3F29" w:rsidRDefault="007A3F29" w:rsidP="00113F7D">
            <w:pPr>
              <w:pStyle w:val="TableBodyText"/>
            </w:pPr>
            <w:r>
              <w:t>151</w:t>
            </w:r>
          </w:p>
        </w:tc>
        <w:tc>
          <w:tcPr>
            <w:tcW w:w="464" w:type="pct"/>
            <w:vAlign w:val="bottom"/>
          </w:tcPr>
          <w:p w:rsidR="007A3F29" w:rsidRDefault="007A3F29" w:rsidP="00113F7D">
            <w:pPr>
              <w:pStyle w:val="TableBodyText"/>
            </w:pPr>
            <w:r>
              <w:t>28</w:t>
            </w:r>
          </w:p>
        </w:tc>
        <w:tc>
          <w:tcPr>
            <w:tcW w:w="464" w:type="pct"/>
            <w:vAlign w:val="bottom"/>
          </w:tcPr>
          <w:p w:rsidR="007A3F29" w:rsidRPr="00B03FB5" w:rsidRDefault="007A3F29" w:rsidP="00113F7D">
            <w:pPr>
              <w:pStyle w:val="TableBodyText"/>
              <w:rPr>
                <w:b/>
              </w:rPr>
            </w:pPr>
            <w:r w:rsidRPr="00B03FB5">
              <w:rPr>
                <w:b/>
              </w:rPr>
              <w:t>364</w:t>
            </w:r>
          </w:p>
        </w:tc>
        <w:tc>
          <w:tcPr>
            <w:tcW w:w="81" w:type="pct"/>
            <w:vAlign w:val="bottom"/>
          </w:tcPr>
          <w:p w:rsidR="007A3F29" w:rsidRDefault="007A3F29" w:rsidP="00113F7D">
            <w:pPr>
              <w:pStyle w:val="TableBodyText"/>
            </w:pPr>
          </w:p>
        </w:tc>
        <w:tc>
          <w:tcPr>
            <w:tcW w:w="468" w:type="pct"/>
            <w:vAlign w:val="bottom"/>
          </w:tcPr>
          <w:p w:rsidR="007A3F29" w:rsidRDefault="007A3F29" w:rsidP="008A1FB1">
            <w:pPr>
              <w:pStyle w:val="TableBodyText"/>
            </w:pPr>
          </w:p>
        </w:tc>
        <w:tc>
          <w:tcPr>
            <w:tcW w:w="468" w:type="pct"/>
            <w:vAlign w:val="bottom"/>
          </w:tcPr>
          <w:p w:rsidR="007A3F29" w:rsidRDefault="007A3F29" w:rsidP="00113F7D">
            <w:pPr>
              <w:pStyle w:val="TableBodyText"/>
            </w:pPr>
          </w:p>
        </w:tc>
        <w:tc>
          <w:tcPr>
            <w:tcW w:w="468" w:type="pct"/>
            <w:vAlign w:val="bottom"/>
          </w:tcPr>
          <w:p w:rsidR="007A3F29" w:rsidRDefault="007A3F29" w:rsidP="00113F7D">
            <w:pPr>
              <w:pStyle w:val="TableBodyText"/>
            </w:pPr>
          </w:p>
        </w:tc>
        <w:tc>
          <w:tcPr>
            <w:tcW w:w="468" w:type="pct"/>
            <w:shd w:val="clear" w:color="auto" w:fill="auto"/>
            <w:vAlign w:val="bottom"/>
          </w:tcPr>
          <w:p w:rsidR="007A3F29" w:rsidRDefault="007A3F29" w:rsidP="00113F7D">
            <w:pPr>
              <w:pStyle w:val="TableBodyText"/>
            </w:pPr>
          </w:p>
        </w:tc>
        <w:tc>
          <w:tcPr>
            <w:tcW w:w="468" w:type="pct"/>
            <w:shd w:val="clear" w:color="auto" w:fill="auto"/>
            <w:vAlign w:val="bottom"/>
          </w:tcPr>
          <w:p w:rsidR="007A3F29" w:rsidRPr="00B03FB5" w:rsidRDefault="007A3F29" w:rsidP="00113F7D">
            <w:pPr>
              <w:pStyle w:val="TableBodyText"/>
              <w:rPr>
                <w:b/>
              </w:rPr>
            </w:pPr>
          </w:p>
        </w:tc>
      </w:tr>
      <w:tr w:rsidR="007A3F29" w:rsidTr="00C0664E">
        <w:tc>
          <w:tcPr>
            <w:tcW w:w="724" w:type="pct"/>
            <w:shd w:val="clear" w:color="auto" w:fill="D9D9D9" w:themeFill="background1" w:themeFillShade="D9"/>
            <w:vAlign w:val="bottom"/>
          </w:tcPr>
          <w:p w:rsidR="007A3F29" w:rsidRDefault="007A3F29" w:rsidP="00113F7D">
            <w:pPr>
              <w:pStyle w:val="TableBodyText"/>
              <w:jc w:val="left"/>
            </w:pPr>
            <w:r>
              <w:t>2004-05</w:t>
            </w:r>
          </w:p>
        </w:tc>
        <w:tc>
          <w:tcPr>
            <w:tcW w:w="464" w:type="pct"/>
            <w:shd w:val="clear" w:color="auto" w:fill="D9D9D9" w:themeFill="background1" w:themeFillShade="D9"/>
            <w:vAlign w:val="bottom"/>
          </w:tcPr>
          <w:p w:rsidR="007A3F29" w:rsidRDefault="007A3F29" w:rsidP="00113F7D">
            <w:pPr>
              <w:pStyle w:val="TableBodyText"/>
            </w:pPr>
            <w:r>
              <w:t>187</w:t>
            </w:r>
          </w:p>
        </w:tc>
        <w:tc>
          <w:tcPr>
            <w:tcW w:w="464" w:type="pct"/>
            <w:shd w:val="clear" w:color="auto" w:fill="D9D9D9" w:themeFill="background1" w:themeFillShade="D9"/>
            <w:vAlign w:val="bottom"/>
          </w:tcPr>
          <w:p w:rsidR="007A3F29" w:rsidRDefault="007A3F29" w:rsidP="00113F7D">
            <w:pPr>
              <w:pStyle w:val="TableBodyText"/>
            </w:pPr>
            <w:r>
              <w:t>155</w:t>
            </w:r>
          </w:p>
        </w:tc>
        <w:tc>
          <w:tcPr>
            <w:tcW w:w="464" w:type="pct"/>
            <w:shd w:val="clear" w:color="auto" w:fill="D9D9D9" w:themeFill="background1" w:themeFillShade="D9"/>
            <w:vAlign w:val="bottom"/>
          </w:tcPr>
          <w:p w:rsidR="007A3F29" w:rsidRDefault="007A3F29" w:rsidP="00113F7D">
            <w:pPr>
              <w:pStyle w:val="TableBodyText"/>
            </w:pPr>
            <w:r>
              <w:t>24</w:t>
            </w:r>
          </w:p>
        </w:tc>
        <w:tc>
          <w:tcPr>
            <w:tcW w:w="464" w:type="pct"/>
            <w:shd w:val="clear" w:color="auto" w:fill="D9D9D9" w:themeFill="background1" w:themeFillShade="D9"/>
            <w:vAlign w:val="bottom"/>
          </w:tcPr>
          <w:p w:rsidR="007A3F29" w:rsidRPr="00B03FB5" w:rsidRDefault="007A3F29" w:rsidP="00113F7D">
            <w:pPr>
              <w:pStyle w:val="TableBodyText"/>
              <w:rPr>
                <w:b/>
              </w:rPr>
            </w:pPr>
            <w:r>
              <w:rPr>
                <w:b/>
              </w:rPr>
              <w:t>366</w:t>
            </w:r>
          </w:p>
        </w:tc>
        <w:tc>
          <w:tcPr>
            <w:tcW w:w="81" w:type="pct"/>
            <w:shd w:val="clear" w:color="auto" w:fill="D9D9D9" w:themeFill="background1" w:themeFillShade="D9"/>
            <w:vAlign w:val="bottom"/>
          </w:tcPr>
          <w:p w:rsidR="007A3F29" w:rsidRDefault="007A3F29" w:rsidP="00113F7D">
            <w:pPr>
              <w:pStyle w:val="TableBodyText"/>
            </w:pPr>
          </w:p>
        </w:tc>
        <w:tc>
          <w:tcPr>
            <w:tcW w:w="468" w:type="pct"/>
            <w:shd w:val="clear" w:color="auto" w:fill="D9D9D9" w:themeFill="background1" w:themeFillShade="D9"/>
            <w:vAlign w:val="bottom"/>
          </w:tcPr>
          <w:p w:rsidR="007A3F29" w:rsidRDefault="007A3F29" w:rsidP="008A1FB1">
            <w:pPr>
              <w:pStyle w:val="TableBodyText"/>
            </w:pPr>
            <w:r>
              <w:t>1 028</w:t>
            </w:r>
          </w:p>
        </w:tc>
        <w:tc>
          <w:tcPr>
            <w:tcW w:w="468" w:type="pct"/>
            <w:shd w:val="clear" w:color="auto" w:fill="D9D9D9" w:themeFill="background1" w:themeFillShade="D9"/>
            <w:vAlign w:val="bottom"/>
          </w:tcPr>
          <w:p w:rsidR="007A3F29" w:rsidRDefault="007A3F29" w:rsidP="00113F7D">
            <w:pPr>
              <w:pStyle w:val="TableBodyText"/>
            </w:pPr>
            <w:r>
              <w:t>628</w:t>
            </w:r>
          </w:p>
        </w:tc>
        <w:tc>
          <w:tcPr>
            <w:tcW w:w="468" w:type="pct"/>
            <w:shd w:val="clear" w:color="auto" w:fill="D9D9D9" w:themeFill="background1" w:themeFillShade="D9"/>
            <w:vAlign w:val="bottom"/>
          </w:tcPr>
          <w:p w:rsidR="007A3F29" w:rsidRDefault="007A3F29" w:rsidP="00113F7D">
            <w:pPr>
              <w:pStyle w:val="TableBodyText"/>
            </w:pPr>
            <w:r>
              <w:t>193</w:t>
            </w:r>
          </w:p>
        </w:tc>
        <w:tc>
          <w:tcPr>
            <w:tcW w:w="468" w:type="pct"/>
            <w:shd w:val="clear" w:color="auto" w:fill="D9D9D9" w:themeFill="background1" w:themeFillShade="D9"/>
            <w:vAlign w:val="bottom"/>
          </w:tcPr>
          <w:p w:rsidR="007A3F29" w:rsidRDefault="007A3F29" w:rsidP="00113F7D">
            <w:pPr>
              <w:pStyle w:val="TableBodyText"/>
            </w:pPr>
            <w:r>
              <w:t>41</w:t>
            </w:r>
          </w:p>
        </w:tc>
        <w:tc>
          <w:tcPr>
            <w:tcW w:w="468" w:type="pct"/>
            <w:shd w:val="clear" w:color="auto" w:fill="D9D9D9" w:themeFill="background1" w:themeFillShade="D9"/>
            <w:vAlign w:val="bottom"/>
          </w:tcPr>
          <w:p w:rsidR="007A3F29" w:rsidRPr="00B03FB5" w:rsidRDefault="007A3F29" w:rsidP="007A0499">
            <w:pPr>
              <w:pStyle w:val="TableBodyText"/>
              <w:rPr>
                <w:b/>
              </w:rPr>
            </w:pPr>
            <w:r>
              <w:rPr>
                <w:b/>
              </w:rPr>
              <w:t>1 899</w:t>
            </w:r>
          </w:p>
        </w:tc>
      </w:tr>
      <w:tr w:rsidR="007A3F29" w:rsidTr="007A3F29">
        <w:tc>
          <w:tcPr>
            <w:tcW w:w="724" w:type="pct"/>
            <w:vAlign w:val="bottom"/>
          </w:tcPr>
          <w:p w:rsidR="007A3F29" w:rsidRDefault="007A3F29" w:rsidP="00113F7D">
            <w:pPr>
              <w:pStyle w:val="TableBodyText"/>
              <w:jc w:val="left"/>
            </w:pPr>
            <w:r>
              <w:t>2007-08</w:t>
            </w:r>
          </w:p>
        </w:tc>
        <w:tc>
          <w:tcPr>
            <w:tcW w:w="464" w:type="pct"/>
            <w:vAlign w:val="bottom"/>
          </w:tcPr>
          <w:p w:rsidR="007A3F29" w:rsidRDefault="007A3F29" w:rsidP="00113F7D">
            <w:pPr>
              <w:pStyle w:val="TableBodyText"/>
            </w:pPr>
            <w:r>
              <w:t>174</w:t>
            </w:r>
          </w:p>
        </w:tc>
        <w:tc>
          <w:tcPr>
            <w:tcW w:w="464" w:type="pct"/>
            <w:vAlign w:val="bottom"/>
          </w:tcPr>
          <w:p w:rsidR="007A3F29" w:rsidRDefault="007A3F29" w:rsidP="00113F7D">
            <w:pPr>
              <w:pStyle w:val="TableBodyText"/>
            </w:pPr>
            <w:r>
              <w:t>140</w:t>
            </w:r>
          </w:p>
        </w:tc>
        <w:tc>
          <w:tcPr>
            <w:tcW w:w="464" w:type="pct"/>
            <w:vAlign w:val="bottom"/>
          </w:tcPr>
          <w:p w:rsidR="007A3F29" w:rsidRDefault="007A3F29" w:rsidP="00113F7D">
            <w:pPr>
              <w:pStyle w:val="TableBodyText"/>
            </w:pPr>
            <w:r>
              <w:t>28</w:t>
            </w:r>
          </w:p>
        </w:tc>
        <w:tc>
          <w:tcPr>
            <w:tcW w:w="464" w:type="pct"/>
            <w:vAlign w:val="bottom"/>
          </w:tcPr>
          <w:p w:rsidR="007A3F29" w:rsidRPr="00B03FB5" w:rsidRDefault="007A3F29" w:rsidP="00113F7D">
            <w:pPr>
              <w:pStyle w:val="TableBodyText"/>
              <w:rPr>
                <w:b/>
              </w:rPr>
            </w:pPr>
            <w:r w:rsidRPr="00B03FB5">
              <w:rPr>
                <w:b/>
              </w:rPr>
              <w:t>342</w:t>
            </w:r>
          </w:p>
        </w:tc>
        <w:tc>
          <w:tcPr>
            <w:tcW w:w="81" w:type="pct"/>
            <w:vAlign w:val="bottom"/>
          </w:tcPr>
          <w:p w:rsidR="007A3F29" w:rsidRDefault="007A3F29" w:rsidP="00113F7D">
            <w:pPr>
              <w:pStyle w:val="TableBodyText"/>
            </w:pPr>
          </w:p>
        </w:tc>
        <w:tc>
          <w:tcPr>
            <w:tcW w:w="468" w:type="pct"/>
            <w:vAlign w:val="bottom"/>
          </w:tcPr>
          <w:p w:rsidR="007A3F29" w:rsidRDefault="007A3F29" w:rsidP="008A1FB1">
            <w:pPr>
              <w:pStyle w:val="TableBodyText"/>
            </w:pPr>
            <w:r>
              <w:t>1 280</w:t>
            </w:r>
          </w:p>
        </w:tc>
        <w:tc>
          <w:tcPr>
            <w:tcW w:w="468" w:type="pct"/>
            <w:vAlign w:val="bottom"/>
          </w:tcPr>
          <w:p w:rsidR="007A3F29" w:rsidRDefault="007A3F29" w:rsidP="00113F7D">
            <w:pPr>
              <w:pStyle w:val="TableBodyText"/>
            </w:pPr>
            <w:r>
              <w:t>719</w:t>
            </w:r>
          </w:p>
        </w:tc>
        <w:tc>
          <w:tcPr>
            <w:tcW w:w="468" w:type="pct"/>
            <w:vAlign w:val="bottom"/>
          </w:tcPr>
          <w:p w:rsidR="007A3F29" w:rsidRDefault="007A3F29" w:rsidP="00113F7D">
            <w:pPr>
              <w:pStyle w:val="TableBodyText"/>
            </w:pPr>
            <w:r>
              <w:t>203</w:t>
            </w:r>
          </w:p>
        </w:tc>
        <w:tc>
          <w:tcPr>
            <w:tcW w:w="468" w:type="pct"/>
            <w:shd w:val="clear" w:color="auto" w:fill="auto"/>
            <w:vAlign w:val="bottom"/>
          </w:tcPr>
          <w:p w:rsidR="007A3F29" w:rsidRDefault="007A3F29" w:rsidP="00113F7D">
            <w:pPr>
              <w:pStyle w:val="TableBodyText"/>
            </w:pPr>
            <w:r>
              <w:t>35</w:t>
            </w:r>
          </w:p>
        </w:tc>
        <w:tc>
          <w:tcPr>
            <w:tcW w:w="468" w:type="pct"/>
            <w:shd w:val="clear" w:color="auto" w:fill="auto"/>
            <w:vAlign w:val="bottom"/>
          </w:tcPr>
          <w:p w:rsidR="007A3F29" w:rsidRPr="00B03FB5" w:rsidRDefault="007A3F29" w:rsidP="00113F7D">
            <w:pPr>
              <w:pStyle w:val="TableBodyText"/>
              <w:rPr>
                <w:b/>
              </w:rPr>
            </w:pPr>
            <w:r>
              <w:rPr>
                <w:b/>
              </w:rPr>
              <w:t>2 299</w:t>
            </w:r>
          </w:p>
        </w:tc>
      </w:tr>
      <w:tr w:rsidR="007A3F29" w:rsidTr="00C0664E">
        <w:tc>
          <w:tcPr>
            <w:tcW w:w="724" w:type="pct"/>
            <w:tcBorders>
              <w:bottom w:val="single" w:sz="4" w:space="0" w:color="auto"/>
            </w:tcBorders>
            <w:shd w:val="clear" w:color="auto" w:fill="D9D9D9" w:themeFill="background1" w:themeFillShade="D9"/>
            <w:vAlign w:val="bottom"/>
          </w:tcPr>
          <w:p w:rsidR="007A3F29" w:rsidRDefault="007A3F29" w:rsidP="00113F7D">
            <w:pPr>
              <w:pStyle w:val="TableBodyText"/>
              <w:jc w:val="left"/>
            </w:pPr>
            <w:r>
              <w:t>2009-10</w:t>
            </w:r>
          </w:p>
        </w:tc>
        <w:tc>
          <w:tcPr>
            <w:tcW w:w="464" w:type="pct"/>
            <w:tcBorders>
              <w:bottom w:val="single" w:sz="4" w:space="0" w:color="auto"/>
            </w:tcBorders>
            <w:shd w:val="clear" w:color="auto" w:fill="D9D9D9" w:themeFill="background1" w:themeFillShade="D9"/>
            <w:vAlign w:val="bottom"/>
          </w:tcPr>
          <w:p w:rsidR="007A3F29" w:rsidRDefault="007A3F29" w:rsidP="00113F7D">
            <w:pPr>
              <w:pStyle w:val="TableBodyText"/>
            </w:pPr>
            <w:r>
              <w:t>156</w:t>
            </w:r>
          </w:p>
        </w:tc>
        <w:tc>
          <w:tcPr>
            <w:tcW w:w="464" w:type="pct"/>
            <w:tcBorders>
              <w:bottom w:val="single" w:sz="4" w:space="0" w:color="auto"/>
            </w:tcBorders>
            <w:shd w:val="clear" w:color="auto" w:fill="D9D9D9" w:themeFill="background1" w:themeFillShade="D9"/>
            <w:vAlign w:val="bottom"/>
          </w:tcPr>
          <w:p w:rsidR="007A3F29" w:rsidRDefault="007A3F29" w:rsidP="00113F7D">
            <w:pPr>
              <w:pStyle w:val="TableBodyText"/>
            </w:pPr>
            <w:r>
              <w:t>158</w:t>
            </w:r>
          </w:p>
        </w:tc>
        <w:tc>
          <w:tcPr>
            <w:tcW w:w="464" w:type="pct"/>
            <w:tcBorders>
              <w:bottom w:val="single" w:sz="4" w:space="0" w:color="auto"/>
            </w:tcBorders>
            <w:shd w:val="clear" w:color="auto" w:fill="D9D9D9" w:themeFill="background1" w:themeFillShade="D9"/>
            <w:vAlign w:val="bottom"/>
          </w:tcPr>
          <w:p w:rsidR="007A3F29" w:rsidRDefault="007A3F29" w:rsidP="00113F7D">
            <w:pPr>
              <w:pStyle w:val="TableBodyText"/>
            </w:pPr>
            <w:r>
              <w:t>22</w:t>
            </w:r>
          </w:p>
        </w:tc>
        <w:tc>
          <w:tcPr>
            <w:tcW w:w="464" w:type="pct"/>
            <w:tcBorders>
              <w:bottom w:val="single" w:sz="4" w:space="0" w:color="auto"/>
            </w:tcBorders>
            <w:shd w:val="clear" w:color="auto" w:fill="D9D9D9" w:themeFill="background1" w:themeFillShade="D9"/>
            <w:vAlign w:val="bottom"/>
          </w:tcPr>
          <w:p w:rsidR="007A3F29" w:rsidRPr="00B03FB5" w:rsidRDefault="007A3F29" w:rsidP="00113F7D">
            <w:pPr>
              <w:pStyle w:val="TableBodyText"/>
              <w:rPr>
                <w:b/>
              </w:rPr>
            </w:pPr>
            <w:r w:rsidRPr="00B03FB5">
              <w:rPr>
                <w:b/>
              </w:rPr>
              <w:t>336</w:t>
            </w:r>
          </w:p>
        </w:tc>
        <w:tc>
          <w:tcPr>
            <w:tcW w:w="81" w:type="pct"/>
            <w:tcBorders>
              <w:bottom w:val="single" w:sz="4" w:space="0" w:color="auto"/>
            </w:tcBorders>
            <w:shd w:val="clear" w:color="auto" w:fill="D9D9D9" w:themeFill="background1" w:themeFillShade="D9"/>
            <w:vAlign w:val="bottom"/>
          </w:tcPr>
          <w:p w:rsidR="007A3F29" w:rsidRDefault="007A3F29" w:rsidP="00113F7D">
            <w:pPr>
              <w:pStyle w:val="TableBodyText"/>
            </w:pPr>
          </w:p>
        </w:tc>
        <w:tc>
          <w:tcPr>
            <w:tcW w:w="468" w:type="pct"/>
            <w:tcBorders>
              <w:bottom w:val="single" w:sz="4" w:space="0" w:color="auto"/>
            </w:tcBorders>
            <w:shd w:val="clear" w:color="auto" w:fill="D9D9D9" w:themeFill="background1" w:themeFillShade="D9"/>
            <w:vAlign w:val="bottom"/>
          </w:tcPr>
          <w:p w:rsidR="007A3F29" w:rsidRDefault="007A3F29" w:rsidP="008A1FB1">
            <w:pPr>
              <w:pStyle w:val="TableBodyText"/>
            </w:pPr>
            <w:r>
              <w:t>1 348</w:t>
            </w:r>
          </w:p>
        </w:tc>
        <w:tc>
          <w:tcPr>
            <w:tcW w:w="468" w:type="pct"/>
            <w:tcBorders>
              <w:bottom w:val="single" w:sz="4" w:space="0" w:color="auto"/>
            </w:tcBorders>
            <w:shd w:val="clear" w:color="auto" w:fill="D9D9D9" w:themeFill="background1" w:themeFillShade="D9"/>
            <w:vAlign w:val="bottom"/>
          </w:tcPr>
          <w:p w:rsidR="007A3F29" w:rsidRDefault="007A3F29" w:rsidP="00113F7D">
            <w:pPr>
              <w:pStyle w:val="TableBodyText"/>
            </w:pPr>
            <w:r>
              <w:t>766</w:t>
            </w:r>
          </w:p>
        </w:tc>
        <w:tc>
          <w:tcPr>
            <w:tcW w:w="468" w:type="pct"/>
            <w:tcBorders>
              <w:bottom w:val="single" w:sz="4" w:space="0" w:color="auto"/>
            </w:tcBorders>
            <w:shd w:val="clear" w:color="auto" w:fill="D9D9D9" w:themeFill="background1" w:themeFillShade="D9"/>
            <w:vAlign w:val="bottom"/>
          </w:tcPr>
          <w:p w:rsidR="007A3F29" w:rsidRDefault="007A3F29" w:rsidP="00113F7D">
            <w:pPr>
              <w:pStyle w:val="TableBodyText"/>
            </w:pPr>
            <w:r>
              <w:t>200</w:t>
            </w:r>
          </w:p>
        </w:tc>
        <w:tc>
          <w:tcPr>
            <w:tcW w:w="468" w:type="pct"/>
            <w:tcBorders>
              <w:bottom w:val="single" w:sz="4" w:space="0" w:color="auto"/>
            </w:tcBorders>
            <w:shd w:val="clear" w:color="auto" w:fill="D9D9D9" w:themeFill="background1" w:themeFillShade="D9"/>
            <w:vAlign w:val="bottom"/>
          </w:tcPr>
          <w:p w:rsidR="007A3F29" w:rsidRDefault="007A3F29" w:rsidP="00113F7D">
            <w:pPr>
              <w:pStyle w:val="TableBodyText"/>
            </w:pPr>
            <w:r>
              <w:t>25</w:t>
            </w:r>
          </w:p>
        </w:tc>
        <w:tc>
          <w:tcPr>
            <w:tcW w:w="468" w:type="pct"/>
            <w:tcBorders>
              <w:bottom w:val="single" w:sz="4" w:space="0" w:color="auto"/>
            </w:tcBorders>
            <w:shd w:val="clear" w:color="auto" w:fill="D9D9D9" w:themeFill="background1" w:themeFillShade="D9"/>
            <w:vAlign w:val="bottom"/>
          </w:tcPr>
          <w:p w:rsidR="007A3F29" w:rsidRPr="00B03FB5" w:rsidRDefault="007A3F29" w:rsidP="00113F7D">
            <w:pPr>
              <w:pStyle w:val="TableBodyText"/>
              <w:rPr>
                <w:b/>
              </w:rPr>
            </w:pPr>
            <w:r>
              <w:rPr>
                <w:b/>
              </w:rPr>
              <w:t>2 420</w:t>
            </w:r>
          </w:p>
        </w:tc>
      </w:tr>
    </w:tbl>
    <w:p w:rsidR="00DB6807" w:rsidRDefault="00DB6807" w:rsidP="00DB6807">
      <w:pPr>
        <w:pStyle w:val="Note"/>
      </w:pPr>
      <w:r w:rsidRPr="008E77FE">
        <w:rPr>
          <w:rStyle w:val="NoteLabel"/>
        </w:rPr>
        <w:t>a</w:t>
      </w:r>
      <w:r>
        <w:t xml:space="preserve"> ABS only includes wineries wh</w:t>
      </w:r>
      <w:r w:rsidR="00EB1828">
        <w:t>ich</w:t>
      </w:r>
      <w:r>
        <w:t xml:space="preserve"> crush 50 tonnes or more of grapes. </w:t>
      </w:r>
      <w:r w:rsidR="00A36123">
        <w:rPr>
          <w:rStyle w:val="NoteLabel"/>
        </w:rPr>
        <w:t>b</w:t>
      </w:r>
      <w:r w:rsidR="00A36123">
        <w:t xml:space="preserve"> </w:t>
      </w:r>
      <w:r w:rsidR="007F01DB" w:rsidRPr="00A36123">
        <w:rPr>
          <w:i/>
        </w:rPr>
        <w:t xml:space="preserve">Wine </w:t>
      </w:r>
      <w:r w:rsidR="00A36123" w:rsidRPr="00A36123">
        <w:rPr>
          <w:i/>
        </w:rPr>
        <w:t>Industry D</w:t>
      </w:r>
      <w:r w:rsidR="007F01DB" w:rsidRPr="00A36123">
        <w:rPr>
          <w:i/>
        </w:rPr>
        <w:t>i</w:t>
      </w:r>
      <w:r w:rsidR="00A36123" w:rsidRPr="00A36123">
        <w:rPr>
          <w:i/>
        </w:rPr>
        <w:t>rectory</w:t>
      </w:r>
      <w:r w:rsidR="007F01DB">
        <w:t xml:space="preserve"> producer totals </w:t>
      </w:r>
      <w:r w:rsidR="00A36123">
        <w:t xml:space="preserve">also </w:t>
      </w:r>
      <w:r w:rsidR="007F01DB">
        <w:t xml:space="preserve">include producers whose wine crush is ‘unknown or unspecified’. </w:t>
      </w:r>
    </w:p>
    <w:p w:rsidR="00DB6807" w:rsidRDefault="004A6E2E" w:rsidP="00DB6807">
      <w:pPr>
        <w:pStyle w:val="Source"/>
      </w:pPr>
      <w:r>
        <w:rPr>
          <w:i/>
        </w:rPr>
        <w:t>Sources</w:t>
      </w:r>
      <w:r w:rsidR="00DB6807">
        <w:t xml:space="preserve">: </w:t>
      </w:r>
      <w:r w:rsidR="00DB6807" w:rsidRPr="00A64F7B">
        <w:t>ABS (</w:t>
      </w:r>
      <w:r w:rsidR="00DB6807" w:rsidRPr="0098365A">
        <w:rPr>
          <w:i/>
        </w:rPr>
        <w:t>Australian Wine and Grape Industry</w:t>
      </w:r>
      <w:r w:rsidR="00DB6807">
        <w:t>,</w:t>
      </w:r>
      <w:r w:rsidR="003E71AC">
        <w:t xml:space="preserve"> various issues,</w:t>
      </w:r>
      <w:r w:rsidR="00DB6807">
        <w:t xml:space="preserve"> Cat. no. 1329.0); </w:t>
      </w:r>
      <w:r w:rsidR="007A0499" w:rsidRPr="001C18E6">
        <w:t xml:space="preserve">Winetitles </w:t>
      </w:r>
      <w:r w:rsidR="00113F7D" w:rsidRPr="001C18E6">
        <w:t>(</w:t>
      </w:r>
      <w:r w:rsidR="00DB6807" w:rsidRPr="001C18E6">
        <w:t>2013</w:t>
      </w:r>
      <w:r w:rsidR="00113F7D">
        <w:t>).</w:t>
      </w:r>
    </w:p>
    <w:p w:rsidR="00DB6807" w:rsidRDefault="000F21DF" w:rsidP="00DB6807">
      <w:pPr>
        <w:pStyle w:val="BodyText"/>
      </w:pPr>
      <w:r>
        <w:t>This g</w:t>
      </w:r>
      <w:r w:rsidR="00DB6807">
        <w:t>rowth in the number of wine-making business, especially from smaller family</w:t>
      </w:r>
      <w:r w:rsidR="00DB6807">
        <w:noBreakHyphen/>
        <w:t>owned or ‘lifestyle’ operations</w:t>
      </w:r>
      <w:r>
        <w:t>,</w:t>
      </w:r>
      <w:r w:rsidR="00DB6807">
        <w:t xml:space="preserve"> should only have a marginal effect on output. By the end of cycle 4 (2007-08), large wine producers crushing over 10 000 tonnes of grapes a year, were responsible for over 83.1 per cent of wine production.</w:t>
      </w:r>
      <w:r w:rsidR="00DB6807">
        <w:rPr>
          <w:rStyle w:val="FootnoteReference"/>
        </w:rPr>
        <w:footnoteReference w:id="7"/>
      </w:r>
    </w:p>
    <w:p w:rsidR="009A184A" w:rsidRDefault="00DB6807" w:rsidP="00DB6807">
      <w:pPr>
        <w:pStyle w:val="BodyText"/>
      </w:pPr>
      <w:r>
        <w:t xml:space="preserve">Moreover, five of the largest wine producers in Australia </w:t>
      </w:r>
      <w:r w:rsidR="00513716">
        <w:t>have</w:t>
      </w:r>
      <w:r>
        <w:t xml:space="preserve"> a 43.1 per cent share of the domestic market (</w:t>
      </w:r>
      <w:r w:rsidRPr="001C18E6">
        <w:t>Richardson 2012</w:t>
      </w:r>
      <w:r>
        <w:t xml:space="preserve">), with significant restructuring amongst these manufacturers reported between 2001 and 2003 (box </w:t>
      </w:r>
      <w:proofErr w:type="spellStart"/>
      <w:r w:rsidR="00B06C44">
        <w:t>G.2</w:t>
      </w:r>
      <w:proofErr w:type="spellEnd"/>
      <w:r>
        <w:t>) in response to increasing consolidation at the retail end (</w:t>
      </w:r>
      <w:r w:rsidRPr="001C18E6">
        <w:t>The Age 2003</w:t>
      </w:r>
      <w:r>
        <w:t xml:space="preserve">). </w:t>
      </w:r>
    </w:p>
    <w:p w:rsidR="009A184A" w:rsidRDefault="009A184A" w:rsidP="009A184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B6807" w:rsidTr="00E636D1">
        <w:tc>
          <w:tcPr>
            <w:tcW w:w="8771" w:type="dxa"/>
            <w:tcBorders>
              <w:top w:val="single" w:sz="6" w:space="0" w:color="auto"/>
              <w:bottom w:val="nil"/>
            </w:tcBorders>
          </w:tcPr>
          <w:p w:rsidR="00DB6807" w:rsidRDefault="00DB6807" w:rsidP="00302B89">
            <w:pPr>
              <w:pStyle w:val="BoxTitle"/>
            </w:pPr>
            <w:r>
              <w:rPr>
                <w:b w:val="0"/>
              </w:rPr>
              <w:t xml:space="preserve">Box </w:t>
            </w:r>
            <w:bookmarkStart w:id="21" w:name="OLE_LINK2"/>
            <w:proofErr w:type="spellStart"/>
            <w:r w:rsidR="00B06C44">
              <w:rPr>
                <w:b w:val="0"/>
              </w:rPr>
              <w:t>G.</w:t>
            </w:r>
            <w:r w:rsidR="00FE417C">
              <w:rPr>
                <w:b w:val="0"/>
                <w:noProof/>
              </w:rPr>
              <w:t>2</w:t>
            </w:r>
            <w:bookmarkEnd w:id="21"/>
            <w:proofErr w:type="spellEnd"/>
            <w:r>
              <w:tab/>
              <w:t xml:space="preserve">Examples of consolidation in </w:t>
            </w:r>
            <w:r w:rsidR="00F675F4">
              <w:t>W</w:t>
            </w:r>
            <w:r>
              <w:t xml:space="preserve">ine </w:t>
            </w:r>
            <w:r w:rsidR="00302B89">
              <w:t>manufacturing</w:t>
            </w:r>
            <w:r>
              <w:t xml:space="preserve"> </w:t>
            </w:r>
          </w:p>
        </w:tc>
      </w:tr>
      <w:tr w:rsidR="00DB6807" w:rsidTr="00B83FFA">
        <w:tc>
          <w:tcPr>
            <w:tcW w:w="8771" w:type="dxa"/>
            <w:tcBorders>
              <w:top w:val="nil"/>
              <w:left w:val="single" w:sz="6" w:space="0" w:color="auto"/>
              <w:bottom w:val="nil"/>
              <w:right w:val="single" w:sz="6" w:space="0" w:color="auto"/>
            </w:tcBorders>
          </w:tcPr>
          <w:p w:rsidR="00DB6807" w:rsidRDefault="00DB6807" w:rsidP="00E636D1">
            <w:pPr>
              <w:pStyle w:val="Box"/>
              <w:jc w:val="left"/>
              <w:rPr>
                <w:b/>
              </w:rPr>
            </w:pPr>
            <w:r w:rsidRPr="00A13E23">
              <w:rPr>
                <w:b/>
              </w:rPr>
              <w:t>2001</w:t>
            </w:r>
          </w:p>
          <w:p w:rsidR="00B16FE0" w:rsidRDefault="007C182C" w:rsidP="00A3089F">
            <w:pPr>
              <w:pStyle w:val="Box"/>
              <w:spacing w:before="80"/>
            </w:pPr>
            <w:r>
              <w:t>Southcorp</w:t>
            </w:r>
            <w:r w:rsidR="007F0449">
              <w:t xml:space="preserve"> </w:t>
            </w:r>
            <w:r w:rsidR="00DB6807">
              <w:t xml:space="preserve">acquired Rosemount Estates from </w:t>
            </w:r>
            <w:r w:rsidR="007F0449">
              <w:t xml:space="preserve">the Oatley family for </w:t>
            </w:r>
            <w:r w:rsidR="00DB6807" w:rsidRPr="00A13E23">
              <w:t>$1.5 billion effective</w:t>
            </w:r>
            <w:r w:rsidR="00DB6807">
              <w:t xml:space="preserve"> </w:t>
            </w:r>
            <w:r w:rsidR="00B16FE0">
              <w:t>1 January 2001</w:t>
            </w:r>
            <w:r>
              <w:t xml:space="preserve"> (</w:t>
            </w:r>
            <w:r w:rsidRPr="00A176AE">
              <w:t>Southcorp 2001</w:t>
            </w:r>
            <w:r>
              <w:t>)</w:t>
            </w:r>
            <w:r w:rsidR="00B16FE0">
              <w:t>.</w:t>
            </w:r>
          </w:p>
          <w:p w:rsidR="00DB6807" w:rsidRDefault="00DB6807" w:rsidP="00E636D1">
            <w:pPr>
              <w:pStyle w:val="Box"/>
              <w:jc w:val="left"/>
              <w:rPr>
                <w:b/>
              </w:rPr>
            </w:pPr>
            <w:r>
              <w:rPr>
                <w:b/>
              </w:rPr>
              <w:t>2002</w:t>
            </w:r>
          </w:p>
          <w:p w:rsidR="00DB6807" w:rsidRDefault="00DB6807" w:rsidP="00A3089F">
            <w:pPr>
              <w:pStyle w:val="Box"/>
              <w:spacing w:before="80"/>
            </w:pPr>
            <w:r>
              <w:t xml:space="preserve">(July) </w:t>
            </w:r>
            <w:r w:rsidRPr="006A4D3E">
              <w:t xml:space="preserve">Brian McGuigan Wines Limited merged with Simeon Wines Limited, which created the fourth largest wine company at the time </w:t>
            </w:r>
            <w:r w:rsidR="00B16FE0">
              <w:t>(</w:t>
            </w:r>
            <w:r w:rsidR="001F4B88" w:rsidRPr="00A176AE">
              <w:t>Martin 2002</w:t>
            </w:r>
            <w:r w:rsidR="00B16FE0">
              <w:t>).</w:t>
            </w:r>
          </w:p>
          <w:p w:rsidR="00DB6807" w:rsidRPr="00317865" w:rsidRDefault="00DB6807" w:rsidP="00E636D1">
            <w:pPr>
              <w:pStyle w:val="Box"/>
              <w:jc w:val="left"/>
              <w:rPr>
                <w:b/>
              </w:rPr>
            </w:pPr>
            <w:r w:rsidRPr="00317865">
              <w:rPr>
                <w:b/>
              </w:rPr>
              <w:t>2003</w:t>
            </w:r>
          </w:p>
          <w:p w:rsidR="00DB6807" w:rsidRDefault="00DB6807" w:rsidP="00A3089F">
            <w:pPr>
              <w:pStyle w:val="Box"/>
              <w:spacing w:before="80"/>
            </w:pPr>
            <w:r>
              <w:t xml:space="preserve">(April) </w:t>
            </w:r>
            <w:r w:rsidRPr="00A176AE">
              <w:t xml:space="preserve">Constellation Brands </w:t>
            </w:r>
            <w:r w:rsidR="00097DCF">
              <w:t xml:space="preserve">Incorporated </w:t>
            </w:r>
            <w:r w:rsidR="007F0449" w:rsidRPr="00A176AE">
              <w:t>(2003)</w:t>
            </w:r>
            <w:r w:rsidR="007F0449">
              <w:t xml:space="preserve"> </w:t>
            </w:r>
            <w:r w:rsidR="007C182C">
              <w:t xml:space="preserve">announced that it would </w:t>
            </w:r>
            <w:r w:rsidRPr="00DA27E1">
              <w:t>acquire BRL Hardy Limited</w:t>
            </w:r>
            <w:r>
              <w:t>,</w:t>
            </w:r>
            <w:r w:rsidRPr="00DA27E1">
              <w:t xml:space="preserve"> Australia's largest wine producer. The transaction </w:t>
            </w:r>
            <w:r w:rsidR="007C182C">
              <w:t xml:space="preserve">reportedly </w:t>
            </w:r>
            <w:r>
              <w:t xml:space="preserve">made Constellation Brands </w:t>
            </w:r>
            <w:r w:rsidRPr="00DA27E1">
              <w:t>the world's largest wine company</w:t>
            </w:r>
            <w:r w:rsidR="00B16FE0">
              <w:t xml:space="preserve"> at $1.7 billion in wine sales.</w:t>
            </w:r>
          </w:p>
          <w:p w:rsidR="00DB6807" w:rsidRDefault="00DB6807" w:rsidP="00A3089F">
            <w:pPr>
              <w:pStyle w:val="Box"/>
              <w:spacing w:before="80"/>
            </w:pPr>
            <w:r>
              <w:t xml:space="preserve">(October) </w:t>
            </w:r>
            <w:r w:rsidRPr="006A4D3E">
              <w:t>McGuigan Simeon Wines Limited</w:t>
            </w:r>
            <w:r>
              <w:t xml:space="preserve"> acquired </w:t>
            </w:r>
            <w:r w:rsidR="00A818CE">
              <w:t>Miranda Wines Pty Ltd</w:t>
            </w:r>
            <w:r>
              <w:t xml:space="preserve">, which allowed the company to enter the </w:t>
            </w:r>
            <w:r w:rsidR="00B16FE0">
              <w:t>cask and sparkling wine markets</w:t>
            </w:r>
            <w:r w:rsidR="007C182C">
              <w:t xml:space="preserve"> (</w:t>
            </w:r>
            <w:r w:rsidR="007C182C" w:rsidRPr="00A176AE">
              <w:t>McGuigan Simeon Wines Limited 2004</w:t>
            </w:r>
            <w:r w:rsidR="007C182C">
              <w:t>)</w:t>
            </w:r>
            <w:r w:rsidR="00B16FE0">
              <w:t>.</w:t>
            </w:r>
          </w:p>
          <w:p w:rsidR="00DB6807" w:rsidRPr="00317865" w:rsidRDefault="00B83FFA" w:rsidP="00E636D1">
            <w:pPr>
              <w:pStyle w:val="Box"/>
              <w:jc w:val="left"/>
              <w:rPr>
                <w:b/>
              </w:rPr>
            </w:pPr>
            <w:r>
              <w:rPr>
                <w:b/>
              </w:rPr>
              <w:t>2004</w:t>
            </w:r>
          </w:p>
          <w:p w:rsidR="00DB6807" w:rsidRDefault="00DB6807" w:rsidP="00A3089F">
            <w:pPr>
              <w:pStyle w:val="Box"/>
              <w:spacing w:before="80"/>
            </w:pPr>
            <w:r>
              <w:t xml:space="preserve">(June) </w:t>
            </w:r>
            <w:r w:rsidRPr="00A176AE">
              <w:t xml:space="preserve">Foster’s </w:t>
            </w:r>
            <w:r w:rsidR="007F0449" w:rsidRPr="00A176AE">
              <w:t>Group (2004a</w:t>
            </w:r>
            <w:r w:rsidR="007F0449">
              <w:t xml:space="preserve">) </w:t>
            </w:r>
            <w:r>
              <w:t xml:space="preserve">announced the outcome </w:t>
            </w:r>
            <w:r w:rsidRPr="002C6615">
              <w:t>of a comprehensive review of</w:t>
            </w:r>
            <w:r>
              <w:t xml:space="preserve"> its Global Wine Trade business. Some i</w:t>
            </w:r>
            <w:r w:rsidRPr="00687DDA">
              <w:t>nfrastructure conso</w:t>
            </w:r>
            <w:r>
              <w:t xml:space="preserve">lidation </w:t>
            </w:r>
            <w:r w:rsidR="00EB1828">
              <w:t xml:space="preserve">activities were reported, with </w:t>
            </w:r>
            <w:r>
              <w:t>planned capital investment expected to fall by at least 40 per cent</w:t>
            </w:r>
            <w:r w:rsidRPr="00687DDA">
              <w:t xml:space="preserve"> compared with that announced at the full year </w:t>
            </w:r>
            <w:r>
              <w:t xml:space="preserve">2004 </w:t>
            </w:r>
            <w:r w:rsidRPr="00687DDA">
              <w:t>(</w:t>
            </w:r>
            <w:r w:rsidR="00B16FE0">
              <w:t>of approximately A$150 million)</w:t>
            </w:r>
            <w:r w:rsidR="007C1AFD">
              <w:t>.</w:t>
            </w:r>
          </w:p>
          <w:p w:rsidR="00966593" w:rsidRDefault="00DB6807" w:rsidP="00A3089F">
            <w:pPr>
              <w:pStyle w:val="Box"/>
              <w:spacing w:before="80"/>
            </w:pPr>
            <w:r>
              <w:t>(</w:t>
            </w:r>
            <w:r w:rsidR="007C1AFD">
              <w:t>September</w:t>
            </w:r>
            <w:r>
              <w:t xml:space="preserve">) </w:t>
            </w:r>
            <w:r w:rsidRPr="00A176AE">
              <w:t xml:space="preserve">Foster’s </w:t>
            </w:r>
            <w:r w:rsidR="007F0449" w:rsidRPr="00A176AE">
              <w:t>Group (2004b</w:t>
            </w:r>
            <w:r w:rsidR="007F0449">
              <w:t xml:space="preserve">) </w:t>
            </w:r>
            <w:r>
              <w:t xml:space="preserve">announced </w:t>
            </w:r>
            <w:r w:rsidRPr="002C6615">
              <w:t>the development of a purpose-built bot</w:t>
            </w:r>
            <w:r>
              <w:t xml:space="preserve">tling and warehousing operation. </w:t>
            </w:r>
            <w:r w:rsidRPr="002C6615">
              <w:t>The high speed bottling facility</w:t>
            </w:r>
            <w:r>
              <w:t xml:space="preserve"> was intended to have </w:t>
            </w:r>
            <w:r w:rsidRPr="002C6615">
              <w:t>initial capacity</w:t>
            </w:r>
            <w:r>
              <w:t xml:space="preserve"> of 10 million cases per annum but with a </w:t>
            </w:r>
            <w:r w:rsidR="00EE6E9E">
              <w:t>‘</w:t>
            </w:r>
            <w:r>
              <w:t>m</w:t>
            </w:r>
            <w:r w:rsidRPr="00317865">
              <w:t>odular, scaleable design to a potential capacity of over 24 million cases per annum</w:t>
            </w:r>
            <w:r>
              <w:t>.</w:t>
            </w:r>
            <w:r w:rsidR="00EE6E9E">
              <w:t>’</w:t>
            </w:r>
            <w:r>
              <w:t xml:space="preserve"> The </w:t>
            </w:r>
            <w:r w:rsidRPr="002C6615">
              <w:t xml:space="preserve">facility </w:t>
            </w:r>
            <w:r>
              <w:t>consolidated</w:t>
            </w:r>
            <w:r w:rsidRPr="002C6615">
              <w:t xml:space="preserve"> the majority of Beringer Blass’ Australian wine production and packaging to the Wolf Blass winery. Capital expenditur</w:t>
            </w:r>
            <w:r>
              <w:t>e associated with the project was</w:t>
            </w:r>
            <w:r w:rsidRPr="002C6615">
              <w:t xml:space="preserve"> estimated at $69 million, with commissioning and full operation expected by June 2006.</w:t>
            </w:r>
          </w:p>
          <w:p w:rsidR="00966593" w:rsidRPr="00317865" w:rsidRDefault="00966593" w:rsidP="00966593">
            <w:pPr>
              <w:pStyle w:val="Box"/>
              <w:jc w:val="left"/>
              <w:rPr>
                <w:b/>
              </w:rPr>
            </w:pPr>
            <w:r w:rsidRPr="00317865">
              <w:rPr>
                <w:b/>
              </w:rPr>
              <w:t>2005</w:t>
            </w:r>
          </w:p>
          <w:p w:rsidR="00966593" w:rsidRDefault="00966593" w:rsidP="00A3089F">
            <w:pPr>
              <w:pStyle w:val="Box"/>
              <w:spacing w:before="80"/>
            </w:pPr>
            <w:r>
              <w:t xml:space="preserve">(April) </w:t>
            </w:r>
            <w:r w:rsidRPr="00A176AE">
              <w:t xml:space="preserve">Foster's </w:t>
            </w:r>
            <w:r w:rsidR="007F0449" w:rsidRPr="00A176AE">
              <w:t>Group (2005</w:t>
            </w:r>
            <w:r w:rsidR="00DC6F9A">
              <w:t>b</w:t>
            </w:r>
            <w:r w:rsidR="007F0449">
              <w:t xml:space="preserve">) </w:t>
            </w:r>
            <w:r>
              <w:t>announce</w:t>
            </w:r>
            <w:r w:rsidR="007F0449">
              <w:t>d</w:t>
            </w:r>
            <w:r>
              <w:t xml:space="preserve"> </w:t>
            </w:r>
            <w:r w:rsidR="007F0449">
              <w:t xml:space="preserve">the </w:t>
            </w:r>
            <w:r>
              <w:t xml:space="preserve">takeover </w:t>
            </w:r>
            <w:r w:rsidR="007F0449">
              <w:t>of</w:t>
            </w:r>
            <w:r>
              <w:t xml:space="preserve"> Southcorp to ‘create the world’s leading premium wine company</w:t>
            </w:r>
            <w:r w:rsidR="007F0449">
              <w:t>.</w:t>
            </w:r>
            <w:r>
              <w:t>’</w:t>
            </w:r>
          </w:p>
          <w:p w:rsidR="00966593" w:rsidRDefault="00966593" w:rsidP="00A3089F">
            <w:pPr>
              <w:pStyle w:val="Box"/>
              <w:spacing w:before="80"/>
            </w:pPr>
            <w:r>
              <w:t xml:space="preserve">(August) </w:t>
            </w:r>
            <w:r w:rsidRPr="00A176AE">
              <w:t xml:space="preserve">Foster’s </w:t>
            </w:r>
            <w:r w:rsidR="007F0449" w:rsidRPr="00A176AE">
              <w:t>Group (2005</w:t>
            </w:r>
            <w:r w:rsidR="00DC6F9A">
              <w:t>a</w:t>
            </w:r>
            <w:r w:rsidR="007F0449">
              <w:t xml:space="preserve">) </w:t>
            </w:r>
            <w:r>
              <w:t>announced outcomes of its initial review of the combined Foster’s-Southcorp wine production operations in Australia. The review identified surplus wine processing capacity and approved plans t</w:t>
            </w:r>
            <w:r w:rsidR="00E15330">
              <w:t>o consolidate wine processing</w:t>
            </w:r>
            <w:r>
              <w:t xml:space="preserve"> facilities. Foster’s proposed to sell its Lower Hunter Valley winery and the smaller of its Coonawarra wineries as soon as practical.</w:t>
            </w:r>
          </w:p>
          <w:p w:rsidR="007F0449" w:rsidRPr="00317865" w:rsidRDefault="007F0449" w:rsidP="007F0449">
            <w:pPr>
              <w:pStyle w:val="Box"/>
              <w:jc w:val="left"/>
              <w:rPr>
                <w:b/>
              </w:rPr>
            </w:pPr>
            <w:r w:rsidRPr="00317865">
              <w:rPr>
                <w:b/>
              </w:rPr>
              <w:t>2006</w:t>
            </w:r>
          </w:p>
          <w:p w:rsidR="00DB6807" w:rsidRPr="00BA2678" w:rsidRDefault="007F0449" w:rsidP="00A3089F">
            <w:pPr>
              <w:pStyle w:val="Box"/>
              <w:spacing w:before="80"/>
            </w:pPr>
            <w:r w:rsidRPr="00B130D4">
              <w:t>(June)</w:t>
            </w:r>
            <w:r>
              <w:t xml:space="preserve"> </w:t>
            </w:r>
            <w:r w:rsidRPr="00A176AE">
              <w:t>Foster’s Group (2006</w:t>
            </w:r>
            <w:r>
              <w:t xml:space="preserve">) announced </w:t>
            </w:r>
            <w:r w:rsidR="00E15330">
              <w:t>its intention to sell</w:t>
            </w:r>
            <w:r>
              <w:t xml:space="preserve"> two </w:t>
            </w:r>
            <w:r w:rsidRPr="00B130D4">
              <w:t>Australian wineries, as well as surplus production and packaging facilities</w:t>
            </w:r>
            <w:r>
              <w:t xml:space="preserve"> </w:t>
            </w:r>
            <w:r w:rsidRPr="00B130D4">
              <w:t>in the Upper Hunter Valley</w:t>
            </w:r>
            <w:r>
              <w:t>,</w:t>
            </w:r>
            <w:r w:rsidRPr="00B130D4">
              <w:t xml:space="preserve"> Barossa Valley, </w:t>
            </w:r>
            <w:r>
              <w:t xml:space="preserve">and </w:t>
            </w:r>
            <w:r w:rsidRPr="00B130D4">
              <w:t>selected facilities at Penfolds Nurio</w:t>
            </w:r>
            <w:r>
              <w:t>otpa.</w:t>
            </w:r>
          </w:p>
        </w:tc>
      </w:tr>
      <w:tr w:rsidR="00B83FFA" w:rsidTr="00B83FFA">
        <w:tc>
          <w:tcPr>
            <w:tcW w:w="8771" w:type="dxa"/>
            <w:tcBorders>
              <w:top w:val="nil"/>
              <w:left w:val="single" w:sz="6" w:space="0" w:color="auto"/>
              <w:bottom w:val="single" w:sz="4" w:space="0" w:color="auto"/>
              <w:right w:val="single" w:sz="6" w:space="0" w:color="auto"/>
            </w:tcBorders>
          </w:tcPr>
          <w:p w:rsidR="00B83FFA" w:rsidRPr="00317865" w:rsidRDefault="000004EF" w:rsidP="009D5C8C">
            <w:pPr>
              <w:pStyle w:val="Continued"/>
            </w:pPr>
            <w:r>
              <w:t>(</w:t>
            </w:r>
            <w:r w:rsidR="009D5C8C">
              <w:t>c</w:t>
            </w:r>
            <w:r>
              <w:t>ontinued on next page)</w:t>
            </w:r>
          </w:p>
        </w:tc>
      </w:tr>
    </w:tbl>
    <w:p w:rsidR="000004EF" w:rsidRDefault="000004EF">
      <w:pPr>
        <w:pStyle w:val="BoxSpaceAbove"/>
      </w:pPr>
      <w:bookmarkStart w:id="22" w:name="OLE_LINK30"/>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004EF">
        <w:tc>
          <w:tcPr>
            <w:tcW w:w="8771" w:type="dxa"/>
            <w:tcBorders>
              <w:top w:val="single" w:sz="6" w:space="0" w:color="auto"/>
              <w:bottom w:val="nil"/>
            </w:tcBorders>
          </w:tcPr>
          <w:p w:rsidR="000004EF" w:rsidRDefault="000004EF" w:rsidP="00B06C44">
            <w:pPr>
              <w:pStyle w:val="BoxTitle"/>
            </w:pPr>
            <w:r>
              <w:rPr>
                <w:b w:val="0"/>
              </w:rPr>
              <w:t xml:space="preserve">Box </w:t>
            </w:r>
            <w:proofErr w:type="spellStart"/>
            <w:r w:rsidR="00B06C44" w:rsidRPr="00B06C44">
              <w:rPr>
                <w:b w:val="0"/>
              </w:rPr>
              <w:t>G.2</w:t>
            </w:r>
            <w:proofErr w:type="spellEnd"/>
            <w:r>
              <w:tab/>
            </w:r>
            <w:r w:rsidRPr="00B06C44">
              <w:rPr>
                <w:sz w:val="22"/>
                <w:szCs w:val="22"/>
              </w:rPr>
              <w:t>(continued)</w:t>
            </w:r>
          </w:p>
        </w:tc>
      </w:tr>
      <w:tr w:rsidR="000004EF">
        <w:trPr>
          <w:cantSplit/>
        </w:trPr>
        <w:tc>
          <w:tcPr>
            <w:tcW w:w="8771" w:type="dxa"/>
            <w:tcBorders>
              <w:top w:val="nil"/>
              <w:left w:val="single" w:sz="6" w:space="0" w:color="auto"/>
              <w:bottom w:val="nil"/>
              <w:right w:val="single" w:sz="6" w:space="0" w:color="auto"/>
            </w:tcBorders>
          </w:tcPr>
          <w:p w:rsidR="00966593" w:rsidRPr="00317865" w:rsidRDefault="00966593" w:rsidP="00966593">
            <w:pPr>
              <w:pStyle w:val="Box"/>
              <w:jc w:val="left"/>
              <w:rPr>
                <w:b/>
              </w:rPr>
            </w:pPr>
            <w:r w:rsidRPr="00317865">
              <w:rPr>
                <w:b/>
              </w:rPr>
              <w:t>2007</w:t>
            </w:r>
          </w:p>
          <w:p w:rsidR="00966593" w:rsidRDefault="00966593" w:rsidP="00A3089F">
            <w:pPr>
              <w:pStyle w:val="Box"/>
              <w:spacing w:before="80"/>
            </w:pPr>
            <w:r>
              <w:t>(November) Hardy Wine Company announced that from 2008 it would consolidate its winemaking and packaging currently taking place at its Buronga winery, to its Berri Estates winery, the largest in Australia. Both are located in the River Murray inland regions of central Australia (</w:t>
            </w:r>
            <w:r w:rsidRPr="00A176AE">
              <w:t xml:space="preserve">Constellation Brands </w:t>
            </w:r>
            <w:r w:rsidR="00097DCF">
              <w:t xml:space="preserve">Incorporated </w:t>
            </w:r>
            <w:r w:rsidRPr="00A176AE">
              <w:t>2007</w:t>
            </w:r>
            <w:r>
              <w:t>).</w:t>
            </w:r>
          </w:p>
          <w:p w:rsidR="00966593" w:rsidRPr="004923A2" w:rsidRDefault="00966593" w:rsidP="00966593">
            <w:pPr>
              <w:pStyle w:val="Box"/>
              <w:jc w:val="left"/>
              <w:rPr>
                <w:b/>
              </w:rPr>
            </w:pPr>
            <w:r w:rsidRPr="004923A2">
              <w:rPr>
                <w:b/>
              </w:rPr>
              <w:t>2008</w:t>
            </w:r>
          </w:p>
          <w:p w:rsidR="00966593" w:rsidRDefault="00966593" w:rsidP="00A3089F">
            <w:pPr>
              <w:pStyle w:val="Box"/>
              <w:spacing w:before="80"/>
            </w:pPr>
            <w:r>
              <w:t>(August) Constellation Wines Australia (formerly Hardy Wine Company) announced the proposed sale of three of 10 production facilities, in addition to the sale of more than 20 vineyard properties; consolidation of bottling operations; portfolio streamlining and rationalization of more than 30 per cent of the company's Australian stock keeping units. The company's Australian employment was reported to be impacted by more than 20 per cent, or 350 positions, primarily associated with assets expected to be sold (</w:t>
            </w:r>
            <w:r w:rsidRPr="00A176AE">
              <w:t xml:space="preserve">Constellation Brands </w:t>
            </w:r>
            <w:r w:rsidR="00097DCF">
              <w:t xml:space="preserve">Incorporated </w:t>
            </w:r>
            <w:r w:rsidRPr="00A176AE">
              <w:t>2008</w:t>
            </w:r>
            <w:r>
              <w:t>).</w:t>
            </w:r>
          </w:p>
          <w:p w:rsidR="00966593" w:rsidRPr="00BA2678" w:rsidRDefault="00966593" w:rsidP="00966593">
            <w:pPr>
              <w:pStyle w:val="Box"/>
              <w:jc w:val="left"/>
              <w:rPr>
                <w:b/>
              </w:rPr>
            </w:pPr>
            <w:r>
              <w:rPr>
                <w:b/>
              </w:rPr>
              <w:t>2012</w:t>
            </w:r>
          </w:p>
          <w:p w:rsidR="000004EF" w:rsidRDefault="00966593" w:rsidP="00A3089F">
            <w:pPr>
              <w:pStyle w:val="Box"/>
              <w:spacing w:before="80"/>
            </w:pPr>
            <w:r>
              <w:t xml:space="preserve">(July) </w:t>
            </w:r>
            <w:r w:rsidRPr="006A4D3E">
              <w:t>Accolade Wines a</w:t>
            </w:r>
            <w:r>
              <w:t xml:space="preserve">nd Treasury Wine Estates </w:t>
            </w:r>
            <w:r w:rsidRPr="006A4D3E">
              <w:t>enter</w:t>
            </w:r>
            <w:r>
              <w:t>ed</w:t>
            </w:r>
            <w:r w:rsidRPr="006A4D3E">
              <w:t xml:space="preserve"> into reciprocal bottling and packaging contracts that w</w:t>
            </w:r>
            <w:r>
              <w:t>ould</w:t>
            </w:r>
            <w:r w:rsidRPr="006A4D3E">
              <w:t xml:space="preserve"> see</w:t>
            </w:r>
            <w:r>
              <w:t>, by January 2013</w:t>
            </w:r>
            <w:r w:rsidR="007F0449">
              <w:t>,</w:t>
            </w:r>
            <w:r>
              <w:t xml:space="preserve"> </w:t>
            </w:r>
            <w:r w:rsidRPr="006A4D3E">
              <w:t xml:space="preserve">Accolade Wines bottle for </w:t>
            </w:r>
            <w:r w:rsidR="001C2CC8">
              <w:t>Treasury Wine Estates</w:t>
            </w:r>
            <w:r w:rsidRPr="006A4D3E">
              <w:t xml:space="preserve"> in the U</w:t>
            </w:r>
            <w:r w:rsidR="00452ACB">
              <w:t xml:space="preserve">nited </w:t>
            </w:r>
            <w:r w:rsidRPr="006A4D3E">
              <w:t>K</w:t>
            </w:r>
            <w:r w:rsidR="00452ACB">
              <w:t>ingdom</w:t>
            </w:r>
            <w:r w:rsidRPr="006A4D3E">
              <w:t xml:space="preserve"> and </w:t>
            </w:r>
            <w:r w:rsidR="001C2CC8">
              <w:t>Treasury Wine Estates</w:t>
            </w:r>
            <w:r w:rsidRPr="006A4D3E">
              <w:t xml:space="preserve"> bottle for Accolade Wines in Australia.</w:t>
            </w:r>
            <w:r>
              <w:t xml:space="preserve"> The announcement reportedly resulted in 175 redundancies at Accolade’s Reynella bottling and distribution facility (</w:t>
            </w:r>
            <w:r w:rsidRPr="00A176AE">
              <w:t>Accolade Wines</w:t>
            </w:r>
            <w:r w:rsidR="001C2CC8">
              <w:t> </w:t>
            </w:r>
            <w:r w:rsidRPr="00A176AE">
              <w:t>2012).</w:t>
            </w:r>
          </w:p>
        </w:tc>
      </w:tr>
      <w:tr w:rsidR="000004EF">
        <w:trPr>
          <w:cantSplit/>
        </w:trPr>
        <w:tc>
          <w:tcPr>
            <w:tcW w:w="8771" w:type="dxa"/>
            <w:tcBorders>
              <w:top w:val="nil"/>
              <w:left w:val="single" w:sz="6" w:space="0" w:color="auto"/>
              <w:bottom w:val="single" w:sz="6" w:space="0" w:color="auto"/>
              <w:right w:val="single" w:sz="6" w:space="0" w:color="auto"/>
            </w:tcBorders>
          </w:tcPr>
          <w:p w:rsidR="000004EF" w:rsidRDefault="000004EF">
            <w:pPr>
              <w:pStyle w:val="Box"/>
              <w:spacing w:before="0" w:line="120" w:lineRule="exact"/>
            </w:pPr>
          </w:p>
        </w:tc>
      </w:tr>
      <w:tr w:rsidR="000004EF" w:rsidRPr="000863A5">
        <w:tc>
          <w:tcPr>
            <w:tcW w:w="8771" w:type="dxa"/>
            <w:tcBorders>
              <w:top w:val="nil"/>
              <w:left w:val="nil"/>
              <w:bottom w:val="nil"/>
              <w:right w:val="nil"/>
            </w:tcBorders>
          </w:tcPr>
          <w:p w:rsidR="000004EF" w:rsidRPr="00626D32" w:rsidRDefault="000004EF" w:rsidP="0098790B">
            <w:pPr>
              <w:pStyle w:val="BoxSpaceBelow"/>
            </w:pPr>
          </w:p>
        </w:tc>
      </w:tr>
    </w:tbl>
    <w:p w:rsidR="00E43713" w:rsidRDefault="00B06C44" w:rsidP="00E43713">
      <w:pPr>
        <w:pStyle w:val="Heading2"/>
      </w:pPr>
      <w:bookmarkStart w:id="23" w:name="OLE_LINK19"/>
      <w:proofErr w:type="spellStart"/>
      <w:r>
        <w:t>G.</w:t>
      </w:r>
      <w:r w:rsidR="00FE417C">
        <w:rPr>
          <w:noProof/>
        </w:rPr>
        <w:t>4</w:t>
      </w:r>
      <w:bookmarkEnd w:id="22"/>
      <w:bookmarkEnd w:id="23"/>
      <w:proofErr w:type="spellEnd"/>
      <w:r w:rsidR="00E43713">
        <w:tab/>
        <w:t>Bakery product manufacturing</w:t>
      </w:r>
    </w:p>
    <w:p w:rsidR="00095C42" w:rsidRPr="002274FF" w:rsidRDefault="00095C42" w:rsidP="002274FF">
      <w:pPr>
        <w:pStyle w:val="Heading3"/>
        <w:spacing w:before="280"/>
      </w:pPr>
      <w:r w:rsidRPr="002274FF">
        <w:t>Scope of Bakery product manufacturing</w:t>
      </w:r>
    </w:p>
    <w:p w:rsidR="00095C42" w:rsidRDefault="00095C42" w:rsidP="002274FF">
      <w:pPr>
        <w:pStyle w:val="Heading4"/>
        <w:spacing w:before="240"/>
      </w:pPr>
      <w:r>
        <w:t>In-house supermarket bakeries not included</w:t>
      </w:r>
    </w:p>
    <w:p w:rsidR="00095C42" w:rsidRDefault="00095C42" w:rsidP="00095C42">
      <w:pPr>
        <w:pStyle w:val="BodyText"/>
      </w:pPr>
      <w:r>
        <w:t>In-house supermarket bakeries do not appear to be included in ABS statistics for Bakery product manufacturing. Due to confidentiality</w:t>
      </w:r>
      <w:r w:rsidR="00715291">
        <w:t>,</w:t>
      </w:r>
      <w:r>
        <w:t xml:space="preserve"> the ABS cannot </w:t>
      </w:r>
      <w:r w:rsidR="00715291">
        <w:t xml:space="preserve">specify </w:t>
      </w:r>
      <w:r>
        <w:t xml:space="preserve">where the large supermarket bakeries are </w:t>
      </w:r>
      <w:r w:rsidR="00690564">
        <w:t>included</w:t>
      </w:r>
      <w:r>
        <w:t>.</w:t>
      </w:r>
      <w:r w:rsidR="00715291">
        <w:t xml:space="preserve"> </w:t>
      </w:r>
      <w:r>
        <w:t xml:space="preserve">However, in the </w:t>
      </w:r>
      <w:r w:rsidR="0062681B">
        <w:t xml:space="preserve">ABS </w:t>
      </w:r>
      <w:r w:rsidR="00155B8A" w:rsidRPr="00CB75D2">
        <w:t>EAS</w:t>
      </w:r>
      <w:r w:rsidR="0062681B">
        <w:rPr>
          <w:i/>
        </w:rPr>
        <w:t xml:space="preserve">, </w:t>
      </w:r>
      <w:r>
        <w:t xml:space="preserve">for example, the ABS classifies a business to its single predominant industry class, irrespective of any diversity of activities undertaken unless its secondary activity alters subdivision statistics by 2 per cent where the primary and secondary activities are in different ANZSIC divisions (ABS </w:t>
      </w:r>
      <w:r w:rsidR="004E423F">
        <w:t>2012</w:t>
      </w:r>
      <w:r w:rsidR="007A485F">
        <w:t>f</w:t>
      </w:r>
      <w:r>
        <w:t xml:space="preserve">). In-house bakeries in supermarkets would be a secondary Manufacturing activity of supermarkets, where the primary activity is Retail trade (a separate ANZSIC division to Manufacturing). Given the large size of Manufacturing and Retail trade it would not be expected that in-house supermarket bakeries would affect either of the divisions by 2 per cent. </w:t>
      </w:r>
    </w:p>
    <w:p w:rsidR="00C3384D" w:rsidRDefault="00C3384D" w:rsidP="00C3384D">
      <w:pPr>
        <w:pStyle w:val="Heading4"/>
      </w:pPr>
      <w:r>
        <w:lastRenderedPageBreak/>
        <w:t>Change in ANZSIC classification to include Non-factory bakery</w:t>
      </w:r>
    </w:p>
    <w:p w:rsidR="00C3384D" w:rsidRDefault="00C3384D" w:rsidP="00C3384D">
      <w:pPr>
        <w:pStyle w:val="BodyText"/>
      </w:pPr>
      <w:r>
        <w:t xml:space="preserve">A major implication of the introduction of ANZSIC06 for the analysis of Bakery product manufacturing is that there is a limited time series available. The shift of Non-factory bakery from Retail trade to Manufacturing in ANZSIC06 is a major break in series and the effects differ across surveys. The ABS has backcast data from the ABS </w:t>
      </w:r>
      <w:r w:rsidR="00690564" w:rsidRPr="00690564">
        <w:t>LFS</w:t>
      </w:r>
      <w:r>
        <w:t xml:space="preserve"> into ANZSIC06. Data from the ABS </w:t>
      </w:r>
      <w:r w:rsidR="00155B8A" w:rsidRPr="00CB75D2">
        <w:t>EAS</w:t>
      </w:r>
      <w:r>
        <w:t xml:space="preserve"> (as published in </w:t>
      </w:r>
      <w:r w:rsidR="004E423F">
        <w:t>Cat.</w:t>
      </w:r>
      <w:r w:rsidR="00690564">
        <w:t> </w:t>
      </w:r>
      <w:r w:rsidR="004E423F">
        <w:t xml:space="preserve">nos </w:t>
      </w:r>
      <w:r>
        <w:t xml:space="preserve">8221.0 and 8155.0) have not been backcast by the ABS. </w:t>
      </w:r>
    </w:p>
    <w:p w:rsidR="008334F5" w:rsidRDefault="00C3384D" w:rsidP="009930C4">
      <w:pPr>
        <w:pStyle w:val="BodyText"/>
        <w:rPr>
          <w:i/>
        </w:rPr>
      </w:pPr>
      <w:r w:rsidRPr="00681EAE">
        <w:t xml:space="preserve">Comparisons of </w:t>
      </w:r>
      <w:r w:rsidR="00744133" w:rsidRPr="00681EAE">
        <w:t>F</w:t>
      </w:r>
      <w:r w:rsidRPr="00681EAE">
        <w:t xml:space="preserve">actory bakery under ANZSIC93 and ANZSIC06 (together with anecdotal evidence on Non-factory bakery in chapter 5), suggest that Non-factory bakery is </w:t>
      </w:r>
      <w:r w:rsidR="00681EAE">
        <w:t xml:space="preserve">more </w:t>
      </w:r>
      <w:r w:rsidRPr="00681EAE">
        <w:t xml:space="preserve">likely </w:t>
      </w:r>
      <w:r w:rsidR="00681EAE">
        <w:t xml:space="preserve">than Factory bakery </w:t>
      </w:r>
      <w:r w:rsidRPr="00681EAE">
        <w:t xml:space="preserve">to have been the main contributor to </w:t>
      </w:r>
      <w:r w:rsidR="00155B8A">
        <w:t>employment</w:t>
      </w:r>
      <w:r w:rsidR="00CB75D2">
        <w:t xml:space="preserve"> and </w:t>
      </w:r>
      <w:r w:rsidR="00155B8A">
        <w:t xml:space="preserve">VA </w:t>
      </w:r>
      <w:r w:rsidRPr="00681EAE">
        <w:t xml:space="preserve">growth in </w:t>
      </w:r>
      <w:r w:rsidR="008334F5" w:rsidRPr="00681EAE">
        <w:t xml:space="preserve">ANZSIC06 </w:t>
      </w:r>
      <w:r w:rsidRPr="00681EAE">
        <w:t xml:space="preserve">Bakery in total over </w:t>
      </w:r>
      <w:r w:rsidR="009930C4" w:rsidRPr="00681EAE">
        <w:t>cycle</w:t>
      </w:r>
      <w:r w:rsidR="009930C4">
        <w:t> </w:t>
      </w:r>
      <w:r w:rsidRPr="00681EAE">
        <w:t>4.</w:t>
      </w:r>
      <w:r>
        <w:t xml:space="preserve"> </w:t>
      </w:r>
    </w:p>
    <w:p w:rsidR="00095C42" w:rsidRDefault="00C3384D" w:rsidP="00C3384D">
      <w:pPr>
        <w:pStyle w:val="Heading5"/>
      </w:pPr>
      <w:r>
        <w:t>Value added</w:t>
      </w:r>
    </w:p>
    <w:p w:rsidR="00095C42" w:rsidRDefault="00E51D45" w:rsidP="00095C42">
      <w:pPr>
        <w:pStyle w:val="BodyText"/>
      </w:pPr>
      <w:r>
        <w:t xml:space="preserve">Figure </w:t>
      </w:r>
      <w:proofErr w:type="spellStart"/>
      <w:r w:rsidR="00B06C44">
        <w:t>G.10</w:t>
      </w:r>
      <w:proofErr w:type="spellEnd"/>
      <w:r>
        <w:t xml:space="preserve"> shows that there was little growth in Factory bakery over cycle 3. Growth in Factory bakery from 2006-07 to 2007-08 was higher than over cycle 3 — but it should be noted that Factory bakery under ANZSIC06 </w:t>
      </w:r>
      <w:r w:rsidR="00144746">
        <w:t xml:space="preserve">also </w:t>
      </w:r>
      <w:r>
        <w:t xml:space="preserve">includes </w:t>
      </w:r>
      <w:r w:rsidR="00144746">
        <w:t xml:space="preserve">an expanded range of activities with additions from </w:t>
      </w:r>
      <w:r>
        <w:t xml:space="preserve">elsewhere in FBT manufacturing. </w:t>
      </w:r>
    </w:p>
    <w:p w:rsidR="00095C42" w:rsidRDefault="00095C42" w:rsidP="00095C42">
      <w:pPr>
        <w:pStyle w:val="FigureTitle"/>
      </w:pPr>
      <w:r>
        <w:rPr>
          <w:b w:val="0"/>
        </w:rPr>
        <w:t xml:space="preserve">Figure </w:t>
      </w:r>
      <w:bookmarkStart w:id="24" w:name="OLE_LINK11"/>
      <w:proofErr w:type="spellStart"/>
      <w:r w:rsidR="00B06C44">
        <w:rPr>
          <w:b w:val="0"/>
        </w:rPr>
        <w:t>G.</w:t>
      </w:r>
      <w:r w:rsidR="00FE417C">
        <w:rPr>
          <w:b w:val="0"/>
          <w:noProof/>
        </w:rPr>
        <w:t>10</w:t>
      </w:r>
      <w:bookmarkEnd w:id="24"/>
      <w:proofErr w:type="spellEnd"/>
      <w:r>
        <w:tab/>
      </w:r>
      <w:r w:rsidR="0082186A">
        <w:t xml:space="preserve">Nominal value added </w:t>
      </w:r>
      <w:r w:rsidR="00F675F4">
        <w:t>of</w:t>
      </w:r>
      <w:r>
        <w:t xml:space="preserve"> Bakery product manufacturing</w:t>
      </w:r>
      <w:r w:rsidR="0045595D" w:rsidRPr="0045595D">
        <w:rPr>
          <w:rStyle w:val="NoteLabel"/>
          <w:b/>
        </w:rPr>
        <w:t>a</w:t>
      </w:r>
    </w:p>
    <w:p w:rsidR="00E32DCE" w:rsidRPr="00E32DCE" w:rsidRDefault="00E32DCE" w:rsidP="00E32DCE">
      <w:pPr>
        <w:pStyle w:val="Subtitle"/>
      </w:pPr>
      <w:r w:rsidRPr="00E32DCE">
        <w:t>$m</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95C42" w:rsidTr="00F228D4">
        <w:tc>
          <w:tcPr>
            <w:tcW w:w="8777" w:type="dxa"/>
          </w:tcPr>
          <w:p w:rsidR="00095C42" w:rsidRDefault="002B607E" w:rsidP="002274FF">
            <w:pPr>
              <w:pStyle w:val="Figure"/>
              <w:spacing w:before="0" w:after="0"/>
            </w:pPr>
            <w:r>
              <w:rPr>
                <w:noProof/>
              </w:rPr>
              <w:pict>
                <v:shape id="_x0000_i1039" type="#_x0000_t75" alt="This figure shows little growth in Factory bakery over cycle 3. Growth in Factory bakery from 2006-07 to 2007-08 was higher than over cycle 3 but it should be noted that Factory bakery under ANZSIC06 also includes an expanded range of activities with additions from elsewhere in FBT manufacturing. The figure separately shows the significant rise in Bakery product manufacturing value added following the inclusion of non-factory baking under ANZSIC06 " style="width:424.45pt;height:198.4pt">
                  <v:imagedata r:id="rId23" o:title=""/>
                </v:shape>
              </w:pict>
            </w:r>
          </w:p>
        </w:tc>
      </w:tr>
    </w:tbl>
    <w:p w:rsidR="00095C42" w:rsidRPr="00F62EE1" w:rsidRDefault="00095C42" w:rsidP="00F62EE1">
      <w:pPr>
        <w:pStyle w:val="Note"/>
      </w:pPr>
      <w:r w:rsidRPr="00F62EE1">
        <w:rPr>
          <w:rStyle w:val="NoteLabel"/>
        </w:rPr>
        <w:t>a</w:t>
      </w:r>
      <w:r w:rsidRPr="00F62EE1">
        <w:t xml:space="preserve"> </w:t>
      </w:r>
      <w:r w:rsidR="00CA5B28" w:rsidRPr="00F62EE1">
        <w:t>B</w:t>
      </w:r>
      <w:r w:rsidRPr="00F62EE1">
        <w:t>reak</w:t>
      </w:r>
      <w:r w:rsidR="00B8339E" w:rsidRPr="00F62EE1">
        <w:t>s</w:t>
      </w:r>
      <w:r w:rsidRPr="00F62EE1">
        <w:t xml:space="preserve"> in series</w:t>
      </w:r>
      <w:r w:rsidR="00B8339E" w:rsidRPr="00F62EE1">
        <w:t>:</w:t>
      </w:r>
      <w:r w:rsidR="00CA5B28" w:rsidRPr="00F62EE1">
        <w:t xml:space="preserve"> </w:t>
      </w:r>
      <w:r w:rsidR="00BA6659" w:rsidRPr="00F62EE1">
        <w:t xml:space="preserve">change in survey methodology in </w:t>
      </w:r>
      <w:r w:rsidR="00CA5B28" w:rsidRPr="00F62EE1">
        <w:t>2000-01</w:t>
      </w:r>
      <w:r w:rsidRPr="00F62EE1">
        <w:t xml:space="preserve"> </w:t>
      </w:r>
      <w:r w:rsidR="0045595D" w:rsidRPr="00F62EE1">
        <w:t>(appendix A)</w:t>
      </w:r>
      <w:r w:rsidR="00B8339E" w:rsidRPr="00F62EE1">
        <w:t xml:space="preserve">; </w:t>
      </w:r>
      <w:r w:rsidR="00F56C98" w:rsidRPr="00F62EE1">
        <w:t xml:space="preserve">shift from ANZSIC93 to </w:t>
      </w:r>
      <w:r w:rsidRPr="00F62EE1">
        <w:t>ANZSIC06</w:t>
      </w:r>
      <w:r w:rsidR="00B8339E" w:rsidRPr="00F62EE1">
        <w:t xml:space="preserve"> </w:t>
      </w:r>
      <w:r w:rsidR="00BA6659" w:rsidRPr="00F62EE1">
        <w:t xml:space="preserve">in 2006-07 </w:t>
      </w:r>
      <w:r w:rsidR="00B8339E" w:rsidRPr="00F62EE1">
        <w:t>(</w:t>
      </w:r>
      <w:r w:rsidR="00F56C98" w:rsidRPr="00F62EE1">
        <w:t xml:space="preserve">ANZSIC06 </w:t>
      </w:r>
      <w:r w:rsidR="0045595D" w:rsidRPr="00F62EE1">
        <w:t xml:space="preserve">Non-factory bakery </w:t>
      </w:r>
      <w:r w:rsidR="00F56C98" w:rsidRPr="00F62EE1">
        <w:t>added from outside Manufacturing; and ANZSIC06 Bakery (factory) include</w:t>
      </w:r>
      <w:r w:rsidR="00B8339E" w:rsidRPr="00F62EE1">
        <w:t>d</w:t>
      </w:r>
      <w:r w:rsidR="00F56C98" w:rsidRPr="00F62EE1">
        <w:t xml:space="preserve"> </w:t>
      </w:r>
      <w:r w:rsidR="0045595D" w:rsidRPr="00F62EE1">
        <w:t xml:space="preserve">additional activities </w:t>
      </w:r>
      <w:r w:rsidR="00F56C98" w:rsidRPr="00F62EE1">
        <w:t xml:space="preserve">not in </w:t>
      </w:r>
      <w:r w:rsidR="0045595D" w:rsidRPr="00F62EE1">
        <w:t>ANZSIC93 Bakery (factory)</w:t>
      </w:r>
      <w:r w:rsidR="00B8339E" w:rsidRPr="00F62EE1">
        <w:t>)</w:t>
      </w:r>
      <w:r w:rsidR="0045595D" w:rsidRPr="00F62EE1">
        <w:t xml:space="preserve">. </w:t>
      </w:r>
    </w:p>
    <w:p w:rsidR="00095C42" w:rsidRDefault="00095C42" w:rsidP="00095C42">
      <w:pPr>
        <w:pStyle w:val="Source"/>
      </w:pPr>
      <w:r>
        <w:rPr>
          <w:i/>
        </w:rPr>
        <w:t>Data source</w:t>
      </w:r>
      <w:r w:rsidR="00491D2B">
        <w:rPr>
          <w:i/>
        </w:rPr>
        <w:t>s</w:t>
      </w:r>
      <w:r w:rsidRPr="00167F06">
        <w:t xml:space="preserve">: </w:t>
      </w:r>
      <w:r w:rsidR="0045595D" w:rsidRPr="00AD3F77">
        <w:t xml:space="preserve">ABS </w:t>
      </w:r>
      <w:r w:rsidR="0045595D">
        <w:t>(</w:t>
      </w:r>
      <w:r w:rsidR="0045595D">
        <w:rPr>
          <w:i/>
        </w:rPr>
        <w:t xml:space="preserve">Manufacturing Industry, Australia, </w:t>
      </w:r>
      <w:r w:rsidR="00491D2B" w:rsidRPr="00491D2B">
        <w:t>various issues,</w:t>
      </w:r>
      <w:r w:rsidR="00491D2B">
        <w:rPr>
          <w:i/>
        </w:rPr>
        <w:t xml:space="preserve"> </w:t>
      </w:r>
      <w:r w:rsidR="0045595D">
        <w:t>Cat. no. 8221.0</w:t>
      </w:r>
      <w:r w:rsidR="001C6D0E">
        <w:t>)</w:t>
      </w:r>
      <w:r w:rsidR="0045595D">
        <w:t xml:space="preserve">; </w:t>
      </w:r>
      <w:r w:rsidR="00207607">
        <w:t>ABS (</w:t>
      </w:r>
      <w:r w:rsidR="00207607" w:rsidRPr="00BA5552">
        <w:rPr>
          <w:i/>
        </w:rPr>
        <w:t>Experimental Estimates for the Manufacturing Industry</w:t>
      </w:r>
      <w:r w:rsidR="00207607" w:rsidRPr="00BA5552">
        <w:t xml:space="preserve">, </w:t>
      </w:r>
      <w:r w:rsidR="00207607">
        <w:t xml:space="preserve">various issues, </w:t>
      </w:r>
      <w:r w:rsidR="00207607" w:rsidRPr="00BA5552">
        <w:t>Cat. no.</w:t>
      </w:r>
      <w:r w:rsidR="00207607">
        <w:t> </w:t>
      </w:r>
      <w:r w:rsidR="00207607" w:rsidRPr="00BA5552">
        <w:t>8159.0</w:t>
      </w:r>
      <w:r w:rsidR="00207607">
        <w:t xml:space="preserve">); </w:t>
      </w:r>
      <w:r w:rsidR="001C6D0E">
        <w:t>ABS (</w:t>
      </w:r>
      <w:r w:rsidR="0045595D">
        <w:rPr>
          <w:i/>
        </w:rPr>
        <w:t>Australian Industry</w:t>
      </w:r>
      <w:r w:rsidR="00A84136">
        <w:t xml:space="preserve">, </w:t>
      </w:r>
      <w:r w:rsidR="00491D2B" w:rsidRPr="00491D2B">
        <w:t>various issues,</w:t>
      </w:r>
      <w:r w:rsidR="00491D2B">
        <w:rPr>
          <w:i/>
        </w:rPr>
        <w:t xml:space="preserve"> </w:t>
      </w:r>
      <w:r w:rsidR="00A84136">
        <w:t>Cat. no. 8155.0</w:t>
      </w:r>
      <w:r w:rsidR="0045595D" w:rsidRPr="00AD3F77">
        <w:t>).</w:t>
      </w:r>
    </w:p>
    <w:p w:rsidR="00141E87" w:rsidRDefault="00141E87" w:rsidP="00141E87">
      <w:pPr>
        <w:pStyle w:val="BodyText"/>
      </w:pPr>
      <w:r>
        <w:lastRenderedPageBreak/>
        <w:t>Very limited information is available on the growth of Non-factory bakery prior to 2006-07. Box 5.10 in chapter 5 provided some qualitative indicators of stronger growth in Non-factory bakery than Factory bakery over the longer term. The ANZSIC93 class ‘Other food retailing’ (in which Non-factory bakery was included under ANZSIC93) does have stronger growth in turnover over cycle 4 than cycle 3</w:t>
      </w:r>
      <w:r w:rsidR="00EF405B">
        <w:t xml:space="preserve"> (</w:t>
      </w:r>
      <w:r w:rsidR="00EF405B" w:rsidRPr="00A176AE">
        <w:t>ABS 2009).</w:t>
      </w:r>
      <w:r w:rsidR="00EF405B">
        <w:t xml:space="preserve"> H</w:t>
      </w:r>
      <w:r>
        <w:t>owever, this increase in growth could also be attributable to the other retailing activities in this ANZSIC93 class in addition to Non-factory bakery</w:t>
      </w:r>
      <w:r w:rsidR="00EF405B">
        <w:t>.</w:t>
      </w:r>
      <w:r>
        <w:t xml:space="preserve"> </w:t>
      </w:r>
    </w:p>
    <w:p w:rsidR="00C3384D" w:rsidRDefault="00B83064" w:rsidP="00C3384D">
      <w:pPr>
        <w:pStyle w:val="Heading5"/>
      </w:pPr>
      <w:r>
        <w:t>L</w:t>
      </w:r>
      <w:r w:rsidR="0013660A">
        <w:t>abour</w:t>
      </w:r>
    </w:p>
    <w:p w:rsidR="007F5A07" w:rsidRDefault="009B5DD6" w:rsidP="0013660A">
      <w:pPr>
        <w:pStyle w:val="BodyText"/>
      </w:pPr>
      <w:r>
        <w:t xml:space="preserve">Factory bakery and Non-factory bakery employment can be compared on a similar basis to that used for VA. </w:t>
      </w:r>
      <w:r w:rsidR="0013660A">
        <w:t xml:space="preserve">Missing </w:t>
      </w:r>
      <w:r w:rsidR="007F5A07">
        <w:t xml:space="preserve">EAS </w:t>
      </w:r>
      <w:r w:rsidR="0013660A">
        <w:t>data for 2007-08 (when the ABS did not publish ANZSIC group data for employment) hamper the comparison</w:t>
      </w:r>
      <w:r w:rsidR="00FB688F">
        <w:t>. B</w:t>
      </w:r>
      <w:r w:rsidR="0013660A">
        <w:t xml:space="preserve">ut </w:t>
      </w:r>
      <w:r>
        <w:t xml:space="preserve">there is an alternative source of </w:t>
      </w:r>
      <w:r w:rsidR="0013660A">
        <w:t>data from the LFS</w:t>
      </w:r>
      <w:r w:rsidR="007F5A07">
        <w:t xml:space="preserve"> for total Bakery (including Non-factory)</w:t>
      </w:r>
      <w:r w:rsidR="0013660A">
        <w:t xml:space="preserve">. </w:t>
      </w:r>
    </w:p>
    <w:p w:rsidR="0013660A" w:rsidRPr="0013660A" w:rsidRDefault="0013660A" w:rsidP="0013660A">
      <w:pPr>
        <w:pStyle w:val="BodyText"/>
      </w:pPr>
      <w:r>
        <w:t xml:space="preserve">EAS data suggest that employment in Factory </w:t>
      </w:r>
      <w:r w:rsidR="007F5A07">
        <w:t>b</w:t>
      </w:r>
      <w:r>
        <w:t xml:space="preserve">akery </w:t>
      </w:r>
      <w:r w:rsidR="00FB688F">
        <w:t>has been</w:t>
      </w:r>
      <w:r>
        <w:t xml:space="preserve"> relatively </w:t>
      </w:r>
      <w:r w:rsidR="00FB688F">
        <w:t>stable</w:t>
      </w:r>
      <w:r w:rsidR="007F5A07">
        <w:t xml:space="preserve"> (figure</w:t>
      </w:r>
      <w:r w:rsidR="00FB688F">
        <w:t> </w:t>
      </w:r>
      <w:proofErr w:type="spellStart"/>
      <w:r w:rsidR="00B06C44">
        <w:t>G.11</w:t>
      </w:r>
      <w:proofErr w:type="spellEnd"/>
      <w:r w:rsidR="007F5A07">
        <w:t>)</w:t>
      </w:r>
      <w:r>
        <w:t xml:space="preserve">. </w:t>
      </w:r>
      <w:r w:rsidR="00366F6A">
        <w:t xml:space="preserve">Therefore, while </w:t>
      </w:r>
      <w:r>
        <w:t xml:space="preserve">the EAS and LFS data are not directly comparable (as discussed in section </w:t>
      </w:r>
      <w:proofErr w:type="spellStart"/>
      <w:r w:rsidR="00B06C44">
        <w:t>G.1</w:t>
      </w:r>
      <w:proofErr w:type="spellEnd"/>
      <w:r>
        <w:t xml:space="preserve">), </w:t>
      </w:r>
      <w:r w:rsidR="00366F6A">
        <w:t>this suggest</w:t>
      </w:r>
      <w:r w:rsidR="00155B8A">
        <w:t>s</w:t>
      </w:r>
      <w:r w:rsidR="00366F6A">
        <w:t xml:space="preserve"> that </w:t>
      </w:r>
      <w:r>
        <w:t xml:space="preserve">Non-factory bakery </w:t>
      </w:r>
      <w:r w:rsidR="008C105C">
        <w:t>wa</w:t>
      </w:r>
      <w:r>
        <w:t xml:space="preserve">s more likely to be behind the </w:t>
      </w:r>
      <w:r w:rsidR="00366F6A">
        <w:t xml:space="preserve">increase in </w:t>
      </w:r>
      <w:r>
        <w:t>growth in the LFS employment series</w:t>
      </w:r>
      <w:r w:rsidR="00366F6A">
        <w:t xml:space="preserve"> over cycle 4</w:t>
      </w:r>
      <w:r>
        <w:t xml:space="preserve">. </w:t>
      </w:r>
      <w:r w:rsidR="00366F6A">
        <w:t xml:space="preserve">However, the LFS employment series has been backcast into ANZSIC06 and is subject to potential measurement error (as discussed in section </w:t>
      </w:r>
      <w:proofErr w:type="spellStart"/>
      <w:r w:rsidR="00B06C44">
        <w:t>G.1</w:t>
      </w:r>
      <w:proofErr w:type="spellEnd"/>
      <w:r w:rsidR="00366F6A">
        <w:t>).</w:t>
      </w:r>
    </w:p>
    <w:p w:rsidR="00AA56DC" w:rsidRDefault="00AA56DC" w:rsidP="00AA56DC">
      <w:pPr>
        <w:pStyle w:val="FigureTitle"/>
      </w:pPr>
      <w:r>
        <w:rPr>
          <w:b w:val="0"/>
        </w:rPr>
        <w:t xml:space="preserve">Figure </w:t>
      </w:r>
      <w:bookmarkStart w:id="25" w:name="OLE_LINK14"/>
      <w:proofErr w:type="spellStart"/>
      <w:r w:rsidR="00B06C44">
        <w:rPr>
          <w:b w:val="0"/>
        </w:rPr>
        <w:t>G.</w:t>
      </w:r>
      <w:r w:rsidR="00FE417C">
        <w:rPr>
          <w:b w:val="0"/>
          <w:noProof/>
        </w:rPr>
        <w:t>11</w:t>
      </w:r>
      <w:bookmarkEnd w:id="25"/>
      <w:proofErr w:type="spellEnd"/>
      <w:r>
        <w:tab/>
      </w:r>
      <w:r w:rsidR="00F675F4">
        <w:t xml:space="preserve">Employment in </w:t>
      </w:r>
      <w:r>
        <w:t>Bakery product manufacturing</w:t>
      </w:r>
      <w:r w:rsidR="00E63900" w:rsidRPr="00E63900">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A56DC" w:rsidTr="00940824">
        <w:tc>
          <w:tcPr>
            <w:tcW w:w="8777" w:type="dxa"/>
          </w:tcPr>
          <w:p w:rsidR="00AA56DC" w:rsidRDefault="002B607E" w:rsidP="002274FF">
            <w:pPr>
              <w:pStyle w:val="Figure"/>
              <w:spacing w:before="0" w:after="0"/>
            </w:pPr>
            <w:r>
              <w:rPr>
                <w:noProof/>
              </w:rPr>
              <w:pict>
                <v:shape id="_x0000_i1040" type="#_x0000_t75" alt="This figure compares employment in Factory bakery and ANZSIC06 Bakery, including Non-factory bakery using EAS and LFS data. Missing EAS data for 2007-08 hamper the comparison but there is also an alternative source of data from the LFS for ANZSIC06 Bakery. The figures shows that employment in Factory bakery is relatively flat." style="width:424.45pt;height:226.05pt">
                  <v:imagedata r:id="rId24" o:title=""/>
                </v:shape>
              </w:pict>
            </w:r>
          </w:p>
        </w:tc>
      </w:tr>
    </w:tbl>
    <w:p w:rsidR="00BA6659" w:rsidRDefault="00BA6659" w:rsidP="00BA6659">
      <w:pPr>
        <w:pStyle w:val="Note"/>
        <w:spacing w:before="40" w:line="200" w:lineRule="exact"/>
      </w:pPr>
      <w:r>
        <w:rPr>
          <w:rStyle w:val="NoteLabel"/>
        </w:rPr>
        <w:t>a</w:t>
      </w:r>
      <w:r>
        <w:t xml:space="preserve"> Breaks in series: change in survey methodology in 2000-01 (appendix A); shift from ANZSIC93 to ANZSIC06 in 2006-07 (ANZSIC06 Non-factory bakery added from outside Manufacturing; and ANZSIC06 Bakery (factory) included additional activities not in ANZSIC93 Bakery (factory)). </w:t>
      </w:r>
    </w:p>
    <w:p w:rsidR="0013660A" w:rsidRDefault="0013660A" w:rsidP="00EF405B">
      <w:pPr>
        <w:pStyle w:val="Source"/>
        <w:spacing w:after="0" w:line="200" w:lineRule="exact"/>
      </w:pPr>
      <w:r>
        <w:rPr>
          <w:i/>
        </w:rPr>
        <w:t>Data source</w:t>
      </w:r>
      <w:r w:rsidR="00DF0E87">
        <w:rPr>
          <w:i/>
        </w:rPr>
        <w:t>s</w:t>
      </w:r>
      <w:r w:rsidRPr="00167F06">
        <w:t xml:space="preserve">: </w:t>
      </w:r>
      <w:r w:rsidRPr="00AD3F77">
        <w:t xml:space="preserve">ABS </w:t>
      </w:r>
      <w:r>
        <w:t>(</w:t>
      </w:r>
      <w:r>
        <w:rPr>
          <w:i/>
        </w:rPr>
        <w:t xml:space="preserve">Manufacturing Industry, Australia, </w:t>
      </w:r>
      <w:r w:rsidR="00895930" w:rsidRPr="00895930">
        <w:t>various issues,</w:t>
      </w:r>
      <w:r w:rsidR="00895930">
        <w:rPr>
          <w:i/>
        </w:rPr>
        <w:t xml:space="preserve"> </w:t>
      </w:r>
      <w:r>
        <w:t>Cat. no. 8221.0</w:t>
      </w:r>
      <w:r w:rsidR="00BD6105">
        <w:t>)</w:t>
      </w:r>
      <w:r>
        <w:t xml:space="preserve">; </w:t>
      </w:r>
      <w:r w:rsidR="00207607">
        <w:t>ABS (</w:t>
      </w:r>
      <w:r w:rsidR="00207607" w:rsidRPr="00BA5552">
        <w:rPr>
          <w:i/>
        </w:rPr>
        <w:t>Experimental Estimates for the Manufacturing Industry</w:t>
      </w:r>
      <w:r w:rsidR="00207607" w:rsidRPr="00BA5552">
        <w:t xml:space="preserve">, </w:t>
      </w:r>
      <w:r w:rsidR="00207607">
        <w:t xml:space="preserve">various issues, </w:t>
      </w:r>
      <w:r w:rsidR="00207607" w:rsidRPr="00BA5552">
        <w:t>Cat. no.</w:t>
      </w:r>
      <w:r w:rsidR="00207607">
        <w:t> </w:t>
      </w:r>
      <w:r w:rsidR="00207607" w:rsidRPr="00BA5552">
        <w:t>8159.0</w:t>
      </w:r>
      <w:r w:rsidR="00207607">
        <w:t xml:space="preserve">); </w:t>
      </w:r>
      <w:r w:rsidR="00BD6105">
        <w:t>ABS (</w:t>
      </w:r>
      <w:r>
        <w:rPr>
          <w:i/>
        </w:rPr>
        <w:t>Australian Industry</w:t>
      </w:r>
      <w:r>
        <w:t xml:space="preserve">, </w:t>
      </w:r>
      <w:r w:rsidR="00895930" w:rsidRPr="00895930">
        <w:t>various issues,</w:t>
      </w:r>
      <w:r w:rsidR="00895930">
        <w:rPr>
          <w:i/>
        </w:rPr>
        <w:t xml:space="preserve"> </w:t>
      </w:r>
      <w:r>
        <w:t>Cat. no.</w:t>
      </w:r>
      <w:r w:rsidR="00E90022">
        <w:t> </w:t>
      </w:r>
      <w:r>
        <w:t>8155.0</w:t>
      </w:r>
      <w:r w:rsidR="00BD6105">
        <w:t>)</w:t>
      </w:r>
      <w:r>
        <w:t xml:space="preserve">; </w:t>
      </w:r>
      <w:r w:rsidR="00BD6105">
        <w:t>ABS (</w:t>
      </w:r>
      <w:r w:rsidRPr="00AD3F77">
        <w:t xml:space="preserve">unpublished </w:t>
      </w:r>
      <w:r w:rsidR="00BD6105">
        <w:t>Labour Force Survey</w:t>
      </w:r>
      <w:r w:rsidRPr="00AD3F77">
        <w:t xml:space="preserve"> data).</w:t>
      </w:r>
    </w:p>
    <w:p w:rsidR="00095C42" w:rsidRDefault="00095C42" w:rsidP="00A06DA8">
      <w:pPr>
        <w:pStyle w:val="Heading5"/>
      </w:pPr>
      <w:r>
        <w:lastRenderedPageBreak/>
        <w:t>Capital</w:t>
      </w:r>
    </w:p>
    <w:p w:rsidR="00F6645E" w:rsidRPr="00F6645E" w:rsidRDefault="00F6645E" w:rsidP="00F6645E">
      <w:pPr>
        <w:pStyle w:val="BodyText"/>
      </w:pPr>
      <w:r>
        <w:t xml:space="preserve">Limited data are available </w:t>
      </w:r>
      <w:r w:rsidR="00336573">
        <w:t>for investment in</w:t>
      </w:r>
      <w:r>
        <w:t xml:space="preserve"> Bakery</w:t>
      </w:r>
      <w:r w:rsidR="00254000">
        <w:t xml:space="preserve"> product manufacturing</w:t>
      </w:r>
      <w:r>
        <w:t>. Figure</w:t>
      </w:r>
      <w:r w:rsidR="00254000">
        <w:t> </w:t>
      </w:r>
      <w:proofErr w:type="spellStart"/>
      <w:r w:rsidR="00B06C44">
        <w:t>G.12</w:t>
      </w:r>
      <w:proofErr w:type="spellEnd"/>
      <w:r>
        <w:t xml:space="preserve"> shows Non-factory bakery investment was </w:t>
      </w:r>
      <w:r w:rsidR="005434DB">
        <w:t xml:space="preserve">around </w:t>
      </w:r>
      <w:r w:rsidR="004E3D0B">
        <w:t xml:space="preserve">30 per cent </w:t>
      </w:r>
      <w:r w:rsidR="005434DB">
        <w:t xml:space="preserve">of </w:t>
      </w:r>
      <w:r w:rsidR="00336573">
        <w:t xml:space="preserve">the </w:t>
      </w:r>
      <w:r w:rsidR="005434DB">
        <w:t>Bakery total</w:t>
      </w:r>
      <w:r w:rsidR="004E3D0B" w:rsidRPr="004E3D0B">
        <w:t xml:space="preserve"> </w:t>
      </w:r>
      <w:r w:rsidR="004E3D0B">
        <w:t>in 2006-07</w:t>
      </w:r>
      <w:r w:rsidR="005434DB">
        <w:t>.</w:t>
      </w:r>
      <w:r w:rsidR="00EE5DC3">
        <w:t xml:space="preserve"> Earlier data for Non-factory bakery are not available.</w:t>
      </w:r>
    </w:p>
    <w:p w:rsidR="00095C42" w:rsidRDefault="00095C42" w:rsidP="00095C42">
      <w:pPr>
        <w:pStyle w:val="FigureTitle"/>
      </w:pPr>
      <w:r>
        <w:rPr>
          <w:b w:val="0"/>
        </w:rPr>
        <w:t xml:space="preserve">Figure </w:t>
      </w:r>
      <w:bookmarkStart w:id="26" w:name="OLE_LINK10"/>
      <w:proofErr w:type="spellStart"/>
      <w:r w:rsidR="00B06C44">
        <w:rPr>
          <w:b w:val="0"/>
        </w:rPr>
        <w:t>G.</w:t>
      </w:r>
      <w:r w:rsidR="00FE417C">
        <w:rPr>
          <w:b w:val="0"/>
          <w:noProof/>
        </w:rPr>
        <w:t>12</w:t>
      </w:r>
      <w:bookmarkEnd w:id="26"/>
      <w:proofErr w:type="spellEnd"/>
      <w:r>
        <w:tab/>
        <w:t>Investment</w:t>
      </w:r>
      <w:r w:rsidR="00CB1D7C" w:rsidRPr="00CB1D7C">
        <w:rPr>
          <w:rStyle w:val="NoteLabel"/>
          <w:b/>
        </w:rPr>
        <w:t>a</w:t>
      </w:r>
      <w:r>
        <w:t xml:space="preserve"> </w:t>
      </w:r>
      <w:r w:rsidR="00F675F4">
        <w:t>of</w:t>
      </w:r>
      <w:r>
        <w:t xml:space="preserve"> Bakery product manufacturing</w:t>
      </w:r>
      <w:r w:rsidR="00CB1D7C" w:rsidRPr="00CB1D7C">
        <w:rPr>
          <w:rStyle w:val="NoteLabel"/>
          <w:b/>
        </w:rPr>
        <w:t>b</w:t>
      </w:r>
    </w:p>
    <w:p w:rsidR="00095C42" w:rsidRDefault="00095C42" w:rsidP="00095C42">
      <w:pPr>
        <w:pStyle w:val="Subtitle"/>
      </w:pPr>
      <w:r>
        <w:t>$m</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95C42" w:rsidTr="00F228D4">
        <w:tc>
          <w:tcPr>
            <w:tcW w:w="8777" w:type="dxa"/>
          </w:tcPr>
          <w:p w:rsidR="00095C42" w:rsidRDefault="002B607E" w:rsidP="0037605F">
            <w:pPr>
              <w:pStyle w:val="Figure"/>
              <w:spacing w:before="0" w:after="0"/>
            </w:pPr>
            <w:r>
              <w:rPr>
                <w:noProof/>
              </w:rPr>
              <w:pict>
                <v:shape id="_x0000_i1041" type="#_x0000_t75" alt="This figure shows some variability in investment within Factory bakery groups in Bakery product manufacturing from 2001-02 to 2006-07. When Non-factory baking was included in Bakery under ANZSIC06, the figure shows that Non-factory bakery investment was around 30 per cent of total Bakery investment." style="width:424.45pt;height:198.4pt">
                  <v:imagedata r:id="rId25" o:title=""/>
                </v:shape>
              </w:pict>
            </w:r>
          </w:p>
        </w:tc>
      </w:tr>
    </w:tbl>
    <w:p w:rsidR="00CB1D7C" w:rsidRPr="00E248A5" w:rsidRDefault="00CB1D7C" w:rsidP="00CB1D7C">
      <w:pPr>
        <w:pStyle w:val="Note"/>
      </w:pPr>
      <w:r>
        <w:rPr>
          <w:rStyle w:val="NoteLabel"/>
        </w:rPr>
        <w:t xml:space="preserve">a </w:t>
      </w:r>
      <w:r w:rsidR="00376ABB" w:rsidRPr="00376ABB">
        <w:t>Current prices.</w:t>
      </w:r>
      <w:r w:rsidR="00376ABB">
        <w:rPr>
          <w:rStyle w:val="NoteLabel"/>
        </w:rPr>
        <w:t xml:space="preserve"> </w:t>
      </w:r>
      <w:r w:rsidR="00843A3B">
        <w:t xml:space="preserve">Investment is total acquisitions (expenditure on the acquisition of capital including plant, machinery and equipment, buildings, and other assets) and is not net of disposals of assets. </w:t>
      </w:r>
      <w:r>
        <w:rPr>
          <w:rStyle w:val="NoteLabel"/>
        </w:rPr>
        <w:t>b</w:t>
      </w:r>
      <w:r>
        <w:t xml:space="preserve"> Affected by ANZSIC change so groups/classes are only broadly comparable. Baking includes </w:t>
      </w:r>
      <w:r w:rsidR="00E15617">
        <w:t>N</w:t>
      </w:r>
      <w:r>
        <w:t>on-factory bak</w:t>
      </w:r>
      <w:r w:rsidR="00E15617">
        <w:t>ery</w:t>
      </w:r>
      <w:r>
        <w:t xml:space="preserve"> only in 2006-07.</w:t>
      </w:r>
    </w:p>
    <w:p w:rsidR="007B1C97" w:rsidRDefault="00CB1D7C" w:rsidP="00903EC0">
      <w:pPr>
        <w:pStyle w:val="Source"/>
      </w:pPr>
      <w:r>
        <w:rPr>
          <w:i/>
        </w:rPr>
        <w:t>Data source</w:t>
      </w:r>
      <w:r w:rsidRPr="00167F06">
        <w:t xml:space="preserve">: </w:t>
      </w:r>
      <w:r>
        <w:t>ABS (</w:t>
      </w:r>
      <w:r>
        <w:rPr>
          <w:i/>
        </w:rPr>
        <w:t xml:space="preserve">Manufacturing Industry, Australia, </w:t>
      </w:r>
      <w:r w:rsidR="00895930" w:rsidRPr="00895930">
        <w:t>various issues,</w:t>
      </w:r>
      <w:r w:rsidR="00895930">
        <w:rPr>
          <w:i/>
        </w:rPr>
        <w:t xml:space="preserve"> </w:t>
      </w:r>
      <w:r>
        <w:t>Cat. no. 8221.0).</w:t>
      </w:r>
    </w:p>
    <w:p w:rsidR="001D509A" w:rsidRDefault="001D509A" w:rsidP="001D509A">
      <w:pPr>
        <w:pStyle w:val="BodyText"/>
      </w:pPr>
    </w:p>
    <w:p w:rsidR="001D509A" w:rsidRDefault="001D509A" w:rsidP="001D509A">
      <w:pPr>
        <w:pStyle w:val="BodyText"/>
      </w:pPr>
    </w:p>
    <w:p w:rsidR="001D509A" w:rsidRDefault="001D509A" w:rsidP="001D509A">
      <w:pPr>
        <w:pStyle w:val="BodyText"/>
        <w:sectPr w:rsidR="001D509A" w:rsidSect="001D509A">
          <w:headerReference w:type="even" r:id="rId26"/>
          <w:headerReference w:type="default" r:id="rId27"/>
          <w:footerReference w:type="even" r:id="rId28"/>
          <w:footerReference w:type="default" r:id="rId29"/>
          <w:pgSz w:w="11907" w:h="16840" w:code="9"/>
          <w:pgMar w:top="1985" w:right="1304" w:bottom="1418" w:left="1814" w:header="1701" w:footer="567" w:gutter="0"/>
          <w:pgNumType w:start="269" w:chapStyle="1" w:chapSep="period"/>
          <w:cols w:space="720"/>
        </w:sectPr>
      </w:pPr>
    </w:p>
    <w:p w:rsidR="001D509A" w:rsidRPr="001D509A" w:rsidRDefault="001D509A" w:rsidP="001D509A">
      <w:pPr>
        <w:pStyle w:val="BodyText"/>
      </w:pPr>
    </w:p>
    <w:sectPr w:rsidR="001D509A" w:rsidRPr="001D509A" w:rsidSect="001D509A">
      <w:headerReference w:type="even" r:id="rId30"/>
      <w:footerReference w:type="even" r:id="rId31"/>
      <w:type w:val="evenPage"/>
      <w:pgSz w:w="11907" w:h="16840" w:code="9"/>
      <w:pgMar w:top="1985" w:right="1304" w:bottom="1418" w:left="1814" w:header="1701" w:footer="567" w:gutter="0"/>
      <w:pgNumType w:start="269"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534" w:rsidRDefault="00CF1534">
      <w:r>
        <w:separator/>
      </w:r>
    </w:p>
  </w:endnote>
  <w:endnote w:type="continuationSeparator" w:id="0">
    <w:p w:rsidR="00CF1534" w:rsidRDefault="00CF1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CF1534">
      <w:trPr>
        <w:trHeight w:hRule="exact" w:val="740"/>
      </w:trPr>
      <w:tc>
        <w:tcPr>
          <w:tcW w:w="510" w:type="dxa"/>
          <w:tcBorders>
            <w:top w:val="single" w:sz="6" w:space="0" w:color="auto"/>
          </w:tcBorders>
        </w:tcPr>
        <w:p w:rsidR="00CF1534" w:rsidRDefault="00CF1534"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554876">
            <w:rPr>
              <w:rStyle w:val="PageNumber"/>
              <w:noProof/>
            </w:rPr>
            <w:t>286</w:t>
          </w:r>
          <w:r>
            <w:rPr>
              <w:rStyle w:val="PageNumber"/>
            </w:rPr>
            <w:fldChar w:fldCharType="end"/>
          </w:r>
        </w:p>
      </w:tc>
      <w:tc>
        <w:tcPr>
          <w:tcW w:w="1644" w:type="dxa"/>
          <w:tcBorders>
            <w:top w:val="single" w:sz="6" w:space="0" w:color="auto"/>
          </w:tcBorders>
        </w:tcPr>
        <w:p w:rsidR="00CF1534" w:rsidRDefault="00D22430" w:rsidP="0019293B">
          <w:pPr>
            <w:pStyle w:val="Footer"/>
          </w:pPr>
          <w:fldSimple w:instr=" SUBJECT  \* MERGEFORMAT ">
            <w:r w:rsidR="007A6B32">
              <w:t>Productivity in Manufacturing</w:t>
            </w:r>
          </w:fldSimple>
        </w:p>
      </w:tc>
      <w:tc>
        <w:tcPr>
          <w:tcW w:w="6634" w:type="dxa"/>
        </w:tcPr>
        <w:p w:rsidR="00CF1534" w:rsidRDefault="00CF1534" w:rsidP="0019293B">
          <w:pPr>
            <w:pStyle w:val="Footer"/>
          </w:pPr>
        </w:p>
      </w:tc>
    </w:tr>
  </w:tbl>
  <w:p w:rsidR="00CF1534" w:rsidRDefault="00CF1534"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CF1534">
      <w:trPr>
        <w:trHeight w:hRule="exact" w:val="740"/>
      </w:trPr>
      <w:tc>
        <w:tcPr>
          <w:tcW w:w="6634" w:type="dxa"/>
        </w:tcPr>
        <w:p w:rsidR="00CF1534" w:rsidRDefault="00CF1534">
          <w:pPr>
            <w:pStyle w:val="Footer"/>
            <w:ind w:right="360" w:firstLine="360"/>
          </w:pPr>
        </w:p>
      </w:tc>
      <w:tc>
        <w:tcPr>
          <w:tcW w:w="1644" w:type="dxa"/>
          <w:tcBorders>
            <w:top w:val="single" w:sz="6" w:space="0" w:color="auto"/>
          </w:tcBorders>
        </w:tcPr>
        <w:p w:rsidR="00CF1534" w:rsidRDefault="00FE417C">
          <w:pPr>
            <w:pStyle w:val="Footer"/>
          </w:pPr>
          <w:r>
            <w:fldChar w:fldCharType="begin"/>
          </w:r>
          <w:r>
            <w:instrText xml:space="preserve"> TITLE  \* MERGEFORMAT </w:instrText>
          </w:r>
          <w:r>
            <w:fldChar w:fldCharType="separate"/>
          </w:r>
          <w:r w:rsidR="007A6B32">
            <w:t xml:space="preserve">Additional information on </w:t>
          </w:r>
          <w:proofErr w:type="spellStart"/>
          <w:r w:rsidR="007A6B32">
            <w:t>FBT</w:t>
          </w:r>
          <w:proofErr w:type="spellEnd"/>
          <w:r>
            <w:fldChar w:fldCharType="end"/>
          </w:r>
        </w:p>
      </w:tc>
      <w:tc>
        <w:tcPr>
          <w:tcW w:w="510" w:type="dxa"/>
          <w:tcBorders>
            <w:top w:val="single" w:sz="6" w:space="0" w:color="auto"/>
          </w:tcBorders>
        </w:tcPr>
        <w:p w:rsidR="00CF1534" w:rsidRDefault="00CF1534">
          <w:pPr>
            <w:pStyle w:val="Footer"/>
            <w:jc w:val="right"/>
          </w:pPr>
          <w:r>
            <w:rPr>
              <w:rStyle w:val="PageNumber"/>
            </w:rPr>
            <w:fldChar w:fldCharType="begin"/>
          </w:r>
          <w:r>
            <w:rPr>
              <w:rStyle w:val="PageNumber"/>
            </w:rPr>
            <w:instrText xml:space="preserve">PAGE  </w:instrText>
          </w:r>
          <w:r>
            <w:rPr>
              <w:rStyle w:val="PageNumber"/>
            </w:rPr>
            <w:fldChar w:fldCharType="separate"/>
          </w:r>
          <w:r w:rsidR="00554876">
            <w:rPr>
              <w:rStyle w:val="PageNumber"/>
              <w:noProof/>
            </w:rPr>
            <w:t>269</w:t>
          </w:r>
          <w:r>
            <w:rPr>
              <w:rStyle w:val="PageNumber"/>
            </w:rPr>
            <w:fldChar w:fldCharType="end"/>
          </w:r>
        </w:p>
      </w:tc>
    </w:tr>
  </w:tbl>
  <w:p w:rsidR="00CF1534" w:rsidRDefault="00CF1534">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09A" w:rsidRDefault="001D509A" w:rsidP="0019293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534" w:rsidRDefault="00CF1534">
      <w:r>
        <w:separator/>
      </w:r>
    </w:p>
  </w:footnote>
  <w:footnote w:type="continuationSeparator" w:id="0">
    <w:p w:rsidR="00CF1534" w:rsidRDefault="00CF1534">
      <w:r>
        <w:continuationSeparator/>
      </w:r>
    </w:p>
  </w:footnote>
  <w:footnote w:id="1">
    <w:p w:rsidR="00CF1534" w:rsidRDefault="00CF1534">
      <w:pPr>
        <w:pStyle w:val="FootnoteText"/>
      </w:pPr>
      <w:r>
        <w:rPr>
          <w:rStyle w:val="FootnoteReference"/>
        </w:rPr>
        <w:footnoteRef/>
      </w:r>
      <w:r>
        <w:t xml:space="preserve"> </w:t>
      </w:r>
      <w:r>
        <w:tab/>
        <w:t>This is the current survey that underlies the ABS (</w:t>
      </w:r>
      <w:r w:rsidRPr="001E4F5A">
        <w:rPr>
          <w:i/>
        </w:rPr>
        <w:t>Australi</w:t>
      </w:r>
      <w:r>
        <w:rPr>
          <w:i/>
        </w:rPr>
        <w:t>an</w:t>
      </w:r>
      <w:r w:rsidRPr="001E4F5A">
        <w:rPr>
          <w:i/>
        </w:rPr>
        <w:t xml:space="preserve"> Industry,</w:t>
      </w:r>
      <w:r w:rsidRPr="001E4F5A">
        <w:t xml:space="preserve"> </w:t>
      </w:r>
      <w:r>
        <w:t>Cat. no. 8155.0) — earlier data comes from its predecessor, the Manufacturing Census (</w:t>
      </w:r>
      <w:r>
        <w:rPr>
          <w:i/>
        </w:rPr>
        <w:t xml:space="preserve">Manufacturing Industry, Australia, </w:t>
      </w:r>
      <w:r>
        <w:t xml:space="preserve">Cat. no. 8221.0). </w:t>
      </w:r>
    </w:p>
  </w:footnote>
  <w:footnote w:id="2">
    <w:p w:rsidR="00CF1534" w:rsidRDefault="00CF1534">
      <w:pPr>
        <w:pStyle w:val="FootnoteText"/>
      </w:pPr>
      <w:r>
        <w:rPr>
          <w:rStyle w:val="FootnoteReference"/>
        </w:rPr>
        <w:footnoteRef/>
      </w:r>
      <w:r>
        <w:t xml:space="preserve"> </w:t>
      </w:r>
      <w:r>
        <w:tab/>
        <w:t>See appendix A for further details.</w:t>
      </w:r>
    </w:p>
  </w:footnote>
  <w:footnote w:id="3">
    <w:p w:rsidR="00CF1534" w:rsidRDefault="00CF1534" w:rsidP="00B61888">
      <w:pPr>
        <w:pStyle w:val="FootnoteText"/>
      </w:pPr>
      <w:r>
        <w:rPr>
          <w:rStyle w:val="FootnoteReference"/>
        </w:rPr>
        <w:footnoteRef/>
      </w:r>
      <w:r>
        <w:t xml:space="preserve"> </w:t>
      </w:r>
      <w:r>
        <w:tab/>
        <w:t>ABS (</w:t>
      </w:r>
      <w:r>
        <w:rPr>
          <w:i/>
        </w:rPr>
        <w:t xml:space="preserve">Manufacturing Industry, Australia, </w:t>
      </w:r>
      <w:r>
        <w:t xml:space="preserve">Cat. no. 8221.0, 2006-07) provided </w:t>
      </w:r>
      <w:proofErr w:type="spellStart"/>
      <w:r>
        <w:t>backcast</w:t>
      </w:r>
      <w:proofErr w:type="spellEnd"/>
      <w:r>
        <w:t xml:space="preserve"> data for 2005-06 and 2004-05 in </w:t>
      </w:r>
      <w:proofErr w:type="spellStart"/>
      <w:r>
        <w:t>ANZSIC06</w:t>
      </w:r>
      <w:proofErr w:type="spellEnd"/>
      <w:r>
        <w:t xml:space="preserve"> that can be compared with </w:t>
      </w:r>
      <w:proofErr w:type="spellStart"/>
      <w:r>
        <w:t>ANZSIC93</w:t>
      </w:r>
      <w:proofErr w:type="spellEnd"/>
      <w:r>
        <w:t xml:space="preserve"> data from ABS (</w:t>
      </w:r>
      <w:r>
        <w:rPr>
          <w:i/>
        </w:rPr>
        <w:t xml:space="preserve">Manufacturing Industry, Australia, </w:t>
      </w:r>
      <w:r>
        <w:t>Cat. no. 8221.0, 2005-06). The equivalent percentages are 3.7 for Food and 0 for BT.</w:t>
      </w:r>
    </w:p>
  </w:footnote>
  <w:footnote w:id="4">
    <w:p w:rsidR="00CF1534" w:rsidRDefault="00CF1534" w:rsidP="00080DFA">
      <w:pPr>
        <w:pStyle w:val="FootnoteText"/>
      </w:pPr>
      <w:r>
        <w:rPr>
          <w:rStyle w:val="FootnoteReference"/>
        </w:rPr>
        <w:footnoteRef/>
      </w:r>
      <w:r>
        <w:t xml:space="preserve"> </w:t>
      </w:r>
      <w:r>
        <w:tab/>
        <w:t xml:space="preserve">The figure presents subdivision </w:t>
      </w:r>
      <w:proofErr w:type="spellStart"/>
      <w:r>
        <w:t>PPIs</w:t>
      </w:r>
      <w:proofErr w:type="spellEnd"/>
      <w:r>
        <w:t xml:space="preserve"> for Food and BT from 2001-02. For 1998-99 to 2000-01, aggregate </w:t>
      </w:r>
      <w:proofErr w:type="spellStart"/>
      <w:r>
        <w:t>PPIs</w:t>
      </w:r>
      <w:proofErr w:type="spellEnd"/>
      <w:r>
        <w:t xml:space="preserve"> were not available as </w:t>
      </w:r>
      <w:proofErr w:type="spellStart"/>
      <w:r>
        <w:t>PPIs</w:t>
      </w:r>
      <w:proofErr w:type="spellEnd"/>
      <w:r>
        <w:t xml:space="preserve"> for two </w:t>
      </w:r>
      <w:proofErr w:type="spellStart"/>
      <w:r>
        <w:t>ANZSIC</w:t>
      </w:r>
      <w:proofErr w:type="spellEnd"/>
      <w:r>
        <w:t xml:space="preserve"> groups were not available. Real VA estimates for Food and BT were derived as the sum of </w:t>
      </w:r>
      <w:proofErr w:type="spellStart"/>
      <w:r>
        <w:t>ANZSIC</w:t>
      </w:r>
      <w:proofErr w:type="spellEnd"/>
      <w:r>
        <w:t xml:space="preserve"> group level estimates, using the </w:t>
      </w:r>
      <w:proofErr w:type="spellStart"/>
      <w:r>
        <w:t>PPIs</w:t>
      </w:r>
      <w:proofErr w:type="spellEnd"/>
      <w:r>
        <w:t xml:space="preserve"> for the closest available </w:t>
      </w:r>
      <w:proofErr w:type="spellStart"/>
      <w:r>
        <w:t>ANZSIC</w:t>
      </w:r>
      <w:proofErr w:type="spellEnd"/>
      <w:r>
        <w:t xml:space="preserve"> group/class to </w:t>
      </w:r>
      <w:proofErr w:type="spellStart"/>
      <w:r>
        <w:t>backcast</w:t>
      </w:r>
      <w:proofErr w:type="spellEnd"/>
      <w:r>
        <w:t xml:space="preserve"> the missing PPI series. </w:t>
      </w:r>
    </w:p>
  </w:footnote>
  <w:footnote w:id="5">
    <w:p w:rsidR="00CF1534" w:rsidRDefault="00CF1534">
      <w:pPr>
        <w:pStyle w:val="FootnoteText"/>
      </w:pPr>
      <w:r w:rsidRPr="00B144BE">
        <w:footnoteRef/>
      </w:r>
      <w:r>
        <w:t xml:space="preserve"> </w:t>
      </w:r>
      <w:r>
        <w:tab/>
      </w:r>
      <w:r w:rsidRPr="00B144BE">
        <w:t xml:space="preserve">Real </w:t>
      </w:r>
      <w:r>
        <w:t xml:space="preserve">VA </w:t>
      </w:r>
      <w:r w:rsidRPr="00B144BE">
        <w:t xml:space="preserve">is calculated by deflating </w:t>
      </w:r>
      <w:r>
        <w:t>nominal industry</w:t>
      </w:r>
      <w:r w:rsidRPr="00B144BE">
        <w:t xml:space="preserve"> </w:t>
      </w:r>
      <w:r>
        <w:t>VA</w:t>
      </w:r>
      <w:r w:rsidRPr="00B144BE">
        <w:t xml:space="preserve"> </w:t>
      </w:r>
      <w:r>
        <w:t xml:space="preserve">for each </w:t>
      </w:r>
      <w:proofErr w:type="spellStart"/>
      <w:r>
        <w:t>ANZSIC</w:t>
      </w:r>
      <w:proofErr w:type="spellEnd"/>
      <w:r>
        <w:t xml:space="preserve"> group with the</w:t>
      </w:r>
      <w:r w:rsidRPr="00B144BE">
        <w:t xml:space="preserve"> relevant producer price index</w:t>
      </w:r>
      <w:r>
        <w:t xml:space="preserve"> for output.</w:t>
      </w:r>
    </w:p>
  </w:footnote>
  <w:footnote w:id="6">
    <w:p w:rsidR="00CF1534" w:rsidRDefault="00CF1534" w:rsidP="00B477A3">
      <w:pPr>
        <w:pStyle w:val="FootnoteText"/>
      </w:pPr>
      <w:r>
        <w:rPr>
          <w:rStyle w:val="FootnoteReference"/>
        </w:rPr>
        <w:footnoteRef/>
      </w:r>
      <w:r>
        <w:t xml:space="preserve"> </w:t>
      </w:r>
      <w:r>
        <w:tab/>
        <w:t xml:space="preserve">This is based on an alternative data source (ABS </w:t>
      </w:r>
      <w:proofErr w:type="spellStart"/>
      <w:r>
        <w:t>EAS</w:t>
      </w:r>
      <w:proofErr w:type="spellEnd"/>
      <w:r>
        <w:t xml:space="preserve">) to that used in the capital services estimates. Investment in the </w:t>
      </w:r>
      <w:proofErr w:type="spellStart"/>
      <w:r>
        <w:t>EAS</w:t>
      </w:r>
      <w:proofErr w:type="spellEnd"/>
      <w:r>
        <w:t xml:space="preserve"> is around 80 per cent of the authors’ estimates of </w:t>
      </w:r>
      <w:proofErr w:type="spellStart"/>
      <w:r>
        <w:t>FBT</w:t>
      </w:r>
      <w:proofErr w:type="spellEnd"/>
      <w:r>
        <w:t xml:space="preserve"> gross fixed capital formation.</w:t>
      </w:r>
    </w:p>
  </w:footnote>
  <w:footnote w:id="7">
    <w:p w:rsidR="00CF1534" w:rsidRDefault="00CF1534" w:rsidP="00DB6807">
      <w:pPr>
        <w:pStyle w:val="FootnoteText"/>
      </w:pPr>
      <w:r>
        <w:rPr>
          <w:rStyle w:val="FootnoteReference"/>
        </w:rPr>
        <w:footnoteRef/>
      </w:r>
      <w:r>
        <w:t xml:space="preserve"> </w:t>
      </w:r>
      <w:r>
        <w:tab/>
      </w:r>
      <w:r w:rsidRPr="00540CA8">
        <w:t>Derived from producer statistics in ABS</w:t>
      </w:r>
      <w:r>
        <w:t xml:space="preserve"> (</w:t>
      </w:r>
      <w:r w:rsidRPr="005E0DA7">
        <w:rPr>
          <w:i/>
        </w:rPr>
        <w:t>Australian Wine and Grape Industry</w:t>
      </w:r>
      <w:r w:rsidRPr="00A64F7B">
        <w:t>, Cat. no. 1329.0</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F1534">
      <w:tc>
        <w:tcPr>
          <w:tcW w:w="2155" w:type="dxa"/>
          <w:tcBorders>
            <w:top w:val="single" w:sz="24" w:space="0" w:color="auto"/>
          </w:tcBorders>
        </w:tcPr>
        <w:p w:rsidR="00CF1534" w:rsidRDefault="00CF1534" w:rsidP="0019293B">
          <w:pPr>
            <w:pStyle w:val="HeaderEven"/>
          </w:pPr>
        </w:p>
      </w:tc>
      <w:tc>
        <w:tcPr>
          <w:tcW w:w="6634" w:type="dxa"/>
          <w:tcBorders>
            <w:top w:val="single" w:sz="6" w:space="0" w:color="auto"/>
          </w:tcBorders>
        </w:tcPr>
        <w:p w:rsidR="00CF1534" w:rsidRDefault="00CF1534" w:rsidP="0019293B">
          <w:pPr>
            <w:pStyle w:val="HeaderEven"/>
          </w:pPr>
        </w:p>
      </w:tc>
    </w:tr>
  </w:tbl>
  <w:p w:rsidR="00CF1534" w:rsidRDefault="00CF1534"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F1534">
      <w:tc>
        <w:tcPr>
          <w:tcW w:w="6634" w:type="dxa"/>
          <w:tcBorders>
            <w:top w:val="single" w:sz="6" w:space="0" w:color="auto"/>
          </w:tcBorders>
        </w:tcPr>
        <w:p w:rsidR="00CF1534" w:rsidRDefault="00CF1534" w:rsidP="00E669E2">
          <w:pPr>
            <w:pStyle w:val="HeaderOdd"/>
          </w:pPr>
        </w:p>
      </w:tc>
      <w:tc>
        <w:tcPr>
          <w:tcW w:w="2155" w:type="dxa"/>
          <w:tcBorders>
            <w:top w:val="single" w:sz="24" w:space="0" w:color="auto"/>
          </w:tcBorders>
        </w:tcPr>
        <w:p w:rsidR="00CF1534" w:rsidRDefault="00CF1534" w:rsidP="00E669E2">
          <w:pPr>
            <w:pStyle w:val="HeaderOdd"/>
          </w:pPr>
        </w:p>
      </w:tc>
    </w:tr>
  </w:tbl>
  <w:p w:rsidR="00CF1534" w:rsidRDefault="00CF1534"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09A" w:rsidRDefault="001D509A" w:rsidP="0019293B">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16"/>
  </w:num>
  <w:num w:numId="3">
    <w:abstractNumId w:val="1"/>
  </w:num>
  <w:num w:numId="4">
    <w:abstractNumId w:val="11"/>
  </w:num>
  <w:num w:numId="5">
    <w:abstractNumId w:val="2"/>
  </w:num>
  <w:num w:numId="6">
    <w:abstractNumId w:val="15"/>
  </w:num>
  <w:num w:numId="7">
    <w:abstractNumId w:val="13"/>
  </w:num>
  <w:num w:numId="8">
    <w:abstractNumId w:val="17"/>
  </w:num>
  <w:num w:numId="9">
    <w:abstractNumId w:val="6"/>
  </w:num>
  <w:num w:numId="10">
    <w:abstractNumId w:val="12"/>
  </w:num>
  <w:num w:numId="11">
    <w:abstractNumId w:val="5"/>
  </w:num>
  <w:num w:numId="12">
    <w:abstractNumId w:val="4"/>
  </w:num>
  <w:num w:numId="13">
    <w:abstractNumId w:val="7"/>
  </w:num>
  <w:num w:numId="14">
    <w:abstractNumId w:val="8"/>
  </w:num>
  <w:num w:numId="15">
    <w:abstractNumId w:val="10"/>
  </w:num>
  <w:num w:numId="16">
    <w:abstractNumId w:val="3"/>
  </w:num>
  <w:num w:numId="17">
    <w:abstractNumId w:val="14"/>
  </w:num>
  <w:num w:numId="18">
    <w:abstractNumId w:val="0"/>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9">
    <w:abstractNumId w:val="0"/>
    <w:lvlOverride w:ilvl="0">
      <w:lvl w:ilvl="0">
        <w:start w:val="1"/>
        <w:numFmt w:val="bullet"/>
        <w:lvlText w:val=""/>
        <w:legacy w:legacy="1" w:legacySpace="0" w:legacyIndent="340"/>
        <w:lvlJc w:val="left"/>
        <w:pPr>
          <w:ind w:left="340" w:hanging="340"/>
        </w:pPr>
        <w:rPr>
          <w:rFonts w:ascii="Symbol" w:hAnsi="Symbol" w:hint="default"/>
          <w:sz w:val="18"/>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G"/>
    <w:docVar w:name="FindingOptions" w:val="1"/>
    <w:docVar w:name="RecOptions" w:val="111"/>
    <w:docVar w:name="ShortChapterTitle" w:val="Additional information on FBT"/>
    <w:docVar w:name="ShortReportTitle" w:val="Productivity in Manufacturing"/>
  </w:docVars>
  <w:rsids>
    <w:rsidRoot w:val="00C96386"/>
    <w:rsid w:val="000004EF"/>
    <w:rsid w:val="00006A6B"/>
    <w:rsid w:val="000106E8"/>
    <w:rsid w:val="00011DFE"/>
    <w:rsid w:val="00013E78"/>
    <w:rsid w:val="00013ED0"/>
    <w:rsid w:val="000200FB"/>
    <w:rsid w:val="000227D5"/>
    <w:rsid w:val="000232BB"/>
    <w:rsid w:val="000245AA"/>
    <w:rsid w:val="000260F8"/>
    <w:rsid w:val="000365DC"/>
    <w:rsid w:val="0003664B"/>
    <w:rsid w:val="0004111F"/>
    <w:rsid w:val="000544C8"/>
    <w:rsid w:val="000548FD"/>
    <w:rsid w:val="0005557E"/>
    <w:rsid w:val="00055BDD"/>
    <w:rsid w:val="000565B3"/>
    <w:rsid w:val="000616AE"/>
    <w:rsid w:val="00070AC9"/>
    <w:rsid w:val="0007150B"/>
    <w:rsid w:val="000774CB"/>
    <w:rsid w:val="00080DFA"/>
    <w:rsid w:val="00081816"/>
    <w:rsid w:val="00086B4D"/>
    <w:rsid w:val="00092496"/>
    <w:rsid w:val="000938F5"/>
    <w:rsid w:val="00095C42"/>
    <w:rsid w:val="00096A8B"/>
    <w:rsid w:val="00096E55"/>
    <w:rsid w:val="00097DCF"/>
    <w:rsid w:val="000A046F"/>
    <w:rsid w:val="000A0700"/>
    <w:rsid w:val="000A2C30"/>
    <w:rsid w:val="000A7547"/>
    <w:rsid w:val="000B0C5B"/>
    <w:rsid w:val="000B546C"/>
    <w:rsid w:val="000B601B"/>
    <w:rsid w:val="000B617C"/>
    <w:rsid w:val="000C207E"/>
    <w:rsid w:val="000D2934"/>
    <w:rsid w:val="000D6813"/>
    <w:rsid w:val="000D6B8E"/>
    <w:rsid w:val="000E1E02"/>
    <w:rsid w:val="000E32C3"/>
    <w:rsid w:val="000E4530"/>
    <w:rsid w:val="000E599E"/>
    <w:rsid w:val="000F0035"/>
    <w:rsid w:val="000F21DF"/>
    <w:rsid w:val="000F420B"/>
    <w:rsid w:val="00104628"/>
    <w:rsid w:val="00110116"/>
    <w:rsid w:val="001109F2"/>
    <w:rsid w:val="00112836"/>
    <w:rsid w:val="00113D65"/>
    <w:rsid w:val="00113F7D"/>
    <w:rsid w:val="001140A9"/>
    <w:rsid w:val="0011510B"/>
    <w:rsid w:val="00120072"/>
    <w:rsid w:val="00125815"/>
    <w:rsid w:val="00126EB8"/>
    <w:rsid w:val="001274D4"/>
    <w:rsid w:val="001363AA"/>
    <w:rsid w:val="0013660A"/>
    <w:rsid w:val="00136F41"/>
    <w:rsid w:val="00141E87"/>
    <w:rsid w:val="00144746"/>
    <w:rsid w:val="00146100"/>
    <w:rsid w:val="0015120A"/>
    <w:rsid w:val="00154CFA"/>
    <w:rsid w:val="00155B8A"/>
    <w:rsid w:val="001612B0"/>
    <w:rsid w:val="00163543"/>
    <w:rsid w:val="00165B70"/>
    <w:rsid w:val="00183E82"/>
    <w:rsid w:val="001878BB"/>
    <w:rsid w:val="00191AE0"/>
    <w:rsid w:val="0019293B"/>
    <w:rsid w:val="0019426B"/>
    <w:rsid w:val="001A2720"/>
    <w:rsid w:val="001B50BE"/>
    <w:rsid w:val="001C06C9"/>
    <w:rsid w:val="001C0865"/>
    <w:rsid w:val="001C18E6"/>
    <w:rsid w:val="001C1AC7"/>
    <w:rsid w:val="001C2CC8"/>
    <w:rsid w:val="001C3ABA"/>
    <w:rsid w:val="001C55DB"/>
    <w:rsid w:val="001C6D0E"/>
    <w:rsid w:val="001C775F"/>
    <w:rsid w:val="001D509A"/>
    <w:rsid w:val="001D5541"/>
    <w:rsid w:val="001E0AEA"/>
    <w:rsid w:val="001E4DB2"/>
    <w:rsid w:val="001E4F5A"/>
    <w:rsid w:val="001E7BE8"/>
    <w:rsid w:val="001F0248"/>
    <w:rsid w:val="001F2A97"/>
    <w:rsid w:val="001F2F92"/>
    <w:rsid w:val="001F3EB3"/>
    <w:rsid w:val="001F4B88"/>
    <w:rsid w:val="001F4F86"/>
    <w:rsid w:val="001F75AF"/>
    <w:rsid w:val="00201A67"/>
    <w:rsid w:val="0020296B"/>
    <w:rsid w:val="00202C2C"/>
    <w:rsid w:val="00207607"/>
    <w:rsid w:val="002135AB"/>
    <w:rsid w:val="002144BE"/>
    <w:rsid w:val="0021454A"/>
    <w:rsid w:val="00217317"/>
    <w:rsid w:val="00217F0D"/>
    <w:rsid w:val="00225BAA"/>
    <w:rsid w:val="00226515"/>
    <w:rsid w:val="002274FF"/>
    <w:rsid w:val="00235ACA"/>
    <w:rsid w:val="00236BD8"/>
    <w:rsid w:val="00236C29"/>
    <w:rsid w:val="00242279"/>
    <w:rsid w:val="002439B9"/>
    <w:rsid w:val="00244320"/>
    <w:rsid w:val="00245C82"/>
    <w:rsid w:val="00246447"/>
    <w:rsid w:val="00254000"/>
    <w:rsid w:val="0026099A"/>
    <w:rsid w:val="00264239"/>
    <w:rsid w:val="002747C0"/>
    <w:rsid w:val="00281645"/>
    <w:rsid w:val="00291B40"/>
    <w:rsid w:val="00294E4B"/>
    <w:rsid w:val="002A0E74"/>
    <w:rsid w:val="002A10E0"/>
    <w:rsid w:val="002A31B5"/>
    <w:rsid w:val="002B08E3"/>
    <w:rsid w:val="002B3D5F"/>
    <w:rsid w:val="002B4008"/>
    <w:rsid w:val="002B607E"/>
    <w:rsid w:val="002C43D1"/>
    <w:rsid w:val="002C5E2F"/>
    <w:rsid w:val="002D0E8E"/>
    <w:rsid w:val="002D457E"/>
    <w:rsid w:val="00300577"/>
    <w:rsid w:val="00301189"/>
    <w:rsid w:val="00302B89"/>
    <w:rsid w:val="003134CE"/>
    <w:rsid w:val="003163EF"/>
    <w:rsid w:val="00317F5B"/>
    <w:rsid w:val="00323E09"/>
    <w:rsid w:val="00324F58"/>
    <w:rsid w:val="00324F6D"/>
    <w:rsid w:val="0032645E"/>
    <w:rsid w:val="00327ED3"/>
    <w:rsid w:val="0033346F"/>
    <w:rsid w:val="00333932"/>
    <w:rsid w:val="00335161"/>
    <w:rsid w:val="00336573"/>
    <w:rsid w:val="00340043"/>
    <w:rsid w:val="00343739"/>
    <w:rsid w:val="00346D4B"/>
    <w:rsid w:val="003518AA"/>
    <w:rsid w:val="00352165"/>
    <w:rsid w:val="0035267D"/>
    <w:rsid w:val="00352F01"/>
    <w:rsid w:val="00353182"/>
    <w:rsid w:val="00353C92"/>
    <w:rsid w:val="003565D9"/>
    <w:rsid w:val="003602E1"/>
    <w:rsid w:val="003634EE"/>
    <w:rsid w:val="00363696"/>
    <w:rsid w:val="00365BB3"/>
    <w:rsid w:val="00366F49"/>
    <w:rsid w:val="00366F6A"/>
    <w:rsid w:val="0037026F"/>
    <w:rsid w:val="00370DC1"/>
    <w:rsid w:val="00371240"/>
    <w:rsid w:val="0037247E"/>
    <w:rsid w:val="00373C27"/>
    <w:rsid w:val="00374731"/>
    <w:rsid w:val="0037605F"/>
    <w:rsid w:val="00376ABB"/>
    <w:rsid w:val="00376E59"/>
    <w:rsid w:val="003825E7"/>
    <w:rsid w:val="0038316E"/>
    <w:rsid w:val="00386FC7"/>
    <w:rsid w:val="00390032"/>
    <w:rsid w:val="00391014"/>
    <w:rsid w:val="003919F9"/>
    <w:rsid w:val="00392409"/>
    <w:rsid w:val="003937CE"/>
    <w:rsid w:val="003973E7"/>
    <w:rsid w:val="003C180B"/>
    <w:rsid w:val="003C38B5"/>
    <w:rsid w:val="003C5D99"/>
    <w:rsid w:val="003D0C40"/>
    <w:rsid w:val="003D559F"/>
    <w:rsid w:val="003E2F59"/>
    <w:rsid w:val="003E3991"/>
    <w:rsid w:val="003E3ED8"/>
    <w:rsid w:val="003E5A60"/>
    <w:rsid w:val="003E71AC"/>
    <w:rsid w:val="003F0789"/>
    <w:rsid w:val="003F5BC7"/>
    <w:rsid w:val="004000DC"/>
    <w:rsid w:val="00401882"/>
    <w:rsid w:val="00401AED"/>
    <w:rsid w:val="004100C8"/>
    <w:rsid w:val="00411DBD"/>
    <w:rsid w:val="00412ACE"/>
    <w:rsid w:val="00417DAA"/>
    <w:rsid w:val="0042184A"/>
    <w:rsid w:val="00423FBB"/>
    <w:rsid w:val="00431249"/>
    <w:rsid w:val="00434C19"/>
    <w:rsid w:val="0043795F"/>
    <w:rsid w:val="00437B15"/>
    <w:rsid w:val="004475FF"/>
    <w:rsid w:val="00450810"/>
    <w:rsid w:val="0045271E"/>
    <w:rsid w:val="00452ACB"/>
    <w:rsid w:val="0045595D"/>
    <w:rsid w:val="00464124"/>
    <w:rsid w:val="004737E7"/>
    <w:rsid w:val="004767A0"/>
    <w:rsid w:val="00476BA2"/>
    <w:rsid w:val="00476C9E"/>
    <w:rsid w:val="00477144"/>
    <w:rsid w:val="00477C6C"/>
    <w:rsid w:val="00480B4E"/>
    <w:rsid w:val="00481DA6"/>
    <w:rsid w:val="00482284"/>
    <w:rsid w:val="00491380"/>
    <w:rsid w:val="00491D2B"/>
    <w:rsid w:val="0049459F"/>
    <w:rsid w:val="00497911"/>
    <w:rsid w:val="00497BCE"/>
    <w:rsid w:val="004A38DD"/>
    <w:rsid w:val="004A3A94"/>
    <w:rsid w:val="004A5B93"/>
    <w:rsid w:val="004A6E2E"/>
    <w:rsid w:val="004B0726"/>
    <w:rsid w:val="004B14BC"/>
    <w:rsid w:val="004B43AE"/>
    <w:rsid w:val="004C1231"/>
    <w:rsid w:val="004C30ED"/>
    <w:rsid w:val="004C768B"/>
    <w:rsid w:val="004D4748"/>
    <w:rsid w:val="004D5675"/>
    <w:rsid w:val="004E0F1E"/>
    <w:rsid w:val="004E3D0B"/>
    <w:rsid w:val="004E423F"/>
    <w:rsid w:val="004E59CD"/>
    <w:rsid w:val="004F064A"/>
    <w:rsid w:val="004F391F"/>
    <w:rsid w:val="004F5F15"/>
    <w:rsid w:val="004F5F95"/>
    <w:rsid w:val="004F7F67"/>
    <w:rsid w:val="00504B4E"/>
    <w:rsid w:val="00507E3C"/>
    <w:rsid w:val="00513716"/>
    <w:rsid w:val="005202C7"/>
    <w:rsid w:val="00523639"/>
    <w:rsid w:val="005243D2"/>
    <w:rsid w:val="00530040"/>
    <w:rsid w:val="00531FE5"/>
    <w:rsid w:val="005402FA"/>
    <w:rsid w:val="00540CA8"/>
    <w:rsid w:val="00541F6E"/>
    <w:rsid w:val="005434DB"/>
    <w:rsid w:val="005444C1"/>
    <w:rsid w:val="00544695"/>
    <w:rsid w:val="00554876"/>
    <w:rsid w:val="00555643"/>
    <w:rsid w:val="00561212"/>
    <w:rsid w:val="0056247B"/>
    <w:rsid w:val="00570655"/>
    <w:rsid w:val="00575243"/>
    <w:rsid w:val="00583C39"/>
    <w:rsid w:val="00584893"/>
    <w:rsid w:val="0058583D"/>
    <w:rsid w:val="00587F28"/>
    <w:rsid w:val="005909CF"/>
    <w:rsid w:val="005913F9"/>
    <w:rsid w:val="00591E71"/>
    <w:rsid w:val="0059272E"/>
    <w:rsid w:val="00595C89"/>
    <w:rsid w:val="005A01F0"/>
    <w:rsid w:val="005A0D41"/>
    <w:rsid w:val="005A2575"/>
    <w:rsid w:val="005A6AE9"/>
    <w:rsid w:val="005B0DCC"/>
    <w:rsid w:val="005B106E"/>
    <w:rsid w:val="005B1850"/>
    <w:rsid w:val="005B2449"/>
    <w:rsid w:val="005B2CBD"/>
    <w:rsid w:val="005B613C"/>
    <w:rsid w:val="005C3ADD"/>
    <w:rsid w:val="005C4308"/>
    <w:rsid w:val="005D090F"/>
    <w:rsid w:val="005D33BD"/>
    <w:rsid w:val="005D790C"/>
    <w:rsid w:val="005D7FA7"/>
    <w:rsid w:val="005E0DA7"/>
    <w:rsid w:val="005E2245"/>
    <w:rsid w:val="005F7594"/>
    <w:rsid w:val="005F7D05"/>
    <w:rsid w:val="00607BF1"/>
    <w:rsid w:val="0061038E"/>
    <w:rsid w:val="00613E4C"/>
    <w:rsid w:val="006204F2"/>
    <w:rsid w:val="00621BFD"/>
    <w:rsid w:val="0062681B"/>
    <w:rsid w:val="00630046"/>
    <w:rsid w:val="00630D4D"/>
    <w:rsid w:val="00632A74"/>
    <w:rsid w:val="00644559"/>
    <w:rsid w:val="006519A3"/>
    <w:rsid w:val="0065641B"/>
    <w:rsid w:val="006607ED"/>
    <w:rsid w:val="00674AC2"/>
    <w:rsid w:val="006755DA"/>
    <w:rsid w:val="006778BB"/>
    <w:rsid w:val="006806EF"/>
    <w:rsid w:val="006815CF"/>
    <w:rsid w:val="00681EAE"/>
    <w:rsid w:val="006857F0"/>
    <w:rsid w:val="00686603"/>
    <w:rsid w:val="00690564"/>
    <w:rsid w:val="00692B9D"/>
    <w:rsid w:val="00692DEB"/>
    <w:rsid w:val="00694EB1"/>
    <w:rsid w:val="00697F06"/>
    <w:rsid w:val="006A452E"/>
    <w:rsid w:val="006A4655"/>
    <w:rsid w:val="006B2B3C"/>
    <w:rsid w:val="006B3E7F"/>
    <w:rsid w:val="006B7575"/>
    <w:rsid w:val="006C1D81"/>
    <w:rsid w:val="006C459F"/>
    <w:rsid w:val="006C501D"/>
    <w:rsid w:val="006C7038"/>
    <w:rsid w:val="006D3044"/>
    <w:rsid w:val="006D3CFB"/>
    <w:rsid w:val="006D4403"/>
    <w:rsid w:val="006D7AD2"/>
    <w:rsid w:val="006E0711"/>
    <w:rsid w:val="006E49BD"/>
    <w:rsid w:val="006E6E07"/>
    <w:rsid w:val="006E73EF"/>
    <w:rsid w:val="006F72FA"/>
    <w:rsid w:val="007065EF"/>
    <w:rsid w:val="00714709"/>
    <w:rsid w:val="00714D4D"/>
    <w:rsid w:val="00715291"/>
    <w:rsid w:val="00716DFB"/>
    <w:rsid w:val="007246BB"/>
    <w:rsid w:val="00731880"/>
    <w:rsid w:val="00731D4F"/>
    <w:rsid w:val="0073580C"/>
    <w:rsid w:val="0074076A"/>
    <w:rsid w:val="00744133"/>
    <w:rsid w:val="00746D79"/>
    <w:rsid w:val="007525C0"/>
    <w:rsid w:val="00753701"/>
    <w:rsid w:val="00757EB8"/>
    <w:rsid w:val="007604BB"/>
    <w:rsid w:val="007613C6"/>
    <w:rsid w:val="00761667"/>
    <w:rsid w:val="00762D21"/>
    <w:rsid w:val="00765115"/>
    <w:rsid w:val="00767158"/>
    <w:rsid w:val="00780FE6"/>
    <w:rsid w:val="00785232"/>
    <w:rsid w:val="007944A7"/>
    <w:rsid w:val="007A0499"/>
    <w:rsid w:val="007A0C4A"/>
    <w:rsid w:val="007A21EB"/>
    <w:rsid w:val="007A3F29"/>
    <w:rsid w:val="007A485F"/>
    <w:rsid w:val="007A6B32"/>
    <w:rsid w:val="007B1A3B"/>
    <w:rsid w:val="007B1A93"/>
    <w:rsid w:val="007B1C97"/>
    <w:rsid w:val="007C0852"/>
    <w:rsid w:val="007C182C"/>
    <w:rsid w:val="007C1AFD"/>
    <w:rsid w:val="007C1BC3"/>
    <w:rsid w:val="007C30D1"/>
    <w:rsid w:val="007C36C9"/>
    <w:rsid w:val="007D2D66"/>
    <w:rsid w:val="007D334F"/>
    <w:rsid w:val="007D34F2"/>
    <w:rsid w:val="007D5BFE"/>
    <w:rsid w:val="007D6401"/>
    <w:rsid w:val="007E01E4"/>
    <w:rsid w:val="007F01DB"/>
    <w:rsid w:val="007F0449"/>
    <w:rsid w:val="007F087E"/>
    <w:rsid w:val="007F539A"/>
    <w:rsid w:val="007F5A07"/>
    <w:rsid w:val="007F7107"/>
    <w:rsid w:val="00800D4C"/>
    <w:rsid w:val="00804334"/>
    <w:rsid w:val="00805A92"/>
    <w:rsid w:val="0080762D"/>
    <w:rsid w:val="0081030F"/>
    <w:rsid w:val="00811344"/>
    <w:rsid w:val="00812ADA"/>
    <w:rsid w:val="0082087D"/>
    <w:rsid w:val="0082186A"/>
    <w:rsid w:val="00822C72"/>
    <w:rsid w:val="008334F5"/>
    <w:rsid w:val="00835771"/>
    <w:rsid w:val="00842933"/>
    <w:rsid w:val="00843A3B"/>
    <w:rsid w:val="00847D84"/>
    <w:rsid w:val="008519A4"/>
    <w:rsid w:val="0086082C"/>
    <w:rsid w:val="00864ADC"/>
    <w:rsid w:val="008702E0"/>
    <w:rsid w:val="00871F1F"/>
    <w:rsid w:val="00873516"/>
    <w:rsid w:val="0087632B"/>
    <w:rsid w:val="00880153"/>
    <w:rsid w:val="00880F97"/>
    <w:rsid w:val="0088133A"/>
    <w:rsid w:val="00882096"/>
    <w:rsid w:val="00890057"/>
    <w:rsid w:val="00890769"/>
    <w:rsid w:val="00890D7E"/>
    <w:rsid w:val="00890FEE"/>
    <w:rsid w:val="0089285E"/>
    <w:rsid w:val="0089436C"/>
    <w:rsid w:val="00895930"/>
    <w:rsid w:val="008A1FB1"/>
    <w:rsid w:val="008A4162"/>
    <w:rsid w:val="008A6D3E"/>
    <w:rsid w:val="008B0872"/>
    <w:rsid w:val="008B6856"/>
    <w:rsid w:val="008C105C"/>
    <w:rsid w:val="008C207A"/>
    <w:rsid w:val="008C4CCB"/>
    <w:rsid w:val="008C6753"/>
    <w:rsid w:val="008C71C0"/>
    <w:rsid w:val="008D365C"/>
    <w:rsid w:val="008D376C"/>
    <w:rsid w:val="008D7AF2"/>
    <w:rsid w:val="008E4450"/>
    <w:rsid w:val="008E4D66"/>
    <w:rsid w:val="009027EB"/>
    <w:rsid w:val="009030BF"/>
    <w:rsid w:val="00903EC0"/>
    <w:rsid w:val="009041A8"/>
    <w:rsid w:val="0091032F"/>
    <w:rsid w:val="0091366B"/>
    <w:rsid w:val="00913CAD"/>
    <w:rsid w:val="00914368"/>
    <w:rsid w:val="00917D74"/>
    <w:rsid w:val="00924EA0"/>
    <w:rsid w:val="00931076"/>
    <w:rsid w:val="0093171F"/>
    <w:rsid w:val="009345D9"/>
    <w:rsid w:val="00934B15"/>
    <w:rsid w:val="00935B23"/>
    <w:rsid w:val="00940824"/>
    <w:rsid w:val="00940C87"/>
    <w:rsid w:val="00942B62"/>
    <w:rsid w:val="009503C6"/>
    <w:rsid w:val="0095139C"/>
    <w:rsid w:val="009517F3"/>
    <w:rsid w:val="0095323B"/>
    <w:rsid w:val="0095432B"/>
    <w:rsid w:val="00956146"/>
    <w:rsid w:val="00956A0C"/>
    <w:rsid w:val="00956BD9"/>
    <w:rsid w:val="00957CDD"/>
    <w:rsid w:val="00962489"/>
    <w:rsid w:val="00962D1F"/>
    <w:rsid w:val="00965EF2"/>
    <w:rsid w:val="00966593"/>
    <w:rsid w:val="00966616"/>
    <w:rsid w:val="009730CD"/>
    <w:rsid w:val="0097545A"/>
    <w:rsid w:val="0098365A"/>
    <w:rsid w:val="00985351"/>
    <w:rsid w:val="0098790B"/>
    <w:rsid w:val="00990C2C"/>
    <w:rsid w:val="00990C31"/>
    <w:rsid w:val="0099102A"/>
    <w:rsid w:val="009930C4"/>
    <w:rsid w:val="00996033"/>
    <w:rsid w:val="009A0025"/>
    <w:rsid w:val="009A166B"/>
    <w:rsid w:val="009A184A"/>
    <w:rsid w:val="009A72CC"/>
    <w:rsid w:val="009B5BA9"/>
    <w:rsid w:val="009B5DD6"/>
    <w:rsid w:val="009B6ACF"/>
    <w:rsid w:val="009C185A"/>
    <w:rsid w:val="009D249D"/>
    <w:rsid w:val="009D5C8C"/>
    <w:rsid w:val="009D67C2"/>
    <w:rsid w:val="009D6DBB"/>
    <w:rsid w:val="009E1844"/>
    <w:rsid w:val="009E29B0"/>
    <w:rsid w:val="009E2E4A"/>
    <w:rsid w:val="009E34E0"/>
    <w:rsid w:val="009E6790"/>
    <w:rsid w:val="009F0D1B"/>
    <w:rsid w:val="009F37A7"/>
    <w:rsid w:val="009F696D"/>
    <w:rsid w:val="009F6BC6"/>
    <w:rsid w:val="00A06DA8"/>
    <w:rsid w:val="00A07139"/>
    <w:rsid w:val="00A17328"/>
    <w:rsid w:val="00A176AE"/>
    <w:rsid w:val="00A23A20"/>
    <w:rsid w:val="00A268B9"/>
    <w:rsid w:val="00A2703A"/>
    <w:rsid w:val="00A3089F"/>
    <w:rsid w:val="00A312B9"/>
    <w:rsid w:val="00A33DFF"/>
    <w:rsid w:val="00A348D5"/>
    <w:rsid w:val="00A35115"/>
    <w:rsid w:val="00A36123"/>
    <w:rsid w:val="00A3692C"/>
    <w:rsid w:val="00A36D9A"/>
    <w:rsid w:val="00A40A3A"/>
    <w:rsid w:val="00A4250D"/>
    <w:rsid w:val="00A45939"/>
    <w:rsid w:val="00A5219B"/>
    <w:rsid w:val="00A5320B"/>
    <w:rsid w:val="00A54215"/>
    <w:rsid w:val="00A554AB"/>
    <w:rsid w:val="00A57062"/>
    <w:rsid w:val="00A649D0"/>
    <w:rsid w:val="00A777ED"/>
    <w:rsid w:val="00A77A2F"/>
    <w:rsid w:val="00A810BD"/>
    <w:rsid w:val="00A818CE"/>
    <w:rsid w:val="00A83315"/>
    <w:rsid w:val="00A84136"/>
    <w:rsid w:val="00A921B8"/>
    <w:rsid w:val="00A92B53"/>
    <w:rsid w:val="00A94FA6"/>
    <w:rsid w:val="00A96B21"/>
    <w:rsid w:val="00AA2F67"/>
    <w:rsid w:val="00AA49A0"/>
    <w:rsid w:val="00AA56DC"/>
    <w:rsid w:val="00AA5AAC"/>
    <w:rsid w:val="00AA6710"/>
    <w:rsid w:val="00AB00C5"/>
    <w:rsid w:val="00AB0681"/>
    <w:rsid w:val="00AB19DE"/>
    <w:rsid w:val="00AB3DB2"/>
    <w:rsid w:val="00AB790F"/>
    <w:rsid w:val="00AC467B"/>
    <w:rsid w:val="00AC5094"/>
    <w:rsid w:val="00AD0DB6"/>
    <w:rsid w:val="00AD3F77"/>
    <w:rsid w:val="00AD520B"/>
    <w:rsid w:val="00AE685A"/>
    <w:rsid w:val="00AF218D"/>
    <w:rsid w:val="00AF6C5B"/>
    <w:rsid w:val="00B011D4"/>
    <w:rsid w:val="00B01A89"/>
    <w:rsid w:val="00B066B6"/>
    <w:rsid w:val="00B06C44"/>
    <w:rsid w:val="00B0764F"/>
    <w:rsid w:val="00B1189B"/>
    <w:rsid w:val="00B144BE"/>
    <w:rsid w:val="00B16FE0"/>
    <w:rsid w:val="00B1705B"/>
    <w:rsid w:val="00B24296"/>
    <w:rsid w:val="00B257B1"/>
    <w:rsid w:val="00B36200"/>
    <w:rsid w:val="00B36459"/>
    <w:rsid w:val="00B36546"/>
    <w:rsid w:val="00B414B5"/>
    <w:rsid w:val="00B425C3"/>
    <w:rsid w:val="00B42CCB"/>
    <w:rsid w:val="00B440AD"/>
    <w:rsid w:val="00B45F6C"/>
    <w:rsid w:val="00B477A3"/>
    <w:rsid w:val="00B479BB"/>
    <w:rsid w:val="00B51417"/>
    <w:rsid w:val="00B53E7E"/>
    <w:rsid w:val="00B61888"/>
    <w:rsid w:val="00B61A99"/>
    <w:rsid w:val="00B6292A"/>
    <w:rsid w:val="00B630FD"/>
    <w:rsid w:val="00B6342E"/>
    <w:rsid w:val="00B65876"/>
    <w:rsid w:val="00B6798A"/>
    <w:rsid w:val="00B7113F"/>
    <w:rsid w:val="00B7165A"/>
    <w:rsid w:val="00B763AF"/>
    <w:rsid w:val="00B8120F"/>
    <w:rsid w:val="00B83064"/>
    <w:rsid w:val="00B8339E"/>
    <w:rsid w:val="00B83FFA"/>
    <w:rsid w:val="00B87239"/>
    <w:rsid w:val="00B95993"/>
    <w:rsid w:val="00B97B16"/>
    <w:rsid w:val="00BA5552"/>
    <w:rsid w:val="00BA6659"/>
    <w:rsid w:val="00BA73B6"/>
    <w:rsid w:val="00BA7E27"/>
    <w:rsid w:val="00BB07FE"/>
    <w:rsid w:val="00BB206D"/>
    <w:rsid w:val="00BB2603"/>
    <w:rsid w:val="00BB4FCD"/>
    <w:rsid w:val="00BC04E9"/>
    <w:rsid w:val="00BC782B"/>
    <w:rsid w:val="00BD13EA"/>
    <w:rsid w:val="00BD56B2"/>
    <w:rsid w:val="00BD6105"/>
    <w:rsid w:val="00BE3808"/>
    <w:rsid w:val="00BE69EF"/>
    <w:rsid w:val="00BF6C0A"/>
    <w:rsid w:val="00C017FA"/>
    <w:rsid w:val="00C062E9"/>
    <w:rsid w:val="00C0664E"/>
    <w:rsid w:val="00C07B64"/>
    <w:rsid w:val="00C1098D"/>
    <w:rsid w:val="00C12B2B"/>
    <w:rsid w:val="00C13721"/>
    <w:rsid w:val="00C14FE4"/>
    <w:rsid w:val="00C25F56"/>
    <w:rsid w:val="00C261F0"/>
    <w:rsid w:val="00C26F31"/>
    <w:rsid w:val="00C27A16"/>
    <w:rsid w:val="00C3066D"/>
    <w:rsid w:val="00C3384D"/>
    <w:rsid w:val="00C34089"/>
    <w:rsid w:val="00C340A0"/>
    <w:rsid w:val="00C342CE"/>
    <w:rsid w:val="00C346B7"/>
    <w:rsid w:val="00C34C46"/>
    <w:rsid w:val="00C40D57"/>
    <w:rsid w:val="00C422FB"/>
    <w:rsid w:val="00C457A7"/>
    <w:rsid w:val="00C52416"/>
    <w:rsid w:val="00C539D5"/>
    <w:rsid w:val="00C53E8B"/>
    <w:rsid w:val="00C543F4"/>
    <w:rsid w:val="00C575DC"/>
    <w:rsid w:val="00C6232F"/>
    <w:rsid w:val="00C6291C"/>
    <w:rsid w:val="00C633CB"/>
    <w:rsid w:val="00C65800"/>
    <w:rsid w:val="00C70257"/>
    <w:rsid w:val="00C736B7"/>
    <w:rsid w:val="00C73E12"/>
    <w:rsid w:val="00C80D0F"/>
    <w:rsid w:val="00C81D4A"/>
    <w:rsid w:val="00C83974"/>
    <w:rsid w:val="00C8762C"/>
    <w:rsid w:val="00C9106C"/>
    <w:rsid w:val="00C93DE1"/>
    <w:rsid w:val="00C96386"/>
    <w:rsid w:val="00C969B3"/>
    <w:rsid w:val="00C97690"/>
    <w:rsid w:val="00CA00F9"/>
    <w:rsid w:val="00CA218E"/>
    <w:rsid w:val="00CA2961"/>
    <w:rsid w:val="00CA5B28"/>
    <w:rsid w:val="00CA65C3"/>
    <w:rsid w:val="00CB1D7C"/>
    <w:rsid w:val="00CB31B2"/>
    <w:rsid w:val="00CB3E08"/>
    <w:rsid w:val="00CB470F"/>
    <w:rsid w:val="00CB485E"/>
    <w:rsid w:val="00CB50D7"/>
    <w:rsid w:val="00CB7177"/>
    <w:rsid w:val="00CB75D2"/>
    <w:rsid w:val="00CC1998"/>
    <w:rsid w:val="00CC404D"/>
    <w:rsid w:val="00CC4946"/>
    <w:rsid w:val="00CC52B6"/>
    <w:rsid w:val="00CC58EA"/>
    <w:rsid w:val="00CC5B74"/>
    <w:rsid w:val="00CD092B"/>
    <w:rsid w:val="00CD1C83"/>
    <w:rsid w:val="00CF096F"/>
    <w:rsid w:val="00CF1534"/>
    <w:rsid w:val="00D05193"/>
    <w:rsid w:val="00D20FC2"/>
    <w:rsid w:val="00D22430"/>
    <w:rsid w:val="00D22C86"/>
    <w:rsid w:val="00D23457"/>
    <w:rsid w:val="00D24B49"/>
    <w:rsid w:val="00D270A4"/>
    <w:rsid w:val="00D31FE9"/>
    <w:rsid w:val="00D327CD"/>
    <w:rsid w:val="00D34689"/>
    <w:rsid w:val="00D34E1B"/>
    <w:rsid w:val="00D36369"/>
    <w:rsid w:val="00D3656F"/>
    <w:rsid w:val="00D376BA"/>
    <w:rsid w:val="00D45634"/>
    <w:rsid w:val="00D45F0E"/>
    <w:rsid w:val="00D5568A"/>
    <w:rsid w:val="00D575C2"/>
    <w:rsid w:val="00D57741"/>
    <w:rsid w:val="00D63C35"/>
    <w:rsid w:val="00D63D73"/>
    <w:rsid w:val="00D64452"/>
    <w:rsid w:val="00D65411"/>
    <w:rsid w:val="00D6592E"/>
    <w:rsid w:val="00D66E1E"/>
    <w:rsid w:val="00D73766"/>
    <w:rsid w:val="00D7559D"/>
    <w:rsid w:val="00D75722"/>
    <w:rsid w:val="00D80CF5"/>
    <w:rsid w:val="00D813B5"/>
    <w:rsid w:val="00D81B95"/>
    <w:rsid w:val="00D838C3"/>
    <w:rsid w:val="00D91D30"/>
    <w:rsid w:val="00DA5831"/>
    <w:rsid w:val="00DA5BBA"/>
    <w:rsid w:val="00DB0AD3"/>
    <w:rsid w:val="00DB0D84"/>
    <w:rsid w:val="00DB1025"/>
    <w:rsid w:val="00DB26D2"/>
    <w:rsid w:val="00DB67C9"/>
    <w:rsid w:val="00DB6807"/>
    <w:rsid w:val="00DC0B24"/>
    <w:rsid w:val="00DC0C95"/>
    <w:rsid w:val="00DC6F9A"/>
    <w:rsid w:val="00DD3166"/>
    <w:rsid w:val="00DD59EC"/>
    <w:rsid w:val="00DD6580"/>
    <w:rsid w:val="00DD677A"/>
    <w:rsid w:val="00DE473F"/>
    <w:rsid w:val="00DF0977"/>
    <w:rsid w:val="00DF09B5"/>
    <w:rsid w:val="00DF0C69"/>
    <w:rsid w:val="00DF0E87"/>
    <w:rsid w:val="00DF2993"/>
    <w:rsid w:val="00DF57B9"/>
    <w:rsid w:val="00E042C0"/>
    <w:rsid w:val="00E07028"/>
    <w:rsid w:val="00E07110"/>
    <w:rsid w:val="00E07FD7"/>
    <w:rsid w:val="00E11AD0"/>
    <w:rsid w:val="00E13273"/>
    <w:rsid w:val="00E15330"/>
    <w:rsid w:val="00E15617"/>
    <w:rsid w:val="00E17C72"/>
    <w:rsid w:val="00E21FC6"/>
    <w:rsid w:val="00E3166F"/>
    <w:rsid w:val="00E31A62"/>
    <w:rsid w:val="00E31D44"/>
    <w:rsid w:val="00E32DCE"/>
    <w:rsid w:val="00E37CE0"/>
    <w:rsid w:val="00E431A9"/>
    <w:rsid w:val="00E43713"/>
    <w:rsid w:val="00E45ADA"/>
    <w:rsid w:val="00E47457"/>
    <w:rsid w:val="00E50163"/>
    <w:rsid w:val="00E51D45"/>
    <w:rsid w:val="00E5338E"/>
    <w:rsid w:val="00E5387C"/>
    <w:rsid w:val="00E55A70"/>
    <w:rsid w:val="00E636D1"/>
    <w:rsid w:val="00E63900"/>
    <w:rsid w:val="00E63E44"/>
    <w:rsid w:val="00E669E2"/>
    <w:rsid w:val="00E718E4"/>
    <w:rsid w:val="00E7432B"/>
    <w:rsid w:val="00E749A2"/>
    <w:rsid w:val="00E76135"/>
    <w:rsid w:val="00E76BAC"/>
    <w:rsid w:val="00E776D6"/>
    <w:rsid w:val="00E804D9"/>
    <w:rsid w:val="00E80EFF"/>
    <w:rsid w:val="00E82F4F"/>
    <w:rsid w:val="00E90022"/>
    <w:rsid w:val="00E90501"/>
    <w:rsid w:val="00E9696D"/>
    <w:rsid w:val="00EA3A0E"/>
    <w:rsid w:val="00EB1828"/>
    <w:rsid w:val="00EB3C75"/>
    <w:rsid w:val="00EB53CB"/>
    <w:rsid w:val="00EC2844"/>
    <w:rsid w:val="00EC348F"/>
    <w:rsid w:val="00EC5500"/>
    <w:rsid w:val="00ED10A1"/>
    <w:rsid w:val="00ED18F8"/>
    <w:rsid w:val="00ED4127"/>
    <w:rsid w:val="00ED6360"/>
    <w:rsid w:val="00ED64C9"/>
    <w:rsid w:val="00ED7E7E"/>
    <w:rsid w:val="00EE2513"/>
    <w:rsid w:val="00EE5DC3"/>
    <w:rsid w:val="00EE68EB"/>
    <w:rsid w:val="00EE6E9E"/>
    <w:rsid w:val="00EF2DAE"/>
    <w:rsid w:val="00EF405B"/>
    <w:rsid w:val="00EF6C6C"/>
    <w:rsid w:val="00EF773F"/>
    <w:rsid w:val="00F03647"/>
    <w:rsid w:val="00F03F57"/>
    <w:rsid w:val="00F048CF"/>
    <w:rsid w:val="00F056FC"/>
    <w:rsid w:val="00F10476"/>
    <w:rsid w:val="00F127C3"/>
    <w:rsid w:val="00F135D8"/>
    <w:rsid w:val="00F163CC"/>
    <w:rsid w:val="00F17F04"/>
    <w:rsid w:val="00F21F09"/>
    <w:rsid w:val="00F228D4"/>
    <w:rsid w:val="00F25ACA"/>
    <w:rsid w:val="00F31299"/>
    <w:rsid w:val="00F31A55"/>
    <w:rsid w:val="00F3534A"/>
    <w:rsid w:val="00F406B2"/>
    <w:rsid w:val="00F41C83"/>
    <w:rsid w:val="00F44101"/>
    <w:rsid w:val="00F452B2"/>
    <w:rsid w:val="00F45852"/>
    <w:rsid w:val="00F46BDE"/>
    <w:rsid w:val="00F51609"/>
    <w:rsid w:val="00F56C98"/>
    <w:rsid w:val="00F62EE1"/>
    <w:rsid w:val="00F6645E"/>
    <w:rsid w:val="00F66CD1"/>
    <w:rsid w:val="00F675F4"/>
    <w:rsid w:val="00F728AA"/>
    <w:rsid w:val="00F74E12"/>
    <w:rsid w:val="00F81006"/>
    <w:rsid w:val="00F82BDE"/>
    <w:rsid w:val="00F83A30"/>
    <w:rsid w:val="00F85325"/>
    <w:rsid w:val="00F862C7"/>
    <w:rsid w:val="00F92AA9"/>
    <w:rsid w:val="00FA03BF"/>
    <w:rsid w:val="00FA6801"/>
    <w:rsid w:val="00FA7D5D"/>
    <w:rsid w:val="00FB007F"/>
    <w:rsid w:val="00FB53C6"/>
    <w:rsid w:val="00FB688F"/>
    <w:rsid w:val="00FC28BE"/>
    <w:rsid w:val="00FC6769"/>
    <w:rsid w:val="00FD014B"/>
    <w:rsid w:val="00FD10F9"/>
    <w:rsid w:val="00FD22B1"/>
    <w:rsid w:val="00FD4304"/>
    <w:rsid w:val="00FD5094"/>
    <w:rsid w:val="00FD6CC8"/>
    <w:rsid w:val="00FD6F24"/>
    <w:rsid w:val="00FE0E70"/>
    <w:rsid w:val="00FE147F"/>
    <w:rsid w:val="00FE1AE7"/>
    <w:rsid w:val="00FE417C"/>
    <w:rsid w:val="00FE5397"/>
    <w:rsid w:val="00FE77F0"/>
    <w:rsid w:val="00FF3E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25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A046F"/>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rsid w:val="00C96386"/>
    <w:rPr>
      <w:sz w:val="26"/>
    </w:rPr>
  </w:style>
  <w:style w:type="character" w:customStyle="1" w:styleId="CommentTextChar">
    <w:name w:val="Comment Text Char"/>
    <w:basedOn w:val="DefaultParagraphFont"/>
    <w:link w:val="CommentText"/>
    <w:semiHidden/>
    <w:rsid w:val="00C96386"/>
    <w:rPr>
      <w:szCs w:val="24"/>
    </w:rPr>
  </w:style>
  <w:style w:type="character" w:styleId="Hyperlink">
    <w:name w:val="Hyperlink"/>
    <w:basedOn w:val="DefaultParagraphFont"/>
    <w:rsid w:val="00C96386"/>
    <w:rPr>
      <w:color w:val="0000FF" w:themeColor="hyperlink"/>
      <w:u w:val="single"/>
    </w:rPr>
  </w:style>
  <w:style w:type="character" w:customStyle="1" w:styleId="FootnoteTextChar">
    <w:name w:val="Footnote Text Char"/>
    <w:basedOn w:val="DefaultParagraphFont"/>
    <w:link w:val="FootnoteText"/>
    <w:rsid w:val="00BB07FE"/>
    <w:rPr>
      <w:sz w:val="22"/>
    </w:rPr>
  </w:style>
  <w:style w:type="character" w:customStyle="1" w:styleId="QuoteChar">
    <w:name w:val="Quote Char"/>
    <w:basedOn w:val="DefaultParagraphFont"/>
    <w:link w:val="Quote"/>
    <w:rsid w:val="007D5BFE"/>
    <w:rPr>
      <w:sz w:val="24"/>
    </w:rPr>
  </w:style>
  <w:style w:type="paragraph" w:styleId="CommentSubject">
    <w:name w:val="annotation subject"/>
    <w:basedOn w:val="CommentText"/>
    <w:next w:val="CommentText"/>
    <w:link w:val="CommentSubjectChar"/>
    <w:rsid w:val="00B763AF"/>
    <w:pPr>
      <w:spacing w:before="0" w:line="240" w:lineRule="auto"/>
      <w:ind w:left="0" w:firstLine="0"/>
    </w:pPr>
    <w:rPr>
      <w:b/>
      <w:bCs/>
      <w:szCs w:val="20"/>
    </w:rPr>
  </w:style>
  <w:style w:type="character" w:customStyle="1" w:styleId="CommentSubjectChar">
    <w:name w:val="Comment Subject Char"/>
    <w:basedOn w:val="CommentTextChar"/>
    <w:link w:val="CommentSubject"/>
    <w:rsid w:val="00B763AF"/>
    <w:rPr>
      <w:b/>
      <w:bCs/>
      <w:szCs w:val="24"/>
    </w:rPr>
  </w:style>
  <w:style w:type="paragraph" w:styleId="Revision">
    <w:name w:val="Revision"/>
    <w:hidden/>
    <w:uiPriority w:val="99"/>
    <w:semiHidden/>
    <w:rsid w:val="004475FF"/>
    <w:rPr>
      <w:sz w:val="26"/>
      <w:szCs w:val="24"/>
    </w:rPr>
  </w:style>
  <w:style w:type="paragraph" w:customStyle="1" w:styleId="oteNormal">
    <w:name w:val="oteNormal"/>
    <w:basedOn w:val="BodyText"/>
    <w:rsid w:val="00095C42"/>
  </w:style>
  <w:style w:type="character" w:styleId="FollowedHyperlink">
    <w:name w:val="FollowedHyperlink"/>
    <w:basedOn w:val="DefaultParagraphFont"/>
    <w:rsid w:val="001F4B88"/>
    <w:rPr>
      <w:color w:val="800080" w:themeColor="followedHyperlink"/>
      <w:u w:val="single"/>
    </w:rPr>
  </w:style>
  <w:style w:type="character" w:customStyle="1" w:styleId="apple-converted-space">
    <w:name w:val="apple-converted-space"/>
    <w:basedOn w:val="DefaultParagraphFont"/>
    <w:rsid w:val="00EF2DAE"/>
  </w:style>
  <w:style w:type="character" w:customStyle="1" w:styleId="ReferenceChar">
    <w:name w:val="Reference Char"/>
    <w:basedOn w:val="DefaultParagraphFont"/>
    <w:link w:val="Reference"/>
    <w:rsid w:val="007F01DB"/>
    <w:rPr>
      <w:sz w:val="26"/>
    </w:rPr>
  </w:style>
  <w:style w:type="table" w:styleId="TableGrid">
    <w:name w:val="Table Grid"/>
    <w:basedOn w:val="TableNormal"/>
    <w:rsid w:val="00FB00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A046F"/>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rsid w:val="00C96386"/>
    <w:rPr>
      <w:sz w:val="26"/>
    </w:rPr>
  </w:style>
  <w:style w:type="character" w:customStyle="1" w:styleId="CommentTextChar">
    <w:name w:val="Comment Text Char"/>
    <w:basedOn w:val="DefaultParagraphFont"/>
    <w:link w:val="CommentText"/>
    <w:semiHidden/>
    <w:rsid w:val="00C96386"/>
    <w:rPr>
      <w:szCs w:val="24"/>
    </w:rPr>
  </w:style>
  <w:style w:type="character" w:styleId="Hyperlink">
    <w:name w:val="Hyperlink"/>
    <w:basedOn w:val="DefaultParagraphFont"/>
    <w:rsid w:val="00C96386"/>
    <w:rPr>
      <w:color w:val="0000FF" w:themeColor="hyperlink"/>
      <w:u w:val="single"/>
    </w:rPr>
  </w:style>
  <w:style w:type="character" w:customStyle="1" w:styleId="FootnoteTextChar">
    <w:name w:val="Footnote Text Char"/>
    <w:basedOn w:val="DefaultParagraphFont"/>
    <w:link w:val="FootnoteText"/>
    <w:rsid w:val="00BB07FE"/>
    <w:rPr>
      <w:sz w:val="22"/>
    </w:rPr>
  </w:style>
  <w:style w:type="character" w:customStyle="1" w:styleId="QuoteChar">
    <w:name w:val="Quote Char"/>
    <w:basedOn w:val="DefaultParagraphFont"/>
    <w:link w:val="Quote"/>
    <w:rsid w:val="007D5BFE"/>
    <w:rPr>
      <w:sz w:val="24"/>
    </w:rPr>
  </w:style>
  <w:style w:type="paragraph" w:styleId="CommentSubject">
    <w:name w:val="annotation subject"/>
    <w:basedOn w:val="CommentText"/>
    <w:next w:val="CommentText"/>
    <w:link w:val="CommentSubjectChar"/>
    <w:rsid w:val="00B763AF"/>
    <w:pPr>
      <w:spacing w:before="0" w:line="240" w:lineRule="auto"/>
      <w:ind w:left="0" w:firstLine="0"/>
    </w:pPr>
    <w:rPr>
      <w:b/>
      <w:bCs/>
      <w:szCs w:val="20"/>
    </w:rPr>
  </w:style>
  <w:style w:type="character" w:customStyle="1" w:styleId="CommentSubjectChar">
    <w:name w:val="Comment Subject Char"/>
    <w:basedOn w:val="CommentTextChar"/>
    <w:link w:val="CommentSubject"/>
    <w:rsid w:val="00B763AF"/>
    <w:rPr>
      <w:b/>
      <w:bCs/>
      <w:szCs w:val="24"/>
    </w:rPr>
  </w:style>
  <w:style w:type="paragraph" w:styleId="Revision">
    <w:name w:val="Revision"/>
    <w:hidden/>
    <w:uiPriority w:val="99"/>
    <w:semiHidden/>
    <w:rsid w:val="004475FF"/>
    <w:rPr>
      <w:sz w:val="26"/>
      <w:szCs w:val="24"/>
    </w:rPr>
  </w:style>
  <w:style w:type="paragraph" w:customStyle="1" w:styleId="oteNormal">
    <w:name w:val="oteNormal"/>
    <w:basedOn w:val="BodyText"/>
    <w:rsid w:val="00095C42"/>
  </w:style>
  <w:style w:type="character" w:styleId="FollowedHyperlink">
    <w:name w:val="FollowedHyperlink"/>
    <w:basedOn w:val="DefaultParagraphFont"/>
    <w:rsid w:val="001F4B88"/>
    <w:rPr>
      <w:color w:val="800080" w:themeColor="followedHyperlink"/>
      <w:u w:val="single"/>
    </w:rPr>
  </w:style>
  <w:style w:type="character" w:customStyle="1" w:styleId="apple-converted-space">
    <w:name w:val="apple-converted-space"/>
    <w:basedOn w:val="DefaultParagraphFont"/>
    <w:rsid w:val="00EF2DAE"/>
  </w:style>
  <w:style w:type="character" w:customStyle="1" w:styleId="ReferenceChar">
    <w:name w:val="Reference Char"/>
    <w:basedOn w:val="DefaultParagraphFont"/>
    <w:link w:val="Reference"/>
    <w:rsid w:val="007F01DB"/>
    <w:rPr>
      <w:sz w:val="26"/>
    </w:rPr>
  </w:style>
  <w:style w:type="table" w:styleId="TableGrid">
    <w:name w:val="Table Grid"/>
    <w:basedOn w:val="TableNormal"/>
    <w:rsid w:val="00FB00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055986">
      <w:bodyDiv w:val="1"/>
      <w:marLeft w:val="0"/>
      <w:marRight w:val="0"/>
      <w:marTop w:val="0"/>
      <w:marBottom w:val="0"/>
      <w:divBdr>
        <w:top w:val="none" w:sz="0" w:space="0" w:color="auto"/>
        <w:left w:val="none" w:sz="0" w:space="0" w:color="auto"/>
        <w:bottom w:val="none" w:sz="0" w:space="0" w:color="auto"/>
        <w:right w:val="none" w:sz="0" w:space="0" w:color="auto"/>
      </w:divBdr>
      <w:divsChild>
        <w:div w:id="942686630">
          <w:marLeft w:val="0"/>
          <w:marRight w:val="0"/>
          <w:marTop w:val="0"/>
          <w:marBottom w:val="0"/>
          <w:divBdr>
            <w:top w:val="none" w:sz="0" w:space="0" w:color="auto"/>
            <w:left w:val="none" w:sz="0" w:space="0" w:color="auto"/>
            <w:bottom w:val="none" w:sz="0" w:space="0" w:color="auto"/>
            <w:right w:val="none" w:sz="0" w:space="0" w:color="auto"/>
          </w:divBdr>
          <w:divsChild>
            <w:div w:id="2056655748">
              <w:marLeft w:val="0"/>
              <w:marRight w:val="0"/>
              <w:marTop w:val="0"/>
              <w:marBottom w:val="0"/>
              <w:divBdr>
                <w:top w:val="none" w:sz="0" w:space="0" w:color="auto"/>
                <w:left w:val="single" w:sz="6" w:space="0" w:color="CCCCCC"/>
                <w:bottom w:val="single" w:sz="6" w:space="0" w:color="CCCCCC"/>
                <w:right w:val="single" w:sz="6" w:space="0" w:color="CCCCCC"/>
              </w:divBdr>
              <w:divsChild>
                <w:div w:id="18736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94649">
      <w:bodyDiv w:val="1"/>
      <w:marLeft w:val="0"/>
      <w:marRight w:val="0"/>
      <w:marTop w:val="0"/>
      <w:marBottom w:val="0"/>
      <w:divBdr>
        <w:top w:val="none" w:sz="0" w:space="0" w:color="auto"/>
        <w:left w:val="none" w:sz="0" w:space="0" w:color="auto"/>
        <w:bottom w:val="none" w:sz="0" w:space="0" w:color="auto"/>
        <w:right w:val="none" w:sz="0" w:space="0" w:color="auto"/>
      </w:divBdr>
    </w:div>
    <w:div w:id="660426641">
      <w:bodyDiv w:val="1"/>
      <w:marLeft w:val="0"/>
      <w:marRight w:val="0"/>
      <w:marTop w:val="0"/>
      <w:marBottom w:val="0"/>
      <w:divBdr>
        <w:top w:val="none" w:sz="0" w:space="0" w:color="auto"/>
        <w:left w:val="none" w:sz="0" w:space="0" w:color="auto"/>
        <w:bottom w:val="none" w:sz="0" w:space="0" w:color="auto"/>
        <w:right w:val="none" w:sz="0" w:space="0" w:color="auto"/>
      </w:divBdr>
      <w:divsChild>
        <w:div w:id="84348576">
          <w:marLeft w:val="0"/>
          <w:marRight w:val="0"/>
          <w:marTop w:val="0"/>
          <w:marBottom w:val="0"/>
          <w:divBdr>
            <w:top w:val="none" w:sz="0" w:space="0" w:color="auto"/>
            <w:left w:val="none" w:sz="0" w:space="0" w:color="auto"/>
            <w:bottom w:val="none" w:sz="0" w:space="0" w:color="auto"/>
            <w:right w:val="none" w:sz="0" w:space="0" w:color="auto"/>
          </w:divBdr>
          <w:divsChild>
            <w:div w:id="1484469782">
              <w:marLeft w:val="0"/>
              <w:marRight w:val="0"/>
              <w:marTop w:val="0"/>
              <w:marBottom w:val="0"/>
              <w:divBdr>
                <w:top w:val="none" w:sz="0" w:space="0" w:color="auto"/>
                <w:left w:val="none" w:sz="0" w:space="0" w:color="auto"/>
                <w:bottom w:val="none" w:sz="0" w:space="0" w:color="auto"/>
                <w:right w:val="none" w:sz="0" w:space="0" w:color="auto"/>
              </w:divBdr>
              <w:divsChild>
                <w:div w:id="1873640946">
                  <w:marLeft w:val="0"/>
                  <w:marRight w:val="0"/>
                  <w:marTop w:val="0"/>
                  <w:marBottom w:val="0"/>
                  <w:divBdr>
                    <w:top w:val="none" w:sz="0" w:space="0" w:color="auto"/>
                    <w:left w:val="none" w:sz="0" w:space="0" w:color="auto"/>
                    <w:bottom w:val="none" w:sz="0" w:space="0" w:color="auto"/>
                    <w:right w:val="none" w:sz="0" w:space="0" w:color="auto"/>
                  </w:divBdr>
                  <w:divsChild>
                    <w:div w:id="1607034717">
                      <w:marLeft w:val="0"/>
                      <w:marRight w:val="0"/>
                      <w:marTop w:val="0"/>
                      <w:marBottom w:val="0"/>
                      <w:divBdr>
                        <w:top w:val="none" w:sz="0" w:space="0" w:color="auto"/>
                        <w:left w:val="none" w:sz="0" w:space="0" w:color="auto"/>
                        <w:bottom w:val="none" w:sz="0" w:space="0" w:color="auto"/>
                        <w:right w:val="none" w:sz="0" w:space="0" w:color="auto"/>
                      </w:divBdr>
                      <w:divsChild>
                        <w:div w:id="153715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330234">
      <w:bodyDiv w:val="1"/>
      <w:marLeft w:val="0"/>
      <w:marRight w:val="0"/>
      <w:marTop w:val="0"/>
      <w:marBottom w:val="0"/>
      <w:divBdr>
        <w:top w:val="none" w:sz="0" w:space="0" w:color="auto"/>
        <w:left w:val="none" w:sz="0" w:space="0" w:color="auto"/>
        <w:bottom w:val="none" w:sz="0" w:space="0" w:color="auto"/>
        <w:right w:val="none" w:sz="0" w:space="0" w:color="auto"/>
      </w:divBdr>
    </w:div>
    <w:div w:id="1025206869">
      <w:bodyDiv w:val="1"/>
      <w:marLeft w:val="0"/>
      <w:marRight w:val="0"/>
      <w:marTop w:val="0"/>
      <w:marBottom w:val="0"/>
      <w:divBdr>
        <w:top w:val="none" w:sz="0" w:space="0" w:color="auto"/>
        <w:left w:val="none" w:sz="0" w:space="0" w:color="auto"/>
        <w:bottom w:val="none" w:sz="0" w:space="0" w:color="auto"/>
        <w:right w:val="none" w:sz="0" w:space="0" w:color="auto"/>
      </w:divBdr>
      <w:divsChild>
        <w:div w:id="560363486">
          <w:marLeft w:val="0"/>
          <w:marRight w:val="0"/>
          <w:marTop w:val="0"/>
          <w:marBottom w:val="0"/>
          <w:divBdr>
            <w:top w:val="none" w:sz="0" w:space="0" w:color="auto"/>
            <w:left w:val="none" w:sz="0" w:space="0" w:color="auto"/>
            <w:bottom w:val="none" w:sz="0" w:space="0" w:color="auto"/>
            <w:right w:val="none" w:sz="0" w:space="0" w:color="auto"/>
          </w:divBdr>
          <w:divsChild>
            <w:div w:id="1751153406">
              <w:marLeft w:val="0"/>
              <w:marRight w:val="0"/>
              <w:marTop w:val="0"/>
              <w:marBottom w:val="0"/>
              <w:divBdr>
                <w:top w:val="none" w:sz="0" w:space="0" w:color="auto"/>
                <w:left w:val="none" w:sz="0" w:space="0" w:color="auto"/>
                <w:bottom w:val="none" w:sz="0" w:space="0" w:color="auto"/>
                <w:right w:val="none" w:sz="0" w:space="0" w:color="auto"/>
              </w:divBdr>
              <w:divsChild>
                <w:div w:id="771974450">
                  <w:marLeft w:val="0"/>
                  <w:marRight w:val="0"/>
                  <w:marTop w:val="0"/>
                  <w:marBottom w:val="0"/>
                  <w:divBdr>
                    <w:top w:val="none" w:sz="0" w:space="0" w:color="auto"/>
                    <w:left w:val="none" w:sz="0" w:space="0" w:color="auto"/>
                    <w:bottom w:val="none" w:sz="0" w:space="0" w:color="auto"/>
                    <w:right w:val="none" w:sz="0" w:space="0" w:color="auto"/>
                  </w:divBdr>
                  <w:divsChild>
                    <w:div w:id="1232620283">
                      <w:marLeft w:val="0"/>
                      <w:marRight w:val="0"/>
                      <w:marTop w:val="0"/>
                      <w:marBottom w:val="0"/>
                      <w:divBdr>
                        <w:top w:val="none" w:sz="0" w:space="0" w:color="auto"/>
                        <w:left w:val="none" w:sz="0" w:space="0" w:color="auto"/>
                        <w:bottom w:val="none" w:sz="0" w:space="0" w:color="auto"/>
                        <w:right w:val="none" w:sz="0" w:space="0" w:color="auto"/>
                      </w:divBdr>
                      <w:divsChild>
                        <w:div w:id="1705135455">
                          <w:marLeft w:val="0"/>
                          <w:marRight w:val="0"/>
                          <w:marTop w:val="0"/>
                          <w:marBottom w:val="0"/>
                          <w:divBdr>
                            <w:top w:val="none" w:sz="0" w:space="0" w:color="auto"/>
                            <w:left w:val="none" w:sz="0" w:space="0" w:color="auto"/>
                            <w:bottom w:val="single" w:sz="6" w:space="0" w:color="DDD5C9"/>
                            <w:right w:val="none" w:sz="0" w:space="0" w:color="auto"/>
                          </w:divBdr>
                        </w:div>
                      </w:divsChild>
                    </w:div>
                  </w:divsChild>
                </w:div>
              </w:divsChild>
            </w:div>
          </w:divsChild>
        </w:div>
      </w:divsChild>
    </w:div>
    <w:div w:id="1287081466">
      <w:bodyDiv w:val="1"/>
      <w:marLeft w:val="0"/>
      <w:marRight w:val="0"/>
      <w:marTop w:val="0"/>
      <w:marBottom w:val="0"/>
      <w:divBdr>
        <w:top w:val="none" w:sz="0" w:space="0" w:color="auto"/>
        <w:left w:val="none" w:sz="0" w:space="0" w:color="auto"/>
        <w:bottom w:val="none" w:sz="0" w:space="0" w:color="auto"/>
        <w:right w:val="none" w:sz="0" w:space="0" w:color="auto"/>
      </w:divBdr>
      <w:divsChild>
        <w:div w:id="557395706">
          <w:marLeft w:val="0"/>
          <w:marRight w:val="0"/>
          <w:marTop w:val="0"/>
          <w:marBottom w:val="0"/>
          <w:divBdr>
            <w:top w:val="none" w:sz="0" w:space="0" w:color="auto"/>
            <w:left w:val="none" w:sz="0" w:space="0" w:color="auto"/>
            <w:bottom w:val="none" w:sz="0" w:space="0" w:color="auto"/>
            <w:right w:val="none" w:sz="0" w:space="0" w:color="auto"/>
          </w:divBdr>
          <w:divsChild>
            <w:div w:id="1903561199">
              <w:marLeft w:val="0"/>
              <w:marRight w:val="0"/>
              <w:marTop w:val="0"/>
              <w:marBottom w:val="0"/>
              <w:divBdr>
                <w:top w:val="none" w:sz="0" w:space="0" w:color="auto"/>
                <w:left w:val="none" w:sz="0" w:space="0" w:color="auto"/>
                <w:bottom w:val="none" w:sz="0" w:space="0" w:color="auto"/>
                <w:right w:val="none" w:sz="0" w:space="0" w:color="auto"/>
              </w:divBdr>
              <w:divsChild>
                <w:div w:id="138964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140494">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78757142">
      <w:bodyDiv w:val="1"/>
      <w:marLeft w:val="0"/>
      <w:marRight w:val="0"/>
      <w:marTop w:val="0"/>
      <w:marBottom w:val="0"/>
      <w:divBdr>
        <w:top w:val="none" w:sz="0" w:space="0" w:color="auto"/>
        <w:left w:val="none" w:sz="0" w:space="0" w:color="auto"/>
        <w:bottom w:val="none" w:sz="0" w:space="0" w:color="auto"/>
        <w:right w:val="none" w:sz="0" w:space="0" w:color="auto"/>
      </w:divBdr>
      <w:divsChild>
        <w:div w:id="70855739">
          <w:marLeft w:val="0"/>
          <w:marRight w:val="0"/>
          <w:marTop w:val="0"/>
          <w:marBottom w:val="0"/>
          <w:divBdr>
            <w:top w:val="none" w:sz="0" w:space="0" w:color="auto"/>
            <w:left w:val="none" w:sz="0" w:space="0" w:color="auto"/>
            <w:bottom w:val="none" w:sz="0" w:space="0" w:color="auto"/>
            <w:right w:val="none" w:sz="0" w:space="0" w:color="auto"/>
          </w:divBdr>
          <w:divsChild>
            <w:div w:id="1960990126">
              <w:marLeft w:val="0"/>
              <w:marRight w:val="0"/>
              <w:marTop w:val="0"/>
              <w:marBottom w:val="0"/>
              <w:divBdr>
                <w:top w:val="none" w:sz="0" w:space="0" w:color="auto"/>
                <w:left w:val="none" w:sz="0" w:space="0" w:color="auto"/>
                <w:bottom w:val="none" w:sz="0" w:space="0" w:color="auto"/>
                <w:right w:val="none" w:sz="0" w:space="0" w:color="auto"/>
              </w:divBdr>
              <w:divsChild>
                <w:div w:id="1699113768">
                  <w:marLeft w:val="0"/>
                  <w:marRight w:val="0"/>
                  <w:marTop w:val="0"/>
                  <w:marBottom w:val="0"/>
                  <w:divBdr>
                    <w:top w:val="none" w:sz="0" w:space="0" w:color="auto"/>
                    <w:left w:val="none" w:sz="0" w:space="0" w:color="auto"/>
                    <w:bottom w:val="none" w:sz="0" w:space="0" w:color="auto"/>
                    <w:right w:val="none" w:sz="0" w:space="0" w:color="auto"/>
                  </w:divBdr>
                  <w:divsChild>
                    <w:div w:id="1291550568">
                      <w:marLeft w:val="0"/>
                      <w:marRight w:val="0"/>
                      <w:marTop w:val="0"/>
                      <w:marBottom w:val="0"/>
                      <w:divBdr>
                        <w:top w:val="none" w:sz="0" w:space="0" w:color="auto"/>
                        <w:left w:val="none" w:sz="0" w:space="0" w:color="auto"/>
                        <w:bottom w:val="none" w:sz="0" w:space="0" w:color="auto"/>
                        <w:right w:val="none" w:sz="0" w:space="0" w:color="auto"/>
                      </w:divBdr>
                      <w:divsChild>
                        <w:div w:id="1307904153">
                          <w:marLeft w:val="0"/>
                          <w:marRight w:val="0"/>
                          <w:marTop w:val="0"/>
                          <w:marBottom w:val="0"/>
                          <w:divBdr>
                            <w:top w:val="none" w:sz="0" w:space="0" w:color="auto"/>
                            <w:left w:val="none" w:sz="0" w:space="0" w:color="auto"/>
                            <w:bottom w:val="single" w:sz="6" w:space="0" w:color="DDD5C9"/>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header" Target="header2.xml"/><Relationship Id="rId30"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1C246-0664-47E4-BBC2-8708BF3A8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22</Pages>
  <Words>5709</Words>
  <Characters>30507</Characters>
  <Application>Microsoft Office Word</Application>
  <DocSecurity>0</DocSecurity>
  <Lines>984</Lines>
  <Paragraphs>540</Paragraphs>
  <ScaleCrop>false</ScaleCrop>
  <HeadingPairs>
    <vt:vector size="2" baseType="variant">
      <vt:variant>
        <vt:lpstr>Title</vt:lpstr>
      </vt:variant>
      <vt:variant>
        <vt:i4>1</vt:i4>
      </vt:variant>
    </vt:vector>
  </HeadingPairs>
  <TitlesOfParts>
    <vt:vector size="1" baseType="lpstr">
      <vt:lpstr>Additional information on FBT</vt:lpstr>
    </vt:vector>
  </TitlesOfParts>
  <Company>Productivity Commission</Company>
  <LinksUpToDate>false</LinksUpToDate>
  <CharactersWithSpaces>35676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Additional information on FBT</dc:title>
  <dc:subject>Productivity in Manufacturing</dc:subject>
  <dc:creator>Productivity Commission</dc:creator>
  <dc:description>G.</dc:description>
  <cp:lastModifiedBy>Productivity Commission</cp:lastModifiedBy>
  <cp:revision>2</cp:revision>
  <cp:lastPrinted>2013-11-28T00:08:00Z</cp:lastPrinted>
  <dcterms:created xsi:type="dcterms:W3CDTF">2013-12-04T00:11:00Z</dcterms:created>
  <dcterms:modified xsi:type="dcterms:W3CDTF">2013-12-04T00:11:00Z</dcterms:modified>
</cp:coreProperties>
</file>