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750D19" w:rsidRDefault="00750D19" w:rsidP="00750D19">
      <w:pPr>
        <w:pStyle w:val="Heading1"/>
        <w:rPr>
          <w:rFonts w:ascii="Times New Roman" w:hAnsi="Times New Roman" w:cs="Times New Roman"/>
        </w:rPr>
      </w:pPr>
      <w:bookmarkStart w:id="0" w:name="_AppendixNotByChapter"/>
      <w:bookmarkStart w:id="1" w:name="ChapterNumber"/>
      <w:bookmarkEnd w:id="0"/>
      <w:r w:rsidRPr="00750D19">
        <w:rPr>
          <w:rFonts w:ascii="Times New Roman" w:hAnsi="Times New Roman" w:cs="Times New Roman"/>
        </w:rPr>
        <w:t>H</w:t>
      </w:r>
      <w:bookmarkEnd w:id="1"/>
      <w:r w:rsidRPr="00750D19">
        <w:rPr>
          <w:rFonts w:ascii="Times New Roman" w:hAnsi="Times New Roman" w:cs="Times New Roman"/>
        </w:rPr>
        <w:tab/>
      </w:r>
      <w:bookmarkStart w:id="2" w:name="ChapterTitle"/>
      <w:r w:rsidRPr="00750D19">
        <w:rPr>
          <w:rFonts w:ascii="Times New Roman" w:hAnsi="Times New Roman" w:cs="Times New Roman"/>
        </w:rPr>
        <w:t>Additional information on Metal products</w:t>
      </w:r>
      <w:bookmarkStart w:id="3" w:name="_GoBack"/>
      <w:bookmarkEnd w:id="2"/>
      <w:bookmarkEnd w:id="3"/>
    </w:p>
    <w:p w:rsidR="002D3E4E" w:rsidRDefault="004E5A8C" w:rsidP="0056770C">
      <w:pPr>
        <w:pStyle w:val="BodyText"/>
      </w:pPr>
      <w:bookmarkStart w:id="4" w:name="begin"/>
      <w:bookmarkEnd w:id="4"/>
      <w:r>
        <w:t xml:space="preserve">Additional data about the </w:t>
      </w:r>
      <w:r w:rsidR="00264E48">
        <w:t>Metals products (</w:t>
      </w:r>
      <w:r>
        <w:t>MP</w:t>
      </w:r>
      <w:r w:rsidR="00264E48">
        <w:t>)</w:t>
      </w:r>
      <w:r>
        <w:t xml:space="preserve"> subsector (which is chiefly discussed in chapter 6) </w:t>
      </w:r>
      <w:r w:rsidR="00B86B80">
        <w:t>are</w:t>
      </w:r>
      <w:r>
        <w:t xml:space="preserve"> presented in this appendix. It provides a longer-term view of how the composition of the subsector has changed through time </w:t>
      </w:r>
      <w:r w:rsidR="0065514E">
        <w:t xml:space="preserve">by examining </w:t>
      </w:r>
      <w:r w:rsidR="008878F0">
        <w:t xml:space="preserve">different output series and price deflators. </w:t>
      </w:r>
      <w:r w:rsidR="00DB0EFA">
        <w:t xml:space="preserve">This appendix also includes information about </w:t>
      </w:r>
      <w:r w:rsidR="003C59D8">
        <w:t xml:space="preserve">trade, a broader discussion of ‘capital-lags’ (and how they relate to the subsector), and a closer look at different labour input measures for </w:t>
      </w:r>
      <w:r w:rsidR="000962A4">
        <w:t>MP</w:t>
      </w:r>
      <w:r w:rsidR="003C59D8">
        <w:t>.</w:t>
      </w:r>
    </w:p>
    <w:p w:rsidR="000A6E0C" w:rsidRPr="000A6E0C" w:rsidRDefault="00750D19" w:rsidP="000A6E0C">
      <w:pPr>
        <w:pStyle w:val="Heading2"/>
      </w:pPr>
      <w:proofErr w:type="spellStart"/>
      <w:r>
        <w:t>H.</w:t>
      </w:r>
      <w:r w:rsidR="00D76F7C">
        <w:rPr>
          <w:noProof/>
        </w:rPr>
        <w:t>1</w:t>
      </w:r>
      <w:proofErr w:type="spellEnd"/>
      <w:r w:rsidR="000A6E0C">
        <w:tab/>
      </w:r>
      <w:r w:rsidR="000A6E0C" w:rsidRPr="000A6E0C">
        <w:t>A longer-ter</w:t>
      </w:r>
      <w:r w:rsidR="00A11166">
        <w:t>m view of the composition of</w:t>
      </w:r>
      <w:r w:rsidR="000A6E0C" w:rsidRPr="000A6E0C">
        <w:t xml:space="preserve"> </w:t>
      </w:r>
      <w:r w:rsidR="00553C9C">
        <w:t>Metal products</w:t>
      </w:r>
    </w:p>
    <w:p w:rsidR="0056770C" w:rsidRDefault="00DF76A4" w:rsidP="0056770C">
      <w:pPr>
        <w:pStyle w:val="BodyText"/>
      </w:pPr>
      <w:r>
        <w:t xml:space="preserve">In chapter 6, </w:t>
      </w:r>
      <w:r w:rsidR="00723526">
        <w:t xml:space="preserve">the </w:t>
      </w:r>
      <w:r w:rsidR="005833CF">
        <w:t>composition of the MP subsector was discussed in terms of the share that each subdivision comprised of value added</w:t>
      </w:r>
      <w:r w:rsidR="00264E48">
        <w:t xml:space="preserve"> (VA)</w:t>
      </w:r>
      <w:r w:rsidR="005833CF">
        <w:t xml:space="preserve">, hours worked and private new capital expenditure in 2009-10. </w:t>
      </w:r>
      <w:r w:rsidR="007C7B54">
        <w:t xml:space="preserve">Figure </w:t>
      </w:r>
      <w:proofErr w:type="spellStart"/>
      <w:r w:rsidR="00750D19">
        <w:t>H.1</w:t>
      </w:r>
      <w:proofErr w:type="spellEnd"/>
      <w:r w:rsidR="004C1756">
        <w:t xml:space="preserve"> </w:t>
      </w:r>
      <w:r w:rsidR="007C7B54">
        <w:t xml:space="preserve">shows how these shares have changed over the period </w:t>
      </w:r>
      <w:r w:rsidR="00DB0EFA">
        <w:t>covering</w:t>
      </w:r>
      <w:r w:rsidR="007C7B54">
        <w:t xml:space="preserve"> cycle 3 through to the incomplete cycle</w:t>
      </w:r>
      <w:r w:rsidR="00723526">
        <w:t>.</w:t>
      </w:r>
      <w:r w:rsidR="007C7B54">
        <w:t xml:space="preserve"> </w:t>
      </w:r>
    </w:p>
    <w:p w:rsidR="00CE074B" w:rsidRDefault="00CE074B" w:rsidP="0056770C">
      <w:pPr>
        <w:pStyle w:val="BodyText"/>
      </w:pPr>
    </w:p>
    <w:p w:rsidR="0022008F" w:rsidRDefault="0022008F" w:rsidP="0022008F">
      <w:pPr>
        <w:pStyle w:val="FigureTitle"/>
      </w:pPr>
      <w:r>
        <w:rPr>
          <w:b w:val="0"/>
        </w:rPr>
        <w:lastRenderedPageBreak/>
        <w:t xml:space="preserve">Figure </w:t>
      </w:r>
      <w:bookmarkStart w:id="5" w:name="OLE_LINK33"/>
      <w:proofErr w:type="spellStart"/>
      <w:r w:rsidR="00750D19">
        <w:rPr>
          <w:b w:val="0"/>
        </w:rPr>
        <w:t>H.</w:t>
      </w:r>
      <w:r w:rsidR="00D76F7C">
        <w:rPr>
          <w:b w:val="0"/>
          <w:noProof/>
        </w:rPr>
        <w:t>1</w:t>
      </w:r>
      <w:bookmarkEnd w:id="5"/>
      <w:proofErr w:type="spellEnd"/>
      <w:r>
        <w:tab/>
        <w:t xml:space="preserve">Composition of </w:t>
      </w:r>
      <w:r w:rsidR="00553C9C">
        <w:t>Metals products</w:t>
      </w:r>
      <w:r>
        <w:t xml:space="preserve"> — </w:t>
      </w:r>
      <w:r w:rsidR="00A11166">
        <w:t>value added</w:t>
      </w:r>
      <w:r>
        <w:t>, hours worked and investment</w:t>
      </w:r>
    </w:p>
    <w:p w:rsidR="0022008F" w:rsidRDefault="00F56BBF" w:rsidP="0022008F">
      <w:pPr>
        <w:pStyle w:val="Subtitle"/>
      </w:pPr>
      <w:r>
        <w:t>Percentage shares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388"/>
        <w:gridCol w:w="4389"/>
      </w:tblGrid>
      <w:tr w:rsidR="0093407C" w:rsidRPr="00F56BFB" w:rsidTr="00523CEC">
        <w:trPr>
          <w:trHeight w:val="270"/>
        </w:trPr>
        <w:tc>
          <w:tcPr>
            <w:tcW w:w="4388" w:type="dxa"/>
          </w:tcPr>
          <w:p w:rsidR="0093407C" w:rsidRPr="00F56BFB" w:rsidRDefault="0093407C" w:rsidP="00A21C89">
            <w:pPr>
              <w:pStyle w:val="Figure"/>
              <w:spacing w:after="0"/>
              <w:rPr>
                <w:i/>
                <w:sz w:val="22"/>
                <w:szCs w:val="22"/>
              </w:rPr>
            </w:pPr>
            <w:r w:rsidRPr="00F56BFB">
              <w:rPr>
                <w:i/>
                <w:sz w:val="22"/>
                <w:szCs w:val="22"/>
              </w:rPr>
              <w:t>Value added</w:t>
            </w:r>
          </w:p>
        </w:tc>
        <w:tc>
          <w:tcPr>
            <w:tcW w:w="4389" w:type="dxa"/>
          </w:tcPr>
          <w:p w:rsidR="0093407C" w:rsidRPr="00F56BFB" w:rsidRDefault="0093407C" w:rsidP="00A21C89">
            <w:pPr>
              <w:pStyle w:val="Figure"/>
              <w:spacing w:after="0"/>
              <w:rPr>
                <w:i/>
                <w:sz w:val="22"/>
                <w:szCs w:val="22"/>
              </w:rPr>
            </w:pPr>
            <w:r w:rsidRPr="00F56BFB">
              <w:rPr>
                <w:i/>
                <w:sz w:val="22"/>
                <w:szCs w:val="22"/>
              </w:rPr>
              <w:t>Hours worked</w:t>
            </w:r>
          </w:p>
        </w:tc>
      </w:tr>
      <w:tr w:rsidR="0022008F" w:rsidTr="003A6B9E">
        <w:trPr>
          <w:trHeight w:val="270"/>
        </w:trPr>
        <w:tc>
          <w:tcPr>
            <w:tcW w:w="4388" w:type="dxa"/>
            <w:vAlign w:val="bottom"/>
          </w:tcPr>
          <w:p w:rsidR="0022008F" w:rsidRPr="00E455AA" w:rsidRDefault="00631D6E" w:rsidP="009715A1">
            <w:pPr>
              <w:pStyle w:val="Figure"/>
              <w:spacing w:before="0" w:after="0"/>
              <w:rPr>
                <w:i/>
              </w:rPr>
            </w:pPr>
            <w:r>
              <w:rPr>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is figure shows the proportions of value added, hours worked and private new capital expenditure in Metal products made up by its subdivisions: Primary metals and Fabricated metals . subdivisions (Petroleum and coal product manufacturing, Basic chemical and chemical product manufacturing, and Polymer product and rubber product manufacturing), over the period of 1998-99 to 2010-11." style="width:205.95pt;height:198.4pt">
                  <v:imagedata r:id="rId9" o:title=""/>
                </v:shape>
              </w:pict>
            </w:r>
          </w:p>
        </w:tc>
        <w:tc>
          <w:tcPr>
            <w:tcW w:w="4389" w:type="dxa"/>
            <w:vAlign w:val="center"/>
          </w:tcPr>
          <w:p w:rsidR="0022008F" w:rsidRPr="00E455AA" w:rsidRDefault="00631D6E" w:rsidP="009715A1">
            <w:pPr>
              <w:pStyle w:val="Figure"/>
              <w:spacing w:before="0" w:after="0"/>
              <w:rPr>
                <w:i/>
              </w:rPr>
            </w:pPr>
            <w:r>
              <w:rPr>
                <w:i/>
              </w:rPr>
              <w:pict>
                <v:shape id="_x0000_i1026" type="#_x0000_t75" alt="This figure shows the proportions of value added, hours worked and private new capital expenditure in Metal products made up by its subdivisions: Primary metals and Fabricated metals . subdivisions (Petroleum and coal product manufacturing, Basic chemical and chemical product manufacturing, and Polymer product and rubber product manufacturing), over the period of 1998-99 to 2010-11." style="width:205.95pt;height:198.4pt">
                  <v:imagedata r:id="rId10" o:title=""/>
                </v:shape>
              </w:pict>
            </w:r>
          </w:p>
        </w:tc>
      </w:tr>
      <w:tr w:rsidR="0093407C" w:rsidTr="00523CEC">
        <w:trPr>
          <w:trHeight w:val="270"/>
        </w:trPr>
        <w:tc>
          <w:tcPr>
            <w:tcW w:w="4388" w:type="dxa"/>
          </w:tcPr>
          <w:p w:rsidR="0093407C" w:rsidRDefault="0093407C" w:rsidP="00A21C89">
            <w:pPr>
              <w:pStyle w:val="Figure"/>
              <w:spacing w:after="0"/>
              <w:rPr>
                <w:i/>
              </w:rPr>
            </w:pPr>
            <w:r w:rsidRPr="00F56BFB">
              <w:rPr>
                <w:i/>
                <w:sz w:val="22"/>
                <w:szCs w:val="22"/>
              </w:rPr>
              <w:t>Private new capital expenditure</w:t>
            </w:r>
            <w:r w:rsidR="007E7713">
              <w:rPr>
                <w:rStyle w:val="NoteLabel"/>
              </w:rPr>
              <w:t>a</w:t>
            </w:r>
          </w:p>
        </w:tc>
        <w:tc>
          <w:tcPr>
            <w:tcW w:w="4389" w:type="dxa"/>
          </w:tcPr>
          <w:p w:rsidR="0093407C" w:rsidRDefault="0093407C" w:rsidP="00A21C89">
            <w:pPr>
              <w:pStyle w:val="Figure"/>
              <w:spacing w:after="0"/>
            </w:pPr>
          </w:p>
        </w:tc>
      </w:tr>
      <w:tr w:rsidR="0022008F" w:rsidTr="00A21C89">
        <w:trPr>
          <w:trHeight w:val="270"/>
        </w:trPr>
        <w:tc>
          <w:tcPr>
            <w:tcW w:w="4388" w:type="dxa"/>
            <w:vAlign w:val="center"/>
          </w:tcPr>
          <w:p w:rsidR="0022008F" w:rsidRPr="00E455AA" w:rsidRDefault="00631D6E" w:rsidP="00A21C89">
            <w:pPr>
              <w:pStyle w:val="Figure"/>
              <w:spacing w:before="0" w:after="0"/>
              <w:rPr>
                <w:i/>
              </w:rPr>
            </w:pPr>
            <w:r>
              <w:rPr>
                <w:i/>
              </w:rPr>
              <w:pict>
                <v:shape id="_x0000_i1027" type="#_x0000_t75" alt="This figure shows the proportions of value added, hours worked and private new capital expenditure in Metal products made up by its subdivisions: Primary metals and Fabricated metals . subdivisions (Petroleum and coal product manufacturing, Basic chemical and chemical product manufacturing, and Polymer product and rubber product manufacturing), over the period of 1998-99 to 2010-11." style="width:205.95pt;height:198.4pt">
                  <v:imagedata r:id="rId11" o:title=""/>
                </v:shape>
              </w:pict>
            </w:r>
          </w:p>
        </w:tc>
        <w:tc>
          <w:tcPr>
            <w:tcW w:w="4389" w:type="dxa"/>
            <w:vAlign w:val="center"/>
          </w:tcPr>
          <w:p w:rsidR="0022008F" w:rsidRDefault="00631D6E" w:rsidP="00A21C89">
            <w:pPr>
              <w:pStyle w:val="Figure"/>
              <w:spacing w:before="0" w:after="0"/>
            </w:pPr>
            <w:r>
              <w:pict>
                <v:shape id="_x0000_i1028" type="#_x0000_t75" alt="This figure shows the proportions of value added, hours worked and private new capital expenditure in Metal products made up by its subdivisions: Primary metals and Fabricated metals . subdivisions (Petroleum and coal product manufacturing, Basic chemical and chemical product manufacturing, and Polymer product and rubber product manufacturing), over the period of 1998-99 to 2010-11." style="width:205.95pt;height:128.1pt">
                  <v:imagedata r:id="rId12" o:title=""/>
                </v:shape>
              </w:pict>
            </w:r>
          </w:p>
        </w:tc>
      </w:tr>
    </w:tbl>
    <w:p w:rsidR="0022008F" w:rsidRDefault="0022008F" w:rsidP="0022008F">
      <w:pPr>
        <w:pStyle w:val="Note"/>
      </w:pPr>
      <w:r>
        <w:rPr>
          <w:rStyle w:val="NoteLabel"/>
        </w:rPr>
        <w:t>a</w:t>
      </w:r>
      <w:r>
        <w:t xml:space="preserve"> Current price data used for value added and private new capital expenditur</w:t>
      </w:r>
      <w:r w:rsidR="007640E4">
        <w:t>e. Data for net capital stock are</w:t>
      </w:r>
      <w:r>
        <w:t xml:space="preserve"> not available at this level of disaggregation.</w:t>
      </w:r>
    </w:p>
    <w:p w:rsidR="00D90794" w:rsidRDefault="0022008F" w:rsidP="0021298D">
      <w:pPr>
        <w:pStyle w:val="Source"/>
        <w:spacing w:after="0"/>
      </w:pPr>
      <w:r>
        <w:rPr>
          <w:i/>
        </w:rPr>
        <w:t>Data source</w:t>
      </w:r>
      <w:r w:rsidR="00A42AB3">
        <w:rPr>
          <w:i/>
        </w:rPr>
        <w:t>s</w:t>
      </w:r>
      <w:r w:rsidRPr="00167F06">
        <w:t xml:space="preserve">: </w:t>
      </w:r>
      <w:r w:rsidR="00BE511B">
        <w:t>ABS (unpublished Survey of New Capital Expenditure data); ABS (</w:t>
      </w:r>
      <w:r w:rsidR="00BE511B">
        <w:rPr>
          <w:i/>
        </w:rPr>
        <w:t>Australian Industry,</w:t>
      </w:r>
      <w:r w:rsidR="00BE511B">
        <w:t xml:space="preserve"> various issues,</w:t>
      </w:r>
      <w:r w:rsidR="00BE511B">
        <w:rPr>
          <w:i/>
        </w:rPr>
        <w:t xml:space="preserve"> </w:t>
      </w:r>
      <w:r w:rsidR="00BE511B">
        <w:t>Cat. no</w:t>
      </w:r>
      <w:r w:rsidR="00C6187E">
        <w:t>.</w:t>
      </w:r>
      <w:r w:rsidR="00BE511B">
        <w:t xml:space="preserve"> 8155.0); ABS (</w:t>
      </w:r>
      <w:r w:rsidR="00BE511B">
        <w:rPr>
          <w:i/>
        </w:rPr>
        <w:t xml:space="preserve">Australian Manufacturing, </w:t>
      </w:r>
      <w:r w:rsidR="00BE511B">
        <w:t>various issues,</w:t>
      </w:r>
      <w:r w:rsidR="00BE511B">
        <w:rPr>
          <w:i/>
        </w:rPr>
        <w:t xml:space="preserve"> </w:t>
      </w:r>
      <w:r w:rsidR="00BE511B">
        <w:t>Cat. no. 8221.0); ABS (unpublished Labour Force Survey data).</w:t>
      </w:r>
    </w:p>
    <w:p w:rsidR="00CE074B" w:rsidRDefault="00CE074B">
      <w:pPr>
        <w:rPr>
          <w:rFonts w:ascii="Times New Roman" w:eastAsia="Times New Roman" w:hAnsi="Times New Roman" w:cs="Times New Roman"/>
          <w:sz w:val="26"/>
          <w:szCs w:val="20"/>
          <w:lang w:eastAsia="en-AU"/>
        </w:rPr>
      </w:pPr>
      <w:r>
        <w:br w:type="page"/>
      </w:r>
    </w:p>
    <w:p w:rsidR="00CE074B" w:rsidRDefault="00CE074B" w:rsidP="00CE074B">
      <w:pPr>
        <w:pStyle w:val="BodyText"/>
      </w:pPr>
      <w:r>
        <w:lastRenderedPageBreak/>
        <w:t xml:space="preserve">As with other subsectors, examining the value added growth at the subdivision level is difficult because there is no </w:t>
      </w:r>
      <w:r w:rsidRPr="00096ADE">
        <w:rPr>
          <w:i/>
        </w:rPr>
        <w:t>real</w:t>
      </w:r>
      <w:r>
        <w:t xml:space="preserve"> measure of value added published for the MP subdivisions. This is particularly important for the MP subsector as large changes in prices for metal products, particularly primary metals, occurred over cycle 4. </w:t>
      </w:r>
    </w:p>
    <w:p w:rsidR="00CE074B" w:rsidRDefault="00CE074B" w:rsidP="00CE074B">
      <w:pPr>
        <w:pStyle w:val="BodyText"/>
      </w:pPr>
      <w:r>
        <w:t xml:space="preserve">As with Petroleum, coal, chemical and rubber products, table </w:t>
      </w:r>
      <w:proofErr w:type="spellStart"/>
      <w:r>
        <w:t>H.1</w:t>
      </w:r>
      <w:proofErr w:type="spellEnd"/>
      <w:r>
        <w:t xml:space="preserve"> shows that it is difficult to reconcile estimates of real growth derived from data available for the MP subdivisions with that of the subsector. For example, real value added growth for MP was 1.3 and 4.5 per cent a year in cycles 3 and 4, respectively. However, the subdivision data (deflated using output producer price deflators</w:t>
      </w:r>
      <w:r>
        <w:rPr>
          <w:rStyle w:val="FootnoteReference"/>
        </w:rPr>
        <w:footnoteReference w:id="1"/>
      </w:r>
      <w:r>
        <w:t xml:space="preserve">) give growth rates of 6.7 and 1.4 per cent a year in those cycles — reversing the trends of growth. Real sales and service income also suggests faster growth in cycle 3 than in cycle 4. </w:t>
      </w:r>
    </w:p>
    <w:p w:rsidR="00CE074B" w:rsidRDefault="00CE074B" w:rsidP="00CE074B">
      <w:pPr>
        <w:pStyle w:val="BodyText"/>
        <w:rPr>
          <w:lang w:eastAsia="en-US"/>
        </w:rPr>
      </w:pPr>
      <w:r>
        <w:rPr>
          <w:lang w:eastAsia="en-US"/>
        </w:rPr>
        <w:t xml:space="preserve">One reason for the discrepancy is that the value added data for the subsector and the subdivisions come from different sources. The subdivision data are sourced from publications based on the </w:t>
      </w:r>
      <w:r w:rsidRPr="00CE0496">
        <w:rPr>
          <w:i/>
          <w:lang w:eastAsia="en-US"/>
        </w:rPr>
        <w:t>Manufacturing Census</w:t>
      </w:r>
      <w:r>
        <w:rPr>
          <w:lang w:eastAsia="en-US"/>
        </w:rPr>
        <w:t xml:space="preserve"> and </w:t>
      </w:r>
      <w:r w:rsidRPr="00CE0496">
        <w:rPr>
          <w:i/>
          <w:lang w:eastAsia="en-US"/>
        </w:rPr>
        <w:t>Economic Activity Survey</w:t>
      </w:r>
      <w:r>
        <w:rPr>
          <w:lang w:eastAsia="en-US"/>
        </w:rPr>
        <w:t>. The subsector estimates from the ABS National Accounts are compiled using these surveys and other sources.</w:t>
      </w:r>
    </w:p>
    <w:p w:rsidR="00CE074B" w:rsidRDefault="00CE074B" w:rsidP="00CE074B">
      <w:pPr>
        <w:pStyle w:val="BodyText"/>
      </w:pPr>
      <w:r>
        <w:rPr>
          <w:lang w:eastAsia="en-US"/>
        </w:rPr>
        <w:t>Despite these discrepancies, the subdivision estimates for real value added and real sales and service income show higher growth in Fabricated metals than Primary metals over cycle 4.</w:t>
      </w:r>
      <w:r>
        <w:t xml:space="preserve"> It is for this reason that chapter 6 concludes that the real value added growth for MP reported in the National Accounts in cycle 4 is more likely to have come from Fabricated metals rather than Primary metals. The Bureau of Resource and Energy Economics data in table 6.3 also provide little evidence of output volume growth of primary metal products over cycle 4.</w:t>
      </w:r>
    </w:p>
    <w:p w:rsidR="00CE074B" w:rsidRDefault="00CE074B" w:rsidP="00CE074B">
      <w:pPr>
        <w:pStyle w:val="BodyText"/>
      </w:pPr>
    </w:p>
    <w:p w:rsidR="00DA7714" w:rsidRDefault="00F6415D" w:rsidP="00A4696E">
      <w:pPr>
        <w:pStyle w:val="TableTitle"/>
      </w:pPr>
      <w:r>
        <w:rPr>
          <w:b w:val="0"/>
        </w:rPr>
        <w:lastRenderedPageBreak/>
        <w:t xml:space="preserve">Table </w:t>
      </w:r>
      <w:bookmarkStart w:id="6" w:name="OLE_LINK1"/>
      <w:proofErr w:type="spellStart"/>
      <w:r w:rsidR="00750D19">
        <w:rPr>
          <w:b w:val="0"/>
        </w:rPr>
        <w:t>H.</w:t>
      </w:r>
      <w:r w:rsidR="00D76F7C">
        <w:rPr>
          <w:b w:val="0"/>
          <w:noProof/>
        </w:rPr>
        <w:t>1</w:t>
      </w:r>
      <w:bookmarkEnd w:id="6"/>
      <w:proofErr w:type="spellEnd"/>
      <w:r>
        <w:tab/>
      </w:r>
      <w:r w:rsidR="00DA7714">
        <w:t>Comparison of output measures and prices</w:t>
      </w:r>
      <w:r w:rsidR="00490870" w:rsidRPr="00490870">
        <w:t xml:space="preserve"> </w:t>
      </w:r>
      <w:r w:rsidR="00490870">
        <w:t>for Metal products</w:t>
      </w:r>
    </w:p>
    <w:p w:rsidR="00DA7714" w:rsidRDefault="00535472" w:rsidP="00DA7714">
      <w:pPr>
        <w:pStyle w:val="Subtitle"/>
      </w:pPr>
      <w:r>
        <w:t>Average annual growth rate (per cent)</w:t>
      </w:r>
    </w:p>
    <w:tbl>
      <w:tblPr>
        <w:tblW w:w="5000" w:type="pct"/>
        <w:tblLayout w:type="fixed"/>
        <w:tblCellMar>
          <w:left w:w="0" w:type="dxa"/>
          <w:right w:w="0" w:type="dxa"/>
        </w:tblCellMar>
        <w:tblLook w:val="0000" w:firstRow="0" w:lastRow="0" w:firstColumn="0" w:lastColumn="0" w:noHBand="0" w:noVBand="0"/>
      </w:tblPr>
      <w:tblGrid>
        <w:gridCol w:w="5123"/>
        <w:gridCol w:w="1222"/>
        <w:gridCol w:w="1222"/>
        <w:gridCol w:w="1222"/>
      </w:tblGrid>
      <w:tr w:rsidR="00F6415D" w:rsidRPr="00D02D39" w:rsidTr="00DF1E80">
        <w:tc>
          <w:tcPr>
            <w:tcW w:w="2914" w:type="pct"/>
            <w:tcBorders>
              <w:top w:val="single" w:sz="4" w:space="0" w:color="auto"/>
              <w:bottom w:val="single" w:sz="4" w:space="0" w:color="auto"/>
            </w:tcBorders>
            <w:vAlign w:val="center"/>
          </w:tcPr>
          <w:p w:rsidR="00F6415D" w:rsidRPr="00D02D39" w:rsidRDefault="00F6415D" w:rsidP="0082697E">
            <w:pPr>
              <w:pStyle w:val="TableColumnHeading"/>
              <w:spacing w:before="40" w:after="40" w:line="200" w:lineRule="atLeast"/>
            </w:pPr>
          </w:p>
        </w:tc>
        <w:tc>
          <w:tcPr>
            <w:tcW w:w="695" w:type="pct"/>
            <w:tcBorders>
              <w:top w:val="single" w:sz="4" w:space="0" w:color="auto"/>
              <w:bottom w:val="single" w:sz="4" w:space="0" w:color="auto"/>
            </w:tcBorders>
            <w:vAlign w:val="bottom"/>
          </w:tcPr>
          <w:p w:rsidR="00F6415D" w:rsidRPr="00D02D39" w:rsidRDefault="00F6415D" w:rsidP="0082697E">
            <w:pPr>
              <w:pStyle w:val="TableColumnHeading"/>
              <w:spacing w:before="40" w:after="40" w:line="200" w:lineRule="atLeast"/>
            </w:pPr>
            <w:r w:rsidRPr="00D02D39">
              <w:t>Cycle 3</w:t>
            </w:r>
          </w:p>
        </w:tc>
        <w:tc>
          <w:tcPr>
            <w:tcW w:w="695" w:type="pct"/>
            <w:tcBorders>
              <w:top w:val="single" w:sz="4" w:space="0" w:color="auto"/>
              <w:bottom w:val="single" w:sz="4" w:space="0" w:color="auto"/>
            </w:tcBorders>
            <w:vAlign w:val="bottom"/>
          </w:tcPr>
          <w:p w:rsidR="00F6415D" w:rsidRPr="00D02D39" w:rsidRDefault="00F6415D" w:rsidP="0082697E">
            <w:pPr>
              <w:pStyle w:val="TableColumnHeading"/>
              <w:spacing w:before="40" w:after="40" w:line="200" w:lineRule="atLeast"/>
            </w:pPr>
            <w:r w:rsidRPr="00D02D39">
              <w:t>Cycle 4</w:t>
            </w:r>
          </w:p>
        </w:tc>
        <w:tc>
          <w:tcPr>
            <w:tcW w:w="695" w:type="pct"/>
            <w:tcBorders>
              <w:top w:val="single" w:sz="4" w:space="0" w:color="auto"/>
              <w:bottom w:val="single" w:sz="4" w:space="0" w:color="auto"/>
            </w:tcBorders>
            <w:vAlign w:val="bottom"/>
          </w:tcPr>
          <w:p w:rsidR="00F6415D" w:rsidRPr="00D02D39" w:rsidRDefault="00D02D39" w:rsidP="0082697E">
            <w:pPr>
              <w:pStyle w:val="TableColumnHeading"/>
              <w:spacing w:before="40" w:after="40" w:line="200" w:lineRule="atLeast"/>
            </w:pPr>
            <w:r>
              <w:t>Inc</w:t>
            </w:r>
            <w:r w:rsidR="00DF1E80">
              <w:t>omplete</w:t>
            </w:r>
            <w:r>
              <w:t xml:space="preserve"> c</w:t>
            </w:r>
            <w:r w:rsidR="00F6415D" w:rsidRPr="00D02D39">
              <w:t>ycle</w:t>
            </w:r>
          </w:p>
        </w:tc>
      </w:tr>
      <w:tr w:rsidR="00F6415D" w:rsidRPr="00A17D08" w:rsidTr="004C64F7">
        <w:trPr>
          <w:trHeight w:val="391"/>
        </w:trPr>
        <w:tc>
          <w:tcPr>
            <w:tcW w:w="2914" w:type="pct"/>
            <w:shd w:val="clear" w:color="auto" w:fill="auto"/>
            <w:vAlign w:val="bottom"/>
          </w:tcPr>
          <w:p w:rsidR="00F6415D" w:rsidRPr="00A17D08" w:rsidRDefault="00F6415D" w:rsidP="009076B9">
            <w:pPr>
              <w:pStyle w:val="TableBodyText"/>
              <w:jc w:val="left"/>
              <w:rPr>
                <w:b/>
              </w:rPr>
            </w:pPr>
            <w:r w:rsidRPr="00A17D08">
              <w:rPr>
                <w:b/>
              </w:rPr>
              <w:t>Value added</w:t>
            </w:r>
          </w:p>
        </w:tc>
        <w:tc>
          <w:tcPr>
            <w:tcW w:w="695" w:type="pct"/>
            <w:shd w:val="clear" w:color="auto" w:fill="auto"/>
            <w:vAlign w:val="bottom"/>
          </w:tcPr>
          <w:p w:rsidR="00F6415D" w:rsidRPr="00A17D08" w:rsidRDefault="00F6415D" w:rsidP="004C64F7">
            <w:pPr>
              <w:pStyle w:val="TableBodyText"/>
              <w:jc w:val="left"/>
              <w:rPr>
                <w:b/>
              </w:rPr>
            </w:pPr>
          </w:p>
        </w:tc>
        <w:tc>
          <w:tcPr>
            <w:tcW w:w="695" w:type="pct"/>
            <w:shd w:val="clear" w:color="auto" w:fill="auto"/>
            <w:vAlign w:val="bottom"/>
          </w:tcPr>
          <w:p w:rsidR="00F6415D" w:rsidRPr="00A17D08" w:rsidRDefault="00F6415D" w:rsidP="004C64F7">
            <w:pPr>
              <w:pStyle w:val="TableBodyText"/>
              <w:jc w:val="left"/>
              <w:rPr>
                <w:b/>
              </w:rPr>
            </w:pPr>
          </w:p>
        </w:tc>
        <w:tc>
          <w:tcPr>
            <w:tcW w:w="695" w:type="pct"/>
            <w:shd w:val="clear" w:color="auto" w:fill="auto"/>
            <w:vAlign w:val="bottom"/>
          </w:tcPr>
          <w:p w:rsidR="00F6415D" w:rsidRPr="00A17D08" w:rsidRDefault="00F6415D" w:rsidP="004C64F7">
            <w:pPr>
              <w:pStyle w:val="TableBodyText"/>
              <w:jc w:val="left"/>
              <w:rPr>
                <w:b/>
              </w:rPr>
            </w:pPr>
          </w:p>
        </w:tc>
      </w:tr>
      <w:tr w:rsidR="00F6415D" w:rsidRPr="00ED17D6" w:rsidTr="00D3589E">
        <w:tc>
          <w:tcPr>
            <w:tcW w:w="2914" w:type="pct"/>
            <w:shd w:val="clear" w:color="auto" w:fill="D9D9D9" w:themeFill="background1" w:themeFillShade="D9"/>
            <w:vAlign w:val="bottom"/>
          </w:tcPr>
          <w:p w:rsidR="00F6415D" w:rsidRPr="00ED17D6" w:rsidRDefault="00F6415D" w:rsidP="00D3589E">
            <w:pPr>
              <w:pStyle w:val="TableBodyText"/>
              <w:jc w:val="left"/>
              <w:rPr>
                <w:b/>
              </w:rPr>
            </w:pPr>
            <w:r w:rsidRPr="00ED17D6">
              <w:rPr>
                <w:b/>
              </w:rPr>
              <w:t xml:space="preserve">    MP (real)</w:t>
            </w:r>
            <w:r w:rsidR="007E7713">
              <w:rPr>
                <w:rStyle w:val="NoteLabel"/>
              </w:rPr>
              <w:t>a</w:t>
            </w:r>
          </w:p>
        </w:tc>
        <w:tc>
          <w:tcPr>
            <w:tcW w:w="695" w:type="pct"/>
            <w:shd w:val="clear" w:color="auto" w:fill="D9D9D9" w:themeFill="background1" w:themeFillShade="D9"/>
            <w:vAlign w:val="bottom"/>
          </w:tcPr>
          <w:p w:rsidR="00F6415D" w:rsidRPr="00ED17D6" w:rsidRDefault="00F6415D" w:rsidP="00D3589E">
            <w:pPr>
              <w:pStyle w:val="TableBodyText"/>
              <w:rPr>
                <w:b/>
              </w:rPr>
            </w:pPr>
            <w:r w:rsidRPr="00ED17D6">
              <w:rPr>
                <w:b/>
              </w:rPr>
              <w:t>1.3</w:t>
            </w:r>
          </w:p>
        </w:tc>
        <w:tc>
          <w:tcPr>
            <w:tcW w:w="695" w:type="pct"/>
            <w:shd w:val="clear" w:color="auto" w:fill="D9D9D9" w:themeFill="background1" w:themeFillShade="D9"/>
            <w:vAlign w:val="bottom"/>
          </w:tcPr>
          <w:p w:rsidR="00F6415D" w:rsidRPr="00ED17D6" w:rsidRDefault="00F6415D" w:rsidP="00D3589E">
            <w:pPr>
              <w:pStyle w:val="TableBodyText"/>
              <w:rPr>
                <w:b/>
              </w:rPr>
            </w:pPr>
            <w:r w:rsidRPr="00ED17D6">
              <w:rPr>
                <w:b/>
              </w:rPr>
              <w:t>4.5</w:t>
            </w:r>
          </w:p>
        </w:tc>
        <w:tc>
          <w:tcPr>
            <w:tcW w:w="695" w:type="pct"/>
            <w:shd w:val="clear" w:color="auto" w:fill="D9D9D9" w:themeFill="background1" w:themeFillShade="D9"/>
            <w:vAlign w:val="bottom"/>
          </w:tcPr>
          <w:p w:rsidR="00F6415D" w:rsidRPr="00ED17D6" w:rsidRDefault="00F6415D" w:rsidP="00D3589E">
            <w:pPr>
              <w:pStyle w:val="TableBodyText"/>
              <w:rPr>
                <w:b/>
              </w:rPr>
            </w:pPr>
            <w:r w:rsidRPr="00ED17D6">
              <w:rPr>
                <w:b/>
              </w:rPr>
              <w:t>0.3</w:t>
            </w:r>
          </w:p>
        </w:tc>
      </w:tr>
      <w:tr w:rsidR="00F6415D" w:rsidTr="00D3589E">
        <w:trPr>
          <w:trHeight w:val="93"/>
        </w:trPr>
        <w:tc>
          <w:tcPr>
            <w:tcW w:w="2914" w:type="pct"/>
            <w:shd w:val="clear" w:color="auto" w:fill="auto"/>
          </w:tcPr>
          <w:p w:rsidR="00F6415D" w:rsidRPr="00EA1C7E" w:rsidRDefault="00F6415D" w:rsidP="00ED17D6">
            <w:pPr>
              <w:pStyle w:val="TableBodyText"/>
              <w:jc w:val="left"/>
            </w:pPr>
          </w:p>
        </w:tc>
        <w:tc>
          <w:tcPr>
            <w:tcW w:w="695" w:type="pct"/>
            <w:shd w:val="clear" w:color="auto" w:fill="auto"/>
            <w:vAlign w:val="bottom"/>
          </w:tcPr>
          <w:p w:rsidR="00F6415D" w:rsidRPr="00EA1C7E" w:rsidRDefault="00F6415D" w:rsidP="00D3589E">
            <w:pPr>
              <w:pStyle w:val="TableBodyText"/>
            </w:pPr>
          </w:p>
        </w:tc>
        <w:tc>
          <w:tcPr>
            <w:tcW w:w="695" w:type="pct"/>
            <w:shd w:val="clear" w:color="auto" w:fill="auto"/>
            <w:vAlign w:val="bottom"/>
          </w:tcPr>
          <w:p w:rsidR="00F6415D" w:rsidRPr="00EA1C7E" w:rsidRDefault="00F6415D" w:rsidP="00D3589E">
            <w:pPr>
              <w:pStyle w:val="TableBodyText"/>
            </w:pPr>
          </w:p>
        </w:tc>
        <w:tc>
          <w:tcPr>
            <w:tcW w:w="695" w:type="pct"/>
            <w:shd w:val="clear" w:color="auto" w:fill="auto"/>
            <w:vAlign w:val="bottom"/>
          </w:tcPr>
          <w:p w:rsidR="00F6415D" w:rsidRPr="00EA1C7E" w:rsidRDefault="00F6415D" w:rsidP="00D3589E">
            <w:pPr>
              <w:pStyle w:val="TableBodyText"/>
            </w:pPr>
          </w:p>
        </w:tc>
      </w:tr>
      <w:tr w:rsidR="00F6415D" w:rsidTr="00D3589E">
        <w:tc>
          <w:tcPr>
            <w:tcW w:w="2914" w:type="pct"/>
            <w:shd w:val="clear" w:color="auto" w:fill="D9D9D9" w:themeFill="background1" w:themeFillShade="D9"/>
            <w:vAlign w:val="bottom"/>
          </w:tcPr>
          <w:p w:rsidR="00F6415D" w:rsidRPr="00EA1C7E" w:rsidRDefault="00F6415D" w:rsidP="00D3589E">
            <w:pPr>
              <w:pStyle w:val="TableBodyText"/>
              <w:jc w:val="left"/>
            </w:pPr>
            <w:r w:rsidRPr="00EA1C7E">
              <w:t xml:space="preserve">    Primary metal product </w:t>
            </w:r>
            <w:proofErr w:type="spellStart"/>
            <w:r w:rsidRPr="00EA1C7E">
              <w:t>mfg</w:t>
            </w:r>
            <w:proofErr w:type="spellEnd"/>
            <w:r w:rsidRPr="00EA1C7E">
              <w:t xml:space="preserve"> (nominal)</w:t>
            </w:r>
          </w:p>
        </w:tc>
        <w:tc>
          <w:tcPr>
            <w:tcW w:w="695" w:type="pct"/>
            <w:shd w:val="clear" w:color="auto" w:fill="D9D9D9" w:themeFill="background1" w:themeFillShade="D9"/>
            <w:vAlign w:val="bottom"/>
          </w:tcPr>
          <w:p w:rsidR="00F6415D" w:rsidRPr="00EA1C7E" w:rsidRDefault="00F6415D" w:rsidP="00D3589E">
            <w:pPr>
              <w:pStyle w:val="TableBodyText"/>
            </w:pPr>
            <w:r w:rsidRPr="00EA1C7E">
              <w:t>10.6</w:t>
            </w:r>
          </w:p>
        </w:tc>
        <w:tc>
          <w:tcPr>
            <w:tcW w:w="695" w:type="pct"/>
            <w:shd w:val="clear" w:color="auto" w:fill="D9D9D9" w:themeFill="background1" w:themeFillShade="D9"/>
            <w:vAlign w:val="bottom"/>
          </w:tcPr>
          <w:p w:rsidR="00F6415D" w:rsidRPr="00EA1C7E" w:rsidRDefault="00F6415D" w:rsidP="00D3589E">
            <w:pPr>
              <w:pStyle w:val="TableBodyText"/>
            </w:pPr>
            <w:r w:rsidRPr="00EA1C7E">
              <w:t>10.6</w:t>
            </w:r>
          </w:p>
        </w:tc>
        <w:tc>
          <w:tcPr>
            <w:tcW w:w="695" w:type="pct"/>
            <w:shd w:val="clear" w:color="auto" w:fill="D9D9D9" w:themeFill="background1" w:themeFillShade="D9"/>
            <w:vAlign w:val="bottom"/>
          </w:tcPr>
          <w:p w:rsidR="00F6415D" w:rsidRPr="00EA1C7E" w:rsidRDefault="00F6415D" w:rsidP="00D3589E">
            <w:pPr>
              <w:pStyle w:val="TableBodyText"/>
            </w:pPr>
            <w:r w:rsidRPr="00EA1C7E">
              <w:t>-12.1</w:t>
            </w:r>
          </w:p>
        </w:tc>
      </w:tr>
      <w:tr w:rsidR="00F6415D" w:rsidTr="00D3589E">
        <w:tc>
          <w:tcPr>
            <w:tcW w:w="2914" w:type="pct"/>
            <w:shd w:val="clear" w:color="auto" w:fill="auto"/>
            <w:vAlign w:val="bottom"/>
          </w:tcPr>
          <w:p w:rsidR="00F6415D" w:rsidRPr="00EA1C7E" w:rsidRDefault="00F6415D" w:rsidP="00D3589E">
            <w:pPr>
              <w:pStyle w:val="TableBodyText"/>
              <w:jc w:val="left"/>
            </w:pPr>
            <w:r w:rsidRPr="00EA1C7E">
              <w:t xml:space="preserve">    Fabricated metal product </w:t>
            </w:r>
            <w:proofErr w:type="spellStart"/>
            <w:r w:rsidRPr="00EA1C7E">
              <w:t>mfg</w:t>
            </w:r>
            <w:proofErr w:type="spellEnd"/>
            <w:r w:rsidRPr="00EA1C7E">
              <w:t xml:space="preserve"> (nominal)</w:t>
            </w:r>
          </w:p>
        </w:tc>
        <w:tc>
          <w:tcPr>
            <w:tcW w:w="695" w:type="pct"/>
            <w:shd w:val="clear" w:color="auto" w:fill="auto"/>
            <w:vAlign w:val="bottom"/>
          </w:tcPr>
          <w:p w:rsidR="00F6415D" w:rsidRPr="00EA1C7E" w:rsidRDefault="00F6415D" w:rsidP="00D3589E">
            <w:pPr>
              <w:pStyle w:val="TableBodyText"/>
            </w:pPr>
            <w:r w:rsidRPr="00EA1C7E">
              <w:t>5.8</w:t>
            </w:r>
          </w:p>
        </w:tc>
        <w:tc>
          <w:tcPr>
            <w:tcW w:w="695" w:type="pct"/>
            <w:shd w:val="clear" w:color="auto" w:fill="auto"/>
            <w:vAlign w:val="bottom"/>
          </w:tcPr>
          <w:p w:rsidR="00F6415D" w:rsidRPr="00EA1C7E" w:rsidRDefault="00F6415D" w:rsidP="00D3589E">
            <w:pPr>
              <w:pStyle w:val="TableBodyText"/>
            </w:pPr>
            <w:r w:rsidRPr="00EA1C7E">
              <w:t>11.7</w:t>
            </w:r>
          </w:p>
        </w:tc>
        <w:tc>
          <w:tcPr>
            <w:tcW w:w="695" w:type="pct"/>
            <w:shd w:val="clear" w:color="auto" w:fill="auto"/>
            <w:vAlign w:val="bottom"/>
          </w:tcPr>
          <w:p w:rsidR="00F6415D" w:rsidRPr="00EA1C7E" w:rsidRDefault="00F6415D" w:rsidP="00D3589E">
            <w:pPr>
              <w:pStyle w:val="TableBodyText"/>
            </w:pPr>
            <w:r w:rsidRPr="00EA1C7E">
              <w:t>-0.5</w:t>
            </w:r>
          </w:p>
        </w:tc>
      </w:tr>
      <w:tr w:rsidR="00F6415D" w:rsidRPr="00220F20" w:rsidTr="00D3589E">
        <w:tc>
          <w:tcPr>
            <w:tcW w:w="2914" w:type="pct"/>
            <w:shd w:val="clear" w:color="auto" w:fill="D9D9D9" w:themeFill="background1" w:themeFillShade="D9"/>
            <w:vAlign w:val="bottom"/>
          </w:tcPr>
          <w:p w:rsidR="00F6415D" w:rsidRPr="00220F20" w:rsidRDefault="00F6415D" w:rsidP="00D3589E">
            <w:pPr>
              <w:pStyle w:val="TableBodyText"/>
              <w:jc w:val="left"/>
              <w:rPr>
                <w:i/>
              </w:rPr>
            </w:pPr>
            <w:r w:rsidRPr="00220F20">
              <w:rPr>
                <w:i/>
              </w:rPr>
              <w:t xml:space="preserve">    Sum of subdivisions (nominal)</w:t>
            </w:r>
          </w:p>
        </w:tc>
        <w:tc>
          <w:tcPr>
            <w:tcW w:w="695" w:type="pct"/>
            <w:shd w:val="clear" w:color="auto" w:fill="D9D9D9" w:themeFill="background1" w:themeFillShade="D9"/>
            <w:vAlign w:val="bottom"/>
          </w:tcPr>
          <w:p w:rsidR="00F6415D" w:rsidRPr="00220F20" w:rsidRDefault="00F6415D" w:rsidP="00D3589E">
            <w:pPr>
              <w:pStyle w:val="TableBodyText"/>
              <w:rPr>
                <w:i/>
              </w:rPr>
            </w:pPr>
            <w:r w:rsidRPr="00220F20">
              <w:rPr>
                <w:i/>
              </w:rPr>
              <w:t>8.4</w:t>
            </w:r>
          </w:p>
        </w:tc>
        <w:tc>
          <w:tcPr>
            <w:tcW w:w="695" w:type="pct"/>
            <w:shd w:val="clear" w:color="auto" w:fill="D9D9D9" w:themeFill="background1" w:themeFillShade="D9"/>
            <w:vAlign w:val="bottom"/>
          </w:tcPr>
          <w:p w:rsidR="00F6415D" w:rsidRPr="00220F20" w:rsidRDefault="00F6415D" w:rsidP="00D3589E">
            <w:pPr>
              <w:pStyle w:val="TableBodyText"/>
              <w:rPr>
                <w:i/>
              </w:rPr>
            </w:pPr>
            <w:r w:rsidRPr="00220F20">
              <w:rPr>
                <w:i/>
              </w:rPr>
              <w:t>11.1</w:t>
            </w:r>
          </w:p>
        </w:tc>
        <w:tc>
          <w:tcPr>
            <w:tcW w:w="695" w:type="pct"/>
            <w:shd w:val="clear" w:color="auto" w:fill="D9D9D9" w:themeFill="background1" w:themeFillShade="D9"/>
            <w:vAlign w:val="bottom"/>
          </w:tcPr>
          <w:p w:rsidR="00F6415D" w:rsidRPr="00220F20" w:rsidRDefault="00F6415D" w:rsidP="00D3589E">
            <w:pPr>
              <w:pStyle w:val="TableBodyText"/>
              <w:rPr>
                <w:i/>
              </w:rPr>
            </w:pPr>
            <w:r w:rsidRPr="00220F20">
              <w:rPr>
                <w:i/>
              </w:rPr>
              <w:t>-6.7</w:t>
            </w:r>
          </w:p>
        </w:tc>
      </w:tr>
      <w:tr w:rsidR="00F6415D" w:rsidTr="00D3589E">
        <w:trPr>
          <w:trHeight w:val="151"/>
        </w:trPr>
        <w:tc>
          <w:tcPr>
            <w:tcW w:w="2914" w:type="pct"/>
            <w:shd w:val="clear" w:color="auto" w:fill="auto"/>
            <w:vAlign w:val="bottom"/>
          </w:tcPr>
          <w:p w:rsidR="00F6415D" w:rsidRPr="00EA1C7E" w:rsidRDefault="00F6415D" w:rsidP="00D3589E">
            <w:pPr>
              <w:pStyle w:val="TableBodyText"/>
              <w:spacing w:line="180" w:lineRule="atLeast"/>
              <w:jc w:val="left"/>
            </w:pPr>
          </w:p>
        </w:tc>
        <w:tc>
          <w:tcPr>
            <w:tcW w:w="695" w:type="pct"/>
            <w:shd w:val="clear" w:color="auto" w:fill="auto"/>
            <w:vAlign w:val="bottom"/>
          </w:tcPr>
          <w:p w:rsidR="00F6415D" w:rsidRPr="00EA1C7E" w:rsidRDefault="00F6415D" w:rsidP="00D3589E">
            <w:pPr>
              <w:pStyle w:val="TableBodyText"/>
              <w:spacing w:line="180" w:lineRule="atLeast"/>
            </w:pPr>
          </w:p>
        </w:tc>
        <w:tc>
          <w:tcPr>
            <w:tcW w:w="695" w:type="pct"/>
            <w:shd w:val="clear" w:color="auto" w:fill="auto"/>
            <w:vAlign w:val="bottom"/>
          </w:tcPr>
          <w:p w:rsidR="00F6415D" w:rsidRPr="00EA1C7E" w:rsidRDefault="00F6415D" w:rsidP="00D3589E">
            <w:pPr>
              <w:pStyle w:val="TableBodyText"/>
              <w:spacing w:line="180" w:lineRule="atLeast"/>
            </w:pPr>
          </w:p>
        </w:tc>
        <w:tc>
          <w:tcPr>
            <w:tcW w:w="695" w:type="pct"/>
            <w:shd w:val="clear" w:color="auto" w:fill="auto"/>
            <w:vAlign w:val="bottom"/>
          </w:tcPr>
          <w:p w:rsidR="00F6415D" w:rsidRPr="00EA1C7E" w:rsidRDefault="00F6415D" w:rsidP="00D3589E">
            <w:pPr>
              <w:pStyle w:val="TableBodyText"/>
              <w:spacing w:line="180" w:lineRule="atLeast"/>
            </w:pPr>
          </w:p>
        </w:tc>
      </w:tr>
      <w:tr w:rsidR="00F6415D" w:rsidTr="00D3589E">
        <w:tc>
          <w:tcPr>
            <w:tcW w:w="2914" w:type="pct"/>
            <w:shd w:val="clear" w:color="auto" w:fill="D9D9D9" w:themeFill="background1" w:themeFillShade="D9"/>
            <w:vAlign w:val="bottom"/>
          </w:tcPr>
          <w:p w:rsidR="00F6415D" w:rsidRPr="00EA1C7E" w:rsidRDefault="00F6415D" w:rsidP="00D3589E">
            <w:pPr>
              <w:pStyle w:val="TableBodyText"/>
              <w:jc w:val="left"/>
            </w:pPr>
            <w:r w:rsidRPr="00EA1C7E">
              <w:t xml:space="preserve">    Primary metal product </w:t>
            </w:r>
            <w:proofErr w:type="spellStart"/>
            <w:r w:rsidRPr="00EA1C7E">
              <w:t>mfg</w:t>
            </w:r>
            <w:proofErr w:type="spellEnd"/>
            <w:r w:rsidRPr="00EA1C7E">
              <w:t xml:space="preserve"> (real)</w:t>
            </w:r>
            <w:r w:rsidR="007E7713">
              <w:rPr>
                <w:rStyle w:val="NoteLabel"/>
              </w:rPr>
              <w:t>b</w:t>
            </w:r>
          </w:p>
        </w:tc>
        <w:tc>
          <w:tcPr>
            <w:tcW w:w="695" w:type="pct"/>
            <w:shd w:val="clear" w:color="auto" w:fill="D9D9D9" w:themeFill="background1" w:themeFillShade="D9"/>
            <w:vAlign w:val="bottom"/>
          </w:tcPr>
          <w:p w:rsidR="00F6415D" w:rsidRPr="00EA1C7E" w:rsidRDefault="00F6415D" w:rsidP="00D3589E">
            <w:pPr>
              <w:pStyle w:val="TableBodyText"/>
            </w:pPr>
            <w:r w:rsidRPr="00EA1C7E">
              <w:t>8.9</w:t>
            </w:r>
          </w:p>
        </w:tc>
        <w:tc>
          <w:tcPr>
            <w:tcW w:w="695" w:type="pct"/>
            <w:shd w:val="clear" w:color="auto" w:fill="D9D9D9" w:themeFill="background1" w:themeFillShade="D9"/>
            <w:vAlign w:val="bottom"/>
          </w:tcPr>
          <w:p w:rsidR="00F6415D" w:rsidRPr="00EA1C7E" w:rsidRDefault="00F6415D" w:rsidP="00D3589E">
            <w:pPr>
              <w:pStyle w:val="TableBodyText"/>
            </w:pPr>
            <w:r w:rsidRPr="00EA1C7E">
              <w:t>-2.6</w:t>
            </w:r>
          </w:p>
        </w:tc>
        <w:tc>
          <w:tcPr>
            <w:tcW w:w="695" w:type="pct"/>
            <w:shd w:val="clear" w:color="auto" w:fill="D9D9D9" w:themeFill="background1" w:themeFillShade="D9"/>
            <w:vAlign w:val="bottom"/>
          </w:tcPr>
          <w:p w:rsidR="00F6415D" w:rsidRPr="00EA1C7E" w:rsidRDefault="00F6415D" w:rsidP="00D3589E">
            <w:pPr>
              <w:pStyle w:val="TableBodyText"/>
            </w:pPr>
            <w:r w:rsidRPr="00EA1C7E">
              <w:t>-10.2</w:t>
            </w:r>
          </w:p>
        </w:tc>
      </w:tr>
      <w:tr w:rsidR="00F6415D" w:rsidTr="00D3589E">
        <w:tc>
          <w:tcPr>
            <w:tcW w:w="2914" w:type="pct"/>
            <w:shd w:val="clear" w:color="auto" w:fill="auto"/>
            <w:vAlign w:val="bottom"/>
          </w:tcPr>
          <w:p w:rsidR="00F6415D" w:rsidRPr="00EA1C7E" w:rsidRDefault="00F6415D" w:rsidP="00D3589E">
            <w:pPr>
              <w:pStyle w:val="TableBodyText"/>
              <w:jc w:val="left"/>
            </w:pPr>
            <w:r w:rsidRPr="00EA1C7E">
              <w:t xml:space="preserve">    Fabricated metal product </w:t>
            </w:r>
            <w:proofErr w:type="spellStart"/>
            <w:r w:rsidRPr="00EA1C7E">
              <w:t>mfg</w:t>
            </w:r>
            <w:proofErr w:type="spellEnd"/>
            <w:r w:rsidRPr="00EA1C7E">
              <w:t xml:space="preserve"> (real)</w:t>
            </w:r>
            <w:r w:rsidR="007E7713">
              <w:rPr>
                <w:rStyle w:val="NoteLabel"/>
              </w:rPr>
              <w:t>b</w:t>
            </w:r>
          </w:p>
        </w:tc>
        <w:tc>
          <w:tcPr>
            <w:tcW w:w="695" w:type="pct"/>
            <w:shd w:val="clear" w:color="auto" w:fill="auto"/>
            <w:vAlign w:val="bottom"/>
          </w:tcPr>
          <w:p w:rsidR="00F6415D" w:rsidRPr="00EA1C7E" w:rsidRDefault="00F6415D" w:rsidP="00D3589E">
            <w:pPr>
              <w:pStyle w:val="TableBodyText"/>
            </w:pPr>
            <w:r w:rsidRPr="00EA1C7E">
              <w:t>3.8</w:t>
            </w:r>
          </w:p>
        </w:tc>
        <w:tc>
          <w:tcPr>
            <w:tcW w:w="695" w:type="pct"/>
            <w:shd w:val="clear" w:color="auto" w:fill="auto"/>
            <w:vAlign w:val="bottom"/>
          </w:tcPr>
          <w:p w:rsidR="00F6415D" w:rsidRPr="00EA1C7E" w:rsidRDefault="00F6415D" w:rsidP="00D3589E">
            <w:pPr>
              <w:pStyle w:val="TableBodyText"/>
            </w:pPr>
            <w:r w:rsidRPr="00EA1C7E">
              <w:t>6.8</w:t>
            </w:r>
          </w:p>
        </w:tc>
        <w:tc>
          <w:tcPr>
            <w:tcW w:w="695" w:type="pct"/>
            <w:shd w:val="clear" w:color="auto" w:fill="auto"/>
            <w:vAlign w:val="bottom"/>
          </w:tcPr>
          <w:p w:rsidR="00F6415D" w:rsidRPr="00EA1C7E" w:rsidRDefault="00F6415D" w:rsidP="00D3589E">
            <w:pPr>
              <w:pStyle w:val="TableBodyText"/>
            </w:pPr>
            <w:r w:rsidRPr="00EA1C7E">
              <w:t>-3.9</w:t>
            </w:r>
          </w:p>
        </w:tc>
      </w:tr>
      <w:tr w:rsidR="00F6415D" w:rsidRPr="00220F20" w:rsidTr="00D3589E">
        <w:tc>
          <w:tcPr>
            <w:tcW w:w="2914" w:type="pct"/>
            <w:shd w:val="clear" w:color="auto" w:fill="D9D9D9" w:themeFill="background1" w:themeFillShade="D9"/>
            <w:vAlign w:val="bottom"/>
          </w:tcPr>
          <w:p w:rsidR="00F6415D" w:rsidRPr="00220F20" w:rsidRDefault="00F6415D" w:rsidP="00D3589E">
            <w:pPr>
              <w:pStyle w:val="TableBodyText"/>
              <w:jc w:val="left"/>
              <w:rPr>
                <w:i/>
              </w:rPr>
            </w:pPr>
            <w:r w:rsidRPr="00220F20">
              <w:rPr>
                <w:i/>
              </w:rPr>
              <w:t xml:space="preserve">    Sum of subdivisions (real)</w:t>
            </w:r>
            <w:r w:rsidR="007E7713">
              <w:rPr>
                <w:rStyle w:val="NoteLabel"/>
              </w:rPr>
              <w:t>b</w:t>
            </w:r>
          </w:p>
        </w:tc>
        <w:tc>
          <w:tcPr>
            <w:tcW w:w="695" w:type="pct"/>
            <w:shd w:val="clear" w:color="auto" w:fill="D9D9D9" w:themeFill="background1" w:themeFillShade="D9"/>
            <w:vAlign w:val="bottom"/>
          </w:tcPr>
          <w:p w:rsidR="00F6415D" w:rsidRPr="00220F20" w:rsidRDefault="00F6415D" w:rsidP="00D3589E">
            <w:pPr>
              <w:pStyle w:val="TableBodyText"/>
              <w:rPr>
                <w:i/>
              </w:rPr>
            </w:pPr>
            <w:r w:rsidRPr="00220F20">
              <w:rPr>
                <w:i/>
              </w:rPr>
              <w:t>6.7</w:t>
            </w:r>
          </w:p>
        </w:tc>
        <w:tc>
          <w:tcPr>
            <w:tcW w:w="695" w:type="pct"/>
            <w:shd w:val="clear" w:color="auto" w:fill="D9D9D9" w:themeFill="background1" w:themeFillShade="D9"/>
            <w:vAlign w:val="bottom"/>
          </w:tcPr>
          <w:p w:rsidR="00F6415D" w:rsidRPr="00220F20" w:rsidRDefault="00F6415D" w:rsidP="00D3589E">
            <w:pPr>
              <w:pStyle w:val="TableBodyText"/>
              <w:rPr>
                <w:i/>
              </w:rPr>
            </w:pPr>
            <w:r w:rsidRPr="00220F20">
              <w:rPr>
                <w:i/>
              </w:rPr>
              <w:t>1.4</w:t>
            </w:r>
          </w:p>
        </w:tc>
        <w:tc>
          <w:tcPr>
            <w:tcW w:w="695" w:type="pct"/>
            <w:shd w:val="clear" w:color="auto" w:fill="D9D9D9" w:themeFill="background1" w:themeFillShade="D9"/>
            <w:vAlign w:val="bottom"/>
          </w:tcPr>
          <w:p w:rsidR="00F6415D" w:rsidRPr="00220F20" w:rsidRDefault="00F6415D" w:rsidP="00D3589E">
            <w:pPr>
              <w:pStyle w:val="TableBodyText"/>
              <w:rPr>
                <w:i/>
              </w:rPr>
            </w:pPr>
            <w:r w:rsidRPr="00220F20">
              <w:rPr>
                <w:i/>
              </w:rPr>
              <w:t>-7.0</w:t>
            </w:r>
          </w:p>
        </w:tc>
      </w:tr>
      <w:tr w:rsidR="00F6415D" w:rsidRPr="00A17D08" w:rsidTr="00D3589E">
        <w:trPr>
          <w:trHeight w:val="391"/>
        </w:trPr>
        <w:tc>
          <w:tcPr>
            <w:tcW w:w="2914" w:type="pct"/>
            <w:shd w:val="clear" w:color="auto" w:fill="auto"/>
            <w:vAlign w:val="bottom"/>
          </w:tcPr>
          <w:p w:rsidR="00F6415D" w:rsidRPr="00A17D08" w:rsidRDefault="00F6415D" w:rsidP="00D3589E">
            <w:pPr>
              <w:pStyle w:val="TableBodyText"/>
              <w:jc w:val="left"/>
              <w:rPr>
                <w:b/>
              </w:rPr>
            </w:pPr>
            <w:r w:rsidRPr="00A17D08">
              <w:rPr>
                <w:b/>
              </w:rPr>
              <w:t>Sales and service income</w:t>
            </w:r>
            <w:r w:rsidR="007E7713" w:rsidRPr="00A17D08">
              <w:rPr>
                <w:rStyle w:val="NoteLabel"/>
              </w:rPr>
              <w:t>c</w:t>
            </w:r>
          </w:p>
        </w:tc>
        <w:tc>
          <w:tcPr>
            <w:tcW w:w="695" w:type="pct"/>
            <w:shd w:val="clear" w:color="auto" w:fill="auto"/>
            <w:vAlign w:val="bottom"/>
          </w:tcPr>
          <w:p w:rsidR="00F6415D" w:rsidRPr="00A17D08" w:rsidRDefault="00F6415D" w:rsidP="00D3589E">
            <w:pPr>
              <w:pStyle w:val="TableBodyText"/>
              <w:rPr>
                <w:b/>
              </w:rPr>
            </w:pPr>
          </w:p>
        </w:tc>
        <w:tc>
          <w:tcPr>
            <w:tcW w:w="695" w:type="pct"/>
            <w:shd w:val="clear" w:color="auto" w:fill="auto"/>
            <w:vAlign w:val="bottom"/>
          </w:tcPr>
          <w:p w:rsidR="00F6415D" w:rsidRPr="00A17D08" w:rsidRDefault="00F6415D" w:rsidP="00D3589E">
            <w:pPr>
              <w:pStyle w:val="TableBodyText"/>
              <w:rPr>
                <w:b/>
              </w:rPr>
            </w:pPr>
          </w:p>
        </w:tc>
        <w:tc>
          <w:tcPr>
            <w:tcW w:w="695" w:type="pct"/>
            <w:shd w:val="clear" w:color="auto" w:fill="auto"/>
            <w:vAlign w:val="bottom"/>
          </w:tcPr>
          <w:p w:rsidR="00F6415D" w:rsidRPr="00A17D08" w:rsidRDefault="00F6415D" w:rsidP="00D3589E">
            <w:pPr>
              <w:pStyle w:val="TableBodyText"/>
              <w:rPr>
                <w:b/>
              </w:rPr>
            </w:pPr>
          </w:p>
        </w:tc>
      </w:tr>
      <w:tr w:rsidR="00F6415D" w:rsidRPr="00322DDF" w:rsidTr="00D3589E">
        <w:tc>
          <w:tcPr>
            <w:tcW w:w="2914" w:type="pct"/>
            <w:shd w:val="clear" w:color="auto" w:fill="D9D9D9" w:themeFill="background1" w:themeFillShade="D9"/>
            <w:vAlign w:val="bottom"/>
          </w:tcPr>
          <w:p w:rsidR="00F6415D" w:rsidRPr="00EA1C7E" w:rsidRDefault="00F6415D" w:rsidP="00D3589E">
            <w:pPr>
              <w:pStyle w:val="TableBodyText"/>
              <w:jc w:val="left"/>
            </w:pPr>
            <w:r w:rsidRPr="00EA1C7E">
              <w:t xml:space="preserve">    Primary metal product </w:t>
            </w:r>
            <w:proofErr w:type="spellStart"/>
            <w:r w:rsidRPr="00EA1C7E">
              <w:t>mfg</w:t>
            </w:r>
            <w:proofErr w:type="spellEnd"/>
            <w:r w:rsidRPr="00EA1C7E">
              <w:t xml:space="preserve"> (nominal)</w:t>
            </w:r>
          </w:p>
        </w:tc>
        <w:tc>
          <w:tcPr>
            <w:tcW w:w="695" w:type="pct"/>
            <w:shd w:val="clear" w:color="auto" w:fill="D9D9D9" w:themeFill="background1" w:themeFillShade="D9"/>
            <w:vAlign w:val="bottom"/>
          </w:tcPr>
          <w:p w:rsidR="00F6415D" w:rsidRPr="00EA1C7E" w:rsidRDefault="00F6415D" w:rsidP="00D3589E">
            <w:pPr>
              <w:pStyle w:val="TableBodyText"/>
            </w:pPr>
            <w:r w:rsidRPr="00EA1C7E">
              <w:t>9.3</w:t>
            </w:r>
          </w:p>
        </w:tc>
        <w:tc>
          <w:tcPr>
            <w:tcW w:w="695" w:type="pct"/>
            <w:shd w:val="clear" w:color="auto" w:fill="D9D9D9" w:themeFill="background1" w:themeFillShade="D9"/>
            <w:vAlign w:val="bottom"/>
          </w:tcPr>
          <w:p w:rsidR="00F6415D" w:rsidRPr="00EA1C7E" w:rsidRDefault="00F6415D" w:rsidP="00D3589E">
            <w:pPr>
              <w:pStyle w:val="TableBodyText"/>
            </w:pPr>
            <w:r w:rsidRPr="00EA1C7E">
              <w:t>13.2</w:t>
            </w:r>
          </w:p>
        </w:tc>
        <w:tc>
          <w:tcPr>
            <w:tcW w:w="695" w:type="pct"/>
            <w:shd w:val="clear" w:color="auto" w:fill="D9D9D9" w:themeFill="background1" w:themeFillShade="D9"/>
            <w:vAlign w:val="bottom"/>
          </w:tcPr>
          <w:p w:rsidR="00F6415D" w:rsidRPr="00EA1C7E" w:rsidRDefault="00F6415D" w:rsidP="00D3589E">
            <w:pPr>
              <w:pStyle w:val="TableBodyText"/>
            </w:pPr>
            <w:r w:rsidRPr="00EA1C7E">
              <w:t>-10.9</w:t>
            </w:r>
          </w:p>
        </w:tc>
      </w:tr>
      <w:tr w:rsidR="00F6415D" w:rsidTr="00D3589E">
        <w:tc>
          <w:tcPr>
            <w:tcW w:w="2914" w:type="pct"/>
            <w:shd w:val="clear" w:color="auto" w:fill="auto"/>
            <w:vAlign w:val="bottom"/>
          </w:tcPr>
          <w:p w:rsidR="00F6415D" w:rsidRPr="00EA1C7E" w:rsidRDefault="00F6415D" w:rsidP="00D3589E">
            <w:pPr>
              <w:pStyle w:val="TableBodyText"/>
              <w:jc w:val="left"/>
            </w:pPr>
            <w:r w:rsidRPr="00EA1C7E">
              <w:t xml:space="preserve">    Fabricated metal product </w:t>
            </w:r>
            <w:proofErr w:type="spellStart"/>
            <w:r w:rsidRPr="00EA1C7E">
              <w:t>mfg</w:t>
            </w:r>
            <w:proofErr w:type="spellEnd"/>
            <w:r w:rsidRPr="00EA1C7E">
              <w:t xml:space="preserve"> (nominal)</w:t>
            </w:r>
          </w:p>
        </w:tc>
        <w:tc>
          <w:tcPr>
            <w:tcW w:w="695" w:type="pct"/>
            <w:shd w:val="clear" w:color="auto" w:fill="auto"/>
            <w:vAlign w:val="bottom"/>
          </w:tcPr>
          <w:p w:rsidR="00F6415D" w:rsidRPr="00EA1C7E" w:rsidRDefault="00F6415D" w:rsidP="00D3589E">
            <w:pPr>
              <w:pStyle w:val="TableBodyText"/>
            </w:pPr>
            <w:r w:rsidRPr="00EA1C7E">
              <w:t>9.9</w:t>
            </w:r>
          </w:p>
        </w:tc>
        <w:tc>
          <w:tcPr>
            <w:tcW w:w="695" w:type="pct"/>
            <w:shd w:val="clear" w:color="auto" w:fill="auto"/>
            <w:vAlign w:val="bottom"/>
          </w:tcPr>
          <w:p w:rsidR="00F6415D" w:rsidRPr="00EA1C7E" w:rsidRDefault="00F6415D" w:rsidP="00D3589E">
            <w:pPr>
              <w:pStyle w:val="TableBodyText"/>
            </w:pPr>
            <w:r w:rsidRPr="00EA1C7E">
              <w:t>10.3</w:t>
            </w:r>
          </w:p>
        </w:tc>
        <w:tc>
          <w:tcPr>
            <w:tcW w:w="695" w:type="pct"/>
            <w:shd w:val="clear" w:color="auto" w:fill="auto"/>
            <w:vAlign w:val="bottom"/>
          </w:tcPr>
          <w:p w:rsidR="00F6415D" w:rsidRPr="00EA1C7E" w:rsidRDefault="00F6415D" w:rsidP="00D3589E">
            <w:pPr>
              <w:pStyle w:val="TableBodyText"/>
            </w:pPr>
            <w:r w:rsidRPr="00EA1C7E">
              <w:t>-1.3</w:t>
            </w:r>
          </w:p>
        </w:tc>
      </w:tr>
      <w:tr w:rsidR="00F6415D" w:rsidRPr="00220F20" w:rsidTr="00D3589E">
        <w:tc>
          <w:tcPr>
            <w:tcW w:w="2914" w:type="pct"/>
            <w:shd w:val="clear" w:color="auto" w:fill="D9D9D9" w:themeFill="background1" w:themeFillShade="D9"/>
            <w:vAlign w:val="bottom"/>
          </w:tcPr>
          <w:p w:rsidR="00F6415D" w:rsidRPr="00220F20" w:rsidRDefault="00F6415D" w:rsidP="00D3589E">
            <w:pPr>
              <w:pStyle w:val="TableBodyText"/>
              <w:jc w:val="left"/>
              <w:rPr>
                <w:i/>
              </w:rPr>
            </w:pPr>
            <w:r w:rsidRPr="00220F20">
              <w:rPr>
                <w:i/>
              </w:rPr>
              <w:t xml:space="preserve">    Sum of subdivisions (nominal)</w:t>
            </w:r>
          </w:p>
        </w:tc>
        <w:tc>
          <w:tcPr>
            <w:tcW w:w="695" w:type="pct"/>
            <w:shd w:val="clear" w:color="auto" w:fill="D9D9D9" w:themeFill="background1" w:themeFillShade="D9"/>
            <w:vAlign w:val="bottom"/>
          </w:tcPr>
          <w:p w:rsidR="00F6415D" w:rsidRPr="00220F20" w:rsidRDefault="00F6415D" w:rsidP="00D3589E">
            <w:pPr>
              <w:pStyle w:val="TableBodyText"/>
              <w:rPr>
                <w:i/>
              </w:rPr>
            </w:pPr>
            <w:r w:rsidRPr="00220F20">
              <w:rPr>
                <w:i/>
              </w:rPr>
              <w:t>9.5</w:t>
            </w:r>
          </w:p>
        </w:tc>
        <w:tc>
          <w:tcPr>
            <w:tcW w:w="695" w:type="pct"/>
            <w:shd w:val="clear" w:color="auto" w:fill="D9D9D9" w:themeFill="background1" w:themeFillShade="D9"/>
            <w:vAlign w:val="bottom"/>
          </w:tcPr>
          <w:p w:rsidR="00F6415D" w:rsidRPr="00220F20" w:rsidRDefault="00F6415D" w:rsidP="00D3589E">
            <w:pPr>
              <w:pStyle w:val="TableBodyText"/>
              <w:rPr>
                <w:i/>
              </w:rPr>
            </w:pPr>
            <w:r w:rsidRPr="00220F20">
              <w:rPr>
                <w:i/>
              </w:rPr>
              <w:t>12.2</w:t>
            </w:r>
          </w:p>
        </w:tc>
        <w:tc>
          <w:tcPr>
            <w:tcW w:w="695" w:type="pct"/>
            <w:shd w:val="clear" w:color="auto" w:fill="D9D9D9" w:themeFill="background1" w:themeFillShade="D9"/>
            <w:vAlign w:val="bottom"/>
          </w:tcPr>
          <w:p w:rsidR="00F6415D" w:rsidRPr="00220F20" w:rsidRDefault="00F6415D" w:rsidP="00D3589E">
            <w:pPr>
              <w:pStyle w:val="TableBodyText"/>
              <w:rPr>
                <w:i/>
              </w:rPr>
            </w:pPr>
            <w:r w:rsidRPr="00220F20">
              <w:rPr>
                <w:i/>
              </w:rPr>
              <w:t>-7.4</w:t>
            </w:r>
          </w:p>
        </w:tc>
      </w:tr>
      <w:tr w:rsidR="00F6415D" w:rsidTr="00D3589E">
        <w:tc>
          <w:tcPr>
            <w:tcW w:w="2914" w:type="pct"/>
            <w:shd w:val="clear" w:color="auto" w:fill="auto"/>
            <w:vAlign w:val="bottom"/>
          </w:tcPr>
          <w:p w:rsidR="00F6415D" w:rsidRPr="00EA1C7E" w:rsidRDefault="00F6415D" w:rsidP="00D3589E">
            <w:pPr>
              <w:pStyle w:val="TableBodyText"/>
              <w:jc w:val="left"/>
            </w:pPr>
          </w:p>
        </w:tc>
        <w:tc>
          <w:tcPr>
            <w:tcW w:w="695" w:type="pct"/>
            <w:shd w:val="clear" w:color="auto" w:fill="auto"/>
            <w:vAlign w:val="bottom"/>
          </w:tcPr>
          <w:p w:rsidR="00F6415D" w:rsidRPr="00EA1C7E" w:rsidRDefault="00F6415D" w:rsidP="00D3589E">
            <w:pPr>
              <w:pStyle w:val="TableBodyText"/>
            </w:pPr>
          </w:p>
        </w:tc>
        <w:tc>
          <w:tcPr>
            <w:tcW w:w="695" w:type="pct"/>
            <w:shd w:val="clear" w:color="auto" w:fill="auto"/>
            <w:vAlign w:val="bottom"/>
          </w:tcPr>
          <w:p w:rsidR="00F6415D" w:rsidRPr="00EA1C7E" w:rsidRDefault="00F6415D" w:rsidP="00D3589E">
            <w:pPr>
              <w:pStyle w:val="TableBodyText"/>
            </w:pPr>
          </w:p>
        </w:tc>
        <w:tc>
          <w:tcPr>
            <w:tcW w:w="695" w:type="pct"/>
            <w:shd w:val="clear" w:color="auto" w:fill="auto"/>
            <w:vAlign w:val="bottom"/>
          </w:tcPr>
          <w:p w:rsidR="00F6415D" w:rsidRPr="00EA1C7E" w:rsidRDefault="00F6415D" w:rsidP="00D3589E">
            <w:pPr>
              <w:pStyle w:val="TableBodyText"/>
            </w:pPr>
          </w:p>
        </w:tc>
      </w:tr>
      <w:tr w:rsidR="00F6415D" w:rsidRPr="00CC3B15" w:rsidTr="00D3589E">
        <w:tc>
          <w:tcPr>
            <w:tcW w:w="2914" w:type="pct"/>
            <w:shd w:val="clear" w:color="auto" w:fill="D9D9D9" w:themeFill="background1" w:themeFillShade="D9"/>
            <w:vAlign w:val="bottom"/>
          </w:tcPr>
          <w:p w:rsidR="00F6415D" w:rsidRPr="00EA1C7E" w:rsidRDefault="00F6415D" w:rsidP="00D3589E">
            <w:pPr>
              <w:pStyle w:val="TableBodyText"/>
              <w:jc w:val="left"/>
            </w:pPr>
            <w:r w:rsidRPr="00EA1C7E">
              <w:t xml:space="preserve">    Primary metal product </w:t>
            </w:r>
            <w:proofErr w:type="spellStart"/>
            <w:r w:rsidRPr="00EA1C7E">
              <w:t>mfg</w:t>
            </w:r>
            <w:proofErr w:type="spellEnd"/>
            <w:r w:rsidRPr="00EA1C7E">
              <w:t xml:space="preserve"> (real)</w:t>
            </w:r>
          </w:p>
        </w:tc>
        <w:tc>
          <w:tcPr>
            <w:tcW w:w="695" w:type="pct"/>
            <w:shd w:val="clear" w:color="auto" w:fill="D9D9D9" w:themeFill="background1" w:themeFillShade="D9"/>
            <w:vAlign w:val="bottom"/>
          </w:tcPr>
          <w:p w:rsidR="00F6415D" w:rsidRPr="00EA1C7E" w:rsidRDefault="00F6415D" w:rsidP="00D3589E">
            <w:pPr>
              <w:pStyle w:val="TableBodyText"/>
            </w:pPr>
            <w:r w:rsidRPr="00EA1C7E">
              <w:t>3.8</w:t>
            </w:r>
          </w:p>
        </w:tc>
        <w:tc>
          <w:tcPr>
            <w:tcW w:w="695" w:type="pct"/>
            <w:shd w:val="clear" w:color="auto" w:fill="D9D9D9" w:themeFill="background1" w:themeFillShade="D9"/>
            <w:vAlign w:val="bottom"/>
          </w:tcPr>
          <w:p w:rsidR="00F6415D" w:rsidRPr="00EA1C7E" w:rsidRDefault="00F6415D" w:rsidP="00D3589E">
            <w:pPr>
              <w:pStyle w:val="TableBodyText"/>
            </w:pPr>
            <w:r w:rsidRPr="00EA1C7E">
              <w:t>-2.1</w:t>
            </w:r>
          </w:p>
        </w:tc>
        <w:tc>
          <w:tcPr>
            <w:tcW w:w="695" w:type="pct"/>
            <w:shd w:val="clear" w:color="auto" w:fill="D9D9D9" w:themeFill="background1" w:themeFillShade="D9"/>
            <w:vAlign w:val="bottom"/>
          </w:tcPr>
          <w:p w:rsidR="00F6415D" w:rsidRPr="00EA1C7E" w:rsidRDefault="00F6415D" w:rsidP="00D3589E">
            <w:pPr>
              <w:pStyle w:val="TableBodyText"/>
            </w:pPr>
            <w:r w:rsidRPr="00EA1C7E">
              <w:t>-16.9</w:t>
            </w:r>
          </w:p>
        </w:tc>
      </w:tr>
      <w:tr w:rsidR="00F6415D" w:rsidTr="00D3589E">
        <w:tc>
          <w:tcPr>
            <w:tcW w:w="2914" w:type="pct"/>
            <w:shd w:val="clear" w:color="auto" w:fill="auto"/>
            <w:vAlign w:val="bottom"/>
          </w:tcPr>
          <w:p w:rsidR="00F6415D" w:rsidRPr="00EA1C7E" w:rsidRDefault="00F6415D" w:rsidP="00D3589E">
            <w:pPr>
              <w:pStyle w:val="TableBodyText"/>
              <w:jc w:val="left"/>
            </w:pPr>
            <w:r w:rsidRPr="00EA1C7E">
              <w:t xml:space="preserve">    Fabricated metal product </w:t>
            </w:r>
            <w:proofErr w:type="spellStart"/>
            <w:r w:rsidRPr="00EA1C7E">
              <w:t>mfg</w:t>
            </w:r>
            <w:proofErr w:type="spellEnd"/>
            <w:r w:rsidRPr="00EA1C7E">
              <w:t xml:space="preserve"> (real)</w:t>
            </w:r>
          </w:p>
        </w:tc>
        <w:tc>
          <w:tcPr>
            <w:tcW w:w="695" w:type="pct"/>
            <w:shd w:val="clear" w:color="auto" w:fill="auto"/>
            <w:vAlign w:val="bottom"/>
          </w:tcPr>
          <w:p w:rsidR="00F6415D" w:rsidRPr="00EA1C7E" w:rsidRDefault="00F6415D" w:rsidP="00D3589E">
            <w:pPr>
              <w:pStyle w:val="TableBodyText"/>
            </w:pPr>
            <w:r w:rsidRPr="00EA1C7E">
              <w:t>7.7</w:t>
            </w:r>
          </w:p>
        </w:tc>
        <w:tc>
          <w:tcPr>
            <w:tcW w:w="695" w:type="pct"/>
            <w:shd w:val="clear" w:color="auto" w:fill="auto"/>
            <w:vAlign w:val="bottom"/>
          </w:tcPr>
          <w:p w:rsidR="00F6415D" w:rsidRPr="00EA1C7E" w:rsidRDefault="00F6415D" w:rsidP="00D3589E">
            <w:pPr>
              <w:pStyle w:val="TableBodyText"/>
            </w:pPr>
            <w:r w:rsidRPr="00EA1C7E">
              <w:t>4.7</w:t>
            </w:r>
          </w:p>
        </w:tc>
        <w:tc>
          <w:tcPr>
            <w:tcW w:w="695" w:type="pct"/>
            <w:shd w:val="clear" w:color="auto" w:fill="auto"/>
            <w:vAlign w:val="bottom"/>
          </w:tcPr>
          <w:p w:rsidR="00F6415D" w:rsidRPr="00EA1C7E" w:rsidRDefault="00F6415D" w:rsidP="00D3589E">
            <w:pPr>
              <w:pStyle w:val="TableBodyText"/>
            </w:pPr>
            <w:r w:rsidRPr="00EA1C7E">
              <w:t>-5.0</w:t>
            </w:r>
          </w:p>
        </w:tc>
      </w:tr>
      <w:tr w:rsidR="00F6415D" w:rsidRPr="00220F20" w:rsidTr="00D3589E">
        <w:tc>
          <w:tcPr>
            <w:tcW w:w="2914" w:type="pct"/>
            <w:shd w:val="clear" w:color="auto" w:fill="D9D9D9" w:themeFill="background1" w:themeFillShade="D9"/>
            <w:vAlign w:val="bottom"/>
          </w:tcPr>
          <w:p w:rsidR="00F6415D" w:rsidRPr="00220F20" w:rsidRDefault="00F6415D" w:rsidP="00D3589E">
            <w:pPr>
              <w:pStyle w:val="TableBodyText"/>
              <w:jc w:val="left"/>
              <w:rPr>
                <w:i/>
              </w:rPr>
            </w:pPr>
            <w:r w:rsidRPr="00220F20">
              <w:rPr>
                <w:i/>
              </w:rPr>
              <w:t xml:space="preserve">    Sum of subdivisions (real)</w:t>
            </w:r>
          </w:p>
        </w:tc>
        <w:tc>
          <w:tcPr>
            <w:tcW w:w="695" w:type="pct"/>
            <w:shd w:val="clear" w:color="auto" w:fill="D9D9D9" w:themeFill="background1" w:themeFillShade="D9"/>
            <w:vAlign w:val="bottom"/>
          </w:tcPr>
          <w:p w:rsidR="00F6415D" w:rsidRPr="00220F20" w:rsidRDefault="00F6415D" w:rsidP="00D3589E">
            <w:pPr>
              <w:pStyle w:val="TableBodyText"/>
              <w:rPr>
                <w:i/>
              </w:rPr>
            </w:pPr>
            <w:r w:rsidRPr="00220F20">
              <w:rPr>
                <w:i/>
              </w:rPr>
              <w:t>4.7</w:t>
            </w:r>
          </w:p>
        </w:tc>
        <w:tc>
          <w:tcPr>
            <w:tcW w:w="695" w:type="pct"/>
            <w:shd w:val="clear" w:color="auto" w:fill="D9D9D9" w:themeFill="background1" w:themeFillShade="D9"/>
            <w:vAlign w:val="bottom"/>
          </w:tcPr>
          <w:p w:rsidR="00F6415D" w:rsidRPr="00220F20" w:rsidRDefault="00F6415D" w:rsidP="00D3589E">
            <w:pPr>
              <w:pStyle w:val="TableBodyText"/>
              <w:rPr>
                <w:i/>
              </w:rPr>
            </w:pPr>
            <w:r w:rsidRPr="00220F20">
              <w:rPr>
                <w:i/>
              </w:rPr>
              <w:t>-0.1</w:t>
            </w:r>
          </w:p>
        </w:tc>
        <w:tc>
          <w:tcPr>
            <w:tcW w:w="695" w:type="pct"/>
            <w:shd w:val="clear" w:color="auto" w:fill="D9D9D9" w:themeFill="background1" w:themeFillShade="D9"/>
            <w:vAlign w:val="bottom"/>
          </w:tcPr>
          <w:p w:rsidR="00F6415D" w:rsidRPr="00220F20" w:rsidRDefault="00F6415D" w:rsidP="00D3589E">
            <w:pPr>
              <w:pStyle w:val="TableBodyText"/>
              <w:rPr>
                <w:i/>
              </w:rPr>
            </w:pPr>
            <w:r w:rsidRPr="00220F20">
              <w:rPr>
                <w:i/>
              </w:rPr>
              <w:t>-12.7</w:t>
            </w:r>
          </w:p>
        </w:tc>
      </w:tr>
      <w:tr w:rsidR="00F6415D" w:rsidRPr="00A17D08" w:rsidTr="00D3589E">
        <w:trPr>
          <w:trHeight w:val="391"/>
        </w:trPr>
        <w:tc>
          <w:tcPr>
            <w:tcW w:w="2914" w:type="pct"/>
            <w:shd w:val="clear" w:color="auto" w:fill="auto"/>
            <w:vAlign w:val="bottom"/>
          </w:tcPr>
          <w:p w:rsidR="00F6415D" w:rsidRPr="00A17D08" w:rsidRDefault="00F6415D" w:rsidP="00D3589E">
            <w:pPr>
              <w:pStyle w:val="TableBodyText"/>
              <w:jc w:val="left"/>
              <w:rPr>
                <w:b/>
              </w:rPr>
            </w:pPr>
            <w:r w:rsidRPr="00A17D08">
              <w:rPr>
                <w:b/>
              </w:rPr>
              <w:t xml:space="preserve">Price deflators </w:t>
            </w:r>
          </w:p>
        </w:tc>
        <w:tc>
          <w:tcPr>
            <w:tcW w:w="695" w:type="pct"/>
            <w:shd w:val="clear" w:color="auto" w:fill="auto"/>
            <w:vAlign w:val="bottom"/>
          </w:tcPr>
          <w:p w:rsidR="00F6415D" w:rsidRPr="00A17D08" w:rsidRDefault="00F6415D" w:rsidP="00D3589E">
            <w:pPr>
              <w:pStyle w:val="TableBodyText"/>
              <w:rPr>
                <w:b/>
              </w:rPr>
            </w:pPr>
          </w:p>
        </w:tc>
        <w:tc>
          <w:tcPr>
            <w:tcW w:w="695" w:type="pct"/>
            <w:shd w:val="clear" w:color="auto" w:fill="auto"/>
            <w:vAlign w:val="bottom"/>
          </w:tcPr>
          <w:p w:rsidR="00F6415D" w:rsidRPr="00A17D08" w:rsidRDefault="00F6415D" w:rsidP="00D3589E">
            <w:pPr>
              <w:pStyle w:val="TableBodyText"/>
              <w:rPr>
                <w:b/>
              </w:rPr>
            </w:pPr>
          </w:p>
        </w:tc>
        <w:tc>
          <w:tcPr>
            <w:tcW w:w="695" w:type="pct"/>
            <w:shd w:val="clear" w:color="auto" w:fill="auto"/>
            <w:vAlign w:val="bottom"/>
          </w:tcPr>
          <w:p w:rsidR="00F6415D" w:rsidRPr="00A17D08" w:rsidRDefault="00F6415D" w:rsidP="00D3589E">
            <w:pPr>
              <w:pStyle w:val="TableBodyText"/>
              <w:rPr>
                <w:b/>
              </w:rPr>
            </w:pPr>
          </w:p>
        </w:tc>
      </w:tr>
      <w:tr w:rsidR="00F6415D" w:rsidRPr="00CC3B15" w:rsidTr="00D3589E">
        <w:tc>
          <w:tcPr>
            <w:tcW w:w="2914" w:type="pct"/>
            <w:shd w:val="clear" w:color="auto" w:fill="D9D9D9" w:themeFill="background1" w:themeFillShade="D9"/>
            <w:vAlign w:val="bottom"/>
          </w:tcPr>
          <w:p w:rsidR="00F6415D" w:rsidRPr="00EA1C7E" w:rsidRDefault="00F6415D" w:rsidP="00D3589E">
            <w:pPr>
              <w:pStyle w:val="TableBodyText"/>
              <w:jc w:val="left"/>
            </w:pPr>
            <w:r w:rsidRPr="00EA1C7E">
              <w:t xml:space="preserve">    Output PPI: Primary metal product </w:t>
            </w:r>
            <w:proofErr w:type="spellStart"/>
            <w:r w:rsidRPr="00EA1C7E">
              <w:t>mfg</w:t>
            </w:r>
            <w:proofErr w:type="spellEnd"/>
            <w:r w:rsidRPr="00EA1C7E">
              <w:t xml:space="preserve"> </w:t>
            </w:r>
          </w:p>
        </w:tc>
        <w:tc>
          <w:tcPr>
            <w:tcW w:w="695" w:type="pct"/>
            <w:shd w:val="clear" w:color="auto" w:fill="D9D9D9" w:themeFill="background1" w:themeFillShade="D9"/>
            <w:vAlign w:val="bottom"/>
          </w:tcPr>
          <w:p w:rsidR="00F6415D" w:rsidRPr="00EA1C7E" w:rsidRDefault="00F6415D" w:rsidP="00D3589E">
            <w:pPr>
              <w:pStyle w:val="TableBodyText"/>
            </w:pPr>
            <w:r w:rsidRPr="00EA1C7E">
              <w:t>1.6</w:t>
            </w:r>
          </w:p>
        </w:tc>
        <w:tc>
          <w:tcPr>
            <w:tcW w:w="695" w:type="pct"/>
            <w:shd w:val="clear" w:color="auto" w:fill="D9D9D9" w:themeFill="background1" w:themeFillShade="D9"/>
            <w:vAlign w:val="bottom"/>
          </w:tcPr>
          <w:p w:rsidR="00F6415D" w:rsidRPr="00EA1C7E" w:rsidRDefault="00F6415D" w:rsidP="00D3589E">
            <w:pPr>
              <w:pStyle w:val="TableBodyText"/>
            </w:pPr>
            <w:r w:rsidRPr="00EA1C7E">
              <w:t>13.5</w:t>
            </w:r>
          </w:p>
        </w:tc>
        <w:tc>
          <w:tcPr>
            <w:tcW w:w="695" w:type="pct"/>
            <w:shd w:val="clear" w:color="auto" w:fill="D9D9D9" w:themeFill="background1" w:themeFillShade="D9"/>
            <w:vAlign w:val="bottom"/>
          </w:tcPr>
          <w:p w:rsidR="00F6415D" w:rsidRPr="00EA1C7E" w:rsidRDefault="008D4EB2" w:rsidP="00D3589E">
            <w:pPr>
              <w:pStyle w:val="TableBodyText"/>
            </w:pPr>
            <w:r>
              <w:t>-1.9</w:t>
            </w:r>
          </w:p>
        </w:tc>
      </w:tr>
      <w:tr w:rsidR="00F6415D" w:rsidTr="00D3589E">
        <w:tc>
          <w:tcPr>
            <w:tcW w:w="2914" w:type="pct"/>
            <w:shd w:val="clear" w:color="auto" w:fill="auto"/>
            <w:vAlign w:val="bottom"/>
          </w:tcPr>
          <w:p w:rsidR="00F6415D" w:rsidRPr="00EA1C7E" w:rsidRDefault="00F6415D" w:rsidP="00D3589E">
            <w:pPr>
              <w:pStyle w:val="TableBodyText"/>
              <w:jc w:val="left"/>
            </w:pPr>
            <w:r w:rsidRPr="00EA1C7E">
              <w:t xml:space="preserve">    Output PPI: Fabricated metal product </w:t>
            </w:r>
            <w:proofErr w:type="spellStart"/>
            <w:r w:rsidRPr="00EA1C7E">
              <w:t>mfg</w:t>
            </w:r>
            <w:proofErr w:type="spellEnd"/>
          </w:p>
        </w:tc>
        <w:tc>
          <w:tcPr>
            <w:tcW w:w="695" w:type="pct"/>
            <w:shd w:val="clear" w:color="auto" w:fill="auto"/>
            <w:vAlign w:val="bottom"/>
          </w:tcPr>
          <w:p w:rsidR="00F6415D" w:rsidRPr="00EA1C7E" w:rsidRDefault="00F6415D" w:rsidP="00D3589E">
            <w:pPr>
              <w:pStyle w:val="TableBodyText"/>
            </w:pPr>
            <w:r w:rsidRPr="00EA1C7E">
              <w:t>2.0</w:t>
            </w:r>
          </w:p>
        </w:tc>
        <w:tc>
          <w:tcPr>
            <w:tcW w:w="695" w:type="pct"/>
            <w:shd w:val="clear" w:color="auto" w:fill="auto"/>
            <w:vAlign w:val="bottom"/>
          </w:tcPr>
          <w:p w:rsidR="00F6415D" w:rsidRPr="00EA1C7E" w:rsidRDefault="00F6415D" w:rsidP="00D3589E">
            <w:pPr>
              <w:pStyle w:val="TableBodyText"/>
            </w:pPr>
            <w:r w:rsidRPr="00EA1C7E">
              <w:t>4.6</w:t>
            </w:r>
          </w:p>
        </w:tc>
        <w:tc>
          <w:tcPr>
            <w:tcW w:w="695" w:type="pct"/>
            <w:shd w:val="clear" w:color="auto" w:fill="auto"/>
            <w:vAlign w:val="bottom"/>
          </w:tcPr>
          <w:p w:rsidR="00F6415D" w:rsidRPr="00EA1C7E" w:rsidRDefault="00F6415D" w:rsidP="00D3589E">
            <w:pPr>
              <w:pStyle w:val="TableBodyText"/>
            </w:pPr>
            <w:r w:rsidRPr="00EA1C7E">
              <w:t>3</w:t>
            </w:r>
            <w:r w:rsidR="008D4EB2">
              <w:t>.7</w:t>
            </w:r>
          </w:p>
        </w:tc>
      </w:tr>
      <w:tr w:rsidR="00F6415D" w:rsidRPr="00220F20" w:rsidTr="00D3589E">
        <w:tc>
          <w:tcPr>
            <w:tcW w:w="2914" w:type="pct"/>
            <w:shd w:val="clear" w:color="auto" w:fill="D9D9D9" w:themeFill="background1" w:themeFillShade="D9"/>
            <w:vAlign w:val="bottom"/>
          </w:tcPr>
          <w:p w:rsidR="00F6415D" w:rsidRPr="00220F20" w:rsidRDefault="00F6415D" w:rsidP="00D3589E">
            <w:pPr>
              <w:pStyle w:val="TableBodyText"/>
              <w:jc w:val="left"/>
              <w:rPr>
                <w:i/>
              </w:rPr>
            </w:pPr>
            <w:r w:rsidRPr="00220F20">
              <w:rPr>
                <w:i/>
              </w:rPr>
              <w:t xml:space="preserve">    Output PPI: MP</w:t>
            </w:r>
            <w:r w:rsidR="007E7713">
              <w:rPr>
                <w:rStyle w:val="NoteLabel"/>
              </w:rPr>
              <w:t>d</w:t>
            </w:r>
          </w:p>
        </w:tc>
        <w:tc>
          <w:tcPr>
            <w:tcW w:w="695" w:type="pct"/>
            <w:shd w:val="clear" w:color="auto" w:fill="D9D9D9" w:themeFill="background1" w:themeFillShade="D9"/>
            <w:vAlign w:val="bottom"/>
          </w:tcPr>
          <w:p w:rsidR="00F6415D" w:rsidRPr="00220F20" w:rsidRDefault="00F6415D" w:rsidP="00D3589E">
            <w:pPr>
              <w:pStyle w:val="TableBodyText"/>
              <w:rPr>
                <w:i/>
              </w:rPr>
            </w:pPr>
            <w:r w:rsidRPr="00220F20">
              <w:rPr>
                <w:i/>
              </w:rPr>
              <w:t>1.7</w:t>
            </w:r>
          </w:p>
        </w:tc>
        <w:tc>
          <w:tcPr>
            <w:tcW w:w="695" w:type="pct"/>
            <w:shd w:val="clear" w:color="auto" w:fill="D9D9D9" w:themeFill="background1" w:themeFillShade="D9"/>
            <w:vAlign w:val="bottom"/>
          </w:tcPr>
          <w:p w:rsidR="00F6415D" w:rsidRPr="00220F20" w:rsidRDefault="00F6415D" w:rsidP="00D3589E">
            <w:pPr>
              <w:pStyle w:val="TableBodyText"/>
              <w:rPr>
                <w:i/>
              </w:rPr>
            </w:pPr>
            <w:r w:rsidRPr="00220F20">
              <w:rPr>
                <w:i/>
              </w:rPr>
              <w:t>9.4</w:t>
            </w:r>
          </w:p>
        </w:tc>
        <w:tc>
          <w:tcPr>
            <w:tcW w:w="695" w:type="pct"/>
            <w:shd w:val="clear" w:color="auto" w:fill="D9D9D9" w:themeFill="background1" w:themeFillShade="D9"/>
            <w:vAlign w:val="bottom"/>
          </w:tcPr>
          <w:p w:rsidR="00F6415D" w:rsidRPr="00220F20" w:rsidRDefault="00F6415D" w:rsidP="00D3589E">
            <w:pPr>
              <w:pStyle w:val="TableBodyText"/>
              <w:rPr>
                <w:i/>
              </w:rPr>
            </w:pPr>
            <w:r w:rsidRPr="00220F20">
              <w:rPr>
                <w:i/>
              </w:rPr>
              <w:t>0.3</w:t>
            </w:r>
          </w:p>
        </w:tc>
      </w:tr>
      <w:tr w:rsidR="00F6415D" w:rsidTr="00D3589E">
        <w:tc>
          <w:tcPr>
            <w:tcW w:w="2914" w:type="pct"/>
            <w:shd w:val="clear" w:color="auto" w:fill="auto"/>
            <w:vAlign w:val="bottom"/>
          </w:tcPr>
          <w:p w:rsidR="00F6415D" w:rsidRPr="00EA1C7E" w:rsidRDefault="00F6415D" w:rsidP="00D3589E">
            <w:pPr>
              <w:pStyle w:val="TableBodyText"/>
              <w:jc w:val="left"/>
            </w:pPr>
          </w:p>
        </w:tc>
        <w:tc>
          <w:tcPr>
            <w:tcW w:w="695" w:type="pct"/>
            <w:shd w:val="clear" w:color="auto" w:fill="auto"/>
          </w:tcPr>
          <w:p w:rsidR="00F6415D" w:rsidRPr="00EA1C7E" w:rsidRDefault="00F6415D" w:rsidP="00ED17D6">
            <w:pPr>
              <w:pStyle w:val="TableBodyText"/>
            </w:pPr>
          </w:p>
        </w:tc>
        <w:tc>
          <w:tcPr>
            <w:tcW w:w="695" w:type="pct"/>
            <w:shd w:val="clear" w:color="auto" w:fill="auto"/>
          </w:tcPr>
          <w:p w:rsidR="00F6415D" w:rsidRPr="00EA1C7E" w:rsidRDefault="00F6415D" w:rsidP="00ED17D6">
            <w:pPr>
              <w:pStyle w:val="TableBodyText"/>
            </w:pPr>
          </w:p>
        </w:tc>
        <w:tc>
          <w:tcPr>
            <w:tcW w:w="695" w:type="pct"/>
            <w:shd w:val="clear" w:color="auto" w:fill="auto"/>
          </w:tcPr>
          <w:p w:rsidR="00F6415D" w:rsidRPr="00EA1C7E" w:rsidRDefault="00F6415D" w:rsidP="00ED17D6">
            <w:pPr>
              <w:pStyle w:val="TableBodyText"/>
            </w:pPr>
          </w:p>
        </w:tc>
      </w:tr>
      <w:tr w:rsidR="00F6415D" w:rsidTr="00D3589E">
        <w:tc>
          <w:tcPr>
            <w:tcW w:w="2914" w:type="pct"/>
            <w:shd w:val="clear" w:color="auto" w:fill="D9D9D9" w:themeFill="background1" w:themeFillShade="D9"/>
            <w:vAlign w:val="bottom"/>
          </w:tcPr>
          <w:p w:rsidR="00F6415D" w:rsidRPr="00EA1C7E" w:rsidRDefault="00F6415D" w:rsidP="00D3589E">
            <w:pPr>
              <w:pStyle w:val="TableBodyText"/>
              <w:jc w:val="left"/>
            </w:pPr>
            <w:r w:rsidRPr="00EA1C7E">
              <w:t xml:space="preserve">    Input PPI: Primary metal product </w:t>
            </w:r>
            <w:proofErr w:type="spellStart"/>
            <w:r w:rsidRPr="00EA1C7E">
              <w:t>mfg</w:t>
            </w:r>
            <w:proofErr w:type="spellEnd"/>
            <w:r w:rsidRPr="00EA1C7E">
              <w:t xml:space="preserve"> </w:t>
            </w:r>
          </w:p>
        </w:tc>
        <w:tc>
          <w:tcPr>
            <w:tcW w:w="695" w:type="pct"/>
            <w:shd w:val="clear" w:color="auto" w:fill="D9D9D9" w:themeFill="background1" w:themeFillShade="D9"/>
            <w:vAlign w:val="bottom"/>
          </w:tcPr>
          <w:p w:rsidR="00F6415D" w:rsidRPr="00EA1C7E" w:rsidRDefault="00F6415D" w:rsidP="00D3589E">
            <w:pPr>
              <w:pStyle w:val="TableBodyText"/>
            </w:pPr>
            <w:r w:rsidRPr="00EA1C7E">
              <w:t>2.2</w:t>
            </w:r>
          </w:p>
        </w:tc>
        <w:tc>
          <w:tcPr>
            <w:tcW w:w="695" w:type="pct"/>
            <w:shd w:val="clear" w:color="auto" w:fill="D9D9D9" w:themeFill="background1" w:themeFillShade="D9"/>
            <w:vAlign w:val="bottom"/>
          </w:tcPr>
          <w:p w:rsidR="00F6415D" w:rsidRPr="00EA1C7E" w:rsidRDefault="00F6415D" w:rsidP="00D3589E">
            <w:pPr>
              <w:pStyle w:val="TableBodyText"/>
            </w:pPr>
            <w:r w:rsidRPr="00EA1C7E">
              <w:t>16.1</w:t>
            </w:r>
          </w:p>
        </w:tc>
        <w:tc>
          <w:tcPr>
            <w:tcW w:w="695" w:type="pct"/>
            <w:shd w:val="clear" w:color="auto" w:fill="D9D9D9" w:themeFill="background1" w:themeFillShade="D9"/>
            <w:vAlign w:val="bottom"/>
          </w:tcPr>
          <w:p w:rsidR="00F6415D" w:rsidRPr="00EA1C7E" w:rsidRDefault="008D4EB2" w:rsidP="00D3589E">
            <w:pPr>
              <w:pStyle w:val="TableBodyText"/>
            </w:pPr>
            <w:r>
              <w:t>9.0</w:t>
            </w:r>
          </w:p>
        </w:tc>
      </w:tr>
      <w:tr w:rsidR="00F6415D" w:rsidTr="00D3589E">
        <w:tc>
          <w:tcPr>
            <w:tcW w:w="2914" w:type="pct"/>
            <w:shd w:val="clear" w:color="auto" w:fill="auto"/>
            <w:vAlign w:val="bottom"/>
          </w:tcPr>
          <w:p w:rsidR="00F6415D" w:rsidRPr="00EA1C7E" w:rsidRDefault="00F6415D" w:rsidP="00D3589E">
            <w:pPr>
              <w:pStyle w:val="TableBodyText"/>
              <w:jc w:val="left"/>
            </w:pPr>
            <w:r w:rsidRPr="00EA1C7E">
              <w:t xml:space="preserve">    Input PPI: Fabricated metal product </w:t>
            </w:r>
            <w:proofErr w:type="spellStart"/>
            <w:r w:rsidRPr="00EA1C7E">
              <w:t>mfg</w:t>
            </w:r>
            <w:proofErr w:type="spellEnd"/>
          </w:p>
        </w:tc>
        <w:tc>
          <w:tcPr>
            <w:tcW w:w="695" w:type="pct"/>
            <w:shd w:val="clear" w:color="auto" w:fill="auto"/>
            <w:vAlign w:val="bottom"/>
          </w:tcPr>
          <w:p w:rsidR="00F6415D" w:rsidRPr="00EA1C7E" w:rsidRDefault="00F6415D" w:rsidP="00D3589E">
            <w:pPr>
              <w:pStyle w:val="TableBodyText"/>
            </w:pPr>
            <w:r w:rsidRPr="00EA1C7E">
              <w:t>1.4</w:t>
            </w:r>
          </w:p>
        </w:tc>
        <w:tc>
          <w:tcPr>
            <w:tcW w:w="695" w:type="pct"/>
            <w:shd w:val="clear" w:color="auto" w:fill="auto"/>
            <w:vAlign w:val="bottom"/>
          </w:tcPr>
          <w:p w:rsidR="00F6415D" w:rsidRPr="00EA1C7E" w:rsidRDefault="00F6415D" w:rsidP="00D3589E">
            <w:pPr>
              <w:pStyle w:val="TableBodyText"/>
            </w:pPr>
            <w:r w:rsidRPr="00EA1C7E">
              <w:t>8.7</w:t>
            </w:r>
          </w:p>
        </w:tc>
        <w:tc>
          <w:tcPr>
            <w:tcW w:w="695" w:type="pct"/>
            <w:shd w:val="clear" w:color="auto" w:fill="auto"/>
            <w:vAlign w:val="bottom"/>
          </w:tcPr>
          <w:p w:rsidR="00F6415D" w:rsidRPr="00EA1C7E" w:rsidRDefault="00F6415D" w:rsidP="00D3589E">
            <w:pPr>
              <w:pStyle w:val="TableBodyText"/>
            </w:pPr>
            <w:r w:rsidRPr="00EA1C7E">
              <w:t>-2.5</w:t>
            </w:r>
          </w:p>
        </w:tc>
      </w:tr>
      <w:tr w:rsidR="00F6415D" w:rsidRPr="00220F20" w:rsidTr="00D3589E">
        <w:tc>
          <w:tcPr>
            <w:tcW w:w="2914" w:type="pct"/>
            <w:shd w:val="clear" w:color="auto" w:fill="D9D9D9" w:themeFill="background1" w:themeFillShade="D9"/>
            <w:vAlign w:val="bottom"/>
          </w:tcPr>
          <w:p w:rsidR="00F6415D" w:rsidRPr="00220F20" w:rsidRDefault="00F6415D" w:rsidP="00D3589E">
            <w:pPr>
              <w:pStyle w:val="TableBodyText"/>
              <w:jc w:val="left"/>
              <w:rPr>
                <w:i/>
              </w:rPr>
            </w:pPr>
            <w:r w:rsidRPr="00220F20">
              <w:rPr>
                <w:i/>
              </w:rPr>
              <w:t xml:space="preserve">    Input PPI: MP</w:t>
            </w:r>
            <w:r w:rsidR="007E7713">
              <w:rPr>
                <w:rStyle w:val="NoteLabel"/>
              </w:rPr>
              <w:t>d</w:t>
            </w:r>
          </w:p>
        </w:tc>
        <w:tc>
          <w:tcPr>
            <w:tcW w:w="695" w:type="pct"/>
            <w:shd w:val="clear" w:color="auto" w:fill="D9D9D9" w:themeFill="background1" w:themeFillShade="D9"/>
            <w:vAlign w:val="bottom"/>
          </w:tcPr>
          <w:p w:rsidR="00F6415D" w:rsidRPr="00220F20" w:rsidRDefault="00F6415D" w:rsidP="00D3589E">
            <w:pPr>
              <w:pStyle w:val="TableBodyText"/>
              <w:rPr>
                <w:i/>
              </w:rPr>
            </w:pPr>
            <w:r w:rsidRPr="00220F20">
              <w:rPr>
                <w:i/>
              </w:rPr>
              <w:t>1.8</w:t>
            </w:r>
          </w:p>
        </w:tc>
        <w:tc>
          <w:tcPr>
            <w:tcW w:w="695" w:type="pct"/>
            <w:shd w:val="clear" w:color="auto" w:fill="D9D9D9" w:themeFill="background1" w:themeFillShade="D9"/>
            <w:vAlign w:val="bottom"/>
          </w:tcPr>
          <w:p w:rsidR="00F6415D" w:rsidRPr="00220F20" w:rsidRDefault="00F6415D" w:rsidP="00D3589E">
            <w:pPr>
              <w:pStyle w:val="TableBodyText"/>
              <w:rPr>
                <w:i/>
              </w:rPr>
            </w:pPr>
            <w:r w:rsidRPr="00220F20">
              <w:rPr>
                <w:i/>
              </w:rPr>
              <w:t>12.4</w:t>
            </w:r>
          </w:p>
        </w:tc>
        <w:tc>
          <w:tcPr>
            <w:tcW w:w="695" w:type="pct"/>
            <w:shd w:val="clear" w:color="auto" w:fill="D9D9D9" w:themeFill="background1" w:themeFillShade="D9"/>
            <w:vAlign w:val="bottom"/>
          </w:tcPr>
          <w:p w:rsidR="00F6415D" w:rsidRPr="00220F20" w:rsidRDefault="00F6415D" w:rsidP="00D3589E">
            <w:pPr>
              <w:pStyle w:val="TableBodyText"/>
              <w:rPr>
                <w:i/>
              </w:rPr>
            </w:pPr>
            <w:r w:rsidRPr="00220F20">
              <w:rPr>
                <w:i/>
              </w:rPr>
              <w:t>3.0</w:t>
            </w:r>
          </w:p>
        </w:tc>
      </w:tr>
      <w:tr w:rsidR="00F6415D" w:rsidTr="00D3589E">
        <w:tc>
          <w:tcPr>
            <w:tcW w:w="2914" w:type="pct"/>
            <w:shd w:val="clear" w:color="auto" w:fill="auto"/>
            <w:vAlign w:val="bottom"/>
          </w:tcPr>
          <w:p w:rsidR="00F6415D" w:rsidRPr="00EA1C7E" w:rsidRDefault="00F6415D" w:rsidP="00D3589E">
            <w:pPr>
              <w:pStyle w:val="TableBodyText"/>
              <w:jc w:val="left"/>
            </w:pPr>
          </w:p>
        </w:tc>
        <w:tc>
          <w:tcPr>
            <w:tcW w:w="695" w:type="pct"/>
            <w:shd w:val="clear" w:color="auto" w:fill="auto"/>
          </w:tcPr>
          <w:p w:rsidR="00F6415D" w:rsidRPr="00EA1C7E" w:rsidRDefault="00F6415D" w:rsidP="00ED17D6">
            <w:pPr>
              <w:pStyle w:val="TableBodyText"/>
            </w:pPr>
          </w:p>
        </w:tc>
        <w:tc>
          <w:tcPr>
            <w:tcW w:w="695" w:type="pct"/>
            <w:shd w:val="clear" w:color="auto" w:fill="auto"/>
          </w:tcPr>
          <w:p w:rsidR="00F6415D" w:rsidRPr="00EA1C7E" w:rsidRDefault="00F6415D" w:rsidP="00ED17D6">
            <w:pPr>
              <w:pStyle w:val="TableBodyText"/>
            </w:pPr>
          </w:p>
        </w:tc>
        <w:tc>
          <w:tcPr>
            <w:tcW w:w="695" w:type="pct"/>
            <w:shd w:val="clear" w:color="auto" w:fill="auto"/>
          </w:tcPr>
          <w:p w:rsidR="00F6415D" w:rsidRPr="00EA1C7E" w:rsidRDefault="00F6415D" w:rsidP="00ED17D6">
            <w:pPr>
              <w:pStyle w:val="TableBodyText"/>
            </w:pPr>
          </w:p>
        </w:tc>
      </w:tr>
      <w:tr w:rsidR="00F6415D" w:rsidRPr="00A17D08" w:rsidTr="00D3589E">
        <w:tc>
          <w:tcPr>
            <w:tcW w:w="2914" w:type="pct"/>
            <w:tcBorders>
              <w:bottom w:val="single" w:sz="4" w:space="0" w:color="auto"/>
            </w:tcBorders>
            <w:shd w:val="clear" w:color="auto" w:fill="D9D9D9" w:themeFill="background1" w:themeFillShade="D9"/>
            <w:vAlign w:val="bottom"/>
          </w:tcPr>
          <w:p w:rsidR="00F6415D" w:rsidRPr="00A17D08" w:rsidRDefault="00F6415D" w:rsidP="00D3589E">
            <w:pPr>
              <w:pStyle w:val="TableBodyText"/>
              <w:jc w:val="left"/>
              <w:rPr>
                <w:i/>
              </w:rPr>
            </w:pPr>
            <w:r w:rsidRPr="00A17D08">
              <w:rPr>
                <w:i/>
              </w:rPr>
              <w:t xml:space="preserve">    Sales and service income: MP</w:t>
            </w:r>
            <w:r w:rsidR="007E7713" w:rsidRPr="006223F5">
              <w:rPr>
                <w:rStyle w:val="NoteLabel"/>
              </w:rPr>
              <w:t>d</w:t>
            </w:r>
          </w:p>
        </w:tc>
        <w:tc>
          <w:tcPr>
            <w:tcW w:w="695" w:type="pct"/>
            <w:tcBorders>
              <w:bottom w:val="single" w:sz="4" w:space="0" w:color="auto"/>
            </w:tcBorders>
            <w:shd w:val="clear" w:color="auto" w:fill="D9D9D9" w:themeFill="background1" w:themeFillShade="D9"/>
            <w:vAlign w:val="bottom"/>
          </w:tcPr>
          <w:p w:rsidR="00F6415D" w:rsidRPr="00A17D08" w:rsidRDefault="00F6415D" w:rsidP="00D3589E">
            <w:pPr>
              <w:pStyle w:val="TableBodyText"/>
              <w:rPr>
                <w:i/>
              </w:rPr>
            </w:pPr>
            <w:r w:rsidRPr="00A17D08">
              <w:rPr>
                <w:i/>
              </w:rPr>
              <w:t>4.5</w:t>
            </w:r>
          </w:p>
        </w:tc>
        <w:tc>
          <w:tcPr>
            <w:tcW w:w="695" w:type="pct"/>
            <w:tcBorders>
              <w:bottom w:val="single" w:sz="4" w:space="0" w:color="auto"/>
            </w:tcBorders>
            <w:shd w:val="clear" w:color="auto" w:fill="D9D9D9" w:themeFill="background1" w:themeFillShade="D9"/>
            <w:vAlign w:val="bottom"/>
          </w:tcPr>
          <w:p w:rsidR="00F6415D" w:rsidRPr="00A17D08" w:rsidRDefault="00F6415D" w:rsidP="00D3589E">
            <w:pPr>
              <w:pStyle w:val="TableBodyText"/>
              <w:rPr>
                <w:i/>
              </w:rPr>
            </w:pPr>
            <w:r w:rsidRPr="00A17D08">
              <w:rPr>
                <w:i/>
              </w:rPr>
              <w:t>12.3</w:t>
            </w:r>
          </w:p>
        </w:tc>
        <w:tc>
          <w:tcPr>
            <w:tcW w:w="695" w:type="pct"/>
            <w:tcBorders>
              <w:bottom w:val="single" w:sz="4" w:space="0" w:color="auto"/>
            </w:tcBorders>
            <w:shd w:val="clear" w:color="auto" w:fill="D9D9D9" w:themeFill="background1" w:themeFillShade="D9"/>
            <w:vAlign w:val="bottom"/>
          </w:tcPr>
          <w:p w:rsidR="00F6415D" w:rsidRPr="00A17D08" w:rsidRDefault="00F6415D" w:rsidP="00D3589E">
            <w:pPr>
              <w:pStyle w:val="TableBodyText"/>
              <w:rPr>
                <w:i/>
              </w:rPr>
            </w:pPr>
            <w:r w:rsidRPr="00A17D08">
              <w:rPr>
                <w:i/>
              </w:rPr>
              <w:t>6.1</w:t>
            </w:r>
          </w:p>
        </w:tc>
      </w:tr>
    </w:tbl>
    <w:p w:rsidR="00ED17D6" w:rsidRDefault="007E7713" w:rsidP="00CE074B">
      <w:pPr>
        <w:pStyle w:val="Note"/>
        <w:spacing w:line="200" w:lineRule="exact"/>
        <w:rPr>
          <w:i/>
        </w:rPr>
      </w:pPr>
      <w:r>
        <w:rPr>
          <w:rStyle w:val="NoteLabel"/>
        </w:rPr>
        <w:t>a</w:t>
      </w:r>
      <w:r w:rsidR="00ED17D6">
        <w:t xml:space="preserve"> National accounts </w:t>
      </w:r>
      <w:r w:rsidR="00E40A70">
        <w:t>chain volume</w:t>
      </w:r>
      <w:r w:rsidR="00ED17D6">
        <w:t xml:space="preserve"> measure of </w:t>
      </w:r>
      <w:r w:rsidR="004D4EB7">
        <w:t>MP</w:t>
      </w:r>
      <w:r w:rsidR="00ED17D6">
        <w:t xml:space="preserve"> </w:t>
      </w:r>
      <w:r w:rsidR="00703619">
        <w:t>value added</w:t>
      </w:r>
      <w:r w:rsidR="00ED17D6">
        <w:rPr>
          <w:rStyle w:val="NoteLabel"/>
        </w:rPr>
        <w:t xml:space="preserve"> </w:t>
      </w:r>
      <w:r>
        <w:rPr>
          <w:rStyle w:val="NoteLabel"/>
        </w:rPr>
        <w:t>b</w:t>
      </w:r>
      <w:r w:rsidR="00ED17D6">
        <w:t xml:space="preserve"> Deflated series using output prices from ABS </w:t>
      </w:r>
      <w:r w:rsidR="00ED17D6">
        <w:rPr>
          <w:i/>
        </w:rPr>
        <w:t>Producer Price Indexes</w:t>
      </w:r>
      <w:r w:rsidR="00ED17D6">
        <w:t xml:space="preserve"> </w:t>
      </w:r>
      <w:r w:rsidR="00B351CD">
        <w:t xml:space="preserve">(PPI) </w:t>
      </w:r>
      <w:r w:rsidR="00ED17D6">
        <w:t xml:space="preserve">publication. The ‘sum of subdivisions’ series generated by estimating a PPI for </w:t>
      </w:r>
      <w:r w:rsidR="004D4EB7">
        <w:t>MP</w:t>
      </w:r>
      <w:r w:rsidR="00ED17D6">
        <w:t xml:space="preserve"> by using subdivision </w:t>
      </w:r>
      <w:proofErr w:type="spellStart"/>
      <w:r w:rsidR="00ED17D6">
        <w:t>PPIs</w:t>
      </w:r>
      <w:proofErr w:type="spellEnd"/>
      <w:r w:rsidR="00ED17D6">
        <w:t xml:space="preserve"> and current price </w:t>
      </w:r>
      <w:r w:rsidR="00703619">
        <w:t>value added</w:t>
      </w:r>
      <w:r w:rsidR="00ED17D6">
        <w:t xml:space="preserve"> weights. </w:t>
      </w:r>
      <w:r>
        <w:rPr>
          <w:rStyle w:val="NoteLabel"/>
        </w:rPr>
        <w:t>c</w:t>
      </w:r>
      <w:r w:rsidR="00ED17D6">
        <w:t xml:space="preserve"> Sales and service income from ABS </w:t>
      </w:r>
      <w:r w:rsidR="00ED17D6">
        <w:rPr>
          <w:i/>
        </w:rPr>
        <w:t>Business Indicators</w:t>
      </w:r>
      <w:r w:rsidR="00ED17D6">
        <w:t xml:space="preserve"> publication. The real ‘sum of subdivisions’ series generated by estimating a price deflator for </w:t>
      </w:r>
      <w:r w:rsidR="004D4EB7">
        <w:t>MP</w:t>
      </w:r>
      <w:r w:rsidR="00ED17D6">
        <w:t xml:space="preserve"> by using subdivision deflators and current price sales and service income weights. </w:t>
      </w:r>
      <w:r>
        <w:rPr>
          <w:rStyle w:val="NoteLabel"/>
        </w:rPr>
        <w:t>d</w:t>
      </w:r>
      <w:r w:rsidR="00ED17D6">
        <w:t xml:space="preserve"> Deflators estimated using relevant subsector deflators weighted by nominal sales and service income shares.</w:t>
      </w:r>
      <w:r w:rsidR="00ED17D6">
        <w:rPr>
          <w:i/>
        </w:rPr>
        <w:t xml:space="preserve"> </w:t>
      </w:r>
    </w:p>
    <w:p w:rsidR="00ED17D6" w:rsidRDefault="00ED17D6" w:rsidP="00CE074B">
      <w:pPr>
        <w:pStyle w:val="Source"/>
      </w:pPr>
      <w:r>
        <w:rPr>
          <w:i/>
        </w:rPr>
        <w:t>Source</w:t>
      </w:r>
      <w:r w:rsidR="00DF1E80">
        <w:rPr>
          <w:i/>
        </w:rPr>
        <w:t>s</w:t>
      </w:r>
      <w:r>
        <w:t>: Authors’ estimates based on ABS (</w:t>
      </w:r>
      <w:r w:rsidRPr="00925A9E">
        <w:rPr>
          <w:i/>
        </w:rPr>
        <w:t>Australian System of National Accounts</w:t>
      </w:r>
      <w:r>
        <w:t>, 2010-11, Cat.</w:t>
      </w:r>
      <w:r w:rsidR="007640E4">
        <w:t> </w:t>
      </w:r>
      <w:r>
        <w:t>no</w:t>
      </w:r>
      <w:r w:rsidR="00DF1E80">
        <w:t>. </w:t>
      </w:r>
      <w:r>
        <w:t>5204.0)</w:t>
      </w:r>
      <w:r w:rsidR="0093498E">
        <w:t>;</w:t>
      </w:r>
      <w:r>
        <w:t xml:space="preserve"> ABS (</w:t>
      </w:r>
      <w:r w:rsidRPr="00925A9E">
        <w:rPr>
          <w:i/>
        </w:rPr>
        <w:t>Business Indicators, Australia,</w:t>
      </w:r>
      <w:r w:rsidRPr="00C75EB8">
        <w:t xml:space="preserve"> </w:t>
      </w:r>
      <w:r w:rsidRPr="000F2B98">
        <w:rPr>
          <w:i/>
        </w:rPr>
        <w:t>Sep</w:t>
      </w:r>
      <w:r w:rsidR="00E2014D">
        <w:rPr>
          <w:i/>
        </w:rPr>
        <w:t>tember</w:t>
      </w:r>
      <w:r w:rsidRPr="000F2B98">
        <w:rPr>
          <w:i/>
        </w:rPr>
        <w:t xml:space="preserve"> 2012</w:t>
      </w:r>
      <w:r>
        <w:t>, Cat. no. 5676.0)</w:t>
      </w:r>
      <w:r w:rsidR="0093498E">
        <w:t xml:space="preserve"> and </w:t>
      </w:r>
      <w:r>
        <w:t>ABS (</w:t>
      </w:r>
      <w:r w:rsidRPr="00D02D39">
        <w:rPr>
          <w:i/>
        </w:rPr>
        <w:t>Producer Price Indexes, Australia, Dec</w:t>
      </w:r>
      <w:r w:rsidR="00E2014D">
        <w:rPr>
          <w:i/>
        </w:rPr>
        <w:t>ember</w:t>
      </w:r>
      <w:r w:rsidRPr="00D02D39">
        <w:rPr>
          <w:i/>
        </w:rPr>
        <w:t xml:space="preserve"> 2012</w:t>
      </w:r>
      <w:r>
        <w:t>, Cat</w:t>
      </w:r>
      <w:r w:rsidR="00DF1E80">
        <w:t>.</w:t>
      </w:r>
      <w:r>
        <w:t xml:space="preserve"> no. 6427.0).</w:t>
      </w:r>
    </w:p>
    <w:p w:rsidR="00CE074B" w:rsidRDefault="00CE074B">
      <w:pPr>
        <w:rPr>
          <w:rFonts w:ascii="Arial" w:hAnsi="Arial"/>
          <w:b/>
          <w:sz w:val="32"/>
        </w:rPr>
      </w:pPr>
      <w:r>
        <w:br w:type="page"/>
      </w:r>
    </w:p>
    <w:p w:rsidR="00D6686D" w:rsidRDefault="00750D19" w:rsidP="00D6686D">
      <w:pPr>
        <w:pStyle w:val="Heading2"/>
      </w:pPr>
      <w:proofErr w:type="spellStart"/>
      <w:r>
        <w:lastRenderedPageBreak/>
        <w:t>H.</w:t>
      </w:r>
      <w:r w:rsidR="00D76F7C">
        <w:rPr>
          <w:noProof/>
        </w:rPr>
        <w:t>2</w:t>
      </w:r>
      <w:proofErr w:type="spellEnd"/>
      <w:r w:rsidR="00D6686D">
        <w:tab/>
      </w:r>
      <w:r w:rsidR="005A7F28">
        <w:t>Trade in m</w:t>
      </w:r>
      <w:r w:rsidR="00553C9C">
        <w:t>etal products</w:t>
      </w:r>
    </w:p>
    <w:p w:rsidR="00D81C15" w:rsidRPr="00D81C15" w:rsidRDefault="00D81C15" w:rsidP="00D81C15">
      <w:pPr>
        <w:pStyle w:val="BodyText"/>
        <w:rPr>
          <w:lang w:eastAsia="en-US"/>
        </w:rPr>
      </w:pPr>
      <w:r>
        <w:rPr>
          <w:lang w:eastAsia="en-US"/>
        </w:rPr>
        <w:t xml:space="preserve">Unlike much of Manufacturing, Australia has a trade surplus in </w:t>
      </w:r>
      <w:r w:rsidR="000962A4">
        <w:rPr>
          <w:lang w:eastAsia="en-US"/>
        </w:rPr>
        <w:t>m</w:t>
      </w:r>
      <w:r>
        <w:rPr>
          <w:lang w:eastAsia="en-US"/>
        </w:rPr>
        <w:t xml:space="preserve">etal products, although this surplus </w:t>
      </w:r>
      <w:r w:rsidR="009A6E76">
        <w:rPr>
          <w:lang w:eastAsia="en-US"/>
        </w:rPr>
        <w:t>narrowed over cycles 3 and 4</w:t>
      </w:r>
      <w:r>
        <w:rPr>
          <w:lang w:eastAsia="en-US"/>
        </w:rPr>
        <w:t xml:space="preserve"> (figure </w:t>
      </w:r>
      <w:proofErr w:type="spellStart"/>
      <w:r w:rsidR="00750D19">
        <w:t>H.2</w:t>
      </w:r>
      <w:proofErr w:type="spellEnd"/>
      <w:r w:rsidR="009A6E76">
        <w:rPr>
          <w:lang w:eastAsia="en-US"/>
        </w:rPr>
        <w:t>)</w:t>
      </w:r>
      <w:r w:rsidR="00663BF1">
        <w:rPr>
          <w:lang w:eastAsia="en-US"/>
        </w:rPr>
        <w:t>.</w:t>
      </w:r>
      <w:r w:rsidR="005F2CDF">
        <w:rPr>
          <w:lang w:eastAsia="en-US"/>
        </w:rPr>
        <w:t xml:space="preserve"> While additional steel imports have played a role </w:t>
      </w:r>
      <w:r w:rsidR="001D60BA">
        <w:rPr>
          <w:lang w:eastAsia="en-US"/>
        </w:rPr>
        <w:t>in narrowing this gap (figure 6.6)</w:t>
      </w:r>
      <w:r w:rsidR="007B4170">
        <w:rPr>
          <w:lang w:eastAsia="en-US"/>
        </w:rPr>
        <w:t>, more disaggregated data indicate that the bulk of the trade movement has been driven by changes in the rate of import and export of refined gold.</w:t>
      </w:r>
    </w:p>
    <w:p w:rsidR="00D81C15" w:rsidRDefault="00D81C15" w:rsidP="00D81C15">
      <w:pPr>
        <w:pStyle w:val="FigureTitle"/>
      </w:pPr>
      <w:r w:rsidRPr="006A1600">
        <w:rPr>
          <w:b w:val="0"/>
        </w:rPr>
        <w:t xml:space="preserve">Figure </w:t>
      </w:r>
      <w:bookmarkStart w:id="7" w:name="OLE_LINK27"/>
      <w:proofErr w:type="spellStart"/>
      <w:r w:rsidR="00750D19">
        <w:rPr>
          <w:b w:val="0"/>
        </w:rPr>
        <w:t>H.</w:t>
      </w:r>
      <w:r w:rsidR="00D76F7C">
        <w:rPr>
          <w:b w:val="0"/>
          <w:noProof/>
        </w:rPr>
        <w:t>2</w:t>
      </w:r>
      <w:bookmarkEnd w:id="7"/>
      <w:proofErr w:type="spellEnd"/>
      <w:r>
        <w:tab/>
        <w:t xml:space="preserve">Real exports and imports of </w:t>
      </w:r>
      <w:r w:rsidR="000962A4">
        <w:t>m</w:t>
      </w:r>
      <w:r>
        <w:t>etal products</w:t>
      </w:r>
    </w:p>
    <w:p w:rsidR="00D81C15" w:rsidRDefault="00A20144" w:rsidP="00D81C15">
      <w:pPr>
        <w:pStyle w:val="Subtitle"/>
      </w:pPr>
      <w:r>
        <w:t>2009-10</w:t>
      </w:r>
      <w:r w:rsidR="00D81C15">
        <w:t xml:space="preserve"> $m</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D81C15" w:rsidTr="00A4696E">
        <w:tc>
          <w:tcPr>
            <w:tcW w:w="8777" w:type="dxa"/>
          </w:tcPr>
          <w:p w:rsidR="00D81C15" w:rsidRDefault="00631D6E" w:rsidP="004E6565">
            <w:pPr>
              <w:pStyle w:val="Figure"/>
              <w:spacing w:before="0" w:after="0"/>
            </w:pPr>
            <w:r>
              <w:pict>
                <v:shape id="_x0000_i1029" type="#_x0000_t75" alt="This figure shows the real dollar value of imports and exports of Metal products over the period of 1998-99 to 2010-11. It shows that exports were relatively flat and larger than imports from cycle 2 up to the end of cycle 4, while imports rose slowly over cycle 2 and much more quickly over cycle 4." style="width:425.3pt;height:199.25pt">
                  <v:imagedata r:id="rId13" o:title=""/>
                </v:shape>
              </w:pict>
            </w:r>
          </w:p>
        </w:tc>
      </w:tr>
    </w:tbl>
    <w:p w:rsidR="00D81C15" w:rsidRDefault="00D81C15" w:rsidP="00D81C15">
      <w:pPr>
        <w:pStyle w:val="Source"/>
      </w:pPr>
      <w:r>
        <w:rPr>
          <w:i/>
        </w:rPr>
        <w:t>Data source</w:t>
      </w:r>
      <w:r w:rsidR="0078111F">
        <w:rPr>
          <w:i/>
        </w:rPr>
        <w:t>s</w:t>
      </w:r>
      <w:r w:rsidRPr="00167F06">
        <w:t xml:space="preserve">: </w:t>
      </w:r>
      <w:r>
        <w:t>Authors’ estimates based on ABS (</w:t>
      </w:r>
      <w:r w:rsidRPr="00854416">
        <w:rPr>
          <w:i/>
        </w:rPr>
        <w:t>International Trade in Goods and Services</w:t>
      </w:r>
      <w:r w:rsidR="00810FAC">
        <w:t xml:space="preserve">, various </w:t>
      </w:r>
      <w:r w:rsidR="001075BB">
        <w:t>issues</w:t>
      </w:r>
      <w:r w:rsidR="00810FAC">
        <w:t>, Cat. no. 5368.0</w:t>
      </w:r>
      <w:r>
        <w:t>)</w:t>
      </w:r>
      <w:r w:rsidR="0078111F">
        <w:t>;</w:t>
      </w:r>
      <w:r w:rsidR="009D6DEC">
        <w:t xml:space="preserve"> and</w:t>
      </w:r>
      <w:r>
        <w:t xml:space="preserve"> ABS (</w:t>
      </w:r>
      <w:r w:rsidRPr="00216CCA">
        <w:rPr>
          <w:i/>
        </w:rPr>
        <w:t>International Trade Price Indexes, Australia,</w:t>
      </w:r>
      <w:r w:rsidR="00810FAC">
        <w:t xml:space="preserve"> various </w:t>
      </w:r>
      <w:r w:rsidR="001075BB">
        <w:t>issues</w:t>
      </w:r>
      <w:r w:rsidR="00810FAC">
        <w:t>,</w:t>
      </w:r>
      <w:r w:rsidRPr="00CA38CA">
        <w:t xml:space="preserve"> </w:t>
      </w:r>
      <w:r w:rsidR="00810FAC">
        <w:t>Cat. no. 6457</w:t>
      </w:r>
      <w:r>
        <w:t>).</w:t>
      </w:r>
    </w:p>
    <w:p w:rsidR="00A4696E" w:rsidRDefault="00A4696E" w:rsidP="00A4696E">
      <w:pPr>
        <w:pStyle w:val="BodyText"/>
      </w:pPr>
      <w:r>
        <w:t xml:space="preserve">Changes in the </w:t>
      </w:r>
      <w:r w:rsidR="002312E2" w:rsidRPr="002312E2">
        <w:t>Australian and New Zealand Standard Industrial Classification</w:t>
      </w:r>
      <w:r w:rsidR="002312E2">
        <w:t xml:space="preserve"> (</w:t>
      </w:r>
      <w:proofErr w:type="spellStart"/>
      <w:r>
        <w:t>ANZSIC</w:t>
      </w:r>
      <w:proofErr w:type="spellEnd"/>
      <w:r w:rsidR="002312E2">
        <w:t>)</w:t>
      </w:r>
      <w:r>
        <w:t xml:space="preserve"> for Metal products make it difficult to identify the parts of the subsector experiencing changes in the volume of trade. An alternative classification system, the Standard International Trade Classification (</w:t>
      </w:r>
      <w:proofErr w:type="spellStart"/>
      <w:r>
        <w:t>SITC</w:t>
      </w:r>
      <w:proofErr w:type="spellEnd"/>
      <w:r>
        <w:t xml:space="preserve">), </w:t>
      </w:r>
      <w:r w:rsidR="00553C9C">
        <w:t>allows m</w:t>
      </w:r>
      <w:r>
        <w:t>etal products to be disaggregated into different product groups, but not ones that concord to Primary or Fabricated metal</w:t>
      </w:r>
      <w:r w:rsidR="00297A41">
        <w:t>s</w:t>
      </w:r>
      <w:r w:rsidR="009F2810">
        <w:t xml:space="preserve"> under an </w:t>
      </w:r>
      <w:proofErr w:type="spellStart"/>
      <w:r w:rsidR="009F2810">
        <w:t>ANZSIC</w:t>
      </w:r>
      <w:proofErr w:type="spellEnd"/>
      <w:r w:rsidR="009F2810">
        <w:t xml:space="preserve"> system. Data</w:t>
      </w:r>
      <w:r>
        <w:t xml:space="preserve"> on the changes in these </w:t>
      </w:r>
      <w:proofErr w:type="spellStart"/>
      <w:r>
        <w:t>SITC</w:t>
      </w:r>
      <w:proofErr w:type="spellEnd"/>
      <w:r>
        <w:t xml:space="preserve"> groups (in real terms) are presented in table </w:t>
      </w:r>
      <w:proofErr w:type="spellStart"/>
      <w:r w:rsidR="00750D19">
        <w:t>H.2</w:t>
      </w:r>
      <w:proofErr w:type="spellEnd"/>
      <w:r>
        <w:t>.</w:t>
      </w:r>
    </w:p>
    <w:p w:rsidR="00B650C4" w:rsidRPr="00CE074B" w:rsidRDefault="00A4696E" w:rsidP="00CE074B">
      <w:pPr>
        <w:pStyle w:val="BodyText"/>
      </w:pPr>
      <w:r>
        <w:t xml:space="preserve">The only groups to see real export growth over cycle 4 were alumina and gold-related products. The growth in alumina exports is consistent with the growth in alumina production discussed </w:t>
      </w:r>
      <w:r w:rsidR="00683C9C">
        <w:t>in chapter 6</w:t>
      </w:r>
      <w:r>
        <w:t xml:space="preserve">. All of the </w:t>
      </w:r>
      <w:proofErr w:type="spellStart"/>
      <w:r>
        <w:t>SITC</w:t>
      </w:r>
      <w:proofErr w:type="spellEnd"/>
      <w:r>
        <w:t xml:space="preserve"> MP product groups experienced a growth in imports with iron, steel and gold-related groups showing the greatest increases in import volumes over cycle 4. However, between cycles, the strongest growth in both imports and exports was in gold-related products, which corresponds to Australian operations that import gold, refine it further and then re</w:t>
      </w:r>
      <w:r w:rsidR="007640E4">
        <w:noBreakHyphen/>
      </w:r>
      <w:r>
        <w:t>export it (</w:t>
      </w:r>
      <w:proofErr w:type="spellStart"/>
      <w:r w:rsidRPr="00D12CAF">
        <w:t>ABARE</w:t>
      </w:r>
      <w:proofErr w:type="spellEnd"/>
      <w:r w:rsidRPr="00D12CAF">
        <w:t xml:space="preserve"> 2008</w:t>
      </w:r>
      <w:r>
        <w:t>).</w:t>
      </w:r>
    </w:p>
    <w:p w:rsidR="00A4696E" w:rsidRDefault="00A4696E" w:rsidP="00A4696E">
      <w:pPr>
        <w:pStyle w:val="TableTitle"/>
      </w:pPr>
      <w:r>
        <w:rPr>
          <w:b w:val="0"/>
        </w:rPr>
        <w:lastRenderedPageBreak/>
        <w:t xml:space="preserve">Table </w:t>
      </w:r>
      <w:bookmarkStart w:id="8" w:name="OLE_LINK4"/>
      <w:proofErr w:type="spellStart"/>
      <w:r w:rsidR="00750D19">
        <w:rPr>
          <w:b w:val="0"/>
        </w:rPr>
        <w:t>H.</w:t>
      </w:r>
      <w:r w:rsidR="00D76F7C">
        <w:rPr>
          <w:b w:val="0"/>
          <w:noProof/>
        </w:rPr>
        <w:t>2</w:t>
      </w:r>
      <w:bookmarkEnd w:id="8"/>
      <w:proofErr w:type="spellEnd"/>
      <w:r>
        <w:tab/>
        <w:t xml:space="preserve">Real exports and imports </w:t>
      </w:r>
      <w:r w:rsidR="00A11166">
        <w:t>of</w:t>
      </w:r>
      <w:r>
        <w:t xml:space="preserve"> </w:t>
      </w:r>
      <w:r w:rsidR="00553C9C">
        <w:t>m</w:t>
      </w:r>
      <w:r w:rsidR="00543993">
        <w:t xml:space="preserve">etal products on an </w:t>
      </w:r>
      <w:proofErr w:type="spellStart"/>
      <w:r w:rsidR="00543993">
        <w:t>SITC</w:t>
      </w:r>
      <w:proofErr w:type="spellEnd"/>
      <w:r w:rsidR="00543993">
        <w:t xml:space="preserve"> basis</w:t>
      </w:r>
      <w:r w:rsidRPr="00496097">
        <w:rPr>
          <w:rStyle w:val="NoteLabel"/>
          <w:b/>
        </w:rPr>
        <w:t>a</w:t>
      </w:r>
    </w:p>
    <w:tbl>
      <w:tblPr>
        <w:tblW w:w="5000" w:type="pct"/>
        <w:tblLayout w:type="fixed"/>
        <w:tblCellMar>
          <w:left w:w="0" w:type="dxa"/>
          <w:right w:w="0" w:type="dxa"/>
        </w:tblCellMar>
        <w:tblLook w:val="0000" w:firstRow="0" w:lastRow="0" w:firstColumn="0" w:lastColumn="0" w:noHBand="0" w:noVBand="0"/>
      </w:tblPr>
      <w:tblGrid>
        <w:gridCol w:w="3186"/>
        <w:gridCol w:w="899"/>
        <w:gridCol w:w="901"/>
        <w:gridCol w:w="100"/>
        <w:gridCol w:w="898"/>
        <w:gridCol w:w="900"/>
        <w:gridCol w:w="105"/>
        <w:gridCol w:w="900"/>
        <w:gridCol w:w="900"/>
      </w:tblGrid>
      <w:tr w:rsidR="004218BF" w:rsidRPr="00EE06F3" w:rsidTr="00E40A70">
        <w:tc>
          <w:tcPr>
            <w:tcW w:w="1812" w:type="pct"/>
            <w:tcBorders>
              <w:top w:val="single" w:sz="6" w:space="0" w:color="auto"/>
            </w:tcBorders>
            <w:shd w:val="clear" w:color="auto" w:fill="auto"/>
            <w:vAlign w:val="center"/>
          </w:tcPr>
          <w:p w:rsidR="004218BF" w:rsidRPr="00EE06F3" w:rsidRDefault="004218BF" w:rsidP="007D2EF3">
            <w:pPr>
              <w:pStyle w:val="TableColumnHeading"/>
              <w:jc w:val="left"/>
            </w:pPr>
          </w:p>
        </w:tc>
        <w:tc>
          <w:tcPr>
            <w:tcW w:w="1023" w:type="pct"/>
            <w:gridSpan w:val="2"/>
            <w:tcBorders>
              <w:top w:val="single" w:sz="6" w:space="0" w:color="auto"/>
              <w:bottom w:val="single" w:sz="6" w:space="0" w:color="auto"/>
            </w:tcBorders>
            <w:shd w:val="clear" w:color="auto" w:fill="auto"/>
          </w:tcPr>
          <w:p w:rsidR="004218BF" w:rsidRPr="00EE06F3" w:rsidRDefault="004218BF" w:rsidP="00A4696E">
            <w:pPr>
              <w:pStyle w:val="TableColumnHeading"/>
              <w:jc w:val="center"/>
            </w:pPr>
            <w:r w:rsidRPr="00EE06F3">
              <w:t>Cycle 3</w:t>
            </w:r>
          </w:p>
        </w:tc>
        <w:tc>
          <w:tcPr>
            <w:tcW w:w="57" w:type="pct"/>
            <w:tcBorders>
              <w:top w:val="single" w:sz="6" w:space="0" w:color="auto"/>
            </w:tcBorders>
          </w:tcPr>
          <w:p w:rsidR="004218BF" w:rsidRPr="00EE06F3" w:rsidRDefault="004218BF" w:rsidP="00A4696E">
            <w:pPr>
              <w:pStyle w:val="TableColumnHeading"/>
              <w:jc w:val="center"/>
            </w:pPr>
          </w:p>
        </w:tc>
        <w:tc>
          <w:tcPr>
            <w:tcW w:w="1023" w:type="pct"/>
            <w:gridSpan w:val="2"/>
            <w:tcBorders>
              <w:top w:val="single" w:sz="6" w:space="0" w:color="auto"/>
              <w:bottom w:val="single" w:sz="6" w:space="0" w:color="auto"/>
            </w:tcBorders>
            <w:shd w:val="clear" w:color="auto" w:fill="auto"/>
          </w:tcPr>
          <w:p w:rsidR="004218BF" w:rsidRPr="00EE06F3" w:rsidRDefault="004218BF" w:rsidP="00A4696E">
            <w:pPr>
              <w:pStyle w:val="TableColumnHeading"/>
              <w:jc w:val="center"/>
            </w:pPr>
            <w:r w:rsidRPr="00EE06F3">
              <w:t>Cycle 4</w:t>
            </w:r>
          </w:p>
        </w:tc>
        <w:tc>
          <w:tcPr>
            <w:tcW w:w="60" w:type="pct"/>
            <w:tcBorders>
              <w:top w:val="single" w:sz="6" w:space="0" w:color="auto"/>
            </w:tcBorders>
          </w:tcPr>
          <w:p w:rsidR="004218BF" w:rsidRPr="00EE06F3" w:rsidRDefault="004218BF" w:rsidP="00A4696E">
            <w:pPr>
              <w:pStyle w:val="TableColumnHeading"/>
              <w:jc w:val="center"/>
            </w:pPr>
          </w:p>
        </w:tc>
        <w:tc>
          <w:tcPr>
            <w:tcW w:w="1024" w:type="pct"/>
            <w:gridSpan w:val="2"/>
            <w:tcBorders>
              <w:top w:val="single" w:sz="6" w:space="0" w:color="auto"/>
              <w:bottom w:val="single" w:sz="6" w:space="0" w:color="auto"/>
            </w:tcBorders>
            <w:shd w:val="clear" w:color="auto" w:fill="auto"/>
          </w:tcPr>
          <w:p w:rsidR="004218BF" w:rsidRPr="00EE06F3" w:rsidRDefault="004218BF" w:rsidP="00A4696E">
            <w:pPr>
              <w:pStyle w:val="TableColumnHeading"/>
              <w:jc w:val="center"/>
            </w:pPr>
            <w:r w:rsidRPr="00EE06F3">
              <w:t>Difference</w:t>
            </w:r>
          </w:p>
        </w:tc>
      </w:tr>
      <w:tr w:rsidR="004218BF" w:rsidRPr="00EE06F3" w:rsidTr="00E40A70">
        <w:tc>
          <w:tcPr>
            <w:tcW w:w="1812" w:type="pct"/>
            <w:tcBorders>
              <w:bottom w:val="single" w:sz="6" w:space="0" w:color="auto"/>
            </w:tcBorders>
            <w:vAlign w:val="bottom"/>
          </w:tcPr>
          <w:p w:rsidR="004218BF" w:rsidRPr="00EE06F3" w:rsidRDefault="004218BF" w:rsidP="00807B0F">
            <w:pPr>
              <w:pStyle w:val="TableUnitsRow"/>
              <w:jc w:val="left"/>
            </w:pPr>
          </w:p>
        </w:tc>
        <w:tc>
          <w:tcPr>
            <w:tcW w:w="511" w:type="pct"/>
            <w:tcBorders>
              <w:top w:val="single" w:sz="6" w:space="0" w:color="auto"/>
              <w:bottom w:val="single" w:sz="6" w:space="0" w:color="auto"/>
            </w:tcBorders>
            <w:vAlign w:val="bottom"/>
          </w:tcPr>
          <w:p w:rsidR="004218BF" w:rsidRPr="00CF4865" w:rsidRDefault="004218BF" w:rsidP="007802AF">
            <w:pPr>
              <w:pStyle w:val="TableUnitsRow"/>
              <w:rPr>
                <w:i/>
              </w:rPr>
            </w:pPr>
            <w:r>
              <w:rPr>
                <w:i/>
              </w:rPr>
              <w:t>G</w:t>
            </w:r>
            <w:r w:rsidRPr="00CF4865">
              <w:rPr>
                <w:i/>
              </w:rPr>
              <w:t>rowth</w:t>
            </w:r>
          </w:p>
        </w:tc>
        <w:tc>
          <w:tcPr>
            <w:tcW w:w="511" w:type="pct"/>
            <w:tcBorders>
              <w:top w:val="single" w:sz="6" w:space="0" w:color="auto"/>
              <w:bottom w:val="single" w:sz="6" w:space="0" w:color="auto"/>
            </w:tcBorders>
            <w:vAlign w:val="bottom"/>
          </w:tcPr>
          <w:p w:rsidR="004218BF" w:rsidRPr="00CF4865" w:rsidRDefault="004218BF" w:rsidP="00807B0F">
            <w:pPr>
              <w:pStyle w:val="TableUnitsRow"/>
              <w:rPr>
                <w:i/>
              </w:rPr>
            </w:pPr>
            <w:r>
              <w:rPr>
                <w:i/>
              </w:rPr>
              <w:t>C</w:t>
            </w:r>
            <w:r w:rsidRPr="00CF4865">
              <w:rPr>
                <w:i/>
              </w:rPr>
              <w:t>ontrib.</w:t>
            </w:r>
          </w:p>
        </w:tc>
        <w:tc>
          <w:tcPr>
            <w:tcW w:w="57" w:type="pct"/>
            <w:tcBorders>
              <w:bottom w:val="single" w:sz="6" w:space="0" w:color="auto"/>
            </w:tcBorders>
          </w:tcPr>
          <w:p w:rsidR="004218BF" w:rsidRDefault="004218BF" w:rsidP="00D12CAF">
            <w:pPr>
              <w:pStyle w:val="TableUnitsRow"/>
              <w:rPr>
                <w:i/>
              </w:rPr>
            </w:pPr>
          </w:p>
        </w:tc>
        <w:tc>
          <w:tcPr>
            <w:tcW w:w="511" w:type="pct"/>
            <w:tcBorders>
              <w:top w:val="single" w:sz="6" w:space="0" w:color="auto"/>
              <w:bottom w:val="single" w:sz="6" w:space="0" w:color="auto"/>
            </w:tcBorders>
            <w:vAlign w:val="bottom"/>
          </w:tcPr>
          <w:p w:rsidR="004218BF" w:rsidRPr="00CF4865" w:rsidRDefault="004218BF" w:rsidP="00D12CAF">
            <w:pPr>
              <w:pStyle w:val="TableUnitsRow"/>
              <w:rPr>
                <w:i/>
              </w:rPr>
            </w:pPr>
            <w:r>
              <w:rPr>
                <w:i/>
              </w:rPr>
              <w:t>G</w:t>
            </w:r>
            <w:r w:rsidRPr="00CF4865">
              <w:rPr>
                <w:i/>
              </w:rPr>
              <w:t>rowth</w:t>
            </w:r>
          </w:p>
        </w:tc>
        <w:tc>
          <w:tcPr>
            <w:tcW w:w="512" w:type="pct"/>
            <w:tcBorders>
              <w:top w:val="single" w:sz="6" w:space="0" w:color="auto"/>
              <w:bottom w:val="single" w:sz="6" w:space="0" w:color="auto"/>
            </w:tcBorders>
            <w:vAlign w:val="bottom"/>
          </w:tcPr>
          <w:p w:rsidR="004218BF" w:rsidRPr="00CF4865" w:rsidRDefault="004218BF" w:rsidP="00D12CAF">
            <w:pPr>
              <w:pStyle w:val="TableUnitsRow"/>
              <w:rPr>
                <w:i/>
              </w:rPr>
            </w:pPr>
            <w:r>
              <w:rPr>
                <w:i/>
              </w:rPr>
              <w:t>C</w:t>
            </w:r>
            <w:r w:rsidRPr="00CF4865">
              <w:rPr>
                <w:i/>
              </w:rPr>
              <w:t>ontrib.</w:t>
            </w:r>
          </w:p>
        </w:tc>
        <w:tc>
          <w:tcPr>
            <w:tcW w:w="60" w:type="pct"/>
            <w:tcBorders>
              <w:bottom w:val="single" w:sz="6" w:space="0" w:color="auto"/>
            </w:tcBorders>
          </w:tcPr>
          <w:p w:rsidR="004218BF" w:rsidRDefault="004218BF" w:rsidP="00D12CAF">
            <w:pPr>
              <w:pStyle w:val="TableUnitsRow"/>
              <w:rPr>
                <w:i/>
              </w:rPr>
            </w:pPr>
          </w:p>
        </w:tc>
        <w:tc>
          <w:tcPr>
            <w:tcW w:w="512" w:type="pct"/>
            <w:tcBorders>
              <w:top w:val="single" w:sz="6" w:space="0" w:color="auto"/>
              <w:bottom w:val="single" w:sz="6" w:space="0" w:color="auto"/>
            </w:tcBorders>
            <w:vAlign w:val="bottom"/>
          </w:tcPr>
          <w:p w:rsidR="004218BF" w:rsidRPr="00CF4865" w:rsidRDefault="004218BF" w:rsidP="00D12CAF">
            <w:pPr>
              <w:pStyle w:val="TableUnitsRow"/>
              <w:rPr>
                <w:i/>
              </w:rPr>
            </w:pPr>
            <w:r>
              <w:rPr>
                <w:i/>
              </w:rPr>
              <w:t>G</w:t>
            </w:r>
            <w:r w:rsidRPr="00CF4865">
              <w:rPr>
                <w:i/>
              </w:rPr>
              <w:t>rowth</w:t>
            </w:r>
          </w:p>
        </w:tc>
        <w:tc>
          <w:tcPr>
            <w:tcW w:w="512" w:type="pct"/>
            <w:tcBorders>
              <w:top w:val="single" w:sz="6" w:space="0" w:color="auto"/>
              <w:bottom w:val="single" w:sz="6" w:space="0" w:color="auto"/>
            </w:tcBorders>
            <w:vAlign w:val="bottom"/>
          </w:tcPr>
          <w:p w:rsidR="004218BF" w:rsidRPr="00CF4865" w:rsidRDefault="004218BF" w:rsidP="00D12CAF">
            <w:pPr>
              <w:pStyle w:val="TableUnitsRow"/>
              <w:rPr>
                <w:i/>
              </w:rPr>
            </w:pPr>
            <w:r>
              <w:rPr>
                <w:i/>
              </w:rPr>
              <w:t>C</w:t>
            </w:r>
            <w:r w:rsidRPr="00CF4865">
              <w:rPr>
                <w:i/>
              </w:rPr>
              <w:t>ontrib.</w:t>
            </w:r>
          </w:p>
        </w:tc>
      </w:tr>
      <w:tr w:rsidR="004218BF" w:rsidRPr="00EE06F3" w:rsidTr="00E40A70">
        <w:tc>
          <w:tcPr>
            <w:tcW w:w="1812" w:type="pct"/>
            <w:tcBorders>
              <w:top w:val="single" w:sz="6" w:space="0" w:color="auto"/>
            </w:tcBorders>
            <w:vAlign w:val="bottom"/>
          </w:tcPr>
          <w:p w:rsidR="004218BF" w:rsidRPr="007640E4" w:rsidRDefault="006223F5" w:rsidP="007640E4">
            <w:pPr>
              <w:pStyle w:val="TableUnitsRow"/>
              <w:jc w:val="left"/>
              <w:rPr>
                <w:i/>
              </w:rPr>
            </w:pPr>
            <w:r w:rsidRPr="007640E4">
              <w:rPr>
                <w:i/>
              </w:rPr>
              <w:t>Exports</w:t>
            </w:r>
          </w:p>
        </w:tc>
        <w:tc>
          <w:tcPr>
            <w:tcW w:w="511" w:type="pct"/>
            <w:tcBorders>
              <w:top w:val="single" w:sz="6" w:space="0" w:color="auto"/>
            </w:tcBorders>
            <w:vAlign w:val="bottom"/>
          </w:tcPr>
          <w:p w:rsidR="004218BF" w:rsidRPr="007802AF" w:rsidRDefault="004218BF" w:rsidP="007802AF">
            <w:pPr>
              <w:pStyle w:val="TableUnitsRow"/>
            </w:pPr>
            <w:r w:rsidRPr="007802AF">
              <w:t>%</w:t>
            </w:r>
            <w:r>
              <w:t xml:space="preserve"> </w:t>
            </w:r>
            <w:proofErr w:type="spellStart"/>
            <w:r>
              <w:t>py</w:t>
            </w:r>
            <w:proofErr w:type="spellEnd"/>
          </w:p>
        </w:tc>
        <w:tc>
          <w:tcPr>
            <w:tcW w:w="511" w:type="pct"/>
            <w:tcBorders>
              <w:top w:val="single" w:sz="6" w:space="0" w:color="auto"/>
            </w:tcBorders>
            <w:vAlign w:val="bottom"/>
          </w:tcPr>
          <w:p w:rsidR="004218BF" w:rsidRPr="007802AF" w:rsidRDefault="004218BF" w:rsidP="007802AF">
            <w:pPr>
              <w:pStyle w:val="TableUnitsRow"/>
            </w:pPr>
            <w:r w:rsidRPr="007802AF">
              <w:t xml:space="preserve">% </w:t>
            </w:r>
            <w:proofErr w:type="spellStart"/>
            <w:r w:rsidRPr="007802AF">
              <w:t>pts</w:t>
            </w:r>
            <w:proofErr w:type="spellEnd"/>
          </w:p>
        </w:tc>
        <w:tc>
          <w:tcPr>
            <w:tcW w:w="57" w:type="pct"/>
            <w:tcBorders>
              <w:top w:val="single" w:sz="6" w:space="0" w:color="auto"/>
            </w:tcBorders>
          </w:tcPr>
          <w:p w:rsidR="004218BF" w:rsidRPr="007802AF" w:rsidRDefault="004218BF" w:rsidP="007802AF">
            <w:pPr>
              <w:pStyle w:val="TableUnitsRow"/>
            </w:pPr>
          </w:p>
        </w:tc>
        <w:tc>
          <w:tcPr>
            <w:tcW w:w="511" w:type="pct"/>
            <w:tcBorders>
              <w:top w:val="single" w:sz="6" w:space="0" w:color="auto"/>
            </w:tcBorders>
            <w:vAlign w:val="bottom"/>
          </w:tcPr>
          <w:p w:rsidR="004218BF" w:rsidRPr="007802AF" w:rsidRDefault="004218BF" w:rsidP="007802AF">
            <w:pPr>
              <w:pStyle w:val="TableUnitsRow"/>
            </w:pPr>
            <w:r w:rsidRPr="007802AF">
              <w:t>%</w:t>
            </w:r>
            <w:r>
              <w:t xml:space="preserve"> </w:t>
            </w:r>
            <w:proofErr w:type="spellStart"/>
            <w:r>
              <w:t>py</w:t>
            </w:r>
            <w:proofErr w:type="spellEnd"/>
          </w:p>
        </w:tc>
        <w:tc>
          <w:tcPr>
            <w:tcW w:w="512" w:type="pct"/>
            <w:tcBorders>
              <w:top w:val="single" w:sz="6" w:space="0" w:color="auto"/>
            </w:tcBorders>
            <w:vAlign w:val="bottom"/>
          </w:tcPr>
          <w:p w:rsidR="004218BF" w:rsidRPr="007802AF" w:rsidRDefault="004218BF" w:rsidP="007802AF">
            <w:pPr>
              <w:pStyle w:val="TableUnitsRow"/>
            </w:pPr>
            <w:r w:rsidRPr="007802AF">
              <w:t xml:space="preserve">% </w:t>
            </w:r>
            <w:proofErr w:type="spellStart"/>
            <w:r w:rsidRPr="007802AF">
              <w:t>pts</w:t>
            </w:r>
            <w:proofErr w:type="spellEnd"/>
          </w:p>
        </w:tc>
        <w:tc>
          <w:tcPr>
            <w:tcW w:w="60" w:type="pct"/>
            <w:tcBorders>
              <w:top w:val="single" w:sz="6" w:space="0" w:color="auto"/>
            </w:tcBorders>
          </w:tcPr>
          <w:p w:rsidR="004218BF" w:rsidRPr="007802AF" w:rsidRDefault="004218BF" w:rsidP="007802AF">
            <w:pPr>
              <w:pStyle w:val="TableUnitsRow"/>
            </w:pPr>
          </w:p>
        </w:tc>
        <w:tc>
          <w:tcPr>
            <w:tcW w:w="512" w:type="pct"/>
            <w:tcBorders>
              <w:top w:val="single" w:sz="6" w:space="0" w:color="auto"/>
            </w:tcBorders>
            <w:vAlign w:val="bottom"/>
          </w:tcPr>
          <w:p w:rsidR="004218BF" w:rsidRPr="007802AF" w:rsidRDefault="004218BF" w:rsidP="007802AF">
            <w:pPr>
              <w:pStyle w:val="TableUnitsRow"/>
            </w:pPr>
            <w:r w:rsidRPr="007802AF">
              <w:t>%</w:t>
            </w:r>
            <w:r>
              <w:t xml:space="preserve"> </w:t>
            </w:r>
            <w:proofErr w:type="spellStart"/>
            <w:r>
              <w:t>py</w:t>
            </w:r>
            <w:proofErr w:type="spellEnd"/>
          </w:p>
        </w:tc>
        <w:tc>
          <w:tcPr>
            <w:tcW w:w="512" w:type="pct"/>
            <w:tcBorders>
              <w:top w:val="single" w:sz="6" w:space="0" w:color="auto"/>
            </w:tcBorders>
            <w:vAlign w:val="bottom"/>
          </w:tcPr>
          <w:p w:rsidR="004218BF" w:rsidRPr="007802AF" w:rsidRDefault="004218BF" w:rsidP="007802AF">
            <w:pPr>
              <w:pStyle w:val="TableUnitsRow"/>
            </w:pPr>
            <w:r w:rsidRPr="007802AF">
              <w:t xml:space="preserve">% </w:t>
            </w:r>
            <w:proofErr w:type="spellStart"/>
            <w:r w:rsidRPr="007802AF">
              <w:t>pts</w:t>
            </w:r>
            <w:proofErr w:type="spellEnd"/>
          </w:p>
        </w:tc>
      </w:tr>
      <w:tr w:rsidR="004218BF" w:rsidTr="00E40A70">
        <w:tc>
          <w:tcPr>
            <w:tcW w:w="1812" w:type="pct"/>
            <w:shd w:val="clear" w:color="auto" w:fill="D9D9D9" w:themeFill="background1" w:themeFillShade="D9"/>
            <w:vAlign w:val="bottom"/>
          </w:tcPr>
          <w:p w:rsidR="004218BF" w:rsidRDefault="004218BF" w:rsidP="003503F4">
            <w:pPr>
              <w:spacing w:before="40" w:after="40"/>
              <w:rPr>
                <w:rFonts w:ascii="Arial" w:hAnsi="Arial" w:cs="Arial"/>
                <w:color w:val="000000"/>
                <w:sz w:val="20"/>
                <w:szCs w:val="20"/>
              </w:rPr>
            </w:pPr>
            <w:r>
              <w:rPr>
                <w:rFonts w:ascii="Arial" w:hAnsi="Arial" w:cs="Arial"/>
                <w:color w:val="000000"/>
                <w:sz w:val="20"/>
                <w:szCs w:val="20"/>
              </w:rPr>
              <w:t>285: Aluminium ores and</w:t>
            </w:r>
            <w:r w:rsidR="001419B9">
              <w:rPr>
                <w:rFonts w:ascii="Arial" w:hAnsi="Arial" w:cs="Arial"/>
                <w:color w:val="000000"/>
                <w:sz w:val="20"/>
                <w:szCs w:val="20"/>
              </w:rPr>
              <w:br/>
              <w:t xml:space="preserve">       </w:t>
            </w:r>
            <w:r>
              <w:rPr>
                <w:rFonts w:ascii="Arial" w:hAnsi="Arial" w:cs="Arial"/>
                <w:color w:val="000000"/>
                <w:sz w:val="20"/>
                <w:szCs w:val="20"/>
              </w:rPr>
              <w:t xml:space="preserve"> concentrates (incl. alumina)</w:t>
            </w:r>
            <w:r>
              <w:rPr>
                <w:rStyle w:val="NoteLabel"/>
              </w:rPr>
              <w:t>b</w:t>
            </w:r>
          </w:p>
        </w:tc>
        <w:tc>
          <w:tcPr>
            <w:tcW w:w="511" w:type="pct"/>
            <w:shd w:val="clear" w:color="auto" w:fill="D9D9D9" w:themeFill="background1" w:themeFillShade="D9"/>
            <w:vAlign w:val="bottom"/>
          </w:tcPr>
          <w:p w:rsidR="004218BF" w:rsidRDefault="004218BF" w:rsidP="003503F4">
            <w:pPr>
              <w:pStyle w:val="TableBodyText"/>
              <w:spacing w:before="40"/>
            </w:pPr>
            <w:r>
              <w:t xml:space="preserve">4.9 </w:t>
            </w:r>
          </w:p>
        </w:tc>
        <w:tc>
          <w:tcPr>
            <w:tcW w:w="511" w:type="pct"/>
            <w:shd w:val="clear" w:color="auto" w:fill="D9D9D9" w:themeFill="background1" w:themeFillShade="D9"/>
            <w:vAlign w:val="bottom"/>
          </w:tcPr>
          <w:p w:rsidR="004218BF" w:rsidRDefault="004218BF" w:rsidP="003503F4">
            <w:pPr>
              <w:pStyle w:val="TableBodyText"/>
              <w:spacing w:before="40"/>
            </w:pPr>
            <w:r>
              <w:t>0.5</w:t>
            </w:r>
          </w:p>
        </w:tc>
        <w:tc>
          <w:tcPr>
            <w:tcW w:w="57" w:type="pct"/>
            <w:shd w:val="clear" w:color="auto" w:fill="D9D9D9" w:themeFill="background1" w:themeFillShade="D9"/>
          </w:tcPr>
          <w:p w:rsidR="004218BF" w:rsidRDefault="004218BF" w:rsidP="003503F4">
            <w:pPr>
              <w:pStyle w:val="TableBodyText"/>
              <w:spacing w:before="40"/>
            </w:pPr>
          </w:p>
        </w:tc>
        <w:tc>
          <w:tcPr>
            <w:tcW w:w="511" w:type="pct"/>
            <w:shd w:val="clear" w:color="auto" w:fill="D9D9D9" w:themeFill="background1" w:themeFillShade="D9"/>
            <w:vAlign w:val="bottom"/>
          </w:tcPr>
          <w:p w:rsidR="004218BF" w:rsidRDefault="004218BF" w:rsidP="003503F4">
            <w:pPr>
              <w:pStyle w:val="TableBodyText"/>
              <w:spacing w:before="40"/>
            </w:pPr>
            <w:r>
              <w:t xml:space="preserve">5.8 </w:t>
            </w:r>
          </w:p>
        </w:tc>
        <w:tc>
          <w:tcPr>
            <w:tcW w:w="512" w:type="pct"/>
            <w:shd w:val="clear" w:color="auto" w:fill="D9D9D9" w:themeFill="background1" w:themeFillShade="D9"/>
            <w:vAlign w:val="bottom"/>
          </w:tcPr>
          <w:p w:rsidR="004218BF" w:rsidRDefault="004218BF" w:rsidP="003503F4">
            <w:pPr>
              <w:pStyle w:val="TableBodyText"/>
              <w:spacing w:before="40"/>
            </w:pPr>
            <w:r>
              <w:t>0.8</w:t>
            </w:r>
          </w:p>
        </w:tc>
        <w:tc>
          <w:tcPr>
            <w:tcW w:w="60" w:type="pct"/>
            <w:shd w:val="clear" w:color="auto" w:fill="D9D9D9" w:themeFill="background1" w:themeFillShade="D9"/>
          </w:tcPr>
          <w:p w:rsidR="004218BF" w:rsidRDefault="004218BF" w:rsidP="003503F4">
            <w:pPr>
              <w:pStyle w:val="TableBodyText"/>
              <w:spacing w:before="40"/>
            </w:pPr>
          </w:p>
        </w:tc>
        <w:tc>
          <w:tcPr>
            <w:tcW w:w="512" w:type="pct"/>
            <w:shd w:val="clear" w:color="auto" w:fill="D9D9D9" w:themeFill="background1" w:themeFillShade="D9"/>
            <w:vAlign w:val="bottom"/>
          </w:tcPr>
          <w:p w:rsidR="004218BF" w:rsidRDefault="004218BF" w:rsidP="003503F4">
            <w:pPr>
              <w:pStyle w:val="TableBodyText"/>
              <w:spacing w:before="40"/>
            </w:pPr>
            <w:r>
              <w:t xml:space="preserve">0.8 </w:t>
            </w:r>
          </w:p>
        </w:tc>
        <w:tc>
          <w:tcPr>
            <w:tcW w:w="512" w:type="pct"/>
            <w:shd w:val="clear" w:color="auto" w:fill="D9D9D9" w:themeFill="background1" w:themeFillShade="D9"/>
            <w:vAlign w:val="bottom"/>
          </w:tcPr>
          <w:p w:rsidR="004218BF" w:rsidRDefault="004218BF" w:rsidP="003503F4">
            <w:pPr>
              <w:pStyle w:val="TableBodyText"/>
              <w:spacing w:before="40"/>
            </w:pPr>
            <w:r>
              <w:t>0.1</w:t>
            </w:r>
          </w:p>
        </w:tc>
      </w:tr>
      <w:tr w:rsidR="004218BF" w:rsidTr="00E40A70">
        <w:tc>
          <w:tcPr>
            <w:tcW w:w="1812" w:type="pct"/>
            <w:shd w:val="clear" w:color="auto" w:fill="auto"/>
            <w:vAlign w:val="bottom"/>
          </w:tcPr>
          <w:p w:rsidR="004218BF" w:rsidRDefault="004218BF" w:rsidP="003503F4">
            <w:pPr>
              <w:spacing w:before="40" w:after="40"/>
              <w:rPr>
                <w:rFonts w:ascii="Arial" w:hAnsi="Arial" w:cs="Arial"/>
                <w:color w:val="000000"/>
                <w:sz w:val="20"/>
                <w:szCs w:val="20"/>
              </w:rPr>
            </w:pPr>
            <w:r>
              <w:rPr>
                <w:rFonts w:ascii="Arial" w:hAnsi="Arial" w:cs="Arial"/>
                <w:color w:val="000000"/>
                <w:sz w:val="20"/>
                <w:szCs w:val="20"/>
              </w:rPr>
              <w:t xml:space="preserve">67: </w:t>
            </w:r>
            <w:r w:rsidR="001419B9">
              <w:rPr>
                <w:rFonts w:ascii="Arial" w:hAnsi="Arial" w:cs="Arial"/>
                <w:color w:val="000000"/>
                <w:sz w:val="20"/>
                <w:szCs w:val="20"/>
              </w:rPr>
              <w:t xml:space="preserve">  </w:t>
            </w:r>
            <w:r>
              <w:rPr>
                <w:rFonts w:ascii="Arial" w:hAnsi="Arial" w:cs="Arial"/>
                <w:color w:val="000000"/>
                <w:sz w:val="20"/>
                <w:szCs w:val="20"/>
              </w:rPr>
              <w:t>Iron &amp; steel</w:t>
            </w:r>
          </w:p>
        </w:tc>
        <w:tc>
          <w:tcPr>
            <w:tcW w:w="511" w:type="pct"/>
            <w:shd w:val="clear" w:color="auto" w:fill="auto"/>
            <w:vAlign w:val="bottom"/>
          </w:tcPr>
          <w:p w:rsidR="004218BF" w:rsidRDefault="004218BF" w:rsidP="003503F4">
            <w:pPr>
              <w:pStyle w:val="TableBodyText"/>
              <w:spacing w:before="40"/>
            </w:pPr>
            <w:r>
              <w:t xml:space="preserve">-11.4 </w:t>
            </w:r>
          </w:p>
        </w:tc>
        <w:tc>
          <w:tcPr>
            <w:tcW w:w="511" w:type="pct"/>
            <w:shd w:val="clear" w:color="auto" w:fill="auto"/>
            <w:vAlign w:val="bottom"/>
          </w:tcPr>
          <w:p w:rsidR="004218BF" w:rsidRDefault="004218BF" w:rsidP="003503F4">
            <w:pPr>
              <w:pStyle w:val="TableBodyText"/>
              <w:spacing w:before="40"/>
            </w:pPr>
            <w:r>
              <w:t>-0.7</w:t>
            </w:r>
          </w:p>
        </w:tc>
        <w:tc>
          <w:tcPr>
            <w:tcW w:w="57" w:type="pct"/>
            <w:shd w:val="clear" w:color="auto" w:fill="auto"/>
          </w:tcPr>
          <w:p w:rsidR="004218BF" w:rsidRDefault="004218BF" w:rsidP="003503F4">
            <w:pPr>
              <w:pStyle w:val="TableBodyText"/>
              <w:spacing w:before="40"/>
            </w:pPr>
          </w:p>
        </w:tc>
        <w:tc>
          <w:tcPr>
            <w:tcW w:w="511" w:type="pct"/>
            <w:shd w:val="clear" w:color="auto" w:fill="auto"/>
            <w:vAlign w:val="bottom"/>
          </w:tcPr>
          <w:p w:rsidR="004218BF" w:rsidRDefault="004218BF" w:rsidP="003503F4">
            <w:pPr>
              <w:pStyle w:val="TableBodyText"/>
              <w:spacing w:before="40"/>
            </w:pPr>
            <w:r>
              <w:t xml:space="preserve">-1.9 </w:t>
            </w:r>
          </w:p>
        </w:tc>
        <w:tc>
          <w:tcPr>
            <w:tcW w:w="512" w:type="pct"/>
            <w:shd w:val="clear" w:color="auto" w:fill="auto"/>
            <w:vAlign w:val="bottom"/>
          </w:tcPr>
          <w:p w:rsidR="004218BF" w:rsidRDefault="004218BF" w:rsidP="003503F4">
            <w:pPr>
              <w:pStyle w:val="TableBodyText"/>
              <w:spacing w:before="40"/>
            </w:pPr>
            <w:r>
              <w:t>-0.1</w:t>
            </w:r>
          </w:p>
        </w:tc>
        <w:tc>
          <w:tcPr>
            <w:tcW w:w="60" w:type="pct"/>
            <w:shd w:val="clear" w:color="auto" w:fill="auto"/>
          </w:tcPr>
          <w:p w:rsidR="004218BF" w:rsidRDefault="004218BF" w:rsidP="003503F4">
            <w:pPr>
              <w:pStyle w:val="TableBodyText"/>
              <w:spacing w:before="40"/>
            </w:pPr>
          </w:p>
        </w:tc>
        <w:tc>
          <w:tcPr>
            <w:tcW w:w="512" w:type="pct"/>
            <w:shd w:val="clear" w:color="auto" w:fill="auto"/>
            <w:vAlign w:val="bottom"/>
          </w:tcPr>
          <w:p w:rsidR="004218BF" w:rsidRDefault="004218BF" w:rsidP="003503F4">
            <w:pPr>
              <w:pStyle w:val="TableBodyText"/>
              <w:spacing w:before="40"/>
            </w:pPr>
            <w:r>
              <w:t xml:space="preserve">9.5 </w:t>
            </w:r>
          </w:p>
        </w:tc>
        <w:tc>
          <w:tcPr>
            <w:tcW w:w="512" w:type="pct"/>
            <w:shd w:val="clear" w:color="auto" w:fill="auto"/>
            <w:vAlign w:val="bottom"/>
          </w:tcPr>
          <w:p w:rsidR="004218BF" w:rsidRDefault="004218BF" w:rsidP="003503F4">
            <w:pPr>
              <w:pStyle w:val="TableBodyText"/>
              <w:spacing w:before="40"/>
            </w:pPr>
            <w:r>
              <w:t>0.7</w:t>
            </w:r>
          </w:p>
        </w:tc>
      </w:tr>
      <w:tr w:rsidR="004218BF" w:rsidTr="00E40A70">
        <w:tc>
          <w:tcPr>
            <w:tcW w:w="1812" w:type="pct"/>
            <w:shd w:val="clear" w:color="auto" w:fill="D9D9D9" w:themeFill="background1" w:themeFillShade="D9"/>
            <w:vAlign w:val="bottom"/>
          </w:tcPr>
          <w:p w:rsidR="004218BF" w:rsidRDefault="004218BF" w:rsidP="003503F4">
            <w:pPr>
              <w:spacing w:before="40" w:after="40"/>
              <w:rPr>
                <w:rFonts w:ascii="Arial" w:hAnsi="Arial" w:cs="Arial"/>
                <w:color w:val="000000"/>
                <w:sz w:val="20"/>
                <w:szCs w:val="20"/>
              </w:rPr>
            </w:pPr>
            <w:r>
              <w:rPr>
                <w:rFonts w:ascii="Arial" w:hAnsi="Arial" w:cs="Arial"/>
                <w:color w:val="000000"/>
                <w:sz w:val="20"/>
                <w:szCs w:val="20"/>
              </w:rPr>
              <w:t xml:space="preserve">68: </w:t>
            </w:r>
            <w:r w:rsidR="001419B9">
              <w:rPr>
                <w:rFonts w:ascii="Arial" w:hAnsi="Arial" w:cs="Arial"/>
                <w:color w:val="000000"/>
                <w:sz w:val="20"/>
                <w:szCs w:val="20"/>
              </w:rPr>
              <w:t xml:space="preserve">  </w:t>
            </w:r>
            <w:r>
              <w:rPr>
                <w:rFonts w:ascii="Arial" w:hAnsi="Arial" w:cs="Arial"/>
                <w:color w:val="000000"/>
                <w:sz w:val="20"/>
                <w:szCs w:val="20"/>
              </w:rPr>
              <w:t>Non-ferrous metals</w:t>
            </w:r>
          </w:p>
        </w:tc>
        <w:tc>
          <w:tcPr>
            <w:tcW w:w="511" w:type="pct"/>
            <w:shd w:val="clear" w:color="auto" w:fill="D9D9D9" w:themeFill="background1" w:themeFillShade="D9"/>
            <w:vAlign w:val="bottom"/>
          </w:tcPr>
          <w:p w:rsidR="004218BF" w:rsidRDefault="004218BF" w:rsidP="003503F4">
            <w:pPr>
              <w:pStyle w:val="TableBodyText"/>
              <w:spacing w:before="40"/>
            </w:pPr>
            <w:r>
              <w:t xml:space="preserve">1.4 </w:t>
            </w:r>
          </w:p>
        </w:tc>
        <w:tc>
          <w:tcPr>
            <w:tcW w:w="511" w:type="pct"/>
            <w:shd w:val="clear" w:color="auto" w:fill="D9D9D9" w:themeFill="background1" w:themeFillShade="D9"/>
            <w:vAlign w:val="bottom"/>
          </w:tcPr>
          <w:p w:rsidR="004218BF" w:rsidRDefault="004218BF" w:rsidP="003503F4">
            <w:pPr>
              <w:pStyle w:val="TableBodyText"/>
              <w:spacing w:before="40"/>
            </w:pPr>
            <w:r>
              <w:t>0.3</w:t>
            </w:r>
          </w:p>
        </w:tc>
        <w:tc>
          <w:tcPr>
            <w:tcW w:w="57" w:type="pct"/>
            <w:shd w:val="clear" w:color="auto" w:fill="D9D9D9" w:themeFill="background1" w:themeFillShade="D9"/>
          </w:tcPr>
          <w:p w:rsidR="004218BF" w:rsidRDefault="004218BF" w:rsidP="003503F4">
            <w:pPr>
              <w:pStyle w:val="TableBodyText"/>
              <w:spacing w:before="40"/>
            </w:pPr>
          </w:p>
        </w:tc>
        <w:tc>
          <w:tcPr>
            <w:tcW w:w="511" w:type="pct"/>
            <w:shd w:val="clear" w:color="auto" w:fill="D9D9D9" w:themeFill="background1" w:themeFillShade="D9"/>
            <w:vAlign w:val="bottom"/>
          </w:tcPr>
          <w:p w:rsidR="004218BF" w:rsidRDefault="004218BF" w:rsidP="003503F4">
            <w:pPr>
              <w:pStyle w:val="TableBodyText"/>
              <w:spacing w:before="40"/>
            </w:pPr>
            <w:r>
              <w:t xml:space="preserve">-1.2 </w:t>
            </w:r>
          </w:p>
        </w:tc>
        <w:tc>
          <w:tcPr>
            <w:tcW w:w="512" w:type="pct"/>
            <w:shd w:val="clear" w:color="auto" w:fill="D9D9D9" w:themeFill="background1" w:themeFillShade="D9"/>
            <w:vAlign w:val="bottom"/>
          </w:tcPr>
          <w:p w:rsidR="004218BF" w:rsidRDefault="004218BF" w:rsidP="003503F4">
            <w:pPr>
              <w:pStyle w:val="TableBodyText"/>
              <w:spacing w:before="40"/>
            </w:pPr>
            <w:r>
              <w:t>-0.3</w:t>
            </w:r>
          </w:p>
        </w:tc>
        <w:tc>
          <w:tcPr>
            <w:tcW w:w="60" w:type="pct"/>
            <w:shd w:val="clear" w:color="auto" w:fill="D9D9D9" w:themeFill="background1" w:themeFillShade="D9"/>
          </w:tcPr>
          <w:p w:rsidR="004218BF" w:rsidRDefault="004218BF" w:rsidP="003503F4">
            <w:pPr>
              <w:pStyle w:val="TableBodyText"/>
              <w:spacing w:before="40"/>
            </w:pPr>
          </w:p>
        </w:tc>
        <w:tc>
          <w:tcPr>
            <w:tcW w:w="512" w:type="pct"/>
            <w:shd w:val="clear" w:color="auto" w:fill="D9D9D9" w:themeFill="background1" w:themeFillShade="D9"/>
            <w:vAlign w:val="bottom"/>
          </w:tcPr>
          <w:p w:rsidR="004218BF" w:rsidRDefault="004218BF" w:rsidP="003503F4">
            <w:pPr>
              <w:pStyle w:val="TableBodyText"/>
              <w:spacing w:before="40"/>
            </w:pPr>
            <w:r>
              <w:t xml:space="preserve">-2.6 </w:t>
            </w:r>
          </w:p>
        </w:tc>
        <w:tc>
          <w:tcPr>
            <w:tcW w:w="512" w:type="pct"/>
            <w:shd w:val="clear" w:color="auto" w:fill="D9D9D9" w:themeFill="background1" w:themeFillShade="D9"/>
            <w:vAlign w:val="bottom"/>
          </w:tcPr>
          <w:p w:rsidR="004218BF" w:rsidRDefault="004218BF" w:rsidP="003503F4">
            <w:pPr>
              <w:pStyle w:val="TableBodyText"/>
              <w:spacing w:before="40"/>
            </w:pPr>
            <w:r>
              <w:t>-0.7</w:t>
            </w:r>
          </w:p>
        </w:tc>
      </w:tr>
      <w:tr w:rsidR="004218BF" w:rsidTr="00E40A70">
        <w:tc>
          <w:tcPr>
            <w:tcW w:w="1812" w:type="pct"/>
            <w:shd w:val="clear" w:color="auto" w:fill="auto"/>
            <w:vAlign w:val="bottom"/>
          </w:tcPr>
          <w:p w:rsidR="004218BF" w:rsidRDefault="004218BF" w:rsidP="003503F4">
            <w:pPr>
              <w:spacing w:before="40" w:after="40"/>
              <w:rPr>
                <w:rFonts w:ascii="Arial" w:hAnsi="Arial" w:cs="Arial"/>
                <w:color w:val="000000"/>
                <w:sz w:val="20"/>
                <w:szCs w:val="20"/>
              </w:rPr>
            </w:pPr>
            <w:r>
              <w:rPr>
                <w:rFonts w:ascii="Arial" w:hAnsi="Arial" w:cs="Arial"/>
                <w:color w:val="000000"/>
                <w:sz w:val="20"/>
                <w:szCs w:val="20"/>
              </w:rPr>
              <w:t xml:space="preserve">69: </w:t>
            </w:r>
            <w:r w:rsidR="001419B9">
              <w:rPr>
                <w:rFonts w:ascii="Arial" w:hAnsi="Arial" w:cs="Arial"/>
                <w:color w:val="000000"/>
                <w:sz w:val="20"/>
                <w:szCs w:val="20"/>
              </w:rPr>
              <w:t xml:space="preserve">  </w:t>
            </w:r>
            <w:r>
              <w:rPr>
                <w:rFonts w:ascii="Arial" w:hAnsi="Arial" w:cs="Arial"/>
                <w:color w:val="000000"/>
                <w:sz w:val="20"/>
                <w:szCs w:val="20"/>
              </w:rPr>
              <w:t xml:space="preserve">Manufactures of metals, </w:t>
            </w:r>
            <w:proofErr w:type="spellStart"/>
            <w:r>
              <w:rPr>
                <w:rFonts w:ascii="Arial" w:hAnsi="Arial" w:cs="Arial"/>
                <w:color w:val="000000"/>
                <w:sz w:val="20"/>
                <w:szCs w:val="20"/>
              </w:rPr>
              <w:t>nes</w:t>
            </w:r>
            <w:proofErr w:type="spellEnd"/>
            <w:r>
              <w:rPr>
                <w:rStyle w:val="NoteLabel"/>
              </w:rPr>
              <w:t>c</w:t>
            </w:r>
          </w:p>
        </w:tc>
        <w:tc>
          <w:tcPr>
            <w:tcW w:w="511" w:type="pct"/>
            <w:shd w:val="clear" w:color="auto" w:fill="auto"/>
            <w:vAlign w:val="bottom"/>
          </w:tcPr>
          <w:p w:rsidR="004218BF" w:rsidRDefault="004218BF" w:rsidP="003503F4">
            <w:pPr>
              <w:pStyle w:val="TableBodyText"/>
              <w:spacing w:before="40"/>
            </w:pPr>
            <w:r>
              <w:t xml:space="preserve">-1.2 </w:t>
            </w:r>
          </w:p>
        </w:tc>
        <w:tc>
          <w:tcPr>
            <w:tcW w:w="511" w:type="pct"/>
            <w:shd w:val="clear" w:color="auto" w:fill="auto"/>
            <w:vAlign w:val="bottom"/>
          </w:tcPr>
          <w:p w:rsidR="004218BF" w:rsidRDefault="004218BF" w:rsidP="003503F4">
            <w:pPr>
              <w:pStyle w:val="TableBodyText"/>
              <w:spacing w:before="40"/>
            </w:pPr>
            <w:r>
              <w:t>0.0</w:t>
            </w:r>
          </w:p>
        </w:tc>
        <w:tc>
          <w:tcPr>
            <w:tcW w:w="57" w:type="pct"/>
            <w:shd w:val="clear" w:color="auto" w:fill="auto"/>
          </w:tcPr>
          <w:p w:rsidR="004218BF" w:rsidRDefault="004218BF" w:rsidP="003503F4">
            <w:pPr>
              <w:pStyle w:val="TableBodyText"/>
              <w:spacing w:before="40"/>
            </w:pPr>
          </w:p>
        </w:tc>
        <w:tc>
          <w:tcPr>
            <w:tcW w:w="511" w:type="pct"/>
            <w:shd w:val="clear" w:color="auto" w:fill="auto"/>
            <w:vAlign w:val="bottom"/>
          </w:tcPr>
          <w:p w:rsidR="004218BF" w:rsidRDefault="004218BF" w:rsidP="003503F4">
            <w:pPr>
              <w:pStyle w:val="TableBodyText"/>
              <w:spacing w:before="40"/>
            </w:pPr>
            <w:r>
              <w:t xml:space="preserve">-6.9 </w:t>
            </w:r>
          </w:p>
        </w:tc>
        <w:tc>
          <w:tcPr>
            <w:tcW w:w="512" w:type="pct"/>
            <w:shd w:val="clear" w:color="auto" w:fill="auto"/>
            <w:vAlign w:val="bottom"/>
          </w:tcPr>
          <w:p w:rsidR="004218BF" w:rsidRDefault="004218BF" w:rsidP="003503F4">
            <w:pPr>
              <w:pStyle w:val="TableBodyText"/>
              <w:spacing w:before="40"/>
            </w:pPr>
            <w:r>
              <w:t>-0.2</w:t>
            </w:r>
          </w:p>
        </w:tc>
        <w:tc>
          <w:tcPr>
            <w:tcW w:w="60" w:type="pct"/>
            <w:shd w:val="clear" w:color="auto" w:fill="auto"/>
          </w:tcPr>
          <w:p w:rsidR="004218BF" w:rsidRDefault="004218BF" w:rsidP="003503F4">
            <w:pPr>
              <w:pStyle w:val="TableBodyText"/>
              <w:spacing w:before="40"/>
            </w:pPr>
          </w:p>
        </w:tc>
        <w:tc>
          <w:tcPr>
            <w:tcW w:w="512" w:type="pct"/>
            <w:shd w:val="clear" w:color="auto" w:fill="auto"/>
            <w:vAlign w:val="bottom"/>
          </w:tcPr>
          <w:p w:rsidR="004218BF" w:rsidRDefault="004218BF" w:rsidP="003503F4">
            <w:pPr>
              <w:pStyle w:val="TableBodyText"/>
              <w:spacing w:before="40"/>
            </w:pPr>
            <w:r>
              <w:t xml:space="preserve">-5.7 </w:t>
            </w:r>
          </w:p>
        </w:tc>
        <w:tc>
          <w:tcPr>
            <w:tcW w:w="512" w:type="pct"/>
            <w:shd w:val="clear" w:color="auto" w:fill="auto"/>
            <w:vAlign w:val="bottom"/>
          </w:tcPr>
          <w:p w:rsidR="004218BF" w:rsidRDefault="004218BF" w:rsidP="003503F4">
            <w:pPr>
              <w:pStyle w:val="TableBodyText"/>
              <w:spacing w:before="40"/>
            </w:pPr>
            <w:r>
              <w:t>-0.1</w:t>
            </w:r>
          </w:p>
        </w:tc>
      </w:tr>
      <w:tr w:rsidR="004218BF" w:rsidTr="007640E4">
        <w:tc>
          <w:tcPr>
            <w:tcW w:w="1812" w:type="pct"/>
            <w:shd w:val="clear" w:color="auto" w:fill="D9D9D9" w:themeFill="background1" w:themeFillShade="D9"/>
            <w:vAlign w:val="bottom"/>
          </w:tcPr>
          <w:p w:rsidR="004218BF" w:rsidRDefault="004218BF" w:rsidP="003503F4">
            <w:pPr>
              <w:spacing w:before="40" w:after="40"/>
              <w:rPr>
                <w:rFonts w:ascii="Arial" w:hAnsi="Arial" w:cs="Arial"/>
                <w:color w:val="000000"/>
                <w:sz w:val="20"/>
                <w:szCs w:val="20"/>
              </w:rPr>
            </w:pPr>
            <w:r>
              <w:rPr>
                <w:rFonts w:ascii="Arial" w:hAnsi="Arial" w:cs="Arial"/>
                <w:color w:val="000000"/>
                <w:sz w:val="20"/>
                <w:szCs w:val="20"/>
              </w:rPr>
              <w:t xml:space="preserve">97: </w:t>
            </w:r>
            <w:r w:rsidR="001419B9">
              <w:rPr>
                <w:rFonts w:ascii="Arial" w:hAnsi="Arial" w:cs="Arial"/>
                <w:color w:val="000000"/>
                <w:sz w:val="20"/>
                <w:szCs w:val="20"/>
              </w:rPr>
              <w:t xml:space="preserve">  </w:t>
            </w:r>
            <w:r>
              <w:rPr>
                <w:rFonts w:ascii="Arial" w:hAnsi="Arial" w:cs="Arial"/>
                <w:color w:val="000000"/>
                <w:sz w:val="20"/>
                <w:szCs w:val="20"/>
              </w:rPr>
              <w:t>Gold, non-monetary (excl. gold</w:t>
            </w:r>
            <w:r w:rsidR="001419B9">
              <w:rPr>
                <w:rFonts w:ascii="Arial" w:hAnsi="Arial" w:cs="Arial"/>
                <w:color w:val="000000"/>
                <w:sz w:val="20"/>
                <w:szCs w:val="20"/>
              </w:rPr>
              <w:br/>
              <w:t xml:space="preserve">     </w:t>
            </w:r>
            <w:r>
              <w:rPr>
                <w:rFonts w:ascii="Arial" w:hAnsi="Arial" w:cs="Arial"/>
                <w:color w:val="000000"/>
                <w:sz w:val="20"/>
                <w:szCs w:val="20"/>
              </w:rPr>
              <w:t xml:space="preserve"> </w:t>
            </w:r>
            <w:r w:rsidR="001419B9">
              <w:rPr>
                <w:rFonts w:ascii="Arial" w:hAnsi="Arial" w:cs="Arial"/>
                <w:color w:val="000000"/>
                <w:sz w:val="20"/>
                <w:szCs w:val="20"/>
              </w:rPr>
              <w:t xml:space="preserve">  </w:t>
            </w:r>
            <w:r>
              <w:rPr>
                <w:rFonts w:ascii="Arial" w:hAnsi="Arial" w:cs="Arial"/>
                <w:color w:val="000000"/>
                <w:sz w:val="20"/>
                <w:szCs w:val="20"/>
              </w:rPr>
              <w:t>ores &amp; concentrates)</w:t>
            </w:r>
          </w:p>
        </w:tc>
        <w:tc>
          <w:tcPr>
            <w:tcW w:w="511" w:type="pct"/>
            <w:shd w:val="clear" w:color="auto" w:fill="D9D9D9" w:themeFill="background1" w:themeFillShade="D9"/>
            <w:vAlign w:val="bottom"/>
          </w:tcPr>
          <w:p w:rsidR="004218BF" w:rsidRDefault="004218BF" w:rsidP="003503F4">
            <w:pPr>
              <w:pStyle w:val="TableBodyText"/>
              <w:spacing w:before="40"/>
            </w:pPr>
            <w:r>
              <w:t xml:space="preserve">-5.7 </w:t>
            </w:r>
          </w:p>
        </w:tc>
        <w:tc>
          <w:tcPr>
            <w:tcW w:w="511" w:type="pct"/>
            <w:shd w:val="clear" w:color="auto" w:fill="D9D9D9" w:themeFill="background1" w:themeFillShade="D9"/>
            <w:vAlign w:val="bottom"/>
          </w:tcPr>
          <w:p w:rsidR="004218BF" w:rsidRDefault="004218BF" w:rsidP="003503F4">
            <w:pPr>
              <w:pStyle w:val="TableBodyText"/>
              <w:spacing w:before="40"/>
            </w:pPr>
            <w:r>
              <w:t>-3.2</w:t>
            </w:r>
          </w:p>
        </w:tc>
        <w:tc>
          <w:tcPr>
            <w:tcW w:w="57" w:type="pct"/>
            <w:shd w:val="clear" w:color="auto" w:fill="D9D9D9" w:themeFill="background1" w:themeFillShade="D9"/>
          </w:tcPr>
          <w:p w:rsidR="004218BF" w:rsidRDefault="004218BF" w:rsidP="003503F4">
            <w:pPr>
              <w:pStyle w:val="TableBodyText"/>
              <w:spacing w:before="40"/>
            </w:pPr>
          </w:p>
        </w:tc>
        <w:tc>
          <w:tcPr>
            <w:tcW w:w="511" w:type="pct"/>
            <w:shd w:val="clear" w:color="auto" w:fill="D9D9D9" w:themeFill="background1" w:themeFillShade="D9"/>
            <w:vAlign w:val="bottom"/>
          </w:tcPr>
          <w:p w:rsidR="004218BF" w:rsidRDefault="004218BF" w:rsidP="003503F4">
            <w:pPr>
              <w:pStyle w:val="TableBodyText"/>
              <w:spacing w:before="40"/>
            </w:pPr>
            <w:r>
              <w:t xml:space="preserve">6.2 </w:t>
            </w:r>
          </w:p>
        </w:tc>
        <w:tc>
          <w:tcPr>
            <w:tcW w:w="512" w:type="pct"/>
            <w:shd w:val="clear" w:color="auto" w:fill="D9D9D9" w:themeFill="background1" w:themeFillShade="D9"/>
            <w:vAlign w:val="bottom"/>
          </w:tcPr>
          <w:p w:rsidR="004218BF" w:rsidRDefault="004218BF" w:rsidP="003503F4">
            <w:pPr>
              <w:pStyle w:val="TableBodyText"/>
              <w:spacing w:before="40"/>
            </w:pPr>
            <w:r>
              <w:t>3.4</w:t>
            </w:r>
          </w:p>
        </w:tc>
        <w:tc>
          <w:tcPr>
            <w:tcW w:w="60" w:type="pct"/>
            <w:shd w:val="clear" w:color="auto" w:fill="D9D9D9" w:themeFill="background1" w:themeFillShade="D9"/>
          </w:tcPr>
          <w:p w:rsidR="004218BF" w:rsidRDefault="004218BF" w:rsidP="003503F4">
            <w:pPr>
              <w:pStyle w:val="TableBodyText"/>
              <w:spacing w:before="40"/>
            </w:pPr>
          </w:p>
        </w:tc>
        <w:tc>
          <w:tcPr>
            <w:tcW w:w="512" w:type="pct"/>
            <w:shd w:val="clear" w:color="auto" w:fill="D9D9D9" w:themeFill="background1" w:themeFillShade="D9"/>
            <w:vAlign w:val="bottom"/>
          </w:tcPr>
          <w:p w:rsidR="004218BF" w:rsidRDefault="004218BF" w:rsidP="003503F4">
            <w:pPr>
              <w:pStyle w:val="TableBodyText"/>
              <w:spacing w:before="40"/>
            </w:pPr>
            <w:r>
              <w:t xml:space="preserve">11.9 </w:t>
            </w:r>
          </w:p>
        </w:tc>
        <w:tc>
          <w:tcPr>
            <w:tcW w:w="512" w:type="pct"/>
            <w:shd w:val="clear" w:color="auto" w:fill="D9D9D9" w:themeFill="background1" w:themeFillShade="D9"/>
            <w:vAlign w:val="bottom"/>
          </w:tcPr>
          <w:p w:rsidR="004218BF" w:rsidRDefault="004218BF" w:rsidP="003503F4">
            <w:pPr>
              <w:pStyle w:val="TableBodyText"/>
              <w:spacing w:before="40"/>
            </w:pPr>
            <w:r>
              <w:t>6.6</w:t>
            </w:r>
          </w:p>
        </w:tc>
      </w:tr>
      <w:tr w:rsidR="004218BF" w:rsidTr="007640E4">
        <w:tc>
          <w:tcPr>
            <w:tcW w:w="1812" w:type="pct"/>
            <w:tcBorders>
              <w:bottom w:val="dotted" w:sz="4" w:space="0" w:color="auto"/>
            </w:tcBorders>
            <w:vAlign w:val="bottom"/>
          </w:tcPr>
          <w:p w:rsidR="004218BF" w:rsidRDefault="004218BF" w:rsidP="003503F4">
            <w:pPr>
              <w:spacing w:before="40" w:after="40"/>
              <w:rPr>
                <w:rFonts w:ascii="Arial" w:hAnsi="Arial" w:cs="Arial"/>
                <w:b/>
                <w:bCs/>
                <w:color w:val="000000"/>
                <w:sz w:val="20"/>
                <w:szCs w:val="20"/>
              </w:rPr>
            </w:pPr>
            <w:r>
              <w:rPr>
                <w:rFonts w:ascii="Arial" w:hAnsi="Arial" w:cs="Arial"/>
                <w:b/>
                <w:bCs/>
                <w:color w:val="000000"/>
                <w:sz w:val="20"/>
                <w:szCs w:val="20"/>
              </w:rPr>
              <w:t>Total exports</w:t>
            </w:r>
          </w:p>
        </w:tc>
        <w:tc>
          <w:tcPr>
            <w:tcW w:w="511" w:type="pct"/>
            <w:tcBorders>
              <w:bottom w:val="dotted" w:sz="4" w:space="0" w:color="auto"/>
            </w:tcBorders>
            <w:vAlign w:val="bottom"/>
          </w:tcPr>
          <w:p w:rsidR="004218BF" w:rsidRDefault="004218BF" w:rsidP="003503F4">
            <w:pPr>
              <w:pStyle w:val="TableBodyText"/>
              <w:spacing w:before="40"/>
              <w:rPr>
                <w:b/>
                <w:bCs/>
              </w:rPr>
            </w:pPr>
            <w:r>
              <w:rPr>
                <w:b/>
                <w:bCs/>
              </w:rPr>
              <w:t xml:space="preserve">-3.1 </w:t>
            </w:r>
          </w:p>
        </w:tc>
        <w:tc>
          <w:tcPr>
            <w:tcW w:w="511" w:type="pct"/>
            <w:tcBorders>
              <w:bottom w:val="dotted" w:sz="4" w:space="0" w:color="auto"/>
            </w:tcBorders>
            <w:vAlign w:val="bottom"/>
          </w:tcPr>
          <w:p w:rsidR="004218BF" w:rsidRDefault="004218BF" w:rsidP="003503F4">
            <w:pPr>
              <w:pStyle w:val="TableBodyText"/>
              <w:spacing w:before="40"/>
              <w:rPr>
                <w:b/>
                <w:bCs/>
              </w:rPr>
            </w:pPr>
            <w:r>
              <w:rPr>
                <w:b/>
                <w:bCs/>
              </w:rPr>
              <w:t>-3.1</w:t>
            </w:r>
          </w:p>
        </w:tc>
        <w:tc>
          <w:tcPr>
            <w:tcW w:w="57" w:type="pct"/>
            <w:tcBorders>
              <w:bottom w:val="dotted" w:sz="4" w:space="0" w:color="auto"/>
            </w:tcBorders>
          </w:tcPr>
          <w:p w:rsidR="004218BF" w:rsidRDefault="004218BF" w:rsidP="003503F4">
            <w:pPr>
              <w:pStyle w:val="TableBodyText"/>
              <w:spacing w:before="40"/>
              <w:rPr>
                <w:b/>
                <w:bCs/>
              </w:rPr>
            </w:pPr>
          </w:p>
        </w:tc>
        <w:tc>
          <w:tcPr>
            <w:tcW w:w="511" w:type="pct"/>
            <w:tcBorders>
              <w:bottom w:val="dotted" w:sz="4" w:space="0" w:color="auto"/>
            </w:tcBorders>
            <w:vAlign w:val="bottom"/>
          </w:tcPr>
          <w:p w:rsidR="004218BF" w:rsidRDefault="004218BF" w:rsidP="003503F4">
            <w:pPr>
              <w:pStyle w:val="TableBodyText"/>
              <w:spacing w:before="40"/>
              <w:rPr>
                <w:b/>
                <w:bCs/>
              </w:rPr>
            </w:pPr>
            <w:r>
              <w:rPr>
                <w:b/>
                <w:bCs/>
              </w:rPr>
              <w:t xml:space="preserve">3.6 </w:t>
            </w:r>
          </w:p>
        </w:tc>
        <w:tc>
          <w:tcPr>
            <w:tcW w:w="512" w:type="pct"/>
            <w:tcBorders>
              <w:bottom w:val="dotted" w:sz="4" w:space="0" w:color="auto"/>
            </w:tcBorders>
            <w:vAlign w:val="bottom"/>
          </w:tcPr>
          <w:p w:rsidR="004218BF" w:rsidRDefault="004218BF" w:rsidP="003503F4">
            <w:pPr>
              <w:pStyle w:val="TableBodyText"/>
              <w:spacing w:before="40"/>
              <w:rPr>
                <w:b/>
                <w:bCs/>
              </w:rPr>
            </w:pPr>
            <w:r>
              <w:rPr>
                <w:b/>
                <w:bCs/>
              </w:rPr>
              <w:t>3.6</w:t>
            </w:r>
          </w:p>
        </w:tc>
        <w:tc>
          <w:tcPr>
            <w:tcW w:w="60" w:type="pct"/>
            <w:tcBorders>
              <w:bottom w:val="dotted" w:sz="4" w:space="0" w:color="auto"/>
            </w:tcBorders>
          </w:tcPr>
          <w:p w:rsidR="004218BF" w:rsidRDefault="004218BF" w:rsidP="003503F4">
            <w:pPr>
              <w:pStyle w:val="TableBodyText"/>
              <w:spacing w:before="40"/>
              <w:rPr>
                <w:b/>
                <w:bCs/>
              </w:rPr>
            </w:pPr>
          </w:p>
        </w:tc>
        <w:tc>
          <w:tcPr>
            <w:tcW w:w="512" w:type="pct"/>
            <w:tcBorders>
              <w:bottom w:val="dotted" w:sz="4" w:space="0" w:color="auto"/>
            </w:tcBorders>
            <w:vAlign w:val="bottom"/>
          </w:tcPr>
          <w:p w:rsidR="004218BF" w:rsidRDefault="004218BF" w:rsidP="003503F4">
            <w:pPr>
              <w:pStyle w:val="TableBodyText"/>
              <w:spacing w:before="40"/>
              <w:rPr>
                <w:b/>
                <w:bCs/>
              </w:rPr>
            </w:pPr>
            <w:r>
              <w:rPr>
                <w:b/>
                <w:bCs/>
              </w:rPr>
              <w:t xml:space="preserve">6.6 </w:t>
            </w:r>
          </w:p>
        </w:tc>
        <w:tc>
          <w:tcPr>
            <w:tcW w:w="512" w:type="pct"/>
            <w:tcBorders>
              <w:bottom w:val="dotted" w:sz="4" w:space="0" w:color="auto"/>
            </w:tcBorders>
            <w:vAlign w:val="bottom"/>
          </w:tcPr>
          <w:p w:rsidR="004218BF" w:rsidRDefault="004218BF" w:rsidP="003503F4">
            <w:pPr>
              <w:pStyle w:val="TableBodyText"/>
              <w:spacing w:before="40"/>
              <w:rPr>
                <w:b/>
                <w:bCs/>
              </w:rPr>
            </w:pPr>
            <w:r>
              <w:rPr>
                <w:b/>
                <w:bCs/>
              </w:rPr>
              <w:t>6.6</w:t>
            </w:r>
          </w:p>
        </w:tc>
      </w:tr>
      <w:tr w:rsidR="004218BF" w:rsidRPr="00EE06F3" w:rsidTr="007640E4">
        <w:tc>
          <w:tcPr>
            <w:tcW w:w="1812" w:type="pct"/>
            <w:tcBorders>
              <w:top w:val="dotted" w:sz="4" w:space="0" w:color="auto"/>
            </w:tcBorders>
            <w:vAlign w:val="bottom"/>
          </w:tcPr>
          <w:p w:rsidR="004218BF" w:rsidRPr="007640E4" w:rsidRDefault="006223F5" w:rsidP="007640E4">
            <w:pPr>
              <w:pStyle w:val="TableUnitsRow"/>
              <w:jc w:val="left"/>
              <w:rPr>
                <w:i/>
              </w:rPr>
            </w:pPr>
            <w:r w:rsidRPr="007640E4">
              <w:rPr>
                <w:i/>
              </w:rPr>
              <w:t>Imports</w:t>
            </w:r>
          </w:p>
        </w:tc>
        <w:tc>
          <w:tcPr>
            <w:tcW w:w="511" w:type="pct"/>
            <w:tcBorders>
              <w:top w:val="dotted" w:sz="4" w:space="0" w:color="auto"/>
            </w:tcBorders>
            <w:vAlign w:val="bottom"/>
          </w:tcPr>
          <w:p w:rsidR="004218BF" w:rsidRPr="007802AF" w:rsidRDefault="004218BF" w:rsidP="004F0F49">
            <w:pPr>
              <w:pStyle w:val="TableUnitsRow"/>
            </w:pPr>
          </w:p>
        </w:tc>
        <w:tc>
          <w:tcPr>
            <w:tcW w:w="511" w:type="pct"/>
            <w:tcBorders>
              <w:top w:val="dotted" w:sz="4" w:space="0" w:color="auto"/>
            </w:tcBorders>
            <w:vAlign w:val="bottom"/>
          </w:tcPr>
          <w:p w:rsidR="004218BF" w:rsidRPr="007802AF" w:rsidRDefault="004218BF" w:rsidP="004F0F49">
            <w:pPr>
              <w:pStyle w:val="TableUnitsRow"/>
            </w:pPr>
          </w:p>
        </w:tc>
        <w:tc>
          <w:tcPr>
            <w:tcW w:w="57" w:type="pct"/>
            <w:tcBorders>
              <w:top w:val="dotted" w:sz="4" w:space="0" w:color="auto"/>
            </w:tcBorders>
          </w:tcPr>
          <w:p w:rsidR="004218BF" w:rsidRPr="007802AF" w:rsidRDefault="004218BF" w:rsidP="004F0F49">
            <w:pPr>
              <w:pStyle w:val="TableUnitsRow"/>
            </w:pPr>
          </w:p>
        </w:tc>
        <w:tc>
          <w:tcPr>
            <w:tcW w:w="511" w:type="pct"/>
            <w:tcBorders>
              <w:top w:val="dotted" w:sz="4" w:space="0" w:color="auto"/>
            </w:tcBorders>
            <w:vAlign w:val="bottom"/>
          </w:tcPr>
          <w:p w:rsidR="004218BF" w:rsidRPr="007802AF" w:rsidRDefault="004218BF" w:rsidP="004F0F49">
            <w:pPr>
              <w:pStyle w:val="TableUnitsRow"/>
            </w:pPr>
          </w:p>
        </w:tc>
        <w:tc>
          <w:tcPr>
            <w:tcW w:w="512" w:type="pct"/>
            <w:tcBorders>
              <w:top w:val="dotted" w:sz="4" w:space="0" w:color="auto"/>
            </w:tcBorders>
            <w:vAlign w:val="bottom"/>
          </w:tcPr>
          <w:p w:rsidR="004218BF" w:rsidRPr="007802AF" w:rsidRDefault="004218BF" w:rsidP="004F0F49">
            <w:pPr>
              <w:pStyle w:val="TableUnitsRow"/>
            </w:pPr>
          </w:p>
        </w:tc>
        <w:tc>
          <w:tcPr>
            <w:tcW w:w="60" w:type="pct"/>
            <w:tcBorders>
              <w:top w:val="dotted" w:sz="4" w:space="0" w:color="auto"/>
            </w:tcBorders>
          </w:tcPr>
          <w:p w:rsidR="004218BF" w:rsidRPr="007802AF" w:rsidRDefault="004218BF" w:rsidP="004F0F49">
            <w:pPr>
              <w:pStyle w:val="TableUnitsRow"/>
            </w:pPr>
          </w:p>
        </w:tc>
        <w:tc>
          <w:tcPr>
            <w:tcW w:w="512" w:type="pct"/>
            <w:tcBorders>
              <w:top w:val="dotted" w:sz="4" w:space="0" w:color="auto"/>
            </w:tcBorders>
            <w:vAlign w:val="bottom"/>
          </w:tcPr>
          <w:p w:rsidR="004218BF" w:rsidRPr="007802AF" w:rsidRDefault="004218BF" w:rsidP="004F0F49">
            <w:pPr>
              <w:pStyle w:val="TableUnitsRow"/>
            </w:pPr>
          </w:p>
        </w:tc>
        <w:tc>
          <w:tcPr>
            <w:tcW w:w="512" w:type="pct"/>
            <w:tcBorders>
              <w:top w:val="dotted" w:sz="4" w:space="0" w:color="auto"/>
            </w:tcBorders>
            <w:vAlign w:val="bottom"/>
          </w:tcPr>
          <w:p w:rsidR="004218BF" w:rsidRPr="007802AF" w:rsidRDefault="004218BF" w:rsidP="004F0F49">
            <w:pPr>
              <w:pStyle w:val="TableUnitsRow"/>
            </w:pPr>
          </w:p>
        </w:tc>
      </w:tr>
      <w:tr w:rsidR="004218BF" w:rsidTr="00E40A70">
        <w:tc>
          <w:tcPr>
            <w:tcW w:w="1812" w:type="pct"/>
            <w:shd w:val="clear" w:color="auto" w:fill="D9D9D9" w:themeFill="background1" w:themeFillShade="D9"/>
            <w:vAlign w:val="bottom"/>
          </w:tcPr>
          <w:p w:rsidR="004218BF" w:rsidRDefault="004218BF" w:rsidP="003503F4">
            <w:pPr>
              <w:pStyle w:val="TableBodyText"/>
              <w:spacing w:before="40"/>
              <w:jc w:val="left"/>
            </w:pPr>
            <w:r>
              <w:rPr>
                <w:rFonts w:cs="Arial"/>
                <w:color w:val="000000"/>
              </w:rPr>
              <w:t>285: Aluminium ores and</w:t>
            </w:r>
            <w:r w:rsidR="001419B9">
              <w:rPr>
                <w:rFonts w:cs="Arial"/>
                <w:color w:val="000000"/>
              </w:rPr>
              <w:br/>
              <w:t xml:space="preserve">       </w:t>
            </w:r>
            <w:r>
              <w:rPr>
                <w:rFonts w:cs="Arial"/>
                <w:color w:val="000000"/>
              </w:rPr>
              <w:t xml:space="preserve"> concentrates (incl. alumina)</w:t>
            </w:r>
            <w:r>
              <w:rPr>
                <w:rStyle w:val="NoteLabel"/>
              </w:rPr>
              <w:t>b</w:t>
            </w:r>
            <w:r w:rsidDel="001F4A3A">
              <w:t xml:space="preserve"> </w:t>
            </w:r>
          </w:p>
        </w:tc>
        <w:tc>
          <w:tcPr>
            <w:tcW w:w="511" w:type="pct"/>
            <w:shd w:val="clear" w:color="auto" w:fill="D9D9D9" w:themeFill="background1" w:themeFillShade="D9"/>
            <w:vAlign w:val="bottom"/>
          </w:tcPr>
          <w:p w:rsidR="004218BF" w:rsidRDefault="004218BF" w:rsidP="003503F4">
            <w:pPr>
              <w:pStyle w:val="TableBodyText"/>
              <w:spacing w:before="40"/>
            </w:pPr>
            <w:r>
              <w:t xml:space="preserve">-2.4 </w:t>
            </w:r>
          </w:p>
        </w:tc>
        <w:tc>
          <w:tcPr>
            <w:tcW w:w="511" w:type="pct"/>
            <w:shd w:val="clear" w:color="auto" w:fill="D9D9D9" w:themeFill="background1" w:themeFillShade="D9"/>
            <w:vAlign w:val="bottom"/>
          </w:tcPr>
          <w:p w:rsidR="004218BF" w:rsidRDefault="004218BF" w:rsidP="003503F4">
            <w:pPr>
              <w:pStyle w:val="TableBodyText"/>
              <w:spacing w:before="40"/>
            </w:pPr>
            <w:r>
              <w:t>0.0</w:t>
            </w:r>
          </w:p>
        </w:tc>
        <w:tc>
          <w:tcPr>
            <w:tcW w:w="57" w:type="pct"/>
            <w:shd w:val="clear" w:color="auto" w:fill="D9D9D9" w:themeFill="background1" w:themeFillShade="D9"/>
          </w:tcPr>
          <w:p w:rsidR="004218BF" w:rsidRDefault="004218BF" w:rsidP="003503F4">
            <w:pPr>
              <w:pStyle w:val="TableBodyText"/>
              <w:spacing w:before="40"/>
            </w:pPr>
          </w:p>
        </w:tc>
        <w:tc>
          <w:tcPr>
            <w:tcW w:w="511" w:type="pct"/>
            <w:shd w:val="clear" w:color="auto" w:fill="D9D9D9" w:themeFill="background1" w:themeFillShade="D9"/>
            <w:vAlign w:val="bottom"/>
          </w:tcPr>
          <w:p w:rsidR="004218BF" w:rsidRDefault="004218BF" w:rsidP="003503F4">
            <w:pPr>
              <w:pStyle w:val="TableBodyText"/>
              <w:spacing w:before="40"/>
            </w:pPr>
            <w:r>
              <w:t xml:space="preserve">9.3 </w:t>
            </w:r>
          </w:p>
        </w:tc>
        <w:tc>
          <w:tcPr>
            <w:tcW w:w="512" w:type="pct"/>
            <w:shd w:val="clear" w:color="auto" w:fill="D9D9D9" w:themeFill="background1" w:themeFillShade="D9"/>
            <w:vAlign w:val="bottom"/>
          </w:tcPr>
          <w:p w:rsidR="004218BF" w:rsidRDefault="004218BF" w:rsidP="003503F4">
            <w:pPr>
              <w:pStyle w:val="TableBodyText"/>
              <w:spacing w:before="40"/>
            </w:pPr>
            <w:r>
              <w:t>0.0</w:t>
            </w:r>
          </w:p>
        </w:tc>
        <w:tc>
          <w:tcPr>
            <w:tcW w:w="60" w:type="pct"/>
            <w:shd w:val="clear" w:color="auto" w:fill="D9D9D9" w:themeFill="background1" w:themeFillShade="D9"/>
          </w:tcPr>
          <w:p w:rsidR="004218BF" w:rsidRDefault="004218BF" w:rsidP="003503F4">
            <w:pPr>
              <w:pStyle w:val="TableBodyText"/>
              <w:spacing w:before="40"/>
            </w:pPr>
          </w:p>
        </w:tc>
        <w:tc>
          <w:tcPr>
            <w:tcW w:w="512" w:type="pct"/>
            <w:shd w:val="clear" w:color="auto" w:fill="D9D9D9" w:themeFill="background1" w:themeFillShade="D9"/>
            <w:vAlign w:val="bottom"/>
          </w:tcPr>
          <w:p w:rsidR="004218BF" w:rsidRDefault="004218BF" w:rsidP="003503F4">
            <w:pPr>
              <w:pStyle w:val="TableBodyText"/>
              <w:spacing w:before="40"/>
            </w:pPr>
            <w:r>
              <w:t xml:space="preserve">11.7 </w:t>
            </w:r>
          </w:p>
        </w:tc>
        <w:tc>
          <w:tcPr>
            <w:tcW w:w="512" w:type="pct"/>
            <w:shd w:val="clear" w:color="auto" w:fill="D9D9D9" w:themeFill="background1" w:themeFillShade="D9"/>
            <w:vAlign w:val="bottom"/>
          </w:tcPr>
          <w:p w:rsidR="004218BF" w:rsidRDefault="004218BF" w:rsidP="003503F4">
            <w:pPr>
              <w:pStyle w:val="TableBodyText"/>
              <w:spacing w:before="40"/>
            </w:pPr>
            <w:r>
              <w:t>0.0</w:t>
            </w:r>
          </w:p>
        </w:tc>
      </w:tr>
      <w:tr w:rsidR="004218BF" w:rsidTr="00E40A70">
        <w:tc>
          <w:tcPr>
            <w:tcW w:w="1812" w:type="pct"/>
            <w:shd w:val="clear" w:color="auto" w:fill="auto"/>
            <w:vAlign w:val="bottom"/>
          </w:tcPr>
          <w:p w:rsidR="004218BF" w:rsidRDefault="004218BF" w:rsidP="003503F4">
            <w:pPr>
              <w:pStyle w:val="TableBodyText"/>
              <w:spacing w:before="40"/>
              <w:jc w:val="left"/>
            </w:pPr>
            <w:r>
              <w:t xml:space="preserve">67: </w:t>
            </w:r>
            <w:r w:rsidR="001419B9">
              <w:t xml:space="preserve">  </w:t>
            </w:r>
            <w:r>
              <w:t>Iron &amp; steel</w:t>
            </w:r>
          </w:p>
        </w:tc>
        <w:tc>
          <w:tcPr>
            <w:tcW w:w="511" w:type="pct"/>
            <w:shd w:val="clear" w:color="auto" w:fill="auto"/>
            <w:vAlign w:val="bottom"/>
          </w:tcPr>
          <w:p w:rsidR="004218BF" w:rsidRDefault="004218BF" w:rsidP="003503F4">
            <w:pPr>
              <w:pStyle w:val="TableBodyText"/>
              <w:spacing w:before="40"/>
            </w:pPr>
            <w:r>
              <w:t xml:space="preserve">5.3 </w:t>
            </w:r>
          </w:p>
        </w:tc>
        <w:tc>
          <w:tcPr>
            <w:tcW w:w="511" w:type="pct"/>
            <w:shd w:val="clear" w:color="auto" w:fill="auto"/>
            <w:vAlign w:val="bottom"/>
          </w:tcPr>
          <w:p w:rsidR="004218BF" w:rsidRDefault="004218BF" w:rsidP="003503F4">
            <w:pPr>
              <w:pStyle w:val="TableBodyText"/>
              <w:spacing w:before="40"/>
            </w:pPr>
            <w:r>
              <w:t>0.9</w:t>
            </w:r>
          </w:p>
        </w:tc>
        <w:tc>
          <w:tcPr>
            <w:tcW w:w="57" w:type="pct"/>
            <w:shd w:val="clear" w:color="auto" w:fill="auto"/>
          </w:tcPr>
          <w:p w:rsidR="004218BF" w:rsidRDefault="004218BF" w:rsidP="003503F4">
            <w:pPr>
              <w:pStyle w:val="TableBodyText"/>
              <w:spacing w:before="40"/>
            </w:pPr>
          </w:p>
        </w:tc>
        <w:tc>
          <w:tcPr>
            <w:tcW w:w="511" w:type="pct"/>
            <w:shd w:val="clear" w:color="auto" w:fill="auto"/>
            <w:vAlign w:val="bottom"/>
          </w:tcPr>
          <w:p w:rsidR="004218BF" w:rsidRDefault="004218BF" w:rsidP="003503F4">
            <w:pPr>
              <w:pStyle w:val="TableBodyText"/>
              <w:spacing w:before="40"/>
            </w:pPr>
            <w:r>
              <w:t xml:space="preserve">6.9 </w:t>
            </w:r>
          </w:p>
        </w:tc>
        <w:tc>
          <w:tcPr>
            <w:tcW w:w="512" w:type="pct"/>
            <w:shd w:val="clear" w:color="auto" w:fill="auto"/>
            <w:vAlign w:val="bottom"/>
          </w:tcPr>
          <w:p w:rsidR="004218BF" w:rsidRDefault="004218BF" w:rsidP="003503F4">
            <w:pPr>
              <w:pStyle w:val="TableBodyText"/>
              <w:spacing w:before="40"/>
            </w:pPr>
            <w:r>
              <w:t>1.3</w:t>
            </w:r>
          </w:p>
        </w:tc>
        <w:tc>
          <w:tcPr>
            <w:tcW w:w="60" w:type="pct"/>
            <w:shd w:val="clear" w:color="auto" w:fill="auto"/>
          </w:tcPr>
          <w:p w:rsidR="004218BF" w:rsidRDefault="004218BF" w:rsidP="003503F4">
            <w:pPr>
              <w:pStyle w:val="TableBodyText"/>
              <w:spacing w:before="40"/>
            </w:pPr>
          </w:p>
        </w:tc>
        <w:tc>
          <w:tcPr>
            <w:tcW w:w="512" w:type="pct"/>
            <w:shd w:val="clear" w:color="auto" w:fill="auto"/>
            <w:vAlign w:val="bottom"/>
          </w:tcPr>
          <w:p w:rsidR="004218BF" w:rsidRDefault="004218BF" w:rsidP="003503F4">
            <w:pPr>
              <w:pStyle w:val="TableBodyText"/>
              <w:spacing w:before="40"/>
            </w:pPr>
            <w:r>
              <w:t xml:space="preserve">1.5 </w:t>
            </w:r>
          </w:p>
        </w:tc>
        <w:tc>
          <w:tcPr>
            <w:tcW w:w="512" w:type="pct"/>
            <w:shd w:val="clear" w:color="auto" w:fill="auto"/>
            <w:vAlign w:val="bottom"/>
          </w:tcPr>
          <w:p w:rsidR="004218BF" w:rsidRDefault="004218BF" w:rsidP="003503F4">
            <w:pPr>
              <w:pStyle w:val="TableBodyText"/>
              <w:spacing w:before="40"/>
            </w:pPr>
            <w:r>
              <w:t>0.3</w:t>
            </w:r>
          </w:p>
        </w:tc>
      </w:tr>
      <w:tr w:rsidR="004218BF" w:rsidTr="00E40A70">
        <w:tc>
          <w:tcPr>
            <w:tcW w:w="1812" w:type="pct"/>
            <w:shd w:val="clear" w:color="auto" w:fill="D9D9D9" w:themeFill="background1" w:themeFillShade="D9"/>
            <w:vAlign w:val="bottom"/>
          </w:tcPr>
          <w:p w:rsidR="004218BF" w:rsidRDefault="004218BF" w:rsidP="003503F4">
            <w:pPr>
              <w:pStyle w:val="TableBodyText"/>
              <w:spacing w:before="40"/>
              <w:jc w:val="left"/>
            </w:pPr>
            <w:r>
              <w:t xml:space="preserve">68: </w:t>
            </w:r>
            <w:r w:rsidR="001419B9">
              <w:t xml:space="preserve">  </w:t>
            </w:r>
            <w:r>
              <w:t>Non-ferrous metals</w:t>
            </w:r>
          </w:p>
        </w:tc>
        <w:tc>
          <w:tcPr>
            <w:tcW w:w="511" w:type="pct"/>
            <w:shd w:val="clear" w:color="auto" w:fill="D9D9D9" w:themeFill="background1" w:themeFillShade="D9"/>
            <w:vAlign w:val="bottom"/>
          </w:tcPr>
          <w:p w:rsidR="004218BF" w:rsidRDefault="004218BF" w:rsidP="003503F4">
            <w:pPr>
              <w:pStyle w:val="TableBodyText"/>
              <w:spacing w:before="40"/>
            </w:pPr>
            <w:r>
              <w:t xml:space="preserve">-3.9 </w:t>
            </w:r>
          </w:p>
        </w:tc>
        <w:tc>
          <w:tcPr>
            <w:tcW w:w="511" w:type="pct"/>
            <w:shd w:val="clear" w:color="auto" w:fill="D9D9D9" w:themeFill="background1" w:themeFillShade="D9"/>
            <w:vAlign w:val="bottom"/>
          </w:tcPr>
          <w:p w:rsidR="004218BF" w:rsidRDefault="004218BF" w:rsidP="003503F4">
            <w:pPr>
              <w:pStyle w:val="TableBodyText"/>
              <w:spacing w:before="40"/>
            </w:pPr>
            <w:r>
              <w:t>-0.4</w:t>
            </w:r>
          </w:p>
        </w:tc>
        <w:tc>
          <w:tcPr>
            <w:tcW w:w="57" w:type="pct"/>
            <w:shd w:val="clear" w:color="auto" w:fill="D9D9D9" w:themeFill="background1" w:themeFillShade="D9"/>
          </w:tcPr>
          <w:p w:rsidR="004218BF" w:rsidRDefault="004218BF" w:rsidP="003503F4">
            <w:pPr>
              <w:pStyle w:val="TableBodyText"/>
              <w:spacing w:before="40"/>
            </w:pPr>
          </w:p>
        </w:tc>
        <w:tc>
          <w:tcPr>
            <w:tcW w:w="511" w:type="pct"/>
            <w:shd w:val="clear" w:color="auto" w:fill="D9D9D9" w:themeFill="background1" w:themeFillShade="D9"/>
            <w:vAlign w:val="bottom"/>
          </w:tcPr>
          <w:p w:rsidR="004218BF" w:rsidRDefault="004218BF" w:rsidP="003503F4">
            <w:pPr>
              <w:pStyle w:val="TableBodyText"/>
              <w:spacing w:before="40"/>
            </w:pPr>
            <w:r>
              <w:t xml:space="preserve">7.3 </w:t>
            </w:r>
          </w:p>
        </w:tc>
        <w:tc>
          <w:tcPr>
            <w:tcW w:w="512" w:type="pct"/>
            <w:shd w:val="clear" w:color="auto" w:fill="D9D9D9" w:themeFill="background1" w:themeFillShade="D9"/>
            <w:vAlign w:val="bottom"/>
          </w:tcPr>
          <w:p w:rsidR="004218BF" w:rsidRDefault="004218BF" w:rsidP="003503F4">
            <w:pPr>
              <w:pStyle w:val="TableBodyText"/>
              <w:spacing w:before="40"/>
            </w:pPr>
            <w:r>
              <w:t>0.6</w:t>
            </w:r>
          </w:p>
        </w:tc>
        <w:tc>
          <w:tcPr>
            <w:tcW w:w="60" w:type="pct"/>
            <w:shd w:val="clear" w:color="auto" w:fill="D9D9D9" w:themeFill="background1" w:themeFillShade="D9"/>
          </w:tcPr>
          <w:p w:rsidR="004218BF" w:rsidRDefault="004218BF" w:rsidP="003503F4">
            <w:pPr>
              <w:pStyle w:val="TableBodyText"/>
              <w:spacing w:before="40"/>
            </w:pPr>
          </w:p>
        </w:tc>
        <w:tc>
          <w:tcPr>
            <w:tcW w:w="512" w:type="pct"/>
            <w:shd w:val="clear" w:color="auto" w:fill="D9D9D9" w:themeFill="background1" w:themeFillShade="D9"/>
            <w:vAlign w:val="bottom"/>
          </w:tcPr>
          <w:p w:rsidR="004218BF" w:rsidRDefault="004218BF" w:rsidP="003503F4">
            <w:pPr>
              <w:pStyle w:val="TableBodyText"/>
              <w:spacing w:before="40"/>
            </w:pPr>
            <w:r>
              <w:t xml:space="preserve">11.2 </w:t>
            </w:r>
          </w:p>
        </w:tc>
        <w:tc>
          <w:tcPr>
            <w:tcW w:w="512" w:type="pct"/>
            <w:shd w:val="clear" w:color="auto" w:fill="D9D9D9" w:themeFill="background1" w:themeFillShade="D9"/>
            <w:vAlign w:val="bottom"/>
          </w:tcPr>
          <w:p w:rsidR="004218BF" w:rsidRDefault="004218BF" w:rsidP="003503F4">
            <w:pPr>
              <w:pStyle w:val="TableBodyText"/>
              <w:spacing w:before="40"/>
            </w:pPr>
            <w:r>
              <w:t>1.1</w:t>
            </w:r>
          </w:p>
        </w:tc>
      </w:tr>
      <w:tr w:rsidR="004218BF" w:rsidTr="00E40A70">
        <w:tc>
          <w:tcPr>
            <w:tcW w:w="1812" w:type="pct"/>
            <w:shd w:val="clear" w:color="auto" w:fill="auto"/>
            <w:vAlign w:val="bottom"/>
          </w:tcPr>
          <w:p w:rsidR="004218BF" w:rsidRDefault="004218BF" w:rsidP="003503F4">
            <w:pPr>
              <w:pStyle w:val="TableBodyText"/>
              <w:spacing w:before="40"/>
              <w:jc w:val="left"/>
            </w:pPr>
            <w:r>
              <w:t xml:space="preserve">69: </w:t>
            </w:r>
            <w:r w:rsidR="001419B9">
              <w:t xml:space="preserve">  </w:t>
            </w:r>
            <w:r>
              <w:t xml:space="preserve">Manufactures of metals, </w:t>
            </w:r>
            <w:proofErr w:type="spellStart"/>
            <w:r>
              <w:t>nes</w:t>
            </w:r>
            <w:proofErr w:type="spellEnd"/>
          </w:p>
        </w:tc>
        <w:tc>
          <w:tcPr>
            <w:tcW w:w="511" w:type="pct"/>
            <w:shd w:val="clear" w:color="auto" w:fill="auto"/>
            <w:vAlign w:val="bottom"/>
          </w:tcPr>
          <w:p w:rsidR="004218BF" w:rsidRDefault="004218BF" w:rsidP="003503F4">
            <w:pPr>
              <w:pStyle w:val="TableBodyText"/>
              <w:spacing w:before="40"/>
            </w:pPr>
            <w:r>
              <w:t xml:space="preserve">6.9 </w:t>
            </w:r>
          </w:p>
        </w:tc>
        <w:tc>
          <w:tcPr>
            <w:tcW w:w="511" w:type="pct"/>
            <w:shd w:val="clear" w:color="auto" w:fill="auto"/>
            <w:vAlign w:val="bottom"/>
          </w:tcPr>
          <w:p w:rsidR="004218BF" w:rsidRDefault="004218BF" w:rsidP="003503F4">
            <w:pPr>
              <w:pStyle w:val="TableBodyText"/>
              <w:spacing w:before="40"/>
            </w:pPr>
            <w:r>
              <w:t>1.3</w:t>
            </w:r>
          </w:p>
        </w:tc>
        <w:tc>
          <w:tcPr>
            <w:tcW w:w="57" w:type="pct"/>
            <w:shd w:val="clear" w:color="auto" w:fill="auto"/>
          </w:tcPr>
          <w:p w:rsidR="004218BF" w:rsidRDefault="004218BF" w:rsidP="003503F4">
            <w:pPr>
              <w:pStyle w:val="TableBodyText"/>
              <w:spacing w:before="40"/>
            </w:pPr>
          </w:p>
        </w:tc>
        <w:tc>
          <w:tcPr>
            <w:tcW w:w="511" w:type="pct"/>
            <w:shd w:val="clear" w:color="auto" w:fill="auto"/>
            <w:vAlign w:val="bottom"/>
          </w:tcPr>
          <w:p w:rsidR="004218BF" w:rsidRDefault="004218BF" w:rsidP="003503F4">
            <w:pPr>
              <w:pStyle w:val="TableBodyText"/>
              <w:spacing w:before="40"/>
            </w:pPr>
            <w:r>
              <w:t xml:space="preserve">10.5 </w:t>
            </w:r>
          </w:p>
        </w:tc>
        <w:tc>
          <w:tcPr>
            <w:tcW w:w="512" w:type="pct"/>
            <w:shd w:val="clear" w:color="auto" w:fill="auto"/>
            <w:vAlign w:val="bottom"/>
          </w:tcPr>
          <w:p w:rsidR="004218BF" w:rsidRDefault="004218BF" w:rsidP="003503F4">
            <w:pPr>
              <w:pStyle w:val="TableBodyText"/>
              <w:spacing w:before="40"/>
            </w:pPr>
            <w:r>
              <w:t>2.2</w:t>
            </w:r>
          </w:p>
        </w:tc>
        <w:tc>
          <w:tcPr>
            <w:tcW w:w="60" w:type="pct"/>
            <w:shd w:val="clear" w:color="auto" w:fill="auto"/>
          </w:tcPr>
          <w:p w:rsidR="004218BF" w:rsidRDefault="004218BF" w:rsidP="003503F4">
            <w:pPr>
              <w:pStyle w:val="TableBodyText"/>
              <w:spacing w:before="40"/>
            </w:pPr>
          </w:p>
        </w:tc>
        <w:tc>
          <w:tcPr>
            <w:tcW w:w="512" w:type="pct"/>
            <w:shd w:val="clear" w:color="auto" w:fill="auto"/>
            <w:vAlign w:val="bottom"/>
          </w:tcPr>
          <w:p w:rsidR="004218BF" w:rsidRDefault="004218BF" w:rsidP="003503F4">
            <w:pPr>
              <w:pStyle w:val="TableBodyText"/>
              <w:spacing w:before="40"/>
            </w:pPr>
            <w:r>
              <w:t xml:space="preserve">3.6 </w:t>
            </w:r>
          </w:p>
        </w:tc>
        <w:tc>
          <w:tcPr>
            <w:tcW w:w="512" w:type="pct"/>
            <w:shd w:val="clear" w:color="auto" w:fill="auto"/>
            <w:vAlign w:val="bottom"/>
          </w:tcPr>
          <w:p w:rsidR="004218BF" w:rsidRDefault="004218BF" w:rsidP="003503F4">
            <w:pPr>
              <w:pStyle w:val="TableBodyText"/>
              <w:spacing w:before="40"/>
            </w:pPr>
            <w:r>
              <w:t>0.9</w:t>
            </w:r>
          </w:p>
        </w:tc>
      </w:tr>
      <w:tr w:rsidR="004218BF" w:rsidTr="00E40A70">
        <w:tc>
          <w:tcPr>
            <w:tcW w:w="1812" w:type="pct"/>
            <w:shd w:val="clear" w:color="auto" w:fill="D9D9D9" w:themeFill="background1" w:themeFillShade="D9"/>
            <w:vAlign w:val="bottom"/>
          </w:tcPr>
          <w:p w:rsidR="004218BF" w:rsidRDefault="004218BF" w:rsidP="003503F4">
            <w:pPr>
              <w:pStyle w:val="TableBodyText"/>
              <w:spacing w:before="40"/>
              <w:jc w:val="left"/>
            </w:pPr>
            <w:r>
              <w:t xml:space="preserve">97: </w:t>
            </w:r>
            <w:r w:rsidR="001419B9">
              <w:t xml:space="preserve">  </w:t>
            </w:r>
            <w:r>
              <w:t>Gold, non-monetary (excl.</w:t>
            </w:r>
            <w:r w:rsidR="001419B9">
              <w:br/>
              <w:t xml:space="preserve">     </w:t>
            </w:r>
            <w:r>
              <w:t xml:space="preserve"> </w:t>
            </w:r>
            <w:r w:rsidR="001419B9">
              <w:t xml:space="preserve">  </w:t>
            </w:r>
            <w:r>
              <w:t>gold ores &amp; concentrates)</w:t>
            </w:r>
          </w:p>
        </w:tc>
        <w:tc>
          <w:tcPr>
            <w:tcW w:w="511" w:type="pct"/>
            <w:shd w:val="clear" w:color="auto" w:fill="D9D9D9" w:themeFill="background1" w:themeFillShade="D9"/>
            <w:vAlign w:val="bottom"/>
          </w:tcPr>
          <w:p w:rsidR="004218BF" w:rsidRDefault="004218BF" w:rsidP="003503F4">
            <w:pPr>
              <w:pStyle w:val="TableBodyText"/>
              <w:spacing w:before="40"/>
            </w:pPr>
            <w:r>
              <w:t xml:space="preserve">-1.5 </w:t>
            </w:r>
          </w:p>
        </w:tc>
        <w:tc>
          <w:tcPr>
            <w:tcW w:w="511" w:type="pct"/>
            <w:shd w:val="clear" w:color="auto" w:fill="D9D9D9" w:themeFill="background1" w:themeFillShade="D9"/>
            <w:vAlign w:val="bottom"/>
          </w:tcPr>
          <w:p w:rsidR="004218BF" w:rsidRDefault="004218BF" w:rsidP="003503F4">
            <w:pPr>
              <w:pStyle w:val="TableBodyText"/>
              <w:spacing w:before="40"/>
            </w:pPr>
            <w:r>
              <w:t>-0.8</w:t>
            </w:r>
          </w:p>
        </w:tc>
        <w:tc>
          <w:tcPr>
            <w:tcW w:w="57" w:type="pct"/>
            <w:shd w:val="clear" w:color="auto" w:fill="D9D9D9" w:themeFill="background1" w:themeFillShade="D9"/>
          </w:tcPr>
          <w:p w:rsidR="004218BF" w:rsidRDefault="004218BF" w:rsidP="003503F4">
            <w:pPr>
              <w:pStyle w:val="TableBodyText"/>
              <w:spacing w:before="40"/>
            </w:pPr>
          </w:p>
        </w:tc>
        <w:tc>
          <w:tcPr>
            <w:tcW w:w="511" w:type="pct"/>
            <w:shd w:val="clear" w:color="auto" w:fill="D9D9D9" w:themeFill="background1" w:themeFillShade="D9"/>
            <w:vAlign w:val="bottom"/>
          </w:tcPr>
          <w:p w:rsidR="004218BF" w:rsidRDefault="004218BF" w:rsidP="003503F4">
            <w:pPr>
              <w:pStyle w:val="TableBodyText"/>
              <w:spacing w:before="40"/>
            </w:pPr>
            <w:r>
              <w:t xml:space="preserve">14.3 </w:t>
            </w:r>
          </w:p>
        </w:tc>
        <w:tc>
          <w:tcPr>
            <w:tcW w:w="512" w:type="pct"/>
            <w:shd w:val="clear" w:color="auto" w:fill="D9D9D9" w:themeFill="background1" w:themeFillShade="D9"/>
            <w:vAlign w:val="bottom"/>
          </w:tcPr>
          <w:p w:rsidR="004218BF" w:rsidRDefault="004218BF" w:rsidP="003503F4">
            <w:pPr>
              <w:pStyle w:val="TableBodyText"/>
              <w:spacing w:before="40"/>
            </w:pPr>
            <w:r>
              <w:t>7.4</w:t>
            </w:r>
          </w:p>
        </w:tc>
        <w:tc>
          <w:tcPr>
            <w:tcW w:w="60" w:type="pct"/>
            <w:shd w:val="clear" w:color="auto" w:fill="D9D9D9" w:themeFill="background1" w:themeFillShade="D9"/>
          </w:tcPr>
          <w:p w:rsidR="004218BF" w:rsidRDefault="004218BF" w:rsidP="003503F4">
            <w:pPr>
              <w:pStyle w:val="TableBodyText"/>
              <w:spacing w:before="40"/>
            </w:pPr>
          </w:p>
        </w:tc>
        <w:tc>
          <w:tcPr>
            <w:tcW w:w="512" w:type="pct"/>
            <w:shd w:val="clear" w:color="auto" w:fill="D9D9D9" w:themeFill="background1" w:themeFillShade="D9"/>
            <w:vAlign w:val="bottom"/>
          </w:tcPr>
          <w:p w:rsidR="004218BF" w:rsidRDefault="004218BF" w:rsidP="003503F4">
            <w:pPr>
              <w:pStyle w:val="TableBodyText"/>
              <w:spacing w:before="40"/>
            </w:pPr>
            <w:r>
              <w:t xml:space="preserve">15.8 </w:t>
            </w:r>
          </w:p>
        </w:tc>
        <w:tc>
          <w:tcPr>
            <w:tcW w:w="512" w:type="pct"/>
            <w:shd w:val="clear" w:color="auto" w:fill="D9D9D9" w:themeFill="background1" w:themeFillShade="D9"/>
            <w:vAlign w:val="bottom"/>
          </w:tcPr>
          <w:p w:rsidR="004218BF" w:rsidRDefault="004218BF" w:rsidP="003503F4">
            <w:pPr>
              <w:pStyle w:val="TableBodyText"/>
              <w:spacing w:before="40"/>
            </w:pPr>
            <w:r>
              <w:t>8.2</w:t>
            </w:r>
          </w:p>
        </w:tc>
      </w:tr>
      <w:tr w:rsidR="004218BF" w:rsidRPr="00985FD1" w:rsidTr="00E40A70">
        <w:tc>
          <w:tcPr>
            <w:tcW w:w="1812" w:type="pct"/>
            <w:tcBorders>
              <w:bottom w:val="single" w:sz="6" w:space="0" w:color="auto"/>
            </w:tcBorders>
            <w:vAlign w:val="bottom"/>
          </w:tcPr>
          <w:p w:rsidR="004218BF" w:rsidRDefault="004218BF" w:rsidP="00A4696E">
            <w:pPr>
              <w:rPr>
                <w:rFonts w:ascii="Arial" w:hAnsi="Arial" w:cs="Arial"/>
                <w:b/>
                <w:bCs/>
                <w:color w:val="000000"/>
                <w:sz w:val="20"/>
                <w:szCs w:val="20"/>
              </w:rPr>
            </w:pPr>
            <w:r>
              <w:rPr>
                <w:rFonts w:ascii="Arial" w:hAnsi="Arial" w:cs="Arial"/>
                <w:b/>
                <w:bCs/>
                <w:color w:val="000000"/>
                <w:sz w:val="20"/>
                <w:szCs w:val="20"/>
              </w:rPr>
              <w:t>Total imports</w:t>
            </w:r>
          </w:p>
        </w:tc>
        <w:tc>
          <w:tcPr>
            <w:tcW w:w="511" w:type="pct"/>
            <w:tcBorders>
              <w:bottom w:val="single" w:sz="6" w:space="0" w:color="auto"/>
            </w:tcBorders>
            <w:vAlign w:val="bottom"/>
          </w:tcPr>
          <w:p w:rsidR="004218BF" w:rsidRDefault="004218BF" w:rsidP="00A4696E">
            <w:pPr>
              <w:pStyle w:val="TableBodyText"/>
              <w:rPr>
                <w:b/>
                <w:bCs/>
              </w:rPr>
            </w:pPr>
            <w:r>
              <w:rPr>
                <w:b/>
                <w:bCs/>
              </w:rPr>
              <w:t xml:space="preserve">0.9 </w:t>
            </w:r>
          </w:p>
        </w:tc>
        <w:tc>
          <w:tcPr>
            <w:tcW w:w="511" w:type="pct"/>
            <w:tcBorders>
              <w:bottom w:val="single" w:sz="6" w:space="0" w:color="auto"/>
            </w:tcBorders>
            <w:vAlign w:val="bottom"/>
          </w:tcPr>
          <w:p w:rsidR="004218BF" w:rsidRDefault="004218BF" w:rsidP="00A4696E">
            <w:pPr>
              <w:pStyle w:val="TableBodyText"/>
              <w:rPr>
                <w:b/>
                <w:bCs/>
              </w:rPr>
            </w:pPr>
            <w:r>
              <w:rPr>
                <w:b/>
                <w:bCs/>
              </w:rPr>
              <w:t>0.9</w:t>
            </w:r>
          </w:p>
        </w:tc>
        <w:tc>
          <w:tcPr>
            <w:tcW w:w="57" w:type="pct"/>
            <w:tcBorders>
              <w:bottom w:val="single" w:sz="6" w:space="0" w:color="auto"/>
            </w:tcBorders>
          </w:tcPr>
          <w:p w:rsidR="004218BF" w:rsidRDefault="004218BF" w:rsidP="00A4696E">
            <w:pPr>
              <w:pStyle w:val="TableBodyText"/>
              <w:rPr>
                <w:b/>
                <w:bCs/>
              </w:rPr>
            </w:pPr>
          </w:p>
        </w:tc>
        <w:tc>
          <w:tcPr>
            <w:tcW w:w="511" w:type="pct"/>
            <w:tcBorders>
              <w:bottom w:val="single" w:sz="6" w:space="0" w:color="auto"/>
            </w:tcBorders>
            <w:vAlign w:val="bottom"/>
          </w:tcPr>
          <w:p w:rsidR="004218BF" w:rsidRDefault="004218BF" w:rsidP="00A4696E">
            <w:pPr>
              <w:pStyle w:val="TableBodyText"/>
              <w:rPr>
                <w:b/>
                <w:bCs/>
              </w:rPr>
            </w:pPr>
            <w:r>
              <w:rPr>
                <w:b/>
                <w:bCs/>
              </w:rPr>
              <w:t xml:space="preserve">11.5 </w:t>
            </w:r>
          </w:p>
        </w:tc>
        <w:tc>
          <w:tcPr>
            <w:tcW w:w="512" w:type="pct"/>
            <w:tcBorders>
              <w:bottom w:val="single" w:sz="6" w:space="0" w:color="auto"/>
            </w:tcBorders>
            <w:vAlign w:val="bottom"/>
          </w:tcPr>
          <w:p w:rsidR="004218BF" w:rsidRDefault="004218BF" w:rsidP="00A4696E">
            <w:pPr>
              <w:pStyle w:val="TableBodyText"/>
              <w:rPr>
                <w:b/>
                <w:bCs/>
              </w:rPr>
            </w:pPr>
            <w:r>
              <w:rPr>
                <w:b/>
                <w:bCs/>
              </w:rPr>
              <w:t>11.5</w:t>
            </w:r>
          </w:p>
        </w:tc>
        <w:tc>
          <w:tcPr>
            <w:tcW w:w="60" w:type="pct"/>
            <w:tcBorders>
              <w:bottom w:val="single" w:sz="6" w:space="0" w:color="auto"/>
            </w:tcBorders>
          </w:tcPr>
          <w:p w:rsidR="004218BF" w:rsidRDefault="004218BF" w:rsidP="00A4696E">
            <w:pPr>
              <w:pStyle w:val="TableBodyText"/>
              <w:rPr>
                <w:b/>
                <w:bCs/>
              </w:rPr>
            </w:pPr>
          </w:p>
        </w:tc>
        <w:tc>
          <w:tcPr>
            <w:tcW w:w="512" w:type="pct"/>
            <w:tcBorders>
              <w:bottom w:val="single" w:sz="6" w:space="0" w:color="auto"/>
            </w:tcBorders>
            <w:vAlign w:val="bottom"/>
          </w:tcPr>
          <w:p w:rsidR="004218BF" w:rsidRDefault="004218BF" w:rsidP="00A4696E">
            <w:pPr>
              <w:pStyle w:val="TableBodyText"/>
              <w:rPr>
                <w:b/>
                <w:bCs/>
              </w:rPr>
            </w:pPr>
            <w:r>
              <w:rPr>
                <w:b/>
                <w:bCs/>
              </w:rPr>
              <w:t xml:space="preserve">10.6 </w:t>
            </w:r>
          </w:p>
        </w:tc>
        <w:tc>
          <w:tcPr>
            <w:tcW w:w="512" w:type="pct"/>
            <w:tcBorders>
              <w:bottom w:val="single" w:sz="6" w:space="0" w:color="auto"/>
            </w:tcBorders>
            <w:vAlign w:val="bottom"/>
          </w:tcPr>
          <w:p w:rsidR="004218BF" w:rsidRDefault="004218BF" w:rsidP="00A4696E">
            <w:pPr>
              <w:pStyle w:val="TableBodyText"/>
              <w:rPr>
                <w:b/>
                <w:bCs/>
              </w:rPr>
            </w:pPr>
            <w:r>
              <w:rPr>
                <w:b/>
                <w:bCs/>
              </w:rPr>
              <w:t>10.6</w:t>
            </w:r>
          </w:p>
        </w:tc>
      </w:tr>
    </w:tbl>
    <w:p w:rsidR="00A4696E" w:rsidRPr="004A018A" w:rsidRDefault="00A4696E" w:rsidP="00A4696E">
      <w:pPr>
        <w:pStyle w:val="Note"/>
        <w:rPr>
          <w:rStyle w:val="NoteLabel"/>
        </w:rPr>
      </w:pPr>
      <w:r w:rsidRPr="004A018A">
        <w:rPr>
          <w:rStyle w:val="NoteLabel"/>
        </w:rPr>
        <w:t>a</w:t>
      </w:r>
      <w:r>
        <w:rPr>
          <w:rStyle w:val="NoteLabel"/>
        </w:rPr>
        <w:t xml:space="preserve"> </w:t>
      </w:r>
      <w:r w:rsidR="007640E4">
        <w:t>Contributions do not add to total due to rounding</w:t>
      </w:r>
      <w:r>
        <w:t xml:space="preserve">. </w:t>
      </w:r>
      <w:r w:rsidRPr="004A018A">
        <w:rPr>
          <w:rStyle w:val="NoteLabel"/>
        </w:rPr>
        <w:t>b</w:t>
      </w:r>
      <w:r>
        <w:rPr>
          <w:rStyle w:val="NoteLabel"/>
        </w:rPr>
        <w:t xml:space="preserve"> </w:t>
      </w:r>
      <w:r>
        <w:t xml:space="preserve">Deflated using additional </w:t>
      </w:r>
      <w:r w:rsidR="00007282">
        <w:t>United Nations trade</w:t>
      </w:r>
      <w:r>
        <w:t xml:space="preserve"> data and should be treated as indicative only. Note that category 285 is very small in terms of the real value of imports, hence its near zero contribution.</w:t>
      </w:r>
      <w:r w:rsidR="00182F51" w:rsidRPr="00182F51">
        <w:rPr>
          <w:rStyle w:val="NoteLabel"/>
        </w:rPr>
        <w:t xml:space="preserve"> </w:t>
      </w:r>
      <w:r w:rsidR="00182F51">
        <w:rPr>
          <w:rStyle w:val="NoteLabel"/>
        </w:rPr>
        <w:t xml:space="preserve">c </w:t>
      </w:r>
      <w:r w:rsidR="00182F51">
        <w:t>Export price deflators for category 69 are unavailable, and so are deflated by category 68 instead. Data for this row should be treated as indicative only.</w:t>
      </w:r>
    </w:p>
    <w:p w:rsidR="00A4696E" w:rsidRPr="009745BC" w:rsidRDefault="00A4696E" w:rsidP="00A4696E">
      <w:pPr>
        <w:pStyle w:val="Source"/>
      </w:pPr>
      <w:r>
        <w:rPr>
          <w:i/>
        </w:rPr>
        <w:t>Source</w:t>
      </w:r>
      <w:r w:rsidR="000D43F1">
        <w:rPr>
          <w:i/>
        </w:rPr>
        <w:t>s</w:t>
      </w:r>
      <w:r w:rsidRPr="00167F06">
        <w:t>:</w:t>
      </w:r>
      <w:r>
        <w:t xml:space="preserve"> Authors’ estimates based on</w:t>
      </w:r>
      <w:r w:rsidRPr="00167F06">
        <w:t xml:space="preserve"> </w:t>
      </w:r>
      <w:r>
        <w:t>ABS (</w:t>
      </w:r>
      <w:r w:rsidRPr="00854416">
        <w:rPr>
          <w:i/>
        </w:rPr>
        <w:t>International Trade in Goods and Services</w:t>
      </w:r>
      <w:r>
        <w:t xml:space="preserve">, </w:t>
      </w:r>
      <w:r w:rsidR="00CE0E96">
        <w:t xml:space="preserve">various issues, </w:t>
      </w:r>
      <w:r>
        <w:t>Cat</w:t>
      </w:r>
      <w:r w:rsidR="00264E48">
        <w:t>.</w:t>
      </w:r>
      <w:r w:rsidR="001265A1">
        <w:t> </w:t>
      </w:r>
      <w:r w:rsidR="00264E48">
        <w:t>no. 5368.0</w:t>
      </w:r>
      <w:r>
        <w:t>)</w:t>
      </w:r>
      <w:r w:rsidR="004979C6">
        <w:t xml:space="preserve">; </w:t>
      </w:r>
      <w:r>
        <w:t>ABS (</w:t>
      </w:r>
      <w:r w:rsidRPr="00216CCA">
        <w:rPr>
          <w:i/>
        </w:rPr>
        <w:t>International Trade Price Indexes, Australia,</w:t>
      </w:r>
      <w:r w:rsidRPr="00CA38CA">
        <w:t xml:space="preserve"> </w:t>
      </w:r>
      <w:r w:rsidR="00CE0E96">
        <w:t xml:space="preserve">various issues, </w:t>
      </w:r>
      <w:r w:rsidR="00264E48">
        <w:t>Cat. no. 6457.0</w:t>
      </w:r>
      <w:r>
        <w:t>)</w:t>
      </w:r>
      <w:r w:rsidR="000D43F1">
        <w:t>;</w:t>
      </w:r>
      <w:r w:rsidR="004979C6">
        <w:t xml:space="preserve"> and</w:t>
      </w:r>
      <w:r>
        <w:t xml:space="preserve"> </w:t>
      </w:r>
      <w:r w:rsidRPr="00D12CAF">
        <w:t>UN</w:t>
      </w:r>
      <w:r w:rsidR="002B142F" w:rsidRPr="00D12CAF">
        <w:t> </w:t>
      </w:r>
      <w:r w:rsidR="00D1156B" w:rsidRPr="00D12CAF">
        <w:t>(2013</w:t>
      </w:r>
      <w:r w:rsidR="00D1156B">
        <w:t>).</w:t>
      </w:r>
    </w:p>
    <w:p w:rsidR="002F28BA" w:rsidRDefault="002F28BA" w:rsidP="002F28BA">
      <w:pPr>
        <w:pStyle w:val="Heading4"/>
      </w:pPr>
      <w:r>
        <w:t>Effective rates of assistance</w:t>
      </w:r>
    </w:p>
    <w:p w:rsidR="002F28BA" w:rsidRDefault="002F28BA" w:rsidP="002F28BA">
      <w:pPr>
        <w:pStyle w:val="BodyText"/>
      </w:pPr>
      <w:r>
        <w:t xml:space="preserve">The combined value of budget and tariff assistance to both </w:t>
      </w:r>
      <w:r w:rsidR="0090158D">
        <w:t>MP</w:t>
      </w:r>
      <w:r>
        <w:t xml:space="preserve"> and </w:t>
      </w:r>
      <w:r w:rsidR="006D3A16">
        <w:t>Manufacturing</w:t>
      </w:r>
      <w:r>
        <w:t xml:space="preserve">, expressed as a share of their value of output, has been constant at around 5 per cent (figure </w:t>
      </w:r>
      <w:proofErr w:type="spellStart"/>
      <w:r w:rsidR="00750D19">
        <w:t>H.3</w:t>
      </w:r>
      <w:proofErr w:type="spellEnd"/>
      <w:r>
        <w:t>) since the mid-</w:t>
      </w:r>
      <w:proofErr w:type="spellStart"/>
      <w:r>
        <w:t>1990s</w:t>
      </w:r>
      <w:proofErr w:type="spellEnd"/>
      <w:r>
        <w:t xml:space="preserve">. </w:t>
      </w:r>
      <w:r w:rsidR="0026197D">
        <w:t>Additional data regarding the effective rates of assistance</w:t>
      </w:r>
      <w:r w:rsidR="006F6197">
        <w:t xml:space="preserve"> for Primary and Fabricated metal</w:t>
      </w:r>
      <w:r w:rsidR="00297A41">
        <w:t>s</w:t>
      </w:r>
      <w:r w:rsidR="006F6197">
        <w:t xml:space="preserve"> </w:t>
      </w:r>
      <w:r w:rsidR="00B86B80">
        <w:t>are</w:t>
      </w:r>
      <w:r w:rsidR="006F6197">
        <w:t xml:space="preserve"> available prior to 1996-97.</w:t>
      </w:r>
      <w:r w:rsidR="00475367">
        <w:rPr>
          <w:rStyle w:val="FootnoteReference"/>
        </w:rPr>
        <w:footnoteReference w:id="2"/>
      </w:r>
      <w:r w:rsidR="006F6197">
        <w:t xml:space="preserve"> These data show that the </w:t>
      </w:r>
      <w:r w:rsidR="005F45E4">
        <w:t>effective rate of assistance</w:t>
      </w:r>
      <w:r w:rsidR="0094536B">
        <w:t xml:space="preserve"> for</w:t>
      </w:r>
      <w:r w:rsidR="006F6197">
        <w:t xml:space="preserve"> Fabricated metal</w:t>
      </w:r>
      <w:r w:rsidR="00297A41">
        <w:t>s</w:t>
      </w:r>
      <w:r w:rsidR="006F6197">
        <w:t xml:space="preserve"> </w:t>
      </w:r>
      <w:r w:rsidR="005F45E4">
        <w:t xml:space="preserve">was </w:t>
      </w:r>
      <w:r w:rsidR="0039659D">
        <w:t>relatively higher than that of Primary metal</w:t>
      </w:r>
      <w:r w:rsidR="00297A41">
        <w:t>s</w:t>
      </w:r>
      <w:r w:rsidR="0039659D">
        <w:t>.</w:t>
      </w:r>
      <w:r w:rsidR="00BE4777">
        <w:t xml:space="preserve"> </w:t>
      </w:r>
    </w:p>
    <w:p w:rsidR="0090158D" w:rsidRDefault="0090158D">
      <w:pPr>
        <w:pStyle w:val="FigureTitle"/>
      </w:pPr>
      <w:r>
        <w:rPr>
          <w:b w:val="0"/>
        </w:rPr>
        <w:lastRenderedPageBreak/>
        <w:t xml:space="preserve">Figure </w:t>
      </w:r>
      <w:bookmarkStart w:id="9" w:name="OLE_LINK5"/>
      <w:proofErr w:type="spellStart"/>
      <w:r w:rsidR="00750D19">
        <w:rPr>
          <w:b w:val="0"/>
        </w:rPr>
        <w:t>H.</w:t>
      </w:r>
      <w:r w:rsidR="00D76F7C">
        <w:rPr>
          <w:b w:val="0"/>
          <w:noProof/>
        </w:rPr>
        <w:t>3</w:t>
      </w:r>
      <w:bookmarkEnd w:id="9"/>
      <w:proofErr w:type="spellEnd"/>
      <w:r>
        <w:tab/>
      </w:r>
      <w:r w:rsidR="006C7151">
        <w:t xml:space="preserve">Effective rates of assistance, </w:t>
      </w:r>
      <w:r w:rsidR="00553C9C">
        <w:t>Metal products</w:t>
      </w:r>
      <w:r w:rsidR="006C7151">
        <w:t xml:space="preserve"> and </w:t>
      </w:r>
      <w:r w:rsidR="006D3A16">
        <w:t>Manufacturing</w:t>
      </w:r>
      <w:r w:rsidR="003B64FB" w:rsidRPr="003B64FB">
        <w:rPr>
          <w:rStyle w:val="NoteLabel"/>
          <w:b/>
        </w:rPr>
        <w:t>a</w:t>
      </w:r>
    </w:p>
    <w:p w:rsidR="0090158D" w:rsidRDefault="006C7151">
      <w:pPr>
        <w:pStyle w:val="Subtitle"/>
      </w:pPr>
      <w:r>
        <w:t>Per cent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0158D">
        <w:tc>
          <w:tcPr>
            <w:tcW w:w="8777" w:type="dxa"/>
          </w:tcPr>
          <w:p w:rsidR="0090158D" w:rsidRDefault="00631D6E" w:rsidP="004E6565">
            <w:pPr>
              <w:pStyle w:val="Figure"/>
              <w:spacing w:before="0" w:after="0"/>
            </w:pPr>
            <w:r>
              <w:pict>
                <v:shape id="_x0000_i1030" type="#_x0000_t75" alt="This figure shows that the effective rate of assistance for Metal products and Manufacturing have been constant at around 5 per cent since the mid-1990s. Data for Primary and Fabricated metals are only available prior to 1996-97 — these data show the effective rate of assistance for Fabricated metals was higher than that of Primary metals. " style="width:425.3pt;height:199.25pt">
                  <v:imagedata r:id="rId14" o:title=""/>
                </v:shape>
              </w:pict>
            </w:r>
          </w:p>
        </w:tc>
      </w:tr>
    </w:tbl>
    <w:p w:rsidR="003B64FB" w:rsidRDefault="003B64FB" w:rsidP="003B64FB">
      <w:pPr>
        <w:pStyle w:val="Note"/>
      </w:pPr>
      <w:r>
        <w:rPr>
          <w:rStyle w:val="NoteLabel"/>
        </w:rPr>
        <w:t>a</w:t>
      </w:r>
      <w:r>
        <w:t xml:space="preserve"> </w:t>
      </w:r>
      <w:r w:rsidRPr="003B64FB">
        <w:t>Breaks in the series are represented by gaps in the chart, and overlaps are included to show the effects of the methodological and data changes made in moving between series.</w:t>
      </w:r>
    </w:p>
    <w:p w:rsidR="006C7151" w:rsidRPr="006D4ABB" w:rsidRDefault="006C7151" w:rsidP="006C7151">
      <w:pPr>
        <w:pStyle w:val="Source"/>
      </w:pPr>
      <w:r>
        <w:rPr>
          <w:i/>
        </w:rPr>
        <w:t>Data source</w:t>
      </w:r>
      <w:r w:rsidRPr="00D12CAF">
        <w:t xml:space="preserve">: </w:t>
      </w:r>
      <w:r w:rsidRPr="00CA251B">
        <w:t xml:space="preserve">PC </w:t>
      </w:r>
      <w:r w:rsidRPr="002B62FD">
        <w:t>(</w:t>
      </w:r>
      <w:r w:rsidR="00CA251B">
        <w:t>2011).</w:t>
      </w:r>
    </w:p>
    <w:p w:rsidR="00420227" w:rsidRDefault="00750D19" w:rsidP="002C66D7">
      <w:pPr>
        <w:pStyle w:val="Heading2"/>
      </w:pPr>
      <w:proofErr w:type="spellStart"/>
      <w:r>
        <w:t>H.</w:t>
      </w:r>
      <w:r w:rsidR="00D76F7C">
        <w:rPr>
          <w:noProof/>
        </w:rPr>
        <w:t>3</w:t>
      </w:r>
      <w:proofErr w:type="spellEnd"/>
      <w:r w:rsidR="00A66361">
        <w:tab/>
      </w:r>
      <w:r w:rsidR="005A7F28">
        <w:t>I</w:t>
      </w:r>
      <w:r w:rsidR="00A66361">
        <w:t xml:space="preserve">nput-output </w:t>
      </w:r>
      <w:r w:rsidR="00A11166">
        <w:t>linkages</w:t>
      </w:r>
      <w:r w:rsidR="005A7F28" w:rsidRPr="005A7F28">
        <w:t xml:space="preserve"> </w:t>
      </w:r>
      <w:r w:rsidR="005A7F28">
        <w:t>of Metal products</w:t>
      </w:r>
    </w:p>
    <w:p w:rsidR="00395BF8" w:rsidRDefault="00E61A25" w:rsidP="0056770C">
      <w:pPr>
        <w:pStyle w:val="BodyText"/>
      </w:pPr>
      <w:r>
        <w:t xml:space="preserve">As discussed in section 6.2, the use of output from </w:t>
      </w:r>
      <w:r w:rsidR="00C62F61">
        <w:t>M</w:t>
      </w:r>
      <w:r>
        <w:t xml:space="preserve">etal products has changed over the period of cycles 3 and 4. </w:t>
      </w:r>
      <w:r w:rsidR="005B0FDC">
        <w:t xml:space="preserve">An increasing share of Fabricated metals and Basic ferrous metal products are being used in construction, with </w:t>
      </w:r>
      <w:r w:rsidR="00307F8D">
        <w:t>a lesser</w:t>
      </w:r>
      <w:r w:rsidR="005B0FDC">
        <w:t xml:space="preserve"> share being used </w:t>
      </w:r>
      <w:r w:rsidR="00F64291">
        <w:t xml:space="preserve">in </w:t>
      </w:r>
      <w:r w:rsidR="005B0FDC">
        <w:t xml:space="preserve">other parts of </w:t>
      </w:r>
      <w:r w:rsidR="006D3A16">
        <w:t>Manufacturing</w:t>
      </w:r>
      <w:r w:rsidR="005B0FDC">
        <w:t xml:space="preserve">. </w:t>
      </w:r>
      <w:r w:rsidR="00F64291">
        <w:t xml:space="preserve">Table </w:t>
      </w:r>
      <w:proofErr w:type="spellStart"/>
      <w:r w:rsidR="00750D19">
        <w:t>H.3</w:t>
      </w:r>
      <w:proofErr w:type="spellEnd"/>
      <w:r w:rsidR="00F64291">
        <w:t xml:space="preserve"> </w:t>
      </w:r>
      <w:r w:rsidR="000C14DB">
        <w:t>provides additional data</w:t>
      </w:r>
      <w:r w:rsidR="00DB2CA8">
        <w:t xml:space="preserve"> on the value of products supplied by Metal products and its two subdivisions to other parts of the economy. </w:t>
      </w:r>
    </w:p>
    <w:p w:rsidR="00420227" w:rsidRDefault="00DB2CA8" w:rsidP="0056770C">
      <w:pPr>
        <w:pStyle w:val="BodyText"/>
      </w:pPr>
      <w:r>
        <w:t xml:space="preserve">Broadly speaking, the share of Metal products output </w:t>
      </w:r>
      <w:r w:rsidR="00CD4A6E">
        <w:t xml:space="preserve">that is exported or </w:t>
      </w:r>
      <w:r>
        <w:t>used by Construction</w:t>
      </w:r>
      <w:r w:rsidR="00307F8D">
        <w:t xml:space="preserve"> and </w:t>
      </w:r>
      <w:r>
        <w:t xml:space="preserve">Mining </w:t>
      </w:r>
      <w:r w:rsidR="00CD4A6E">
        <w:t xml:space="preserve">has been </w:t>
      </w:r>
      <w:r>
        <w:t xml:space="preserve">rising through time </w:t>
      </w:r>
      <w:r w:rsidR="00F22638">
        <w:t xml:space="preserve">(mainly) </w:t>
      </w:r>
      <w:r>
        <w:t xml:space="preserve">at the expense of use by domestic </w:t>
      </w:r>
      <w:r w:rsidR="006D3A16">
        <w:t>Manufacturing</w:t>
      </w:r>
      <w:r>
        <w:t xml:space="preserve">. </w:t>
      </w:r>
      <w:r w:rsidR="00395BF8">
        <w:t xml:space="preserve">At the subdivision level, it becomes clear that the growth in exports </w:t>
      </w:r>
      <w:r w:rsidR="0093292D">
        <w:t>was</w:t>
      </w:r>
      <w:r w:rsidR="00395BF8">
        <w:t xml:space="preserve"> being driven by Primary metals, where strong growth in metal p</w:t>
      </w:r>
      <w:r w:rsidR="00F5591E">
        <w:t>rices led to a higher value of exported products (although not necessarily a higher volume</w:t>
      </w:r>
      <w:r w:rsidR="00F46936">
        <w:t xml:space="preserve"> of exports</w:t>
      </w:r>
      <w:r w:rsidR="00F5591E">
        <w:t xml:space="preserve">). </w:t>
      </w:r>
      <w:r w:rsidR="001F3C1F">
        <w:t xml:space="preserve">The growth in the </w:t>
      </w:r>
      <w:r w:rsidR="00F5591E">
        <w:t xml:space="preserve">Metal products </w:t>
      </w:r>
      <w:r w:rsidR="001F3C1F">
        <w:t>used by</w:t>
      </w:r>
      <w:r w:rsidR="00870295">
        <w:t xml:space="preserve"> Construction and Mining </w:t>
      </w:r>
      <w:r w:rsidR="001F3C1F">
        <w:t>is</w:t>
      </w:r>
      <w:r w:rsidR="005A0DC5">
        <w:t xml:space="preserve"> </w:t>
      </w:r>
      <w:r w:rsidR="00F5591E">
        <w:t>mainly Fabricated metals</w:t>
      </w:r>
      <w:r w:rsidR="00594DA4">
        <w:t xml:space="preserve">, but also ‘Basic ferrous metals’ and ‘Basic ferrous metal products’ groups </w:t>
      </w:r>
      <w:r w:rsidR="001F3C1F">
        <w:t xml:space="preserve">within </w:t>
      </w:r>
      <w:r w:rsidR="00594DA4">
        <w:t>Primary metals</w:t>
      </w:r>
      <w:r w:rsidR="002C1B15">
        <w:t>.</w:t>
      </w:r>
    </w:p>
    <w:p w:rsidR="00CD69A3" w:rsidRDefault="00CD69A3" w:rsidP="00CD69A3">
      <w:pPr>
        <w:pStyle w:val="TableTitle"/>
      </w:pPr>
      <w:r>
        <w:rPr>
          <w:b w:val="0"/>
        </w:rPr>
        <w:lastRenderedPageBreak/>
        <w:t xml:space="preserve">Table </w:t>
      </w:r>
      <w:bookmarkStart w:id="10" w:name="OLE_LINK29"/>
      <w:proofErr w:type="spellStart"/>
      <w:r w:rsidR="00750D19">
        <w:rPr>
          <w:b w:val="0"/>
        </w:rPr>
        <w:t>H.</w:t>
      </w:r>
      <w:r w:rsidR="00D76F7C">
        <w:rPr>
          <w:b w:val="0"/>
          <w:noProof/>
        </w:rPr>
        <w:t>3</w:t>
      </w:r>
      <w:bookmarkEnd w:id="10"/>
      <w:proofErr w:type="spellEnd"/>
      <w:r>
        <w:tab/>
        <w:t>Downstream users’ share of total supply</w:t>
      </w:r>
      <w:r w:rsidRPr="00BE28C0">
        <w:rPr>
          <w:rStyle w:val="NoteLabel"/>
          <w:b/>
        </w:rPr>
        <w:t>a</w:t>
      </w:r>
      <w:r>
        <w:t xml:space="preserve"> </w:t>
      </w:r>
      <w:r w:rsidR="00553C9C">
        <w:t>from</w:t>
      </w:r>
      <w:r>
        <w:t xml:space="preserve"> Australian </w:t>
      </w:r>
      <w:r w:rsidR="00C62F61">
        <w:t>M</w:t>
      </w:r>
      <w:r>
        <w:t>etal product</w:t>
      </w:r>
      <w:r w:rsidR="00553C9C">
        <w:t xml:space="preserve"> manufacturing</w:t>
      </w:r>
    </w:p>
    <w:p w:rsidR="00CD69A3" w:rsidRDefault="00307F8D" w:rsidP="00CD69A3">
      <w:pPr>
        <w:pStyle w:val="Subtitle"/>
      </w:pPr>
      <w:r>
        <w:t>Percentage share</w:t>
      </w:r>
      <w:r w:rsidR="001C3AB3">
        <w:t>s</w:t>
      </w:r>
    </w:p>
    <w:tbl>
      <w:tblPr>
        <w:tblW w:w="5016" w:type="pct"/>
        <w:tblLayout w:type="fixed"/>
        <w:tblCellMar>
          <w:left w:w="0" w:type="dxa"/>
          <w:right w:w="0" w:type="dxa"/>
        </w:tblCellMar>
        <w:tblLook w:val="0000" w:firstRow="0" w:lastRow="0" w:firstColumn="0" w:lastColumn="0" w:noHBand="0" w:noVBand="0"/>
      </w:tblPr>
      <w:tblGrid>
        <w:gridCol w:w="1278"/>
        <w:gridCol w:w="806"/>
        <w:gridCol w:w="136"/>
        <w:gridCol w:w="827"/>
        <w:gridCol w:w="115"/>
        <w:gridCol w:w="848"/>
        <w:gridCol w:w="95"/>
        <w:gridCol w:w="868"/>
        <w:gridCol w:w="74"/>
        <w:gridCol w:w="889"/>
        <w:gridCol w:w="53"/>
        <w:gridCol w:w="910"/>
        <w:gridCol w:w="34"/>
        <w:gridCol w:w="929"/>
        <w:gridCol w:w="12"/>
        <w:gridCol w:w="943"/>
      </w:tblGrid>
      <w:tr w:rsidR="00CD69A3" w:rsidTr="00F56228">
        <w:tc>
          <w:tcPr>
            <w:tcW w:w="725" w:type="pct"/>
            <w:tcBorders>
              <w:top w:val="single" w:sz="6" w:space="0" w:color="auto"/>
              <w:bottom w:val="single" w:sz="6" w:space="0" w:color="auto"/>
            </w:tcBorders>
            <w:shd w:val="clear" w:color="auto" w:fill="auto"/>
            <w:vAlign w:val="bottom"/>
          </w:tcPr>
          <w:p w:rsidR="00CD69A3" w:rsidRDefault="00CD69A3" w:rsidP="00E813FA">
            <w:pPr>
              <w:pStyle w:val="TableColumnHeading"/>
              <w:jc w:val="left"/>
            </w:pPr>
          </w:p>
        </w:tc>
        <w:tc>
          <w:tcPr>
            <w:tcW w:w="534" w:type="pct"/>
            <w:gridSpan w:val="2"/>
            <w:tcBorders>
              <w:top w:val="single" w:sz="6" w:space="0" w:color="auto"/>
              <w:bottom w:val="single" w:sz="6" w:space="0" w:color="auto"/>
            </w:tcBorders>
            <w:shd w:val="clear" w:color="auto" w:fill="auto"/>
            <w:vAlign w:val="bottom"/>
          </w:tcPr>
          <w:p w:rsidR="00CD69A3" w:rsidRDefault="00CD69A3" w:rsidP="007E7713">
            <w:pPr>
              <w:pStyle w:val="TableColumnHeading"/>
              <w:ind w:right="0"/>
            </w:pPr>
            <w:r>
              <w:t>Metal products</w:t>
            </w:r>
            <w:r w:rsidRPr="00096ADE">
              <w:rPr>
                <w:rStyle w:val="NoteLabel"/>
                <w:i w:val="0"/>
              </w:rPr>
              <w:t>b</w:t>
            </w:r>
          </w:p>
        </w:tc>
        <w:tc>
          <w:tcPr>
            <w:tcW w:w="534" w:type="pct"/>
            <w:gridSpan w:val="2"/>
            <w:tcBorders>
              <w:top w:val="single" w:sz="6" w:space="0" w:color="auto"/>
              <w:bottom w:val="single" w:sz="6" w:space="0" w:color="auto"/>
            </w:tcBorders>
            <w:shd w:val="clear" w:color="auto" w:fill="auto"/>
            <w:vAlign w:val="bottom"/>
          </w:tcPr>
          <w:p w:rsidR="00CD69A3" w:rsidRDefault="00CD69A3" w:rsidP="00CF4865">
            <w:pPr>
              <w:pStyle w:val="TableColumnHeading"/>
              <w:ind w:right="0"/>
            </w:pPr>
            <w:r>
              <w:t>ME and transport</w:t>
            </w:r>
            <w:r w:rsidRPr="00096ADE">
              <w:rPr>
                <w:rStyle w:val="NoteLabel"/>
                <w:i w:val="0"/>
              </w:rPr>
              <w:t>c</w:t>
            </w:r>
            <w:r w:rsidRPr="00F32128">
              <w:rPr>
                <w:rStyle w:val="NoteLabel"/>
              </w:rPr>
              <w:t xml:space="preserve"> </w:t>
            </w:r>
          </w:p>
        </w:tc>
        <w:tc>
          <w:tcPr>
            <w:tcW w:w="535" w:type="pct"/>
            <w:gridSpan w:val="2"/>
            <w:tcBorders>
              <w:top w:val="single" w:sz="6" w:space="0" w:color="auto"/>
              <w:bottom w:val="single" w:sz="6" w:space="0" w:color="auto"/>
            </w:tcBorders>
            <w:shd w:val="clear" w:color="auto" w:fill="auto"/>
            <w:vAlign w:val="bottom"/>
          </w:tcPr>
          <w:p w:rsidR="00CD69A3" w:rsidRDefault="00CD69A3" w:rsidP="00B650C4">
            <w:pPr>
              <w:pStyle w:val="TableColumnHeading"/>
            </w:pPr>
            <w:r>
              <w:t xml:space="preserve">Total </w:t>
            </w:r>
            <w:proofErr w:type="spellStart"/>
            <w:r>
              <w:t>M</w:t>
            </w:r>
            <w:r w:rsidR="00B650C4">
              <w:t>fg</w:t>
            </w:r>
            <w:proofErr w:type="spellEnd"/>
          </w:p>
        </w:tc>
        <w:tc>
          <w:tcPr>
            <w:tcW w:w="534" w:type="pct"/>
            <w:gridSpan w:val="2"/>
            <w:tcBorders>
              <w:top w:val="single" w:sz="6" w:space="0" w:color="auto"/>
              <w:bottom w:val="single" w:sz="6" w:space="0" w:color="auto"/>
            </w:tcBorders>
            <w:shd w:val="clear" w:color="auto" w:fill="auto"/>
            <w:vAlign w:val="bottom"/>
          </w:tcPr>
          <w:p w:rsidR="00CD69A3" w:rsidRPr="00410C23" w:rsidRDefault="00CD69A3" w:rsidP="00CF4865">
            <w:pPr>
              <w:pStyle w:val="TableColumnHeading"/>
              <w:rPr>
                <w:b/>
              </w:rPr>
            </w:pPr>
            <w:r w:rsidRPr="00410C23">
              <w:rPr>
                <w:b/>
              </w:rPr>
              <w:t>Constr</w:t>
            </w:r>
            <w:r w:rsidR="00CF4865">
              <w:rPr>
                <w:b/>
              </w:rPr>
              <w:t>.</w:t>
            </w:r>
          </w:p>
        </w:tc>
        <w:tc>
          <w:tcPr>
            <w:tcW w:w="534" w:type="pct"/>
            <w:gridSpan w:val="2"/>
            <w:tcBorders>
              <w:top w:val="single" w:sz="6" w:space="0" w:color="auto"/>
              <w:bottom w:val="single" w:sz="6" w:space="0" w:color="auto"/>
            </w:tcBorders>
            <w:shd w:val="clear" w:color="auto" w:fill="auto"/>
            <w:vAlign w:val="bottom"/>
          </w:tcPr>
          <w:p w:rsidR="00CD69A3" w:rsidRPr="00410C23" w:rsidRDefault="00CD69A3" w:rsidP="00C67220">
            <w:pPr>
              <w:pStyle w:val="TableColumnHeading"/>
              <w:rPr>
                <w:b/>
              </w:rPr>
            </w:pPr>
            <w:r w:rsidRPr="00410C23">
              <w:rPr>
                <w:b/>
              </w:rPr>
              <w:t>Mining</w:t>
            </w:r>
          </w:p>
        </w:tc>
        <w:tc>
          <w:tcPr>
            <w:tcW w:w="535" w:type="pct"/>
            <w:gridSpan w:val="2"/>
            <w:tcBorders>
              <w:top w:val="single" w:sz="6" w:space="0" w:color="auto"/>
              <w:bottom w:val="single" w:sz="6" w:space="0" w:color="auto"/>
            </w:tcBorders>
            <w:vAlign w:val="bottom"/>
          </w:tcPr>
          <w:p w:rsidR="00CD69A3" w:rsidRDefault="00CD69A3" w:rsidP="00B650C4">
            <w:pPr>
              <w:pStyle w:val="TableColumnHeading"/>
            </w:pPr>
            <w:r>
              <w:t xml:space="preserve">Total </w:t>
            </w:r>
            <w:r w:rsidR="00B650C4">
              <w:t>i</w:t>
            </w:r>
            <w:r>
              <w:t>ndustry uses</w:t>
            </w:r>
          </w:p>
        </w:tc>
        <w:tc>
          <w:tcPr>
            <w:tcW w:w="534" w:type="pct"/>
            <w:gridSpan w:val="2"/>
            <w:tcBorders>
              <w:top w:val="single" w:sz="6" w:space="0" w:color="auto"/>
              <w:bottom w:val="single" w:sz="6" w:space="0" w:color="auto"/>
            </w:tcBorders>
            <w:vAlign w:val="bottom"/>
          </w:tcPr>
          <w:p w:rsidR="00CD69A3" w:rsidRDefault="00CD69A3" w:rsidP="00C67220">
            <w:pPr>
              <w:pStyle w:val="TableColumnHeading"/>
            </w:pPr>
            <w:r>
              <w:t>Exports</w:t>
            </w:r>
          </w:p>
        </w:tc>
        <w:tc>
          <w:tcPr>
            <w:tcW w:w="535" w:type="pct"/>
            <w:tcBorders>
              <w:top w:val="single" w:sz="6" w:space="0" w:color="auto"/>
              <w:bottom w:val="single" w:sz="6" w:space="0" w:color="auto"/>
            </w:tcBorders>
            <w:shd w:val="clear" w:color="auto" w:fill="auto"/>
            <w:vAlign w:val="bottom"/>
          </w:tcPr>
          <w:p w:rsidR="00CD69A3" w:rsidRDefault="00CD69A3" w:rsidP="00F56228">
            <w:pPr>
              <w:pStyle w:val="TableColumnHeading"/>
              <w:tabs>
                <w:tab w:val="left" w:pos="767"/>
              </w:tabs>
            </w:pPr>
            <w:r>
              <w:t>Final use (net of exports)</w:t>
            </w:r>
          </w:p>
        </w:tc>
      </w:tr>
      <w:tr w:rsidR="00F56228" w:rsidTr="00F56228">
        <w:tc>
          <w:tcPr>
            <w:tcW w:w="1182" w:type="pct"/>
            <w:gridSpan w:val="2"/>
            <w:tcBorders>
              <w:top w:val="single" w:sz="6" w:space="0" w:color="auto"/>
            </w:tcBorders>
            <w:vAlign w:val="bottom"/>
          </w:tcPr>
          <w:p w:rsidR="00F56228" w:rsidRPr="004A2A9F" w:rsidRDefault="00F56228" w:rsidP="00E813FA">
            <w:pPr>
              <w:pStyle w:val="TableUnitsRow"/>
              <w:jc w:val="left"/>
              <w:rPr>
                <w:i/>
              </w:rPr>
            </w:pPr>
            <w:r w:rsidRPr="004A2A9F">
              <w:rPr>
                <w:i/>
              </w:rPr>
              <w:t>Metal products</w:t>
            </w:r>
          </w:p>
        </w:tc>
        <w:tc>
          <w:tcPr>
            <w:tcW w:w="546" w:type="pct"/>
            <w:gridSpan w:val="2"/>
            <w:tcBorders>
              <w:top w:val="single" w:sz="6" w:space="0" w:color="auto"/>
            </w:tcBorders>
            <w:vAlign w:val="bottom"/>
          </w:tcPr>
          <w:p w:rsidR="00F56228" w:rsidRDefault="00F56228" w:rsidP="004A2A9F">
            <w:pPr>
              <w:pStyle w:val="TableUnitsRow"/>
            </w:pPr>
          </w:p>
        </w:tc>
        <w:tc>
          <w:tcPr>
            <w:tcW w:w="546" w:type="pct"/>
            <w:gridSpan w:val="2"/>
            <w:tcBorders>
              <w:top w:val="single" w:sz="6" w:space="0" w:color="auto"/>
            </w:tcBorders>
            <w:vAlign w:val="bottom"/>
          </w:tcPr>
          <w:p w:rsidR="00F56228" w:rsidRDefault="00F56228" w:rsidP="004A2A9F">
            <w:pPr>
              <w:pStyle w:val="TableUnitsRow"/>
            </w:pPr>
          </w:p>
        </w:tc>
        <w:tc>
          <w:tcPr>
            <w:tcW w:w="546" w:type="pct"/>
            <w:gridSpan w:val="2"/>
            <w:tcBorders>
              <w:top w:val="single" w:sz="6" w:space="0" w:color="auto"/>
            </w:tcBorders>
            <w:vAlign w:val="bottom"/>
          </w:tcPr>
          <w:p w:rsidR="00F56228" w:rsidRPr="00410C23" w:rsidRDefault="00F56228" w:rsidP="004A2A9F">
            <w:pPr>
              <w:pStyle w:val="TableUnitsRow"/>
              <w:rPr>
                <w:b/>
              </w:rPr>
            </w:pPr>
          </w:p>
        </w:tc>
        <w:tc>
          <w:tcPr>
            <w:tcW w:w="546" w:type="pct"/>
            <w:gridSpan w:val="2"/>
            <w:tcBorders>
              <w:top w:val="single" w:sz="6" w:space="0" w:color="auto"/>
            </w:tcBorders>
            <w:vAlign w:val="bottom"/>
          </w:tcPr>
          <w:p w:rsidR="00F56228" w:rsidRPr="00410C23" w:rsidRDefault="00F56228" w:rsidP="004A2A9F">
            <w:pPr>
              <w:pStyle w:val="TableUnitsRow"/>
              <w:rPr>
                <w:b/>
              </w:rPr>
            </w:pPr>
          </w:p>
        </w:tc>
        <w:tc>
          <w:tcPr>
            <w:tcW w:w="546" w:type="pct"/>
            <w:gridSpan w:val="2"/>
            <w:tcBorders>
              <w:top w:val="single" w:sz="6" w:space="0" w:color="auto"/>
            </w:tcBorders>
            <w:vAlign w:val="bottom"/>
          </w:tcPr>
          <w:p w:rsidR="00F56228" w:rsidRDefault="00F56228" w:rsidP="004A2A9F">
            <w:pPr>
              <w:pStyle w:val="TableUnitsRow"/>
            </w:pPr>
          </w:p>
        </w:tc>
        <w:tc>
          <w:tcPr>
            <w:tcW w:w="546" w:type="pct"/>
            <w:gridSpan w:val="2"/>
            <w:tcBorders>
              <w:top w:val="single" w:sz="6" w:space="0" w:color="auto"/>
            </w:tcBorders>
            <w:vAlign w:val="bottom"/>
          </w:tcPr>
          <w:p w:rsidR="00F56228" w:rsidRDefault="00F56228" w:rsidP="004A2A9F">
            <w:pPr>
              <w:pStyle w:val="TableUnitsRow"/>
              <w:ind w:right="28"/>
            </w:pPr>
          </w:p>
        </w:tc>
        <w:tc>
          <w:tcPr>
            <w:tcW w:w="542" w:type="pct"/>
            <w:gridSpan w:val="2"/>
            <w:tcBorders>
              <w:top w:val="single" w:sz="6" w:space="0" w:color="auto"/>
            </w:tcBorders>
            <w:vAlign w:val="bottom"/>
          </w:tcPr>
          <w:p w:rsidR="00F56228" w:rsidRDefault="00F56228" w:rsidP="004A2A9F">
            <w:pPr>
              <w:pStyle w:val="TableUnitsRow"/>
            </w:pPr>
          </w:p>
        </w:tc>
      </w:tr>
      <w:tr w:rsidR="00CD69A3" w:rsidTr="00F56228">
        <w:tc>
          <w:tcPr>
            <w:tcW w:w="725" w:type="pct"/>
            <w:shd w:val="clear" w:color="auto" w:fill="D9D9D9" w:themeFill="background1" w:themeFillShade="D9"/>
            <w:vAlign w:val="bottom"/>
          </w:tcPr>
          <w:p w:rsidR="00CD69A3" w:rsidRDefault="00CD69A3" w:rsidP="00E813FA">
            <w:pPr>
              <w:pStyle w:val="TableBodyText"/>
              <w:jc w:val="left"/>
            </w:pPr>
            <w:r>
              <w:t>1994-95</w:t>
            </w:r>
          </w:p>
        </w:tc>
        <w:tc>
          <w:tcPr>
            <w:tcW w:w="534" w:type="pct"/>
            <w:gridSpan w:val="2"/>
            <w:shd w:val="clear" w:color="auto" w:fill="D9D9D9" w:themeFill="background1" w:themeFillShade="D9"/>
            <w:vAlign w:val="bottom"/>
          </w:tcPr>
          <w:p w:rsidR="00CD69A3" w:rsidRDefault="00CD69A3" w:rsidP="00C67220">
            <w:pPr>
              <w:pStyle w:val="TableBodyText"/>
            </w:pPr>
            <w:r>
              <w:t>27.2</w:t>
            </w:r>
          </w:p>
        </w:tc>
        <w:tc>
          <w:tcPr>
            <w:tcW w:w="534" w:type="pct"/>
            <w:gridSpan w:val="2"/>
            <w:shd w:val="clear" w:color="auto" w:fill="D9D9D9" w:themeFill="background1" w:themeFillShade="D9"/>
            <w:vAlign w:val="bottom"/>
          </w:tcPr>
          <w:p w:rsidR="00CD69A3" w:rsidRDefault="00CD69A3" w:rsidP="00C67220">
            <w:pPr>
              <w:pStyle w:val="TableBodyText"/>
            </w:pPr>
            <w:r>
              <w:t>12.4</w:t>
            </w:r>
          </w:p>
        </w:tc>
        <w:tc>
          <w:tcPr>
            <w:tcW w:w="535" w:type="pct"/>
            <w:gridSpan w:val="2"/>
            <w:shd w:val="clear" w:color="auto" w:fill="D9D9D9" w:themeFill="background1" w:themeFillShade="D9"/>
            <w:vAlign w:val="bottom"/>
          </w:tcPr>
          <w:p w:rsidR="00CD69A3" w:rsidRDefault="00CD69A3" w:rsidP="00C67220">
            <w:pPr>
              <w:pStyle w:val="TableBodyText"/>
            </w:pPr>
            <w:r>
              <w:t>46.1</w:t>
            </w:r>
          </w:p>
        </w:tc>
        <w:tc>
          <w:tcPr>
            <w:tcW w:w="534" w:type="pct"/>
            <w:gridSpan w:val="2"/>
            <w:shd w:val="clear" w:color="auto" w:fill="D9D9D9" w:themeFill="background1" w:themeFillShade="D9"/>
            <w:vAlign w:val="bottom"/>
          </w:tcPr>
          <w:p w:rsidR="00CD69A3" w:rsidRPr="00410C23" w:rsidRDefault="00CD69A3" w:rsidP="00C67220">
            <w:pPr>
              <w:pStyle w:val="TableBodyText"/>
              <w:rPr>
                <w:b/>
              </w:rPr>
            </w:pPr>
            <w:r w:rsidRPr="00410C23">
              <w:rPr>
                <w:b/>
              </w:rPr>
              <w:t>11.9</w:t>
            </w:r>
          </w:p>
        </w:tc>
        <w:tc>
          <w:tcPr>
            <w:tcW w:w="534" w:type="pct"/>
            <w:gridSpan w:val="2"/>
            <w:shd w:val="clear" w:color="auto" w:fill="D9D9D9" w:themeFill="background1" w:themeFillShade="D9"/>
            <w:vAlign w:val="bottom"/>
          </w:tcPr>
          <w:p w:rsidR="00CD69A3" w:rsidRPr="00410C23" w:rsidRDefault="00CD69A3" w:rsidP="00C67220">
            <w:pPr>
              <w:pStyle w:val="TableBodyText"/>
              <w:rPr>
                <w:b/>
              </w:rPr>
            </w:pPr>
            <w:r w:rsidRPr="00410C23">
              <w:rPr>
                <w:b/>
              </w:rPr>
              <w:t>1.5</w:t>
            </w:r>
          </w:p>
        </w:tc>
        <w:tc>
          <w:tcPr>
            <w:tcW w:w="535" w:type="pct"/>
            <w:gridSpan w:val="2"/>
            <w:shd w:val="clear" w:color="auto" w:fill="D9D9D9" w:themeFill="background1" w:themeFillShade="D9"/>
            <w:vAlign w:val="bottom"/>
          </w:tcPr>
          <w:p w:rsidR="00CD69A3" w:rsidRDefault="00CD69A3" w:rsidP="00C67220">
            <w:pPr>
              <w:pStyle w:val="TableBodyText"/>
            </w:pPr>
            <w:r>
              <w:t>68.2</w:t>
            </w:r>
          </w:p>
        </w:tc>
        <w:tc>
          <w:tcPr>
            <w:tcW w:w="534" w:type="pct"/>
            <w:gridSpan w:val="2"/>
            <w:shd w:val="clear" w:color="auto" w:fill="D9D9D9" w:themeFill="background1" w:themeFillShade="D9"/>
            <w:vAlign w:val="bottom"/>
          </w:tcPr>
          <w:p w:rsidR="00CD69A3" w:rsidRDefault="00CD69A3" w:rsidP="00C67220">
            <w:pPr>
              <w:pStyle w:val="TableBodyText"/>
            </w:pPr>
            <w:r>
              <w:t>26.5</w:t>
            </w:r>
          </w:p>
        </w:tc>
        <w:tc>
          <w:tcPr>
            <w:tcW w:w="535" w:type="pct"/>
            <w:shd w:val="clear" w:color="auto" w:fill="D9D9D9" w:themeFill="background1" w:themeFillShade="D9"/>
            <w:vAlign w:val="bottom"/>
          </w:tcPr>
          <w:p w:rsidR="00CD69A3" w:rsidRPr="0028783C" w:rsidRDefault="00CD69A3" w:rsidP="00C67220">
            <w:pPr>
              <w:pStyle w:val="TableBodyText"/>
            </w:pPr>
            <w:r w:rsidRPr="0028783C">
              <w:t>5.3</w:t>
            </w:r>
          </w:p>
        </w:tc>
      </w:tr>
      <w:tr w:rsidR="00CD69A3" w:rsidTr="001265A1">
        <w:tc>
          <w:tcPr>
            <w:tcW w:w="725" w:type="pct"/>
            <w:vAlign w:val="bottom"/>
          </w:tcPr>
          <w:p w:rsidR="00CD69A3" w:rsidRDefault="00CD69A3" w:rsidP="00E813FA">
            <w:pPr>
              <w:pStyle w:val="TableBodyText"/>
              <w:jc w:val="left"/>
            </w:pPr>
            <w:r>
              <w:t>2001-02</w:t>
            </w:r>
          </w:p>
        </w:tc>
        <w:tc>
          <w:tcPr>
            <w:tcW w:w="534" w:type="pct"/>
            <w:gridSpan w:val="2"/>
            <w:vAlign w:val="bottom"/>
          </w:tcPr>
          <w:p w:rsidR="00CD69A3" w:rsidRDefault="00CD69A3" w:rsidP="00C67220">
            <w:pPr>
              <w:pStyle w:val="TableBodyText"/>
            </w:pPr>
            <w:r>
              <w:t>20.5</w:t>
            </w:r>
          </w:p>
        </w:tc>
        <w:tc>
          <w:tcPr>
            <w:tcW w:w="534" w:type="pct"/>
            <w:gridSpan w:val="2"/>
            <w:vAlign w:val="bottom"/>
          </w:tcPr>
          <w:p w:rsidR="00CD69A3" w:rsidRDefault="00CD69A3" w:rsidP="00C67220">
            <w:pPr>
              <w:pStyle w:val="TableBodyText"/>
            </w:pPr>
            <w:r>
              <w:t>8.8</w:t>
            </w:r>
          </w:p>
        </w:tc>
        <w:tc>
          <w:tcPr>
            <w:tcW w:w="535" w:type="pct"/>
            <w:gridSpan w:val="2"/>
            <w:vAlign w:val="bottom"/>
          </w:tcPr>
          <w:p w:rsidR="00CD69A3" w:rsidRDefault="00CD69A3" w:rsidP="00C67220">
            <w:pPr>
              <w:pStyle w:val="TableBodyText"/>
            </w:pPr>
            <w:r>
              <w:t>35.1</w:t>
            </w:r>
          </w:p>
        </w:tc>
        <w:tc>
          <w:tcPr>
            <w:tcW w:w="534" w:type="pct"/>
            <w:gridSpan w:val="2"/>
            <w:vAlign w:val="bottom"/>
          </w:tcPr>
          <w:p w:rsidR="00CD69A3" w:rsidRPr="00410C23" w:rsidRDefault="00CD69A3" w:rsidP="00C67220">
            <w:pPr>
              <w:pStyle w:val="TableBodyText"/>
              <w:rPr>
                <w:b/>
              </w:rPr>
            </w:pPr>
            <w:r w:rsidRPr="00410C23">
              <w:rPr>
                <w:b/>
              </w:rPr>
              <w:t>11.4</w:t>
            </w:r>
          </w:p>
        </w:tc>
        <w:tc>
          <w:tcPr>
            <w:tcW w:w="534" w:type="pct"/>
            <w:gridSpan w:val="2"/>
            <w:vAlign w:val="bottom"/>
          </w:tcPr>
          <w:p w:rsidR="00CD69A3" w:rsidRPr="00410C23" w:rsidRDefault="00CD69A3" w:rsidP="00C67220">
            <w:pPr>
              <w:pStyle w:val="TableBodyText"/>
              <w:rPr>
                <w:b/>
              </w:rPr>
            </w:pPr>
            <w:r w:rsidRPr="00410C23">
              <w:rPr>
                <w:b/>
              </w:rPr>
              <w:t>1.8</w:t>
            </w:r>
          </w:p>
        </w:tc>
        <w:tc>
          <w:tcPr>
            <w:tcW w:w="535" w:type="pct"/>
            <w:gridSpan w:val="2"/>
            <w:vAlign w:val="bottom"/>
          </w:tcPr>
          <w:p w:rsidR="00CD69A3" w:rsidRDefault="00CD69A3" w:rsidP="00C67220">
            <w:pPr>
              <w:pStyle w:val="TableBodyText"/>
            </w:pPr>
            <w:r>
              <w:t>57.7</w:t>
            </w:r>
          </w:p>
        </w:tc>
        <w:tc>
          <w:tcPr>
            <w:tcW w:w="534" w:type="pct"/>
            <w:gridSpan w:val="2"/>
            <w:vAlign w:val="bottom"/>
          </w:tcPr>
          <w:p w:rsidR="00CD69A3" w:rsidRDefault="00CD69A3" w:rsidP="00C67220">
            <w:pPr>
              <w:pStyle w:val="TableBodyText"/>
            </w:pPr>
            <w:r>
              <w:t>38.1</w:t>
            </w:r>
          </w:p>
        </w:tc>
        <w:tc>
          <w:tcPr>
            <w:tcW w:w="535" w:type="pct"/>
            <w:vAlign w:val="bottom"/>
          </w:tcPr>
          <w:p w:rsidR="00CD69A3" w:rsidRPr="0028783C" w:rsidRDefault="00CD69A3" w:rsidP="00C67220">
            <w:pPr>
              <w:pStyle w:val="TableBodyText"/>
            </w:pPr>
            <w:r w:rsidRPr="0028783C">
              <w:t>4.2</w:t>
            </w:r>
          </w:p>
        </w:tc>
      </w:tr>
      <w:tr w:rsidR="00CD69A3" w:rsidTr="001265A1">
        <w:tc>
          <w:tcPr>
            <w:tcW w:w="725" w:type="pct"/>
            <w:tcBorders>
              <w:bottom w:val="dotted" w:sz="4" w:space="0" w:color="auto"/>
            </w:tcBorders>
            <w:shd w:val="clear" w:color="auto" w:fill="D9D9D9" w:themeFill="background1" w:themeFillShade="D9"/>
            <w:vAlign w:val="bottom"/>
          </w:tcPr>
          <w:p w:rsidR="00CD69A3" w:rsidRDefault="00CD69A3" w:rsidP="00E813FA">
            <w:pPr>
              <w:pStyle w:val="TableBodyText"/>
              <w:jc w:val="left"/>
            </w:pPr>
            <w:r>
              <w:t>2008-09</w:t>
            </w:r>
          </w:p>
        </w:tc>
        <w:tc>
          <w:tcPr>
            <w:tcW w:w="534" w:type="pct"/>
            <w:gridSpan w:val="2"/>
            <w:tcBorders>
              <w:bottom w:val="dotted" w:sz="4" w:space="0" w:color="auto"/>
            </w:tcBorders>
            <w:shd w:val="clear" w:color="auto" w:fill="D9D9D9" w:themeFill="background1" w:themeFillShade="D9"/>
            <w:vAlign w:val="bottom"/>
          </w:tcPr>
          <w:p w:rsidR="00CD69A3" w:rsidRDefault="00CD69A3" w:rsidP="00C67220">
            <w:pPr>
              <w:pStyle w:val="TableBodyText"/>
            </w:pPr>
            <w:r>
              <w:t>21.5</w:t>
            </w:r>
          </w:p>
        </w:tc>
        <w:tc>
          <w:tcPr>
            <w:tcW w:w="534" w:type="pct"/>
            <w:gridSpan w:val="2"/>
            <w:tcBorders>
              <w:bottom w:val="dotted" w:sz="4" w:space="0" w:color="auto"/>
            </w:tcBorders>
            <w:shd w:val="clear" w:color="auto" w:fill="D9D9D9" w:themeFill="background1" w:themeFillShade="D9"/>
            <w:vAlign w:val="bottom"/>
          </w:tcPr>
          <w:p w:rsidR="00CD69A3" w:rsidRDefault="00CD69A3" w:rsidP="00C67220">
            <w:pPr>
              <w:pStyle w:val="TableBodyText"/>
            </w:pPr>
            <w:r>
              <w:t>9.9</w:t>
            </w:r>
          </w:p>
        </w:tc>
        <w:tc>
          <w:tcPr>
            <w:tcW w:w="535" w:type="pct"/>
            <w:gridSpan w:val="2"/>
            <w:tcBorders>
              <w:bottom w:val="dotted" w:sz="4" w:space="0" w:color="auto"/>
            </w:tcBorders>
            <w:shd w:val="clear" w:color="auto" w:fill="D9D9D9" w:themeFill="background1" w:themeFillShade="D9"/>
            <w:vAlign w:val="bottom"/>
          </w:tcPr>
          <w:p w:rsidR="00CD69A3" w:rsidRDefault="00CD69A3" w:rsidP="00C67220">
            <w:pPr>
              <w:pStyle w:val="TableBodyText"/>
            </w:pPr>
            <w:r>
              <w:t>34.2</w:t>
            </w:r>
          </w:p>
        </w:tc>
        <w:tc>
          <w:tcPr>
            <w:tcW w:w="534" w:type="pct"/>
            <w:gridSpan w:val="2"/>
            <w:tcBorders>
              <w:bottom w:val="dotted" w:sz="4" w:space="0" w:color="auto"/>
            </w:tcBorders>
            <w:shd w:val="clear" w:color="auto" w:fill="D9D9D9" w:themeFill="background1" w:themeFillShade="D9"/>
            <w:vAlign w:val="bottom"/>
          </w:tcPr>
          <w:p w:rsidR="00CD69A3" w:rsidRPr="00410C23" w:rsidRDefault="00CD69A3" w:rsidP="00C67220">
            <w:pPr>
              <w:pStyle w:val="TableBodyText"/>
              <w:rPr>
                <w:b/>
              </w:rPr>
            </w:pPr>
            <w:r w:rsidRPr="00410C23">
              <w:rPr>
                <w:b/>
              </w:rPr>
              <w:t>14.3</w:t>
            </w:r>
          </w:p>
        </w:tc>
        <w:tc>
          <w:tcPr>
            <w:tcW w:w="534" w:type="pct"/>
            <w:gridSpan w:val="2"/>
            <w:tcBorders>
              <w:bottom w:val="dotted" w:sz="4" w:space="0" w:color="auto"/>
            </w:tcBorders>
            <w:shd w:val="clear" w:color="auto" w:fill="D9D9D9" w:themeFill="background1" w:themeFillShade="D9"/>
            <w:vAlign w:val="bottom"/>
          </w:tcPr>
          <w:p w:rsidR="00CD69A3" w:rsidRPr="00410C23" w:rsidRDefault="00CD69A3" w:rsidP="00C67220">
            <w:pPr>
              <w:pStyle w:val="TableBodyText"/>
              <w:rPr>
                <w:b/>
              </w:rPr>
            </w:pPr>
            <w:r w:rsidRPr="00410C23">
              <w:rPr>
                <w:b/>
              </w:rPr>
              <w:t>2.8</w:t>
            </w:r>
          </w:p>
        </w:tc>
        <w:tc>
          <w:tcPr>
            <w:tcW w:w="535" w:type="pct"/>
            <w:gridSpan w:val="2"/>
            <w:tcBorders>
              <w:bottom w:val="dotted" w:sz="4" w:space="0" w:color="auto"/>
            </w:tcBorders>
            <w:shd w:val="clear" w:color="auto" w:fill="D9D9D9" w:themeFill="background1" w:themeFillShade="D9"/>
            <w:vAlign w:val="bottom"/>
          </w:tcPr>
          <w:p w:rsidR="00CD69A3" w:rsidRDefault="00CD69A3" w:rsidP="00C67220">
            <w:pPr>
              <w:pStyle w:val="TableBodyText"/>
            </w:pPr>
            <w:r>
              <w:t>59.2</w:t>
            </w:r>
          </w:p>
        </w:tc>
        <w:tc>
          <w:tcPr>
            <w:tcW w:w="534" w:type="pct"/>
            <w:gridSpan w:val="2"/>
            <w:tcBorders>
              <w:bottom w:val="dotted" w:sz="4" w:space="0" w:color="auto"/>
            </w:tcBorders>
            <w:shd w:val="clear" w:color="auto" w:fill="D9D9D9" w:themeFill="background1" w:themeFillShade="D9"/>
            <w:vAlign w:val="bottom"/>
          </w:tcPr>
          <w:p w:rsidR="00CD69A3" w:rsidRDefault="00CD69A3" w:rsidP="00C67220">
            <w:pPr>
              <w:pStyle w:val="TableBodyText"/>
            </w:pPr>
            <w:r>
              <w:t>36.2</w:t>
            </w:r>
          </w:p>
        </w:tc>
        <w:tc>
          <w:tcPr>
            <w:tcW w:w="535" w:type="pct"/>
            <w:tcBorders>
              <w:bottom w:val="dotted" w:sz="4" w:space="0" w:color="auto"/>
            </w:tcBorders>
            <w:shd w:val="clear" w:color="auto" w:fill="D9D9D9" w:themeFill="background1" w:themeFillShade="D9"/>
            <w:vAlign w:val="bottom"/>
          </w:tcPr>
          <w:p w:rsidR="00CD69A3" w:rsidRPr="0028783C" w:rsidRDefault="00CD69A3" w:rsidP="00C67220">
            <w:pPr>
              <w:pStyle w:val="TableBodyText"/>
            </w:pPr>
            <w:r w:rsidRPr="0028783C">
              <w:t>4.6</w:t>
            </w:r>
          </w:p>
        </w:tc>
      </w:tr>
      <w:tr w:rsidR="00F56228" w:rsidTr="001265A1">
        <w:trPr>
          <w:trHeight w:val="391"/>
        </w:trPr>
        <w:tc>
          <w:tcPr>
            <w:tcW w:w="1182" w:type="pct"/>
            <w:gridSpan w:val="2"/>
            <w:tcBorders>
              <w:top w:val="dotted" w:sz="4" w:space="0" w:color="auto"/>
            </w:tcBorders>
            <w:vAlign w:val="bottom"/>
          </w:tcPr>
          <w:p w:rsidR="00F56228" w:rsidRPr="004A2A9F" w:rsidRDefault="00F56228" w:rsidP="00E813FA">
            <w:pPr>
              <w:pStyle w:val="TableBodyText"/>
              <w:jc w:val="left"/>
              <w:rPr>
                <w:i/>
              </w:rPr>
            </w:pPr>
            <w:r w:rsidRPr="004A2A9F">
              <w:rPr>
                <w:i/>
              </w:rPr>
              <w:t>Primary metals</w:t>
            </w:r>
          </w:p>
        </w:tc>
        <w:tc>
          <w:tcPr>
            <w:tcW w:w="546" w:type="pct"/>
            <w:gridSpan w:val="2"/>
            <w:tcBorders>
              <w:top w:val="dotted" w:sz="4" w:space="0" w:color="auto"/>
            </w:tcBorders>
            <w:vAlign w:val="bottom"/>
          </w:tcPr>
          <w:p w:rsidR="00F56228" w:rsidRDefault="00F56228" w:rsidP="004A2A9F">
            <w:pPr>
              <w:pStyle w:val="TableBodyText"/>
            </w:pPr>
          </w:p>
        </w:tc>
        <w:tc>
          <w:tcPr>
            <w:tcW w:w="546" w:type="pct"/>
            <w:gridSpan w:val="2"/>
            <w:tcBorders>
              <w:top w:val="dotted" w:sz="4" w:space="0" w:color="auto"/>
            </w:tcBorders>
            <w:vAlign w:val="bottom"/>
          </w:tcPr>
          <w:p w:rsidR="00F56228" w:rsidRDefault="00F56228" w:rsidP="004A2A9F">
            <w:pPr>
              <w:pStyle w:val="TableBodyText"/>
            </w:pPr>
          </w:p>
        </w:tc>
        <w:tc>
          <w:tcPr>
            <w:tcW w:w="546" w:type="pct"/>
            <w:gridSpan w:val="2"/>
            <w:tcBorders>
              <w:top w:val="dotted" w:sz="4" w:space="0" w:color="auto"/>
            </w:tcBorders>
            <w:vAlign w:val="bottom"/>
          </w:tcPr>
          <w:p w:rsidR="00F56228" w:rsidRPr="00410C23" w:rsidRDefault="00F56228" w:rsidP="004A2A9F">
            <w:pPr>
              <w:pStyle w:val="TableBodyText"/>
              <w:rPr>
                <w:b/>
              </w:rPr>
            </w:pPr>
          </w:p>
        </w:tc>
        <w:tc>
          <w:tcPr>
            <w:tcW w:w="546" w:type="pct"/>
            <w:gridSpan w:val="2"/>
            <w:tcBorders>
              <w:top w:val="dotted" w:sz="4" w:space="0" w:color="auto"/>
            </w:tcBorders>
            <w:vAlign w:val="bottom"/>
          </w:tcPr>
          <w:p w:rsidR="00F56228" w:rsidRPr="00410C23" w:rsidRDefault="00F56228" w:rsidP="004A2A9F">
            <w:pPr>
              <w:pStyle w:val="TableBodyText"/>
              <w:rPr>
                <w:b/>
              </w:rPr>
            </w:pPr>
          </w:p>
        </w:tc>
        <w:tc>
          <w:tcPr>
            <w:tcW w:w="546" w:type="pct"/>
            <w:gridSpan w:val="2"/>
            <w:tcBorders>
              <w:top w:val="dotted" w:sz="4" w:space="0" w:color="auto"/>
            </w:tcBorders>
            <w:vAlign w:val="bottom"/>
          </w:tcPr>
          <w:p w:rsidR="00F56228" w:rsidRDefault="00F56228" w:rsidP="004A2A9F">
            <w:pPr>
              <w:pStyle w:val="TableBodyText"/>
            </w:pPr>
          </w:p>
        </w:tc>
        <w:tc>
          <w:tcPr>
            <w:tcW w:w="546" w:type="pct"/>
            <w:gridSpan w:val="2"/>
            <w:tcBorders>
              <w:top w:val="dotted" w:sz="4" w:space="0" w:color="auto"/>
            </w:tcBorders>
            <w:vAlign w:val="bottom"/>
          </w:tcPr>
          <w:p w:rsidR="00F56228" w:rsidRDefault="00F56228" w:rsidP="004A2A9F">
            <w:pPr>
              <w:pStyle w:val="TableBodyText"/>
              <w:ind w:right="28"/>
            </w:pPr>
          </w:p>
        </w:tc>
        <w:tc>
          <w:tcPr>
            <w:tcW w:w="542" w:type="pct"/>
            <w:gridSpan w:val="2"/>
            <w:tcBorders>
              <w:top w:val="dotted" w:sz="4" w:space="0" w:color="auto"/>
            </w:tcBorders>
            <w:vAlign w:val="bottom"/>
          </w:tcPr>
          <w:p w:rsidR="00F56228" w:rsidRDefault="00F56228" w:rsidP="004A2A9F">
            <w:pPr>
              <w:pStyle w:val="TableBodyText"/>
            </w:pPr>
          </w:p>
        </w:tc>
      </w:tr>
      <w:tr w:rsidR="00CD69A3" w:rsidTr="00F56228">
        <w:tc>
          <w:tcPr>
            <w:tcW w:w="725" w:type="pct"/>
            <w:shd w:val="clear" w:color="auto" w:fill="D9D9D9" w:themeFill="background1" w:themeFillShade="D9"/>
            <w:vAlign w:val="bottom"/>
          </w:tcPr>
          <w:p w:rsidR="00CD69A3" w:rsidRPr="00E05E8F" w:rsidRDefault="00CD69A3" w:rsidP="00E813FA">
            <w:pPr>
              <w:pStyle w:val="TableBodyText"/>
              <w:jc w:val="left"/>
            </w:pPr>
            <w:r w:rsidRPr="00E05E8F">
              <w:t>1994-95</w:t>
            </w:r>
          </w:p>
        </w:tc>
        <w:tc>
          <w:tcPr>
            <w:tcW w:w="534" w:type="pct"/>
            <w:gridSpan w:val="2"/>
            <w:shd w:val="clear" w:color="auto" w:fill="D9D9D9" w:themeFill="background1" w:themeFillShade="D9"/>
            <w:vAlign w:val="bottom"/>
          </w:tcPr>
          <w:p w:rsidR="00CD69A3" w:rsidRPr="00E05E8F" w:rsidRDefault="00CD69A3" w:rsidP="00C67220">
            <w:pPr>
              <w:pStyle w:val="TableBodyText"/>
            </w:pPr>
            <w:r w:rsidRPr="00E05E8F">
              <w:t>34.4</w:t>
            </w:r>
          </w:p>
        </w:tc>
        <w:tc>
          <w:tcPr>
            <w:tcW w:w="534" w:type="pct"/>
            <w:gridSpan w:val="2"/>
            <w:shd w:val="clear" w:color="auto" w:fill="D9D9D9" w:themeFill="background1" w:themeFillShade="D9"/>
            <w:vAlign w:val="bottom"/>
          </w:tcPr>
          <w:p w:rsidR="00CD69A3" w:rsidRPr="00E05E8F" w:rsidRDefault="00CD69A3" w:rsidP="00C67220">
            <w:pPr>
              <w:pStyle w:val="TableBodyText"/>
            </w:pPr>
            <w:r w:rsidRPr="00E05E8F">
              <w:t>15.2</w:t>
            </w:r>
          </w:p>
        </w:tc>
        <w:tc>
          <w:tcPr>
            <w:tcW w:w="535" w:type="pct"/>
            <w:gridSpan w:val="2"/>
            <w:shd w:val="clear" w:color="auto" w:fill="D9D9D9" w:themeFill="background1" w:themeFillShade="D9"/>
            <w:vAlign w:val="bottom"/>
          </w:tcPr>
          <w:p w:rsidR="00CD69A3" w:rsidRPr="00E05E8F" w:rsidRDefault="00CD69A3" w:rsidP="00C67220">
            <w:pPr>
              <w:pStyle w:val="TableBodyText"/>
            </w:pPr>
            <w:r w:rsidRPr="00E05E8F">
              <w:t>52.5</w:t>
            </w:r>
          </w:p>
        </w:tc>
        <w:tc>
          <w:tcPr>
            <w:tcW w:w="534" w:type="pct"/>
            <w:gridSpan w:val="2"/>
            <w:shd w:val="clear" w:color="auto" w:fill="D9D9D9" w:themeFill="background1" w:themeFillShade="D9"/>
            <w:vAlign w:val="bottom"/>
          </w:tcPr>
          <w:p w:rsidR="00CD69A3" w:rsidRPr="00E05E8F" w:rsidRDefault="00CD69A3" w:rsidP="00C67220">
            <w:pPr>
              <w:pStyle w:val="TableBodyText"/>
              <w:rPr>
                <w:b/>
              </w:rPr>
            </w:pPr>
            <w:r w:rsidRPr="00E05E8F">
              <w:rPr>
                <w:b/>
              </w:rPr>
              <w:t>3.5</w:t>
            </w:r>
          </w:p>
        </w:tc>
        <w:tc>
          <w:tcPr>
            <w:tcW w:w="534" w:type="pct"/>
            <w:gridSpan w:val="2"/>
            <w:shd w:val="clear" w:color="auto" w:fill="D9D9D9" w:themeFill="background1" w:themeFillShade="D9"/>
            <w:vAlign w:val="bottom"/>
          </w:tcPr>
          <w:p w:rsidR="00CD69A3" w:rsidRPr="00E05E8F" w:rsidRDefault="00CD69A3" w:rsidP="00C67220">
            <w:pPr>
              <w:pStyle w:val="TableBodyText"/>
              <w:rPr>
                <w:b/>
              </w:rPr>
            </w:pPr>
            <w:r w:rsidRPr="00E05E8F">
              <w:rPr>
                <w:b/>
              </w:rPr>
              <w:t>0.6</w:t>
            </w:r>
          </w:p>
        </w:tc>
        <w:tc>
          <w:tcPr>
            <w:tcW w:w="535" w:type="pct"/>
            <w:gridSpan w:val="2"/>
            <w:shd w:val="clear" w:color="auto" w:fill="D9D9D9" w:themeFill="background1" w:themeFillShade="D9"/>
            <w:vAlign w:val="bottom"/>
          </w:tcPr>
          <w:p w:rsidR="00CD69A3" w:rsidRPr="00E05E8F" w:rsidRDefault="00CD69A3" w:rsidP="00C67220">
            <w:pPr>
              <w:pStyle w:val="TableBodyText"/>
            </w:pPr>
            <w:r w:rsidRPr="00E05E8F">
              <w:t>59.3</w:t>
            </w:r>
          </w:p>
        </w:tc>
        <w:tc>
          <w:tcPr>
            <w:tcW w:w="534" w:type="pct"/>
            <w:gridSpan w:val="2"/>
            <w:shd w:val="clear" w:color="auto" w:fill="D9D9D9" w:themeFill="background1" w:themeFillShade="D9"/>
            <w:vAlign w:val="bottom"/>
          </w:tcPr>
          <w:p w:rsidR="00CD69A3" w:rsidRPr="00E05E8F" w:rsidRDefault="00CD69A3" w:rsidP="00C67220">
            <w:pPr>
              <w:pStyle w:val="TableBodyText"/>
            </w:pPr>
            <w:r w:rsidRPr="00E05E8F">
              <w:t>38.9</w:t>
            </w:r>
          </w:p>
        </w:tc>
        <w:tc>
          <w:tcPr>
            <w:tcW w:w="535" w:type="pct"/>
            <w:shd w:val="clear" w:color="auto" w:fill="D9D9D9" w:themeFill="background1" w:themeFillShade="D9"/>
            <w:vAlign w:val="bottom"/>
          </w:tcPr>
          <w:p w:rsidR="00CD69A3" w:rsidRPr="00E05E8F" w:rsidRDefault="00CD69A3" w:rsidP="00C67220">
            <w:pPr>
              <w:pStyle w:val="TableBodyText"/>
            </w:pPr>
            <w:r w:rsidRPr="00E05E8F">
              <w:t>1.8</w:t>
            </w:r>
          </w:p>
        </w:tc>
      </w:tr>
      <w:tr w:rsidR="00CD69A3" w:rsidTr="001265A1">
        <w:tc>
          <w:tcPr>
            <w:tcW w:w="725" w:type="pct"/>
            <w:shd w:val="clear" w:color="auto" w:fill="auto"/>
            <w:vAlign w:val="bottom"/>
          </w:tcPr>
          <w:p w:rsidR="00CD69A3" w:rsidRPr="00E05E8F" w:rsidRDefault="00CD69A3" w:rsidP="00E813FA">
            <w:pPr>
              <w:pStyle w:val="TableBodyText"/>
              <w:jc w:val="left"/>
            </w:pPr>
            <w:r w:rsidRPr="00E05E8F">
              <w:t>2001-02</w:t>
            </w:r>
          </w:p>
        </w:tc>
        <w:tc>
          <w:tcPr>
            <w:tcW w:w="534" w:type="pct"/>
            <w:gridSpan w:val="2"/>
            <w:shd w:val="clear" w:color="auto" w:fill="auto"/>
            <w:vAlign w:val="bottom"/>
          </w:tcPr>
          <w:p w:rsidR="00CD69A3" w:rsidRPr="00E05E8F" w:rsidRDefault="00CD69A3" w:rsidP="00C67220">
            <w:pPr>
              <w:pStyle w:val="TableBodyText"/>
            </w:pPr>
            <w:r w:rsidRPr="00E05E8F">
              <w:t>25.1</w:t>
            </w:r>
          </w:p>
        </w:tc>
        <w:tc>
          <w:tcPr>
            <w:tcW w:w="534" w:type="pct"/>
            <w:gridSpan w:val="2"/>
            <w:shd w:val="clear" w:color="auto" w:fill="auto"/>
            <w:vAlign w:val="bottom"/>
          </w:tcPr>
          <w:p w:rsidR="00CD69A3" w:rsidRPr="00E05E8F" w:rsidRDefault="00CD69A3" w:rsidP="00C67220">
            <w:pPr>
              <w:pStyle w:val="TableBodyText"/>
            </w:pPr>
            <w:r w:rsidRPr="00E05E8F">
              <w:t>9.3</w:t>
            </w:r>
          </w:p>
        </w:tc>
        <w:tc>
          <w:tcPr>
            <w:tcW w:w="535" w:type="pct"/>
            <w:gridSpan w:val="2"/>
            <w:shd w:val="clear" w:color="auto" w:fill="auto"/>
            <w:vAlign w:val="bottom"/>
          </w:tcPr>
          <w:p w:rsidR="00CD69A3" w:rsidRPr="00E05E8F" w:rsidRDefault="00CD69A3" w:rsidP="00C67220">
            <w:pPr>
              <w:pStyle w:val="TableBodyText"/>
            </w:pPr>
            <w:r w:rsidRPr="00E05E8F">
              <w:t>37.6</w:t>
            </w:r>
          </w:p>
        </w:tc>
        <w:tc>
          <w:tcPr>
            <w:tcW w:w="534" w:type="pct"/>
            <w:gridSpan w:val="2"/>
            <w:shd w:val="clear" w:color="auto" w:fill="auto"/>
            <w:vAlign w:val="bottom"/>
          </w:tcPr>
          <w:p w:rsidR="00CD69A3" w:rsidRPr="00E05E8F" w:rsidRDefault="00CD69A3" w:rsidP="00C67220">
            <w:pPr>
              <w:pStyle w:val="TableBodyText"/>
              <w:rPr>
                <w:b/>
              </w:rPr>
            </w:pPr>
            <w:r w:rsidRPr="00E05E8F">
              <w:rPr>
                <w:b/>
              </w:rPr>
              <w:t>4.9</w:t>
            </w:r>
          </w:p>
        </w:tc>
        <w:tc>
          <w:tcPr>
            <w:tcW w:w="534" w:type="pct"/>
            <w:gridSpan w:val="2"/>
            <w:shd w:val="clear" w:color="auto" w:fill="auto"/>
            <w:vAlign w:val="bottom"/>
          </w:tcPr>
          <w:p w:rsidR="00CD69A3" w:rsidRPr="00E05E8F" w:rsidRDefault="00CD69A3" w:rsidP="00C67220">
            <w:pPr>
              <w:pStyle w:val="TableBodyText"/>
              <w:rPr>
                <w:b/>
              </w:rPr>
            </w:pPr>
            <w:r w:rsidRPr="00E05E8F">
              <w:rPr>
                <w:b/>
              </w:rPr>
              <w:t>1.1</w:t>
            </w:r>
          </w:p>
        </w:tc>
        <w:tc>
          <w:tcPr>
            <w:tcW w:w="535" w:type="pct"/>
            <w:gridSpan w:val="2"/>
            <w:vAlign w:val="bottom"/>
          </w:tcPr>
          <w:p w:rsidR="00CD69A3" w:rsidRPr="00E05E8F" w:rsidRDefault="00CD69A3" w:rsidP="00C67220">
            <w:pPr>
              <w:pStyle w:val="TableBodyText"/>
            </w:pPr>
            <w:r w:rsidRPr="00E05E8F">
              <w:t>46.4</w:t>
            </w:r>
          </w:p>
        </w:tc>
        <w:tc>
          <w:tcPr>
            <w:tcW w:w="534" w:type="pct"/>
            <w:gridSpan w:val="2"/>
            <w:vAlign w:val="bottom"/>
          </w:tcPr>
          <w:p w:rsidR="00CD69A3" w:rsidRPr="00E05E8F" w:rsidRDefault="00CD69A3" w:rsidP="00C67220">
            <w:pPr>
              <w:pStyle w:val="TableBodyText"/>
            </w:pPr>
            <w:r w:rsidRPr="00E05E8F">
              <w:t>53.2</w:t>
            </w:r>
          </w:p>
        </w:tc>
        <w:tc>
          <w:tcPr>
            <w:tcW w:w="535" w:type="pct"/>
            <w:shd w:val="clear" w:color="auto" w:fill="auto"/>
            <w:vAlign w:val="bottom"/>
          </w:tcPr>
          <w:p w:rsidR="00CD69A3" w:rsidRPr="00E05E8F" w:rsidRDefault="00CD69A3" w:rsidP="00C67220">
            <w:pPr>
              <w:pStyle w:val="TableBodyText"/>
            </w:pPr>
            <w:r w:rsidRPr="00E05E8F">
              <w:t>0.4</w:t>
            </w:r>
          </w:p>
        </w:tc>
      </w:tr>
      <w:tr w:rsidR="00CD69A3" w:rsidTr="001265A1">
        <w:tc>
          <w:tcPr>
            <w:tcW w:w="725" w:type="pct"/>
            <w:tcBorders>
              <w:bottom w:val="dotted" w:sz="4" w:space="0" w:color="auto"/>
            </w:tcBorders>
            <w:shd w:val="clear" w:color="auto" w:fill="D9D9D9" w:themeFill="background1" w:themeFillShade="D9"/>
            <w:vAlign w:val="bottom"/>
          </w:tcPr>
          <w:p w:rsidR="00CD69A3" w:rsidRPr="00E05E8F" w:rsidRDefault="00CD69A3" w:rsidP="00E813FA">
            <w:pPr>
              <w:pStyle w:val="TableBodyText"/>
              <w:jc w:val="left"/>
            </w:pPr>
            <w:r w:rsidRPr="00E05E8F">
              <w:t>2008-09</w:t>
            </w:r>
          </w:p>
        </w:tc>
        <w:tc>
          <w:tcPr>
            <w:tcW w:w="534" w:type="pct"/>
            <w:gridSpan w:val="2"/>
            <w:tcBorders>
              <w:bottom w:val="dotted" w:sz="4" w:space="0" w:color="auto"/>
            </w:tcBorders>
            <w:shd w:val="clear" w:color="auto" w:fill="D9D9D9" w:themeFill="background1" w:themeFillShade="D9"/>
            <w:vAlign w:val="bottom"/>
          </w:tcPr>
          <w:p w:rsidR="00CD69A3" w:rsidRPr="00E05E8F" w:rsidRDefault="00CD69A3" w:rsidP="00C67220">
            <w:pPr>
              <w:pStyle w:val="TableBodyText"/>
            </w:pPr>
            <w:r w:rsidRPr="00E05E8F">
              <w:t>26.0</w:t>
            </w:r>
          </w:p>
        </w:tc>
        <w:tc>
          <w:tcPr>
            <w:tcW w:w="534" w:type="pct"/>
            <w:gridSpan w:val="2"/>
            <w:tcBorders>
              <w:bottom w:val="dotted" w:sz="4" w:space="0" w:color="auto"/>
            </w:tcBorders>
            <w:shd w:val="clear" w:color="auto" w:fill="D9D9D9" w:themeFill="background1" w:themeFillShade="D9"/>
            <w:vAlign w:val="bottom"/>
          </w:tcPr>
          <w:p w:rsidR="00CD69A3" w:rsidRPr="00E05E8F" w:rsidRDefault="00CD69A3" w:rsidP="00C67220">
            <w:pPr>
              <w:pStyle w:val="TableBodyText"/>
            </w:pPr>
            <w:r w:rsidRPr="00E05E8F">
              <w:t>10.8</w:t>
            </w:r>
          </w:p>
        </w:tc>
        <w:tc>
          <w:tcPr>
            <w:tcW w:w="535" w:type="pct"/>
            <w:gridSpan w:val="2"/>
            <w:tcBorders>
              <w:bottom w:val="dotted" w:sz="4" w:space="0" w:color="auto"/>
            </w:tcBorders>
            <w:shd w:val="clear" w:color="auto" w:fill="D9D9D9" w:themeFill="background1" w:themeFillShade="D9"/>
            <w:vAlign w:val="bottom"/>
          </w:tcPr>
          <w:p w:rsidR="00CD69A3" w:rsidRPr="00E05E8F" w:rsidRDefault="00CD69A3" w:rsidP="00C67220">
            <w:pPr>
              <w:pStyle w:val="TableBodyText"/>
            </w:pPr>
            <w:r w:rsidRPr="00E05E8F">
              <w:t>38.7</w:t>
            </w:r>
          </w:p>
        </w:tc>
        <w:tc>
          <w:tcPr>
            <w:tcW w:w="534" w:type="pct"/>
            <w:gridSpan w:val="2"/>
            <w:tcBorders>
              <w:bottom w:val="dotted" w:sz="4" w:space="0" w:color="auto"/>
            </w:tcBorders>
            <w:shd w:val="clear" w:color="auto" w:fill="D9D9D9" w:themeFill="background1" w:themeFillShade="D9"/>
            <w:vAlign w:val="bottom"/>
          </w:tcPr>
          <w:p w:rsidR="00CD69A3" w:rsidRPr="00E05E8F" w:rsidRDefault="00CD69A3" w:rsidP="00C67220">
            <w:pPr>
              <w:pStyle w:val="TableBodyText"/>
              <w:rPr>
                <w:b/>
              </w:rPr>
            </w:pPr>
            <w:r w:rsidRPr="00E05E8F">
              <w:rPr>
                <w:b/>
              </w:rPr>
              <w:t>5.8</w:t>
            </w:r>
          </w:p>
        </w:tc>
        <w:tc>
          <w:tcPr>
            <w:tcW w:w="534" w:type="pct"/>
            <w:gridSpan w:val="2"/>
            <w:tcBorders>
              <w:bottom w:val="dotted" w:sz="4" w:space="0" w:color="auto"/>
            </w:tcBorders>
            <w:shd w:val="clear" w:color="auto" w:fill="D9D9D9" w:themeFill="background1" w:themeFillShade="D9"/>
            <w:vAlign w:val="bottom"/>
          </w:tcPr>
          <w:p w:rsidR="00CD69A3" w:rsidRPr="00E05E8F" w:rsidRDefault="00CD69A3" w:rsidP="00C67220">
            <w:pPr>
              <w:pStyle w:val="TableBodyText"/>
              <w:rPr>
                <w:b/>
              </w:rPr>
            </w:pPr>
            <w:r w:rsidRPr="00E05E8F">
              <w:rPr>
                <w:b/>
              </w:rPr>
              <w:t>0.9</w:t>
            </w:r>
          </w:p>
        </w:tc>
        <w:tc>
          <w:tcPr>
            <w:tcW w:w="535" w:type="pct"/>
            <w:gridSpan w:val="2"/>
            <w:tcBorders>
              <w:bottom w:val="dotted" w:sz="4" w:space="0" w:color="auto"/>
            </w:tcBorders>
            <w:shd w:val="clear" w:color="auto" w:fill="D9D9D9" w:themeFill="background1" w:themeFillShade="D9"/>
            <w:vAlign w:val="bottom"/>
          </w:tcPr>
          <w:p w:rsidR="00CD69A3" w:rsidRPr="00E05E8F" w:rsidRDefault="00CD69A3" w:rsidP="00C67220">
            <w:pPr>
              <w:pStyle w:val="TableBodyText"/>
            </w:pPr>
            <w:r w:rsidRPr="00E05E8F">
              <w:t>48.5</w:t>
            </w:r>
          </w:p>
        </w:tc>
        <w:tc>
          <w:tcPr>
            <w:tcW w:w="534" w:type="pct"/>
            <w:gridSpan w:val="2"/>
            <w:tcBorders>
              <w:bottom w:val="dotted" w:sz="4" w:space="0" w:color="auto"/>
            </w:tcBorders>
            <w:shd w:val="clear" w:color="auto" w:fill="D9D9D9" w:themeFill="background1" w:themeFillShade="D9"/>
            <w:vAlign w:val="bottom"/>
          </w:tcPr>
          <w:p w:rsidR="00CD69A3" w:rsidRPr="00E05E8F" w:rsidRDefault="00CD69A3" w:rsidP="00C67220">
            <w:pPr>
              <w:pStyle w:val="TableBodyText"/>
            </w:pPr>
            <w:r w:rsidRPr="00E05E8F">
              <w:t>49.9</w:t>
            </w:r>
          </w:p>
        </w:tc>
        <w:tc>
          <w:tcPr>
            <w:tcW w:w="535" w:type="pct"/>
            <w:tcBorders>
              <w:bottom w:val="dotted" w:sz="4" w:space="0" w:color="auto"/>
            </w:tcBorders>
            <w:shd w:val="clear" w:color="auto" w:fill="D9D9D9" w:themeFill="background1" w:themeFillShade="D9"/>
            <w:vAlign w:val="bottom"/>
          </w:tcPr>
          <w:p w:rsidR="00CD69A3" w:rsidRPr="00E05E8F" w:rsidRDefault="00CD69A3" w:rsidP="00C67220">
            <w:pPr>
              <w:pStyle w:val="TableBodyText"/>
            </w:pPr>
            <w:r w:rsidRPr="00E05E8F">
              <w:t>1.6</w:t>
            </w:r>
          </w:p>
        </w:tc>
      </w:tr>
      <w:tr w:rsidR="00F56228" w:rsidTr="001265A1">
        <w:trPr>
          <w:trHeight w:val="391"/>
        </w:trPr>
        <w:tc>
          <w:tcPr>
            <w:tcW w:w="1182" w:type="pct"/>
            <w:gridSpan w:val="2"/>
            <w:tcBorders>
              <w:top w:val="dotted" w:sz="4" w:space="0" w:color="auto"/>
            </w:tcBorders>
            <w:vAlign w:val="bottom"/>
          </w:tcPr>
          <w:p w:rsidR="00F56228" w:rsidRPr="004A2A9F" w:rsidRDefault="00F56228" w:rsidP="00E813FA">
            <w:pPr>
              <w:pStyle w:val="TableBodyText"/>
              <w:jc w:val="left"/>
              <w:rPr>
                <w:i/>
              </w:rPr>
            </w:pPr>
            <w:r w:rsidRPr="004A2A9F">
              <w:rPr>
                <w:i/>
              </w:rPr>
              <w:t>Fabricated metals</w:t>
            </w:r>
          </w:p>
        </w:tc>
        <w:tc>
          <w:tcPr>
            <w:tcW w:w="546" w:type="pct"/>
            <w:gridSpan w:val="2"/>
            <w:tcBorders>
              <w:top w:val="dotted" w:sz="4" w:space="0" w:color="auto"/>
            </w:tcBorders>
            <w:vAlign w:val="bottom"/>
          </w:tcPr>
          <w:p w:rsidR="00F56228" w:rsidRDefault="00F56228" w:rsidP="004A2A9F">
            <w:pPr>
              <w:pStyle w:val="TableBodyText"/>
            </w:pPr>
          </w:p>
        </w:tc>
        <w:tc>
          <w:tcPr>
            <w:tcW w:w="546" w:type="pct"/>
            <w:gridSpan w:val="2"/>
            <w:tcBorders>
              <w:top w:val="dotted" w:sz="4" w:space="0" w:color="auto"/>
            </w:tcBorders>
            <w:vAlign w:val="bottom"/>
          </w:tcPr>
          <w:p w:rsidR="00F56228" w:rsidRDefault="00F56228" w:rsidP="004A2A9F">
            <w:pPr>
              <w:pStyle w:val="TableBodyText"/>
            </w:pPr>
          </w:p>
        </w:tc>
        <w:tc>
          <w:tcPr>
            <w:tcW w:w="546" w:type="pct"/>
            <w:gridSpan w:val="2"/>
            <w:tcBorders>
              <w:top w:val="dotted" w:sz="4" w:space="0" w:color="auto"/>
            </w:tcBorders>
            <w:vAlign w:val="bottom"/>
          </w:tcPr>
          <w:p w:rsidR="00F56228" w:rsidRPr="00410C23" w:rsidRDefault="00F56228" w:rsidP="004A2A9F">
            <w:pPr>
              <w:pStyle w:val="TableBodyText"/>
              <w:rPr>
                <w:b/>
              </w:rPr>
            </w:pPr>
          </w:p>
        </w:tc>
        <w:tc>
          <w:tcPr>
            <w:tcW w:w="546" w:type="pct"/>
            <w:gridSpan w:val="2"/>
            <w:tcBorders>
              <w:top w:val="dotted" w:sz="4" w:space="0" w:color="auto"/>
            </w:tcBorders>
            <w:vAlign w:val="bottom"/>
          </w:tcPr>
          <w:p w:rsidR="00F56228" w:rsidRPr="00410C23" w:rsidRDefault="00F56228" w:rsidP="004A2A9F">
            <w:pPr>
              <w:pStyle w:val="TableBodyText"/>
              <w:rPr>
                <w:b/>
              </w:rPr>
            </w:pPr>
          </w:p>
        </w:tc>
        <w:tc>
          <w:tcPr>
            <w:tcW w:w="546" w:type="pct"/>
            <w:gridSpan w:val="2"/>
            <w:tcBorders>
              <w:top w:val="dotted" w:sz="4" w:space="0" w:color="auto"/>
            </w:tcBorders>
            <w:vAlign w:val="bottom"/>
          </w:tcPr>
          <w:p w:rsidR="00F56228" w:rsidRDefault="00F56228" w:rsidP="004A2A9F">
            <w:pPr>
              <w:pStyle w:val="TableBodyText"/>
            </w:pPr>
          </w:p>
        </w:tc>
        <w:tc>
          <w:tcPr>
            <w:tcW w:w="546" w:type="pct"/>
            <w:gridSpan w:val="2"/>
            <w:tcBorders>
              <w:top w:val="dotted" w:sz="4" w:space="0" w:color="auto"/>
            </w:tcBorders>
            <w:vAlign w:val="bottom"/>
          </w:tcPr>
          <w:p w:rsidR="00F56228" w:rsidRDefault="00F56228" w:rsidP="004A2A9F">
            <w:pPr>
              <w:pStyle w:val="TableBodyText"/>
              <w:ind w:right="28"/>
            </w:pPr>
          </w:p>
        </w:tc>
        <w:tc>
          <w:tcPr>
            <w:tcW w:w="542" w:type="pct"/>
            <w:gridSpan w:val="2"/>
            <w:tcBorders>
              <w:top w:val="dotted" w:sz="4" w:space="0" w:color="auto"/>
            </w:tcBorders>
            <w:vAlign w:val="bottom"/>
          </w:tcPr>
          <w:p w:rsidR="00F56228" w:rsidRDefault="00F56228" w:rsidP="004A2A9F">
            <w:pPr>
              <w:pStyle w:val="TableBodyText"/>
            </w:pPr>
          </w:p>
        </w:tc>
      </w:tr>
      <w:tr w:rsidR="00CD69A3" w:rsidTr="00F56228">
        <w:tc>
          <w:tcPr>
            <w:tcW w:w="725" w:type="pct"/>
            <w:shd w:val="clear" w:color="auto" w:fill="D9D9D9" w:themeFill="background1" w:themeFillShade="D9"/>
            <w:vAlign w:val="bottom"/>
          </w:tcPr>
          <w:p w:rsidR="00CD69A3" w:rsidRDefault="00CD69A3" w:rsidP="00E813FA">
            <w:pPr>
              <w:pStyle w:val="TableBodyText"/>
              <w:jc w:val="left"/>
            </w:pPr>
            <w:r>
              <w:t>1994-95</w:t>
            </w:r>
          </w:p>
        </w:tc>
        <w:tc>
          <w:tcPr>
            <w:tcW w:w="534" w:type="pct"/>
            <w:gridSpan w:val="2"/>
            <w:shd w:val="clear" w:color="auto" w:fill="D9D9D9" w:themeFill="background1" w:themeFillShade="D9"/>
            <w:vAlign w:val="bottom"/>
          </w:tcPr>
          <w:p w:rsidR="00CD69A3" w:rsidRDefault="00CD69A3" w:rsidP="00C67220">
            <w:pPr>
              <w:pStyle w:val="TableBodyText"/>
            </w:pPr>
            <w:r>
              <w:t>14.5</w:t>
            </w:r>
          </w:p>
        </w:tc>
        <w:tc>
          <w:tcPr>
            <w:tcW w:w="534" w:type="pct"/>
            <w:gridSpan w:val="2"/>
            <w:shd w:val="clear" w:color="auto" w:fill="D9D9D9" w:themeFill="background1" w:themeFillShade="D9"/>
            <w:vAlign w:val="bottom"/>
          </w:tcPr>
          <w:p w:rsidR="00CD69A3" w:rsidRDefault="00CD69A3" w:rsidP="00C67220">
            <w:pPr>
              <w:pStyle w:val="TableBodyText"/>
            </w:pPr>
            <w:r>
              <w:t>7.4</w:t>
            </w:r>
          </w:p>
        </w:tc>
        <w:tc>
          <w:tcPr>
            <w:tcW w:w="535" w:type="pct"/>
            <w:gridSpan w:val="2"/>
            <w:shd w:val="clear" w:color="auto" w:fill="D9D9D9" w:themeFill="background1" w:themeFillShade="D9"/>
            <w:vAlign w:val="bottom"/>
          </w:tcPr>
          <w:p w:rsidR="00CD69A3" w:rsidRDefault="00CD69A3" w:rsidP="00C67220">
            <w:pPr>
              <w:pStyle w:val="TableBodyText"/>
            </w:pPr>
            <w:r>
              <w:t>34.9</w:t>
            </w:r>
          </w:p>
        </w:tc>
        <w:tc>
          <w:tcPr>
            <w:tcW w:w="534" w:type="pct"/>
            <w:gridSpan w:val="2"/>
            <w:shd w:val="clear" w:color="auto" w:fill="D9D9D9" w:themeFill="background1" w:themeFillShade="D9"/>
            <w:vAlign w:val="bottom"/>
          </w:tcPr>
          <w:p w:rsidR="00CD69A3" w:rsidRPr="00410C23" w:rsidRDefault="00CD69A3" w:rsidP="00C67220">
            <w:pPr>
              <w:pStyle w:val="TableBodyText"/>
              <w:rPr>
                <w:b/>
              </w:rPr>
            </w:pPr>
            <w:r w:rsidRPr="00410C23">
              <w:rPr>
                <w:b/>
              </w:rPr>
              <w:t>26.7</w:t>
            </w:r>
          </w:p>
        </w:tc>
        <w:tc>
          <w:tcPr>
            <w:tcW w:w="534" w:type="pct"/>
            <w:gridSpan w:val="2"/>
            <w:shd w:val="clear" w:color="auto" w:fill="D9D9D9" w:themeFill="background1" w:themeFillShade="D9"/>
            <w:vAlign w:val="bottom"/>
          </w:tcPr>
          <w:p w:rsidR="00CD69A3" w:rsidRPr="00410C23" w:rsidRDefault="00CD69A3" w:rsidP="00C67220">
            <w:pPr>
              <w:pStyle w:val="TableBodyText"/>
              <w:rPr>
                <w:b/>
              </w:rPr>
            </w:pPr>
            <w:r w:rsidRPr="00410C23">
              <w:rPr>
                <w:b/>
              </w:rPr>
              <w:t>3.0</w:t>
            </w:r>
          </w:p>
        </w:tc>
        <w:tc>
          <w:tcPr>
            <w:tcW w:w="535" w:type="pct"/>
            <w:gridSpan w:val="2"/>
            <w:shd w:val="clear" w:color="auto" w:fill="D9D9D9" w:themeFill="background1" w:themeFillShade="D9"/>
            <w:vAlign w:val="bottom"/>
          </w:tcPr>
          <w:p w:rsidR="00CD69A3" w:rsidRDefault="00CD69A3" w:rsidP="00C67220">
            <w:pPr>
              <w:pStyle w:val="TableBodyText"/>
            </w:pPr>
            <w:r>
              <w:t>84.0</w:t>
            </w:r>
          </w:p>
        </w:tc>
        <w:tc>
          <w:tcPr>
            <w:tcW w:w="534" w:type="pct"/>
            <w:gridSpan w:val="2"/>
            <w:shd w:val="clear" w:color="auto" w:fill="D9D9D9" w:themeFill="background1" w:themeFillShade="D9"/>
            <w:vAlign w:val="bottom"/>
          </w:tcPr>
          <w:p w:rsidR="00CD69A3" w:rsidRDefault="00CD69A3" w:rsidP="00C67220">
            <w:pPr>
              <w:pStyle w:val="TableBodyText"/>
            </w:pPr>
            <w:r>
              <w:t>4.6</w:t>
            </w:r>
          </w:p>
        </w:tc>
        <w:tc>
          <w:tcPr>
            <w:tcW w:w="535" w:type="pct"/>
            <w:shd w:val="clear" w:color="auto" w:fill="D9D9D9" w:themeFill="background1" w:themeFillShade="D9"/>
            <w:vAlign w:val="bottom"/>
          </w:tcPr>
          <w:p w:rsidR="00CD69A3" w:rsidRPr="0028783C" w:rsidRDefault="00CD69A3" w:rsidP="00C67220">
            <w:pPr>
              <w:pStyle w:val="TableBodyText"/>
            </w:pPr>
            <w:r w:rsidRPr="0028783C">
              <w:t>11.4</w:t>
            </w:r>
          </w:p>
        </w:tc>
      </w:tr>
      <w:tr w:rsidR="00CD69A3" w:rsidTr="00F56228">
        <w:tc>
          <w:tcPr>
            <w:tcW w:w="725" w:type="pct"/>
            <w:vAlign w:val="bottom"/>
          </w:tcPr>
          <w:p w:rsidR="00CD69A3" w:rsidRDefault="00CD69A3" w:rsidP="00E813FA">
            <w:pPr>
              <w:pStyle w:val="TableBodyText"/>
              <w:jc w:val="left"/>
            </w:pPr>
            <w:r>
              <w:t>2001-02</w:t>
            </w:r>
          </w:p>
        </w:tc>
        <w:tc>
          <w:tcPr>
            <w:tcW w:w="534" w:type="pct"/>
            <w:gridSpan w:val="2"/>
            <w:vAlign w:val="bottom"/>
          </w:tcPr>
          <w:p w:rsidR="00CD69A3" w:rsidRDefault="00CD69A3" w:rsidP="00C67220">
            <w:pPr>
              <w:pStyle w:val="TableBodyText"/>
            </w:pPr>
            <w:r>
              <w:t>10.8</w:t>
            </w:r>
          </w:p>
        </w:tc>
        <w:tc>
          <w:tcPr>
            <w:tcW w:w="534" w:type="pct"/>
            <w:gridSpan w:val="2"/>
            <w:vAlign w:val="bottom"/>
          </w:tcPr>
          <w:p w:rsidR="00CD69A3" w:rsidRDefault="00CD69A3" w:rsidP="00C67220">
            <w:pPr>
              <w:pStyle w:val="TableBodyText"/>
            </w:pPr>
            <w:r>
              <w:t>7.6</w:t>
            </w:r>
          </w:p>
        </w:tc>
        <w:tc>
          <w:tcPr>
            <w:tcW w:w="535" w:type="pct"/>
            <w:gridSpan w:val="2"/>
            <w:vAlign w:val="bottom"/>
          </w:tcPr>
          <w:p w:rsidR="00CD69A3" w:rsidRDefault="00CD69A3" w:rsidP="00C67220">
            <w:pPr>
              <w:pStyle w:val="TableBodyText"/>
            </w:pPr>
            <w:r>
              <w:t>29.7</w:t>
            </w:r>
          </w:p>
        </w:tc>
        <w:tc>
          <w:tcPr>
            <w:tcW w:w="534" w:type="pct"/>
            <w:gridSpan w:val="2"/>
            <w:vAlign w:val="bottom"/>
          </w:tcPr>
          <w:p w:rsidR="00CD69A3" w:rsidRPr="00410C23" w:rsidRDefault="00CD69A3" w:rsidP="00C67220">
            <w:pPr>
              <w:pStyle w:val="TableBodyText"/>
              <w:rPr>
                <w:b/>
              </w:rPr>
            </w:pPr>
            <w:r w:rsidRPr="00410C23">
              <w:rPr>
                <w:b/>
              </w:rPr>
              <w:t>25.2</w:t>
            </w:r>
          </w:p>
        </w:tc>
        <w:tc>
          <w:tcPr>
            <w:tcW w:w="534" w:type="pct"/>
            <w:gridSpan w:val="2"/>
            <w:vAlign w:val="bottom"/>
          </w:tcPr>
          <w:p w:rsidR="00CD69A3" w:rsidRPr="00410C23" w:rsidRDefault="00CD69A3" w:rsidP="00C67220">
            <w:pPr>
              <w:pStyle w:val="TableBodyText"/>
              <w:rPr>
                <w:b/>
              </w:rPr>
            </w:pPr>
            <w:r w:rsidRPr="00410C23">
              <w:rPr>
                <w:b/>
              </w:rPr>
              <w:t>3.4</w:t>
            </w:r>
          </w:p>
        </w:tc>
        <w:tc>
          <w:tcPr>
            <w:tcW w:w="535" w:type="pct"/>
            <w:gridSpan w:val="2"/>
            <w:vAlign w:val="bottom"/>
          </w:tcPr>
          <w:p w:rsidR="00CD69A3" w:rsidRDefault="00CD69A3" w:rsidP="00C67220">
            <w:pPr>
              <w:pStyle w:val="TableBodyText"/>
            </w:pPr>
            <w:r>
              <w:t>82.0</w:t>
            </w:r>
          </w:p>
        </w:tc>
        <w:tc>
          <w:tcPr>
            <w:tcW w:w="534" w:type="pct"/>
            <w:gridSpan w:val="2"/>
            <w:vAlign w:val="bottom"/>
          </w:tcPr>
          <w:p w:rsidR="00CD69A3" w:rsidRDefault="00CD69A3" w:rsidP="00C67220">
            <w:pPr>
              <w:pStyle w:val="TableBodyText"/>
            </w:pPr>
            <w:r>
              <w:t>5.7</w:t>
            </w:r>
          </w:p>
        </w:tc>
        <w:tc>
          <w:tcPr>
            <w:tcW w:w="535" w:type="pct"/>
            <w:vAlign w:val="bottom"/>
          </w:tcPr>
          <w:p w:rsidR="00CD69A3" w:rsidRPr="0028783C" w:rsidRDefault="00CD69A3" w:rsidP="00C67220">
            <w:pPr>
              <w:pStyle w:val="TableBodyText"/>
            </w:pPr>
            <w:r w:rsidRPr="0028783C">
              <w:t>12.3</w:t>
            </w:r>
          </w:p>
        </w:tc>
      </w:tr>
      <w:tr w:rsidR="00CD69A3" w:rsidTr="00F56228">
        <w:tc>
          <w:tcPr>
            <w:tcW w:w="725" w:type="pct"/>
            <w:tcBorders>
              <w:bottom w:val="single" w:sz="4" w:space="0" w:color="auto"/>
            </w:tcBorders>
            <w:shd w:val="clear" w:color="auto" w:fill="D9D9D9" w:themeFill="background1" w:themeFillShade="D9"/>
            <w:vAlign w:val="bottom"/>
          </w:tcPr>
          <w:p w:rsidR="00CD69A3" w:rsidRDefault="00CD69A3" w:rsidP="00E813FA">
            <w:pPr>
              <w:pStyle w:val="TableBodyText"/>
              <w:jc w:val="left"/>
            </w:pPr>
            <w:r>
              <w:t>2008-09</w:t>
            </w:r>
          </w:p>
        </w:tc>
        <w:tc>
          <w:tcPr>
            <w:tcW w:w="534" w:type="pct"/>
            <w:gridSpan w:val="2"/>
            <w:tcBorders>
              <w:bottom w:val="single" w:sz="4" w:space="0" w:color="auto"/>
            </w:tcBorders>
            <w:shd w:val="clear" w:color="auto" w:fill="D9D9D9" w:themeFill="background1" w:themeFillShade="D9"/>
            <w:vAlign w:val="bottom"/>
          </w:tcPr>
          <w:p w:rsidR="00CD69A3" w:rsidRDefault="00CD69A3" w:rsidP="00C67220">
            <w:pPr>
              <w:pStyle w:val="TableBodyText"/>
            </w:pPr>
            <w:r>
              <w:t>10.8</w:t>
            </w:r>
          </w:p>
        </w:tc>
        <w:tc>
          <w:tcPr>
            <w:tcW w:w="534" w:type="pct"/>
            <w:gridSpan w:val="2"/>
            <w:tcBorders>
              <w:bottom w:val="single" w:sz="4" w:space="0" w:color="auto"/>
            </w:tcBorders>
            <w:shd w:val="clear" w:color="auto" w:fill="D9D9D9" w:themeFill="background1" w:themeFillShade="D9"/>
            <w:vAlign w:val="bottom"/>
          </w:tcPr>
          <w:p w:rsidR="00CD69A3" w:rsidRDefault="00CD69A3" w:rsidP="00C67220">
            <w:pPr>
              <w:pStyle w:val="TableBodyText"/>
            </w:pPr>
            <w:r>
              <w:t>7.6</w:t>
            </w:r>
          </w:p>
        </w:tc>
        <w:tc>
          <w:tcPr>
            <w:tcW w:w="535" w:type="pct"/>
            <w:gridSpan w:val="2"/>
            <w:tcBorders>
              <w:bottom w:val="single" w:sz="4" w:space="0" w:color="auto"/>
            </w:tcBorders>
            <w:shd w:val="clear" w:color="auto" w:fill="D9D9D9" w:themeFill="background1" w:themeFillShade="D9"/>
            <w:vAlign w:val="bottom"/>
          </w:tcPr>
          <w:p w:rsidR="00CD69A3" w:rsidRDefault="00CD69A3" w:rsidP="00C67220">
            <w:pPr>
              <w:pStyle w:val="TableBodyText"/>
            </w:pPr>
            <w:r>
              <w:t>23.5</w:t>
            </w:r>
          </w:p>
        </w:tc>
        <w:tc>
          <w:tcPr>
            <w:tcW w:w="534" w:type="pct"/>
            <w:gridSpan w:val="2"/>
            <w:tcBorders>
              <w:bottom w:val="single" w:sz="4" w:space="0" w:color="auto"/>
            </w:tcBorders>
            <w:shd w:val="clear" w:color="auto" w:fill="D9D9D9" w:themeFill="background1" w:themeFillShade="D9"/>
            <w:vAlign w:val="bottom"/>
          </w:tcPr>
          <w:p w:rsidR="00CD69A3" w:rsidRPr="00410C23" w:rsidRDefault="00CD69A3" w:rsidP="00C67220">
            <w:pPr>
              <w:pStyle w:val="TableBodyText"/>
              <w:rPr>
                <w:b/>
              </w:rPr>
            </w:pPr>
            <w:r w:rsidRPr="00410C23">
              <w:rPr>
                <w:b/>
              </w:rPr>
              <w:t>34.4</w:t>
            </w:r>
          </w:p>
        </w:tc>
        <w:tc>
          <w:tcPr>
            <w:tcW w:w="534" w:type="pct"/>
            <w:gridSpan w:val="2"/>
            <w:tcBorders>
              <w:bottom w:val="single" w:sz="4" w:space="0" w:color="auto"/>
            </w:tcBorders>
            <w:shd w:val="clear" w:color="auto" w:fill="D9D9D9" w:themeFill="background1" w:themeFillShade="D9"/>
            <w:vAlign w:val="bottom"/>
          </w:tcPr>
          <w:p w:rsidR="00CD69A3" w:rsidRPr="00410C23" w:rsidRDefault="00CD69A3" w:rsidP="00C67220">
            <w:pPr>
              <w:pStyle w:val="TableBodyText"/>
              <w:rPr>
                <w:b/>
              </w:rPr>
            </w:pPr>
            <w:r w:rsidRPr="00410C23">
              <w:rPr>
                <w:b/>
              </w:rPr>
              <w:t>7.3</w:t>
            </w:r>
          </w:p>
        </w:tc>
        <w:tc>
          <w:tcPr>
            <w:tcW w:w="535" w:type="pct"/>
            <w:gridSpan w:val="2"/>
            <w:tcBorders>
              <w:bottom w:val="single" w:sz="4" w:space="0" w:color="auto"/>
            </w:tcBorders>
            <w:shd w:val="clear" w:color="auto" w:fill="D9D9D9" w:themeFill="background1" w:themeFillShade="D9"/>
            <w:vAlign w:val="bottom"/>
          </w:tcPr>
          <w:p w:rsidR="00CD69A3" w:rsidRDefault="00CD69A3" w:rsidP="00C67220">
            <w:pPr>
              <w:pStyle w:val="TableBodyText"/>
            </w:pPr>
            <w:r>
              <w:t>84.5</w:t>
            </w:r>
          </w:p>
        </w:tc>
        <w:tc>
          <w:tcPr>
            <w:tcW w:w="534" w:type="pct"/>
            <w:gridSpan w:val="2"/>
            <w:tcBorders>
              <w:bottom w:val="single" w:sz="4" w:space="0" w:color="auto"/>
            </w:tcBorders>
            <w:shd w:val="clear" w:color="auto" w:fill="D9D9D9" w:themeFill="background1" w:themeFillShade="D9"/>
            <w:vAlign w:val="bottom"/>
          </w:tcPr>
          <w:p w:rsidR="00CD69A3" w:rsidRDefault="00CD69A3" w:rsidP="00C67220">
            <w:pPr>
              <w:pStyle w:val="TableBodyText"/>
            </w:pPr>
            <w:r>
              <w:t>3.9</w:t>
            </w:r>
          </w:p>
        </w:tc>
        <w:tc>
          <w:tcPr>
            <w:tcW w:w="535" w:type="pct"/>
            <w:tcBorders>
              <w:bottom w:val="single" w:sz="4" w:space="0" w:color="auto"/>
            </w:tcBorders>
            <w:shd w:val="clear" w:color="auto" w:fill="D9D9D9" w:themeFill="background1" w:themeFillShade="D9"/>
            <w:vAlign w:val="bottom"/>
          </w:tcPr>
          <w:p w:rsidR="00CD69A3" w:rsidRPr="0028783C" w:rsidRDefault="00CD69A3" w:rsidP="00C67220">
            <w:pPr>
              <w:pStyle w:val="TableBodyText"/>
            </w:pPr>
            <w:r w:rsidRPr="0028783C">
              <w:t>11.7</w:t>
            </w:r>
          </w:p>
        </w:tc>
      </w:tr>
    </w:tbl>
    <w:p w:rsidR="00CD69A3" w:rsidRDefault="00CD69A3" w:rsidP="00CD69A3">
      <w:pPr>
        <w:pStyle w:val="Note"/>
      </w:pPr>
      <w:r>
        <w:rPr>
          <w:rStyle w:val="NoteLabel"/>
        </w:rPr>
        <w:t>a</w:t>
      </w:r>
      <w:r>
        <w:t xml:space="preserve"> The last three columns in the table sum to 100 and represent ‘total supply’. Total supply is the sum of all final uses (including export) and total industry use. Input</w:t>
      </w:r>
      <w:r w:rsidR="00C9563B">
        <w:t>-</w:t>
      </w:r>
      <w:r>
        <w:t xml:space="preserve">output tables are based on value (current prices) rather than volume measures. </w:t>
      </w:r>
      <w:r>
        <w:rPr>
          <w:rStyle w:val="NoteLabel"/>
        </w:rPr>
        <w:t>b</w:t>
      </w:r>
      <w:r w:rsidR="00350341">
        <w:rPr>
          <w:rStyle w:val="NoteLabel"/>
        </w:rPr>
        <w:t xml:space="preserve"> </w:t>
      </w:r>
      <w:r>
        <w:t xml:space="preserve">There are some concordance issues between the </w:t>
      </w:r>
      <w:proofErr w:type="spellStart"/>
      <w:r>
        <w:t>ANZSIC93</w:t>
      </w:r>
      <w:proofErr w:type="spellEnd"/>
      <w:r>
        <w:t xml:space="preserve"> and </w:t>
      </w:r>
      <w:proofErr w:type="spellStart"/>
      <w:r>
        <w:t>ANZSIC06</w:t>
      </w:r>
      <w:proofErr w:type="spellEnd"/>
      <w:r>
        <w:t xml:space="preserve">. For better concordance with </w:t>
      </w:r>
      <w:proofErr w:type="spellStart"/>
      <w:r>
        <w:t>ANZSIC06</w:t>
      </w:r>
      <w:proofErr w:type="spellEnd"/>
      <w:r>
        <w:t xml:space="preserve">, Metal products in 1994-95 and 2001-02 </w:t>
      </w:r>
      <w:r>
        <w:rPr>
          <w:i/>
        </w:rPr>
        <w:t>include</w:t>
      </w:r>
      <w:r>
        <w:t xml:space="preserve"> Prefabricated buildings.</w:t>
      </w:r>
      <w:r>
        <w:rPr>
          <w:rStyle w:val="NoteLabel"/>
        </w:rPr>
        <w:t xml:space="preserve"> c</w:t>
      </w:r>
      <w:r>
        <w:t xml:space="preserve"> </w:t>
      </w:r>
      <w:r w:rsidR="001265A1">
        <w:t>‘</w:t>
      </w:r>
      <w:r w:rsidR="00C12D4D">
        <w:t xml:space="preserve">Machinery and equipment and transport’. </w:t>
      </w:r>
      <w:r>
        <w:t xml:space="preserve">Refers to 28 Machinery and equipment in </w:t>
      </w:r>
      <w:proofErr w:type="spellStart"/>
      <w:r>
        <w:t>ANZSIC93</w:t>
      </w:r>
      <w:proofErr w:type="spellEnd"/>
      <w:r>
        <w:t xml:space="preserve"> for 1994-95 and 2001-02 and to sum of 23 Transport equipment and 24</w:t>
      </w:r>
      <w:r w:rsidRPr="00F32128">
        <w:t xml:space="preserve"> </w:t>
      </w:r>
      <w:r>
        <w:t xml:space="preserve">Machinery and equipment in </w:t>
      </w:r>
      <w:proofErr w:type="spellStart"/>
      <w:r>
        <w:t>ANZSIC06</w:t>
      </w:r>
      <w:proofErr w:type="spellEnd"/>
      <w:r>
        <w:t xml:space="preserve"> for 2008-09. </w:t>
      </w:r>
    </w:p>
    <w:p w:rsidR="00CD69A3" w:rsidRDefault="00CD69A3" w:rsidP="00CD69A3">
      <w:pPr>
        <w:pStyle w:val="Source"/>
      </w:pPr>
      <w:r>
        <w:rPr>
          <w:i/>
        </w:rPr>
        <w:t>Source</w:t>
      </w:r>
      <w:r>
        <w:t xml:space="preserve">: </w:t>
      </w:r>
      <w:r w:rsidR="008A64C4">
        <w:t xml:space="preserve">Authors’ estimates based on </w:t>
      </w:r>
      <w:r>
        <w:t>ABS (</w:t>
      </w:r>
      <w:r>
        <w:rPr>
          <w:i/>
        </w:rPr>
        <w:t xml:space="preserve">Australian National Accounts: </w:t>
      </w:r>
      <w:r w:rsidR="0021298D">
        <w:rPr>
          <w:i/>
        </w:rPr>
        <w:t>I</w:t>
      </w:r>
      <w:r>
        <w:rPr>
          <w:i/>
        </w:rPr>
        <w:t>nput-</w:t>
      </w:r>
      <w:r w:rsidR="0021298D">
        <w:rPr>
          <w:i/>
        </w:rPr>
        <w:t>O</w:t>
      </w:r>
      <w:r>
        <w:rPr>
          <w:i/>
        </w:rPr>
        <w:t xml:space="preserve">utput </w:t>
      </w:r>
      <w:r w:rsidR="0021298D">
        <w:rPr>
          <w:i/>
        </w:rPr>
        <w:t>T</w:t>
      </w:r>
      <w:r>
        <w:rPr>
          <w:i/>
        </w:rPr>
        <w:t xml:space="preserve">ables, </w:t>
      </w:r>
      <w:r w:rsidR="009372CE">
        <w:t>various issues</w:t>
      </w:r>
      <w:r>
        <w:t>, Cat. no. 5209.0.55.001)</w:t>
      </w:r>
      <w:r w:rsidR="00395B48">
        <w:t>.</w:t>
      </w:r>
    </w:p>
    <w:p w:rsidR="0036290E" w:rsidRPr="002312E2" w:rsidRDefault="00C04731" w:rsidP="00535C93">
      <w:pPr>
        <w:pStyle w:val="Heading2"/>
      </w:pPr>
      <w:proofErr w:type="spellStart"/>
      <w:r w:rsidRPr="002312E2">
        <w:t>H.</w:t>
      </w:r>
      <w:r w:rsidR="00D76F7C">
        <w:rPr>
          <w:noProof/>
        </w:rPr>
        <w:t>4</w:t>
      </w:r>
      <w:proofErr w:type="spellEnd"/>
      <w:r w:rsidR="0036290E" w:rsidRPr="002312E2">
        <w:tab/>
        <w:t>Capital lags</w:t>
      </w:r>
      <w:r w:rsidR="00A11166" w:rsidRPr="002312E2">
        <w:t xml:space="preserve"> in </w:t>
      </w:r>
      <w:r w:rsidR="00553C9C" w:rsidRPr="002312E2">
        <w:t>Metal products</w:t>
      </w:r>
    </w:p>
    <w:p w:rsidR="00D94BEB" w:rsidRDefault="00D94BEB" w:rsidP="00D94BEB">
      <w:pPr>
        <w:pStyle w:val="BodyText"/>
      </w:pPr>
      <w:r>
        <w:t xml:space="preserve">The strong investment growth in Metal product manufacturing over cycle </w:t>
      </w:r>
      <w:r w:rsidR="001D2B8B">
        <w:t xml:space="preserve">4 </w:t>
      </w:r>
      <w:r>
        <w:t xml:space="preserve">was also associated with larger projects that took longer </w:t>
      </w:r>
      <w:r w:rsidR="001D2B8B">
        <w:t xml:space="preserve">to </w:t>
      </w:r>
      <w:r>
        <w:t xml:space="preserve">complete. Much of this was due to the size and scale associated with increasing the production of alumina. For example, the Alcan expansion at Gove first appeared as ‘committed’ on the October 2004 </w:t>
      </w:r>
      <w:proofErr w:type="spellStart"/>
      <w:r>
        <w:t>ABARE</w:t>
      </w:r>
      <w:proofErr w:type="spellEnd"/>
      <w:r>
        <w:t xml:space="preserve"> advanced project list, and was not completed until 2007</w:t>
      </w:r>
      <w:r w:rsidR="002C2D1F">
        <w:t xml:space="preserve"> (</w:t>
      </w:r>
      <w:proofErr w:type="spellStart"/>
      <w:r w:rsidR="002C2D1F" w:rsidRPr="00D12CAF">
        <w:t>ABARE</w:t>
      </w:r>
      <w:proofErr w:type="spellEnd"/>
      <w:r w:rsidR="001265A1">
        <w:t> </w:t>
      </w:r>
      <w:proofErr w:type="spellStart"/>
      <w:r w:rsidR="002C2D1F" w:rsidRPr="00D12CAF">
        <w:t>2004</w:t>
      </w:r>
      <w:r w:rsidR="00592BD7">
        <w:t>c</w:t>
      </w:r>
      <w:proofErr w:type="spellEnd"/>
      <w:r w:rsidR="002C2D1F" w:rsidRPr="00D12CAF">
        <w:t>, 2007</w:t>
      </w:r>
      <w:r w:rsidR="002C2D1F">
        <w:t>)</w:t>
      </w:r>
      <w:r>
        <w:t xml:space="preserve">. </w:t>
      </w:r>
    </w:p>
    <w:p w:rsidR="00D94BEB" w:rsidRDefault="00130069" w:rsidP="00D94BEB">
      <w:pPr>
        <w:pStyle w:val="BodyText"/>
      </w:pPr>
      <w:r>
        <w:t xml:space="preserve">Capital lags affect </w:t>
      </w:r>
      <w:r w:rsidR="00C9563B">
        <w:t>multifactor productivity (</w:t>
      </w:r>
      <w:r>
        <w:t>MFP</w:t>
      </w:r>
      <w:r w:rsidR="00C9563B">
        <w:t>)</w:t>
      </w:r>
      <w:r>
        <w:t xml:space="preserve"> growth in periods where there is an acceleration or deceleration in growth of capital inputs. </w:t>
      </w:r>
      <w:r w:rsidR="00C2670B">
        <w:t>Provided investments are fully utilised over time, such lags</w:t>
      </w:r>
      <w:r w:rsidR="00F67EB8">
        <w:t xml:space="preserve"> </w:t>
      </w:r>
      <w:r w:rsidR="00D94BEB">
        <w:t xml:space="preserve">have little effect on MFP in the long run. </w:t>
      </w:r>
    </w:p>
    <w:p w:rsidR="00D94BEB" w:rsidRDefault="00D94BEB" w:rsidP="00D94BEB">
      <w:pPr>
        <w:pStyle w:val="BodyText"/>
      </w:pPr>
      <w:r>
        <w:lastRenderedPageBreak/>
        <w:t xml:space="preserve">For the case of Metal products, where the average length between investment and </w:t>
      </w:r>
      <w:r w:rsidR="005902B9">
        <w:t xml:space="preserve">completion </w:t>
      </w:r>
      <w:r>
        <w:t>was between two and three years</w:t>
      </w:r>
      <w:r>
        <w:rPr>
          <w:rStyle w:val="FootnoteReference"/>
        </w:rPr>
        <w:footnoteReference w:id="3"/>
      </w:r>
      <w:r>
        <w:t>, the effect of lagging capital inputs is very apparent in the 2003-04 to 2007-08 productivity cycle — the period of strong capital inputs growth</w:t>
      </w:r>
      <w:r w:rsidR="00F712B8">
        <w:t xml:space="preserve"> (table </w:t>
      </w:r>
      <w:proofErr w:type="spellStart"/>
      <w:r w:rsidR="00F712B8">
        <w:t>H.4</w:t>
      </w:r>
      <w:proofErr w:type="spellEnd"/>
      <w:r w:rsidR="00F712B8">
        <w:t>)</w:t>
      </w:r>
      <w:r>
        <w:t>. With a two-year lag of capital services, annual average MFP growth in that cycle improves by 0.6 of a percentage point but is still negative (</w:t>
      </w:r>
      <w:r w:rsidR="00D90794">
        <w:noBreakHyphen/>
      </w:r>
      <w:r>
        <w:t>0.3</w:t>
      </w:r>
      <w:r w:rsidR="00D90794">
        <w:t> </w:t>
      </w:r>
      <w:r w:rsidR="00282C64">
        <w:t xml:space="preserve">per cent); </w:t>
      </w:r>
      <w:r>
        <w:t>with a three-year lag, MFP improves by 1.8 percentage points and becomes positive (1.0</w:t>
      </w:r>
      <w:r w:rsidR="00282C64">
        <w:t xml:space="preserve"> per cent</w:t>
      </w:r>
      <w:r>
        <w:t>).</w:t>
      </w:r>
    </w:p>
    <w:p w:rsidR="00D94BEB" w:rsidRDefault="00D94BEB" w:rsidP="00D94BEB">
      <w:pPr>
        <w:pStyle w:val="TableTitle"/>
      </w:pPr>
      <w:r>
        <w:rPr>
          <w:b w:val="0"/>
        </w:rPr>
        <w:t xml:space="preserve">Table </w:t>
      </w:r>
      <w:bookmarkStart w:id="11" w:name="OLE_LINK49"/>
      <w:proofErr w:type="spellStart"/>
      <w:r w:rsidR="00750D19">
        <w:rPr>
          <w:b w:val="0"/>
        </w:rPr>
        <w:t>H.</w:t>
      </w:r>
      <w:r w:rsidR="00D76F7C">
        <w:rPr>
          <w:b w:val="0"/>
          <w:noProof/>
        </w:rPr>
        <w:t>4</w:t>
      </w:r>
      <w:bookmarkEnd w:id="11"/>
      <w:proofErr w:type="spellEnd"/>
      <w:r>
        <w:tab/>
        <w:t xml:space="preserve">Effect of two- and three-year capital lags on </w:t>
      </w:r>
      <w:r w:rsidR="005A7F28">
        <w:t xml:space="preserve">MFP in </w:t>
      </w:r>
      <w:r w:rsidR="00A11166">
        <w:t>M</w:t>
      </w:r>
      <w:r>
        <w:t>etal prod</w:t>
      </w:r>
      <w:r w:rsidR="005A7F28">
        <w:t>ucts</w:t>
      </w:r>
    </w:p>
    <w:tbl>
      <w:tblPr>
        <w:tblW w:w="5000" w:type="pct"/>
        <w:tblCellMar>
          <w:left w:w="0" w:type="dxa"/>
          <w:right w:w="0" w:type="dxa"/>
        </w:tblCellMar>
        <w:tblLook w:val="0000" w:firstRow="0" w:lastRow="0" w:firstColumn="0" w:lastColumn="0" w:noHBand="0" w:noVBand="0"/>
      </w:tblPr>
      <w:tblGrid>
        <w:gridCol w:w="1975"/>
        <w:gridCol w:w="1213"/>
        <w:gridCol w:w="1164"/>
        <w:gridCol w:w="1160"/>
        <w:gridCol w:w="90"/>
        <w:gridCol w:w="1587"/>
        <w:gridCol w:w="1600"/>
      </w:tblGrid>
      <w:tr w:rsidR="0078072F" w:rsidTr="00586B7A">
        <w:tc>
          <w:tcPr>
            <w:tcW w:w="1099" w:type="pct"/>
            <w:tcBorders>
              <w:top w:val="single" w:sz="6" w:space="0" w:color="auto"/>
            </w:tcBorders>
            <w:shd w:val="clear" w:color="auto" w:fill="auto"/>
            <w:vAlign w:val="bottom"/>
          </w:tcPr>
          <w:p w:rsidR="0078072F" w:rsidRDefault="0078072F" w:rsidP="00DD2ED1">
            <w:pPr>
              <w:pStyle w:val="TableColumnHeading"/>
              <w:jc w:val="left"/>
            </w:pPr>
          </w:p>
        </w:tc>
        <w:tc>
          <w:tcPr>
            <w:tcW w:w="1967" w:type="pct"/>
            <w:gridSpan w:val="3"/>
            <w:tcBorders>
              <w:top w:val="single" w:sz="6" w:space="0" w:color="auto"/>
              <w:bottom w:val="single" w:sz="4" w:space="0" w:color="auto"/>
            </w:tcBorders>
            <w:shd w:val="clear" w:color="auto" w:fill="auto"/>
            <w:vAlign w:val="bottom"/>
          </w:tcPr>
          <w:p w:rsidR="0078072F" w:rsidRPr="00173ECF" w:rsidRDefault="0078072F" w:rsidP="00807B0F">
            <w:pPr>
              <w:pStyle w:val="TableColumnHeading"/>
              <w:jc w:val="center"/>
            </w:pPr>
            <w:r w:rsidRPr="00173ECF">
              <w:t>MFP growth</w:t>
            </w:r>
          </w:p>
        </w:tc>
        <w:tc>
          <w:tcPr>
            <w:tcW w:w="50" w:type="pct"/>
            <w:tcBorders>
              <w:top w:val="single" w:sz="6" w:space="0" w:color="auto"/>
            </w:tcBorders>
          </w:tcPr>
          <w:p w:rsidR="0078072F" w:rsidRPr="00173ECF" w:rsidRDefault="0078072F" w:rsidP="00807B0F">
            <w:pPr>
              <w:pStyle w:val="TableColumnHeading"/>
              <w:jc w:val="center"/>
            </w:pPr>
          </w:p>
        </w:tc>
        <w:tc>
          <w:tcPr>
            <w:tcW w:w="1773" w:type="pct"/>
            <w:gridSpan w:val="2"/>
            <w:tcBorders>
              <w:top w:val="single" w:sz="6" w:space="0" w:color="auto"/>
              <w:bottom w:val="single" w:sz="4" w:space="0" w:color="auto"/>
            </w:tcBorders>
            <w:shd w:val="clear" w:color="auto" w:fill="auto"/>
            <w:vAlign w:val="bottom"/>
          </w:tcPr>
          <w:p w:rsidR="0078072F" w:rsidRPr="00173ECF" w:rsidRDefault="0078072F" w:rsidP="00807B0F">
            <w:pPr>
              <w:pStyle w:val="TableColumnHeading"/>
              <w:jc w:val="center"/>
            </w:pPr>
            <w:r w:rsidRPr="00173ECF">
              <w:t>Effect of the lag on MFP</w:t>
            </w:r>
            <w:r w:rsidRPr="003D3B52">
              <w:rPr>
                <w:rStyle w:val="NoteLabel"/>
                <w:i w:val="0"/>
              </w:rPr>
              <w:t>a</w:t>
            </w:r>
          </w:p>
        </w:tc>
      </w:tr>
      <w:tr w:rsidR="00A83EDA" w:rsidRPr="00586B7A" w:rsidTr="00586B7A">
        <w:tc>
          <w:tcPr>
            <w:tcW w:w="1099" w:type="pct"/>
            <w:tcBorders>
              <w:bottom w:val="single" w:sz="4" w:space="0" w:color="auto"/>
            </w:tcBorders>
          </w:tcPr>
          <w:p w:rsidR="00A83EDA" w:rsidRPr="00586B7A" w:rsidRDefault="00586B7A" w:rsidP="00586B7A">
            <w:pPr>
              <w:pStyle w:val="TableColumnHeading"/>
              <w:jc w:val="left"/>
            </w:pPr>
            <w:r>
              <w:t>Cycle</w:t>
            </w:r>
          </w:p>
        </w:tc>
        <w:tc>
          <w:tcPr>
            <w:tcW w:w="675" w:type="pct"/>
            <w:tcBorders>
              <w:top w:val="single" w:sz="4" w:space="0" w:color="auto"/>
              <w:bottom w:val="single" w:sz="4" w:space="0" w:color="auto"/>
            </w:tcBorders>
            <w:vAlign w:val="bottom"/>
          </w:tcPr>
          <w:p w:rsidR="00A83EDA" w:rsidRPr="00586B7A" w:rsidRDefault="00A83EDA" w:rsidP="00586B7A">
            <w:pPr>
              <w:pStyle w:val="TableColumnHeading"/>
            </w:pPr>
            <w:r w:rsidRPr="00586B7A">
              <w:t>no lags</w:t>
            </w:r>
          </w:p>
        </w:tc>
        <w:tc>
          <w:tcPr>
            <w:tcW w:w="647" w:type="pct"/>
            <w:tcBorders>
              <w:top w:val="single" w:sz="4" w:space="0" w:color="auto"/>
              <w:bottom w:val="single" w:sz="4" w:space="0" w:color="auto"/>
            </w:tcBorders>
            <w:vAlign w:val="bottom"/>
          </w:tcPr>
          <w:p w:rsidR="00A83EDA" w:rsidRPr="00586B7A" w:rsidRDefault="00A83EDA" w:rsidP="00586B7A">
            <w:pPr>
              <w:pStyle w:val="TableColumnHeading"/>
            </w:pPr>
            <w:r w:rsidRPr="00586B7A">
              <w:t>2 year lag</w:t>
            </w:r>
          </w:p>
        </w:tc>
        <w:tc>
          <w:tcPr>
            <w:tcW w:w="645" w:type="pct"/>
            <w:tcBorders>
              <w:top w:val="single" w:sz="4" w:space="0" w:color="auto"/>
              <w:bottom w:val="single" w:sz="4" w:space="0" w:color="auto"/>
            </w:tcBorders>
            <w:vAlign w:val="bottom"/>
          </w:tcPr>
          <w:p w:rsidR="00A83EDA" w:rsidRPr="00586B7A" w:rsidRDefault="00A83EDA" w:rsidP="00586B7A">
            <w:pPr>
              <w:pStyle w:val="TableColumnHeading"/>
            </w:pPr>
            <w:r w:rsidRPr="00586B7A">
              <w:t>3 year lag</w:t>
            </w:r>
          </w:p>
        </w:tc>
        <w:tc>
          <w:tcPr>
            <w:tcW w:w="50" w:type="pct"/>
            <w:tcBorders>
              <w:bottom w:val="single" w:sz="4" w:space="0" w:color="auto"/>
            </w:tcBorders>
          </w:tcPr>
          <w:p w:rsidR="00A83EDA" w:rsidRPr="00586B7A" w:rsidRDefault="00A83EDA" w:rsidP="00586B7A">
            <w:pPr>
              <w:pStyle w:val="TableColumnHeading"/>
            </w:pPr>
          </w:p>
        </w:tc>
        <w:tc>
          <w:tcPr>
            <w:tcW w:w="883" w:type="pct"/>
            <w:tcBorders>
              <w:top w:val="single" w:sz="4" w:space="0" w:color="auto"/>
              <w:bottom w:val="single" w:sz="4" w:space="0" w:color="auto"/>
            </w:tcBorders>
            <w:vAlign w:val="bottom"/>
          </w:tcPr>
          <w:p w:rsidR="00A83EDA" w:rsidRPr="00586B7A" w:rsidRDefault="00A83EDA" w:rsidP="00586B7A">
            <w:pPr>
              <w:pStyle w:val="TableColumnHeading"/>
            </w:pPr>
            <w:r w:rsidRPr="00586B7A">
              <w:t>2 year lag</w:t>
            </w:r>
          </w:p>
        </w:tc>
        <w:tc>
          <w:tcPr>
            <w:tcW w:w="890" w:type="pct"/>
            <w:tcBorders>
              <w:top w:val="single" w:sz="4" w:space="0" w:color="auto"/>
              <w:bottom w:val="single" w:sz="4" w:space="0" w:color="auto"/>
            </w:tcBorders>
            <w:vAlign w:val="bottom"/>
          </w:tcPr>
          <w:p w:rsidR="00A83EDA" w:rsidRPr="00586B7A" w:rsidRDefault="00A83EDA" w:rsidP="00586B7A">
            <w:pPr>
              <w:pStyle w:val="TableColumnHeading"/>
            </w:pPr>
            <w:r w:rsidRPr="00586B7A">
              <w:t>3 year lag</w:t>
            </w:r>
          </w:p>
        </w:tc>
      </w:tr>
      <w:tr w:rsidR="00F26597" w:rsidTr="00586B7A">
        <w:tc>
          <w:tcPr>
            <w:tcW w:w="1099" w:type="pct"/>
            <w:tcBorders>
              <w:top w:val="single" w:sz="4" w:space="0" w:color="auto"/>
            </w:tcBorders>
          </w:tcPr>
          <w:p w:rsidR="00F26597" w:rsidRDefault="00F26597" w:rsidP="00F26597">
            <w:pPr>
              <w:pStyle w:val="TableUnitsRow"/>
            </w:pPr>
          </w:p>
        </w:tc>
        <w:tc>
          <w:tcPr>
            <w:tcW w:w="675" w:type="pct"/>
            <w:tcBorders>
              <w:top w:val="single" w:sz="4" w:space="0" w:color="auto"/>
            </w:tcBorders>
            <w:vAlign w:val="bottom"/>
          </w:tcPr>
          <w:p w:rsidR="00F26597" w:rsidRPr="00F26597" w:rsidRDefault="00F26597" w:rsidP="00F26597">
            <w:pPr>
              <w:pStyle w:val="TableUnitsRow"/>
            </w:pPr>
            <w:r w:rsidRPr="00F26597">
              <w:t xml:space="preserve">% </w:t>
            </w:r>
            <w:proofErr w:type="spellStart"/>
            <w:r w:rsidRPr="00F26597">
              <w:t>py</w:t>
            </w:r>
            <w:proofErr w:type="spellEnd"/>
          </w:p>
        </w:tc>
        <w:tc>
          <w:tcPr>
            <w:tcW w:w="647" w:type="pct"/>
            <w:tcBorders>
              <w:top w:val="single" w:sz="4" w:space="0" w:color="auto"/>
            </w:tcBorders>
            <w:vAlign w:val="bottom"/>
          </w:tcPr>
          <w:p w:rsidR="00F26597" w:rsidRPr="00F26597" w:rsidRDefault="00F26597" w:rsidP="00CA251B">
            <w:pPr>
              <w:pStyle w:val="TableUnitsRow"/>
            </w:pPr>
            <w:r w:rsidRPr="00F26597">
              <w:t xml:space="preserve">% </w:t>
            </w:r>
            <w:proofErr w:type="spellStart"/>
            <w:r w:rsidRPr="00F26597">
              <w:t>py</w:t>
            </w:r>
            <w:proofErr w:type="spellEnd"/>
          </w:p>
        </w:tc>
        <w:tc>
          <w:tcPr>
            <w:tcW w:w="645" w:type="pct"/>
            <w:tcBorders>
              <w:top w:val="single" w:sz="4" w:space="0" w:color="auto"/>
            </w:tcBorders>
            <w:vAlign w:val="bottom"/>
          </w:tcPr>
          <w:p w:rsidR="00F26597" w:rsidRPr="00F26597" w:rsidRDefault="00F26597" w:rsidP="00CA251B">
            <w:pPr>
              <w:pStyle w:val="TableUnitsRow"/>
            </w:pPr>
            <w:r w:rsidRPr="00F26597">
              <w:t xml:space="preserve">% </w:t>
            </w:r>
            <w:proofErr w:type="spellStart"/>
            <w:r w:rsidRPr="00F26597">
              <w:t>py</w:t>
            </w:r>
            <w:proofErr w:type="spellEnd"/>
          </w:p>
        </w:tc>
        <w:tc>
          <w:tcPr>
            <w:tcW w:w="50" w:type="pct"/>
            <w:tcBorders>
              <w:top w:val="single" w:sz="4" w:space="0" w:color="auto"/>
            </w:tcBorders>
          </w:tcPr>
          <w:p w:rsidR="00F26597" w:rsidRPr="000B46DB" w:rsidRDefault="00F26597" w:rsidP="00F26597">
            <w:pPr>
              <w:pStyle w:val="TableUnitsRow"/>
              <w:rPr>
                <w:b/>
              </w:rPr>
            </w:pPr>
          </w:p>
        </w:tc>
        <w:tc>
          <w:tcPr>
            <w:tcW w:w="883" w:type="pct"/>
            <w:tcBorders>
              <w:top w:val="single" w:sz="4" w:space="0" w:color="auto"/>
            </w:tcBorders>
            <w:vAlign w:val="bottom"/>
          </w:tcPr>
          <w:p w:rsidR="00F26597" w:rsidRPr="00F26597" w:rsidRDefault="00F26597" w:rsidP="00F26597">
            <w:pPr>
              <w:pStyle w:val="TableUnitsRow"/>
            </w:pPr>
            <w:r w:rsidRPr="00F26597">
              <w:t xml:space="preserve">% </w:t>
            </w:r>
            <w:proofErr w:type="spellStart"/>
            <w:r w:rsidRPr="00F26597">
              <w:t>pts</w:t>
            </w:r>
            <w:proofErr w:type="spellEnd"/>
          </w:p>
        </w:tc>
        <w:tc>
          <w:tcPr>
            <w:tcW w:w="890" w:type="pct"/>
            <w:tcBorders>
              <w:top w:val="single" w:sz="4" w:space="0" w:color="auto"/>
            </w:tcBorders>
            <w:vAlign w:val="bottom"/>
          </w:tcPr>
          <w:p w:rsidR="00F26597" w:rsidRPr="00F26597" w:rsidRDefault="00F26597" w:rsidP="00CA251B">
            <w:pPr>
              <w:pStyle w:val="TableUnitsRow"/>
            </w:pPr>
            <w:r w:rsidRPr="00F26597">
              <w:t xml:space="preserve">% </w:t>
            </w:r>
            <w:proofErr w:type="spellStart"/>
            <w:r w:rsidRPr="00F26597">
              <w:t>pts</w:t>
            </w:r>
            <w:proofErr w:type="spellEnd"/>
          </w:p>
        </w:tc>
      </w:tr>
      <w:tr w:rsidR="00F26597" w:rsidTr="004A2A9F">
        <w:tc>
          <w:tcPr>
            <w:tcW w:w="1099" w:type="pct"/>
            <w:shd w:val="clear" w:color="auto" w:fill="D9D9D9" w:themeFill="background1" w:themeFillShade="D9"/>
            <w:vAlign w:val="bottom"/>
          </w:tcPr>
          <w:p w:rsidR="00F26597" w:rsidRDefault="00F26597" w:rsidP="00C67220">
            <w:pPr>
              <w:rPr>
                <w:rFonts w:ascii="Arial" w:hAnsi="Arial" w:cs="Arial"/>
                <w:color w:val="000000"/>
                <w:sz w:val="20"/>
                <w:szCs w:val="20"/>
              </w:rPr>
            </w:pPr>
            <w:r>
              <w:rPr>
                <w:rFonts w:ascii="Arial" w:hAnsi="Arial" w:cs="Arial"/>
                <w:color w:val="000000"/>
                <w:sz w:val="20"/>
                <w:szCs w:val="20"/>
              </w:rPr>
              <w:t>1988-89 to 1993-94</w:t>
            </w:r>
          </w:p>
        </w:tc>
        <w:tc>
          <w:tcPr>
            <w:tcW w:w="675" w:type="pct"/>
            <w:shd w:val="clear" w:color="auto" w:fill="D9D9D9" w:themeFill="background1" w:themeFillShade="D9"/>
            <w:vAlign w:val="bottom"/>
          </w:tcPr>
          <w:p w:rsidR="00F26597" w:rsidRDefault="00F26597" w:rsidP="00C67220">
            <w:pPr>
              <w:pStyle w:val="TableBodyText"/>
            </w:pPr>
            <w:r>
              <w:t>1.0</w:t>
            </w:r>
          </w:p>
        </w:tc>
        <w:tc>
          <w:tcPr>
            <w:tcW w:w="647" w:type="pct"/>
            <w:shd w:val="clear" w:color="auto" w:fill="D9D9D9" w:themeFill="background1" w:themeFillShade="D9"/>
            <w:vAlign w:val="bottom"/>
          </w:tcPr>
          <w:p w:rsidR="00F26597" w:rsidRDefault="00F26597" w:rsidP="00C67220">
            <w:pPr>
              <w:pStyle w:val="TableBodyText"/>
            </w:pPr>
            <w:r>
              <w:t>0.3</w:t>
            </w:r>
          </w:p>
        </w:tc>
        <w:tc>
          <w:tcPr>
            <w:tcW w:w="645" w:type="pct"/>
            <w:shd w:val="clear" w:color="auto" w:fill="D9D9D9" w:themeFill="background1" w:themeFillShade="D9"/>
            <w:vAlign w:val="bottom"/>
          </w:tcPr>
          <w:p w:rsidR="00F26597" w:rsidRDefault="00F26597" w:rsidP="00C67220">
            <w:pPr>
              <w:pStyle w:val="TableBodyText"/>
            </w:pPr>
            <w:r>
              <w:t>0.2</w:t>
            </w:r>
          </w:p>
        </w:tc>
        <w:tc>
          <w:tcPr>
            <w:tcW w:w="50" w:type="pct"/>
            <w:shd w:val="clear" w:color="auto" w:fill="D9D9D9" w:themeFill="background1" w:themeFillShade="D9"/>
          </w:tcPr>
          <w:p w:rsidR="00F26597" w:rsidRDefault="00F26597" w:rsidP="00C67220">
            <w:pPr>
              <w:pStyle w:val="TableBodyText"/>
            </w:pPr>
          </w:p>
        </w:tc>
        <w:tc>
          <w:tcPr>
            <w:tcW w:w="883" w:type="pct"/>
            <w:shd w:val="clear" w:color="auto" w:fill="D9D9D9" w:themeFill="background1" w:themeFillShade="D9"/>
            <w:vAlign w:val="bottom"/>
          </w:tcPr>
          <w:p w:rsidR="00F26597" w:rsidRDefault="00F26597" w:rsidP="00C67220">
            <w:pPr>
              <w:pStyle w:val="TableBodyText"/>
            </w:pPr>
            <w:r>
              <w:t>-0.7</w:t>
            </w:r>
          </w:p>
        </w:tc>
        <w:tc>
          <w:tcPr>
            <w:tcW w:w="890" w:type="pct"/>
            <w:shd w:val="clear" w:color="auto" w:fill="D9D9D9" w:themeFill="background1" w:themeFillShade="D9"/>
            <w:vAlign w:val="bottom"/>
          </w:tcPr>
          <w:p w:rsidR="00F26597" w:rsidRDefault="00F26597" w:rsidP="00C67220">
            <w:pPr>
              <w:pStyle w:val="TableBodyText"/>
            </w:pPr>
            <w:r>
              <w:t>-0.8</w:t>
            </w:r>
          </w:p>
        </w:tc>
      </w:tr>
      <w:tr w:rsidR="00F26597" w:rsidTr="00586B7A">
        <w:tc>
          <w:tcPr>
            <w:tcW w:w="1099" w:type="pct"/>
            <w:vAlign w:val="bottom"/>
          </w:tcPr>
          <w:p w:rsidR="00F26597" w:rsidRDefault="00F26597" w:rsidP="00C67220">
            <w:pPr>
              <w:rPr>
                <w:rFonts w:ascii="Arial" w:hAnsi="Arial" w:cs="Arial"/>
                <w:color w:val="000000"/>
                <w:sz w:val="20"/>
                <w:szCs w:val="20"/>
              </w:rPr>
            </w:pPr>
            <w:r>
              <w:rPr>
                <w:rFonts w:ascii="Arial" w:hAnsi="Arial" w:cs="Arial"/>
                <w:color w:val="000000"/>
                <w:sz w:val="20"/>
                <w:szCs w:val="20"/>
              </w:rPr>
              <w:t>1993-94 to 1998-99</w:t>
            </w:r>
          </w:p>
        </w:tc>
        <w:tc>
          <w:tcPr>
            <w:tcW w:w="675" w:type="pct"/>
            <w:vAlign w:val="bottom"/>
          </w:tcPr>
          <w:p w:rsidR="00F26597" w:rsidRDefault="00F26597" w:rsidP="00C67220">
            <w:pPr>
              <w:pStyle w:val="TableBodyText"/>
            </w:pPr>
            <w:r>
              <w:t>1.1</w:t>
            </w:r>
          </w:p>
        </w:tc>
        <w:tc>
          <w:tcPr>
            <w:tcW w:w="647" w:type="pct"/>
            <w:vAlign w:val="bottom"/>
          </w:tcPr>
          <w:p w:rsidR="00F26597" w:rsidRDefault="00F26597" w:rsidP="00C67220">
            <w:pPr>
              <w:pStyle w:val="TableBodyText"/>
            </w:pPr>
            <w:r>
              <w:t>1.3</w:t>
            </w:r>
          </w:p>
        </w:tc>
        <w:tc>
          <w:tcPr>
            <w:tcW w:w="645" w:type="pct"/>
            <w:vAlign w:val="bottom"/>
          </w:tcPr>
          <w:p w:rsidR="00F26597" w:rsidRDefault="00F26597" w:rsidP="00C67220">
            <w:pPr>
              <w:pStyle w:val="TableBodyText"/>
            </w:pPr>
            <w:r>
              <w:t>0.8</w:t>
            </w:r>
          </w:p>
        </w:tc>
        <w:tc>
          <w:tcPr>
            <w:tcW w:w="50" w:type="pct"/>
          </w:tcPr>
          <w:p w:rsidR="00F26597" w:rsidRDefault="00F26597" w:rsidP="00C67220">
            <w:pPr>
              <w:pStyle w:val="TableBodyText"/>
            </w:pPr>
          </w:p>
        </w:tc>
        <w:tc>
          <w:tcPr>
            <w:tcW w:w="883" w:type="pct"/>
            <w:vAlign w:val="bottom"/>
          </w:tcPr>
          <w:p w:rsidR="00F26597" w:rsidRDefault="00F26597" w:rsidP="00C67220">
            <w:pPr>
              <w:pStyle w:val="TableBodyText"/>
            </w:pPr>
            <w:r>
              <w:t>0.2</w:t>
            </w:r>
          </w:p>
        </w:tc>
        <w:tc>
          <w:tcPr>
            <w:tcW w:w="890" w:type="pct"/>
            <w:vAlign w:val="bottom"/>
          </w:tcPr>
          <w:p w:rsidR="00F26597" w:rsidRDefault="00F26597" w:rsidP="00C67220">
            <w:pPr>
              <w:pStyle w:val="TableBodyText"/>
            </w:pPr>
            <w:r>
              <w:t>-0.3</w:t>
            </w:r>
          </w:p>
        </w:tc>
      </w:tr>
      <w:tr w:rsidR="00F26597" w:rsidTr="004A2A9F">
        <w:tc>
          <w:tcPr>
            <w:tcW w:w="1099" w:type="pct"/>
            <w:shd w:val="clear" w:color="auto" w:fill="D9D9D9" w:themeFill="background1" w:themeFillShade="D9"/>
            <w:vAlign w:val="bottom"/>
          </w:tcPr>
          <w:p w:rsidR="00F26597" w:rsidRDefault="00F26597" w:rsidP="00C67220">
            <w:pPr>
              <w:rPr>
                <w:rFonts w:ascii="Arial" w:hAnsi="Arial" w:cs="Arial"/>
                <w:color w:val="000000"/>
                <w:sz w:val="20"/>
                <w:szCs w:val="20"/>
              </w:rPr>
            </w:pPr>
            <w:r>
              <w:rPr>
                <w:rFonts w:ascii="Arial" w:hAnsi="Arial" w:cs="Arial"/>
                <w:color w:val="000000"/>
                <w:sz w:val="20"/>
                <w:szCs w:val="20"/>
              </w:rPr>
              <w:t>1998-99 to 2003-04</w:t>
            </w:r>
          </w:p>
        </w:tc>
        <w:tc>
          <w:tcPr>
            <w:tcW w:w="675" w:type="pct"/>
            <w:shd w:val="clear" w:color="auto" w:fill="D9D9D9" w:themeFill="background1" w:themeFillShade="D9"/>
            <w:vAlign w:val="bottom"/>
          </w:tcPr>
          <w:p w:rsidR="00F26597" w:rsidRDefault="00F26597" w:rsidP="00C67220">
            <w:pPr>
              <w:pStyle w:val="TableBodyText"/>
            </w:pPr>
            <w:r>
              <w:t>1.4</w:t>
            </w:r>
          </w:p>
        </w:tc>
        <w:tc>
          <w:tcPr>
            <w:tcW w:w="647" w:type="pct"/>
            <w:shd w:val="clear" w:color="auto" w:fill="D9D9D9" w:themeFill="background1" w:themeFillShade="D9"/>
            <w:vAlign w:val="bottom"/>
          </w:tcPr>
          <w:p w:rsidR="00F26597" w:rsidRDefault="00F26597" w:rsidP="00C67220">
            <w:pPr>
              <w:pStyle w:val="TableBodyText"/>
            </w:pPr>
            <w:r>
              <w:t>2.3</w:t>
            </w:r>
          </w:p>
        </w:tc>
        <w:tc>
          <w:tcPr>
            <w:tcW w:w="645" w:type="pct"/>
            <w:shd w:val="clear" w:color="auto" w:fill="D9D9D9" w:themeFill="background1" w:themeFillShade="D9"/>
            <w:vAlign w:val="bottom"/>
          </w:tcPr>
          <w:p w:rsidR="00F26597" w:rsidRDefault="00F26597" w:rsidP="00C67220">
            <w:pPr>
              <w:pStyle w:val="TableBodyText"/>
            </w:pPr>
            <w:r>
              <w:t>2.5</w:t>
            </w:r>
          </w:p>
        </w:tc>
        <w:tc>
          <w:tcPr>
            <w:tcW w:w="50" w:type="pct"/>
            <w:shd w:val="clear" w:color="auto" w:fill="D9D9D9" w:themeFill="background1" w:themeFillShade="D9"/>
          </w:tcPr>
          <w:p w:rsidR="00F26597" w:rsidRDefault="00F26597" w:rsidP="00C67220">
            <w:pPr>
              <w:pStyle w:val="TableBodyText"/>
            </w:pPr>
          </w:p>
        </w:tc>
        <w:tc>
          <w:tcPr>
            <w:tcW w:w="883" w:type="pct"/>
            <w:shd w:val="clear" w:color="auto" w:fill="D9D9D9" w:themeFill="background1" w:themeFillShade="D9"/>
            <w:vAlign w:val="bottom"/>
          </w:tcPr>
          <w:p w:rsidR="00F26597" w:rsidRDefault="00F26597" w:rsidP="00C67220">
            <w:pPr>
              <w:pStyle w:val="TableBodyText"/>
            </w:pPr>
            <w:r>
              <w:t>0.9</w:t>
            </w:r>
          </w:p>
        </w:tc>
        <w:tc>
          <w:tcPr>
            <w:tcW w:w="890" w:type="pct"/>
            <w:shd w:val="clear" w:color="auto" w:fill="D9D9D9" w:themeFill="background1" w:themeFillShade="D9"/>
            <w:vAlign w:val="bottom"/>
          </w:tcPr>
          <w:p w:rsidR="00F26597" w:rsidRDefault="00F26597" w:rsidP="00C67220">
            <w:pPr>
              <w:pStyle w:val="TableBodyText"/>
            </w:pPr>
            <w:r>
              <w:t>1.1</w:t>
            </w:r>
          </w:p>
        </w:tc>
      </w:tr>
      <w:tr w:rsidR="00F26597" w:rsidTr="00586B7A">
        <w:tc>
          <w:tcPr>
            <w:tcW w:w="1099" w:type="pct"/>
            <w:vAlign w:val="bottom"/>
          </w:tcPr>
          <w:p w:rsidR="00F26597" w:rsidRDefault="00F26597" w:rsidP="00C67220">
            <w:pPr>
              <w:rPr>
                <w:rFonts w:ascii="Arial" w:hAnsi="Arial" w:cs="Arial"/>
                <w:color w:val="000000"/>
                <w:sz w:val="20"/>
                <w:szCs w:val="20"/>
              </w:rPr>
            </w:pPr>
            <w:r>
              <w:rPr>
                <w:rFonts w:ascii="Arial" w:hAnsi="Arial" w:cs="Arial"/>
                <w:color w:val="000000"/>
                <w:sz w:val="20"/>
                <w:szCs w:val="20"/>
              </w:rPr>
              <w:t>2003-04 to 2007-08</w:t>
            </w:r>
          </w:p>
        </w:tc>
        <w:tc>
          <w:tcPr>
            <w:tcW w:w="675" w:type="pct"/>
            <w:vAlign w:val="bottom"/>
          </w:tcPr>
          <w:p w:rsidR="00F26597" w:rsidRDefault="00F26597" w:rsidP="00C67220">
            <w:pPr>
              <w:pStyle w:val="TableBodyText"/>
            </w:pPr>
            <w:r>
              <w:t>-0.9</w:t>
            </w:r>
          </w:p>
        </w:tc>
        <w:tc>
          <w:tcPr>
            <w:tcW w:w="647" w:type="pct"/>
            <w:vAlign w:val="bottom"/>
          </w:tcPr>
          <w:p w:rsidR="00F26597" w:rsidRDefault="00F26597" w:rsidP="00C67220">
            <w:pPr>
              <w:pStyle w:val="TableBodyText"/>
            </w:pPr>
            <w:r>
              <w:t>-0.3</w:t>
            </w:r>
          </w:p>
        </w:tc>
        <w:tc>
          <w:tcPr>
            <w:tcW w:w="645" w:type="pct"/>
            <w:vAlign w:val="bottom"/>
          </w:tcPr>
          <w:p w:rsidR="00F26597" w:rsidRDefault="00F26597" w:rsidP="00C67220">
            <w:pPr>
              <w:pStyle w:val="TableBodyText"/>
            </w:pPr>
            <w:r>
              <w:t>1.0</w:t>
            </w:r>
          </w:p>
        </w:tc>
        <w:tc>
          <w:tcPr>
            <w:tcW w:w="50" w:type="pct"/>
          </w:tcPr>
          <w:p w:rsidR="00F26597" w:rsidRDefault="00F26597" w:rsidP="00C67220">
            <w:pPr>
              <w:pStyle w:val="TableBodyText"/>
            </w:pPr>
          </w:p>
        </w:tc>
        <w:tc>
          <w:tcPr>
            <w:tcW w:w="883" w:type="pct"/>
            <w:vAlign w:val="bottom"/>
          </w:tcPr>
          <w:p w:rsidR="00F26597" w:rsidRDefault="00F26597" w:rsidP="00C67220">
            <w:pPr>
              <w:pStyle w:val="TableBodyText"/>
            </w:pPr>
            <w:r>
              <w:t>0.6</w:t>
            </w:r>
          </w:p>
        </w:tc>
        <w:tc>
          <w:tcPr>
            <w:tcW w:w="890" w:type="pct"/>
            <w:vAlign w:val="bottom"/>
          </w:tcPr>
          <w:p w:rsidR="00F26597" w:rsidRDefault="00F26597" w:rsidP="00C67220">
            <w:pPr>
              <w:pStyle w:val="TableBodyText"/>
            </w:pPr>
            <w:r>
              <w:t>1.8</w:t>
            </w:r>
          </w:p>
        </w:tc>
      </w:tr>
      <w:tr w:rsidR="00F26597" w:rsidTr="004A2A9F">
        <w:tc>
          <w:tcPr>
            <w:tcW w:w="1099" w:type="pct"/>
            <w:tcBorders>
              <w:bottom w:val="single" w:sz="6" w:space="0" w:color="auto"/>
            </w:tcBorders>
            <w:shd w:val="clear" w:color="auto" w:fill="D9D9D9" w:themeFill="background1" w:themeFillShade="D9"/>
            <w:vAlign w:val="bottom"/>
          </w:tcPr>
          <w:p w:rsidR="00F26597" w:rsidRDefault="00F26597" w:rsidP="00C67220">
            <w:pPr>
              <w:rPr>
                <w:rFonts w:ascii="Arial" w:hAnsi="Arial" w:cs="Arial"/>
                <w:color w:val="000000"/>
                <w:sz w:val="20"/>
                <w:szCs w:val="20"/>
              </w:rPr>
            </w:pPr>
            <w:r>
              <w:rPr>
                <w:rFonts w:ascii="Arial" w:hAnsi="Arial" w:cs="Arial"/>
                <w:color w:val="000000"/>
                <w:sz w:val="20"/>
                <w:szCs w:val="20"/>
              </w:rPr>
              <w:t>2007-08 to 2010-11</w:t>
            </w:r>
            <w:r>
              <w:rPr>
                <w:rStyle w:val="NoteLabel"/>
              </w:rPr>
              <w:t>b</w:t>
            </w:r>
          </w:p>
        </w:tc>
        <w:tc>
          <w:tcPr>
            <w:tcW w:w="675" w:type="pct"/>
            <w:tcBorders>
              <w:bottom w:val="single" w:sz="6" w:space="0" w:color="auto"/>
            </w:tcBorders>
            <w:shd w:val="clear" w:color="auto" w:fill="D9D9D9" w:themeFill="background1" w:themeFillShade="D9"/>
            <w:vAlign w:val="bottom"/>
          </w:tcPr>
          <w:p w:rsidR="00F26597" w:rsidRDefault="00F26597" w:rsidP="00C67220">
            <w:pPr>
              <w:pStyle w:val="TableBodyText"/>
            </w:pPr>
            <w:r>
              <w:t>0.1</w:t>
            </w:r>
          </w:p>
        </w:tc>
        <w:tc>
          <w:tcPr>
            <w:tcW w:w="647" w:type="pct"/>
            <w:tcBorders>
              <w:bottom w:val="single" w:sz="6" w:space="0" w:color="auto"/>
            </w:tcBorders>
            <w:shd w:val="clear" w:color="auto" w:fill="D9D9D9" w:themeFill="background1" w:themeFillShade="D9"/>
            <w:vAlign w:val="bottom"/>
          </w:tcPr>
          <w:p w:rsidR="00F26597" w:rsidRDefault="00F26597" w:rsidP="00C67220">
            <w:pPr>
              <w:pStyle w:val="TableBodyText"/>
            </w:pPr>
            <w:r>
              <w:t>-1.7</w:t>
            </w:r>
          </w:p>
        </w:tc>
        <w:tc>
          <w:tcPr>
            <w:tcW w:w="645" w:type="pct"/>
            <w:tcBorders>
              <w:bottom w:val="single" w:sz="6" w:space="0" w:color="auto"/>
            </w:tcBorders>
            <w:shd w:val="clear" w:color="auto" w:fill="D9D9D9" w:themeFill="background1" w:themeFillShade="D9"/>
            <w:vAlign w:val="bottom"/>
          </w:tcPr>
          <w:p w:rsidR="00F26597" w:rsidRDefault="00F26597" w:rsidP="00C67220">
            <w:pPr>
              <w:pStyle w:val="TableBodyText"/>
            </w:pPr>
            <w:r>
              <w:t>-2.4</w:t>
            </w:r>
          </w:p>
        </w:tc>
        <w:tc>
          <w:tcPr>
            <w:tcW w:w="50" w:type="pct"/>
            <w:tcBorders>
              <w:bottom w:val="single" w:sz="6" w:space="0" w:color="auto"/>
            </w:tcBorders>
            <w:shd w:val="clear" w:color="auto" w:fill="D9D9D9" w:themeFill="background1" w:themeFillShade="D9"/>
          </w:tcPr>
          <w:p w:rsidR="00F26597" w:rsidRDefault="00F26597" w:rsidP="00C67220">
            <w:pPr>
              <w:pStyle w:val="TableBodyText"/>
            </w:pPr>
          </w:p>
        </w:tc>
        <w:tc>
          <w:tcPr>
            <w:tcW w:w="883" w:type="pct"/>
            <w:tcBorders>
              <w:bottom w:val="single" w:sz="6" w:space="0" w:color="auto"/>
            </w:tcBorders>
            <w:shd w:val="clear" w:color="auto" w:fill="D9D9D9" w:themeFill="background1" w:themeFillShade="D9"/>
            <w:vAlign w:val="bottom"/>
          </w:tcPr>
          <w:p w:rsidR="00F26597" w:rsidRDefault="00F26597" w:rsidP="00C67220">
            <w:pPr>
              <w:pStyle w:val="TableBodyText"/>
            </w:pPr>
            <w:r>
              <w:t>-1.8</w:t>
            </w:r>
          </w:p>
        </w:tc>
        <w:tc>
          <w:tcPr>
            <w:tcW w:w="890" w:type="pct"/>
            <w:tcBorders>
              <w:bottom w:val="single" w:sz="6" w:space="0" w:color="auto"/>
            </w:tcBorders>
            <w:shd w:val="clear" w:color="auto" w:fill="D9D9D9" w:themeFill="background1" w:themeFillShade="D9"/>
            <w:vAlign w:val="bottom"/>
          </w:tcPr>
          <w:p w:rsidR="00F26597" w:rsidRDefault="00F26597" w:rsidP="00C67220">
            <w:pPr>
              <w:pStyle w:val="TableBodyText"/>
            </w:pPr>
            <w:r>
              <w:t>-2.5</w:t>
            </w:r>
          </w:p>
        </w:tc>
      </w:tr>
    </w:tbl>
    <w:p w:rsidR="00D94BEB" w:rsidRDefault="00D94BEB" w:rsidP="00D94BEB">
      <w:pPr>
        <w:pStyle w:val="Note"/>
      </w:pPr>
      <w:r w:rsidRPr="00173ECF">
        <w:rPr>
          <w:rStyle w:val="NoteLabel"/>
        </w:rPr>
        <w:t>a</w:t>
      </w:r>
      <w:r>
        <w:t xml:space="preserve"> Relative to the case with no lags.</w:t>
      </w:r>
      <w:r w:rsidRPr="00560F4A">
        <w:t xml:space="preserve"> </w:t>
      </w:r>
      <w:r>
        <w:rPr>
          <w:rStyle w:val="NoteLabel"/>
        </w:rPr>
        <w:t>b</w:t>
      </w:r>
      <w:r>
        <w:t xml:space="preserve"> Incomplete cycle</w:t>
      </w:r>
      <w:r w:rsidR="00560F4A">
        <w:t>.</w:t>
      </w:r>
    </w:p>
    <w:p w:rsidR="00D94BEB" w:rsidRPr="00173ECF" w:rsidRDefault="00D94BEB" w:rsidP="00D94BEB">
      <w:pPr>
        <w:pStyle w:val="Source"/>
      </w:pPr>
      <w:r>
        <w:rPr>
          <w:i/>
        </w:rPr>
        <w:t>Source</w:t>
      </w:r>
      <w:r>
        <w:t>: Authors’ estimates.</w:t>
      </w:r>
    </w:p>
    <w:p w:rsidR="00D94BEB" w:rsidRDefault="00D94BEB" w:rsidP="00D94BEB">
      <w:pPr>
        <w:pStyle w:val="BodyText"/>
      </w:pPr>
      <w:r>
        <w:t xml:space="preserve">However, in the incomplete cycle 2007-08 to 2010-11, lagging capital inputs worsens rather than improves MFP. With no lags, MFP is positive (though close to zero) but a two- and three-year lag of capital inputs results in average MFP growth rates of </w:t>
      </w:r>
      <w:r>
        <w:noBreakHyphen/>
        <w:t xml:space="preserve">1.7 and </w:t>
      </w:r>
      <w:r>
        <w:noBreakHyphen/>
        <w:t xml:space="preserve">2.4 per cent </w:t>
      </w:r>
      <w:r w:rsidR="005C0944">
        <w:t>a year</w:t>
      </w:r>
      <w:r>
        <w:t>, respectively.</w:t>
      </w:r>
    </w:p>
    <w:p w:rsidR="00D94BEB" w:rsidRDefault="00D94BEB" w:rsidP="00D94BEB">
      <w:pPr>
        <w:pStyle w:val="BodyText"/>
      </w:pPr>
      <w:r>
        <w:t xml:space="preserve">In effect, </w:t>
      </w:r>
      <w:r w:rsidR="00C610E6">
        <w:t>adjusting for lags in</w:t>
      </w:r>
      <w:r>
        <w:t xml:space="preserve"> capital only ‘pushes’ the period of the poor productivity performance to a later period</w:t>
      </w:r>
      <w:r w:rsidR="00C16B3A">
        <w:t xml:space="preserve"> as strong growth of the lagged capital is shifted into the incomplete cycle (which also had poorer output growth relative to cycle 4)</w:t>
      </w:r>
      <w:r>
        <w:t xml:space="preserve">. The implication is, however, that there may be </w:t>
      </w:r>
      <w:r w:rsidR="00C00CF0">
        <w:t>some</w:t>
      </w:r>
      <w:r>
        <w:t xml:space="preserve"> underutilised capacity within the Metal products subsector, which could be employed if</w:t>
      </w:r>
      <w:r w:rsidR="00477196">
        <w:t xml:space="preserve"> the</w:t>
      </w:r>
      <w:r>
        <w:t xml:space="preserve"> operating </w:t>
      </w:r>
      <w:r w:rsidR="00477196">
        <w:t xml:space="preserve">environment </w:t>
      </w:r>
      <w:r>
        <w:t>improve</w:t>
      </w:r>
      <w:r w:rsidR="00477196">
        <w:t>s</w:t>
      </w:r>
      <w:r>
        <w:t xml:space="preserve">. </w:t>
      </w:r>
    </w:p>
    <w:p w:rsidR="00E813FA" w:rsidRPr="00CE0AC7" w:rsidRDefault="00E813FA" w:rsidP="00CE0AC7">
      <w:pPr>
        <w:pStyle w:val="BodyText"/>
      </w:pPr>
      <w:r>
        <w:br w:type="page"/>
      </w:r>
    </w:p>
    <w:p w:rsidR="00535C93" w:rsidRDefault="00C04731" w:rsidP="00535C93">
      <w:pPr>
        <w:pStyle w:val="Heading2"/>
      </w:pPr>
      <w:proofErr w:type="spellStart"/>
      <w:r>
        <w:lastRenderedPageBreak/>
        <w:t>H.</w:t>
      </w:r>
      <w:r w:rsidR="00D76F7C">
        <w:rPr>
          <w:noProof/>
        </w:rPr>
        <w:t>5</w:t>
      </w:r>
      <w:proofErr w:type="spellEnd"/>
      <w:r w:rsidR="00535C93">
        <w:tab/>
      </w:r>
      <w:r w:rsidR="00553C9C">
        <w:t>Metal products</w:t>
      </w:r>
      <w:r w:rsidR="00535C93">
        <w:t xml:space="preserve"> labour data</w:t>
      </w:r>
    </w:p>
    <w:p w:rsidR="00477196" w:rsidRPr="00535C93" w:rsidRDefault="00477196" w:rsidP="00535C93">
      <w:pPr>
        <w:pStyle w:val="BodyText"/>
        <w:rPr>
          <w:lang w:eastAsia="en-US"/>
        </w:rPr>
      </w:pPr>
      <w:r>
        <w:rPr>
          <w:lang w:eastAsia="en-US"/>
        </w:rPr>
        <w:t xml:space="preserve">There are two sources of ABS data available to investigate employment growth in Metal </w:t>
      </w:r>
      <w:r w:rsidR="00463604">
        <w:rPr>
          <w:lang w:eastAsia="en-US"/>
        </w:rPr>
        <w:t>p</w:t>
      </w:r>
      <w:r>
        <w:rPr>
          <w:lang w:eastAsia="en-US"/>
        </w:rPr>
        <w:t xml:space="preserve">roducts and its subdivisions — the </w:t>
      </w:r>
      <w:r w:rsidRPr="00CE0496">
        <w:rPr>
          <w:i/>
          <w:lang w:eastAsia="en-US"/>
        </w:rPr>
        <w:t>Labour Force Survey</w:t>
      </w:r>
      <w:r w:rsidR="00E355B9">
        <w:rPr>
          <w:lang w:eastAsia="en-US"/>
        </w:rPr>
        <w:t xml:space="preserve"> (</w:t>
      </w:r>
      <w:proofErr w:type="spellStart"/>
      <w:r w:rsidR="00E355B9">
        <w:rPr>
          <w:lang w:eastAsia="en-US"/>
        </w:rPr>
        <w:t>LFS</w:t>
      </w:r>
      <w:proofErr w:type="spellEnd"/>
      <w:r w:rsidR="00E355B9">
        <w:rPr>
          <w:lang w:eastAsia="en-US"/>
        </w:rPr>
        <w:t>)</w:t>
      </w:r>
      <w:r w:rsidR="00404A49">
        <w:rPr>
          <w:lang w:eastAsia="en-US"/>
        </w:rPr>
        <w:t xml:space="preserve"> and the </w:t>
      </w:r>
      <w:r w:rsidR="00D84944" w:rsidRPr="00CE0496">
        <w:rPr>
          <w:i/>
          <w:lang w:eastAsia="en-US"/>
        </w:rPr>
        <w:t>Manufacturing Census</w:t>
      </w:r>
      <w:r w:rsidR="00D84944">
        <w:rPr>
          <w:lang w:eastAsia="en-US"/>
        </w:rPr>
        <w:t>/</w:t>
      </w:r>
      <w:r w:rsidR="00404A49" w:rsidRPr="00CE0496">
        <w:rPr>
          <w:i/>
          <w:lang w:eastAsia="en-US"/>
        </w:rPr>
        <w:t>Economic Activity Survey</w:t>
      </w:r>
      <w:r w:rsidR="00E355B9">
        <w:rPr>
          <w:lang w:eastAsia="en-US"/>
        </w:rPr>
        <w:t xml:space="preserve"> (</w:t>
      </w:r>
      <w:proofErr w:type="spellStart"/>
      <w:r w:rsidR="00E355B9">
        <w:rPr>
          <w:lang w:eastAsia="en-US"/>
        </w:rPr>
        <w:t>EAS</w:t>
      </w:r>
      <w:proofErr w:type="spellEnd"/>
      <w:r w:rsidR="00E355B9">
        <w:rPr>
          <w:lang w:eastAsia="en-US"/>
        </w:rPr>
        <w:t>)</w:t>
      </w:r>
      <w:r w:rsidR="00404A49">
        <w:rPr>
          <w:lang w:eastAsia="en-US"/>
        </w:rPr>
        <w:t xml:space="preserve">. These two sources indicate </w:t>
      </w:r>
      <w:r w:rsidR="00996527">
        <w:rPr>
          <w:lang w:eastAsia="en-US"/>
        </w:rPr>
        <w:t xml:space="preserve">roughly </w:t>
      </w:r>
      <w:r w:rsidR="00404A49">
        <w:rPr>
          <w:lang w:eastAsia="en-US"/>
        </w:rPr>
        <w:t xml:space="preserve">similar levels of employment in Metal </w:t>
      </w:r>
      <w:r w:rsidR="00D84944">
        <w:rPr>
          <w:lang w:eastAsia="en-US"/>
        </w:rPr>
        <w:t>p</w:t>
      </w:r>
      <w:r w:rsidR="00404A49">
        <w:rPr>
          <w:lang w:eastAsia="en-US"/>
        </w:rPr>
        <w:t xml:space="preserve">roducts in total, although with some difference in trend (figure </w:t>
      </w:r>
      <w:proofErr w:type="spellStart"/>
      <w:r w:rsidR="00E813FA">
        <w:t>H.4</w:t>
      </w:r>
      <w:proofErr w:type="spellEnd"/>
      <w:r w:rsidR="00404A49">
        <w:rPr>
          <w:lang w:eastAsia="en-US"/>
        </w:rPr>
        <w:t>).</w:t>
      </w:r>
    </w:p>
    <w:p w:rsidR="00A92805" w:rsidRDefault="00A92805">
      <w:pPr>
        <w:pStyle w:val="FigureTitle"/>
      </w:pPr>
      <w:r>
        <w:rPr>
          <w:b w:val="0"/>
        </w:rPr>
        <w:t xml:space="preserve">Figure </w:t>
      </w:r>
      <w:bookmarkStart w:id="12" w:name="OLE_LINK2"/>
      <w:proofErr w:type="spellStart"/>
      <w:r w:rsidR="00750D19">
        <w:rPr>
          <w:b w:val="0"/>
        </w:rPr>
        <w:t>H.</w:t>
      </w:r>
      <w:r w:rsidR="00D76F7C">
        <w:rPr>
          <w:b w:val="0"/>
          <w:noProof/>
        </w:rPr>
        <w:t>4</w:t>
      </w:r>
      <w:bookmarkEnd w:id="12"/>
      <w:proofErr w:type="spellEnd"/>
      <w:r>
        <w:tab/>
      </w:r>
      <w:r w:rsidR="00F3580B">
        <w:t xml:space="preserve">Employment </w:t>
      </w:r>
      <w:r>
        <w:t xml:space="preserve">in </w:t>
      </w:r>
      <w:r w:rsidR="00DA3130">
        <w:t>M</w:t>
      </w:r>
      <w:r>
        <w:t>etal products</w:t>
      </w:r>
      <w:r w:rsidR="00165E8A" w:rsidRPr="00096ADE">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92805">
        <w:tc>
          <w:tcPr>
            <w:tcW w:w="8777" w:type="dxa"/>
          </w:tcPr>
          <w:p w:rsidR="00A92805" w:rsidRDefault="00631D6E" w:rsidP="00FF646F">
            <w:pPr>
              <w:pStyle w:val="Figure"/>
              <w:spacing w:before="0" w:after="0"/>
            </w:pPr>
            <w:r>
              <w:pict>
                <v:shape id="_x0000_i1031" type="#_x0000_t75" alt="Details on this figure can be found within the text immediately before this image." style="width:425.3pt;height:198.4pt">
                  <v:imagedata r:id="rId15" o:title=""/>
                </v:shape>
              </w:pict>
            </w:r>
          </w:p>
        </w:tc>
      </w:tr>
    </w:tbl>
    <w:p w:rsidR="00165E8A" w:rsidRPr="00096ADE" w:rsidRDefault="00165E8A" w:rsidP="00096ADE">
      <w:pPr>
        <w:pStyle w:val="Note"/>
        <w:rPr>
          <w:rStyle w:val="NoteLabel"/>
        </w:rPr>
      </w:pPr>
      <w:r>
        <w:rPr>
          <w:rStyle w:val="NoteLabel"/>
        </w:rPr>
        <w:t xml:space="preserve">a </w:t>
      </w:r>
      <w:r w:rsidR="00721950" w:rsidRPr="00721950">
        <w:t>T</w:t>
      </w:r>
      <w:r>
        <w:t xml:space="preserve">here is a </w:t>
      </w:r>
      <w:r w:rsidR="00A94F2B">
        <w:t>break in series</w:t>
      </w:r>
      <w:r>
        <w:t xml:space="preserve"> for the Manufacturing Census</w:t>
      </w:r>
      <w:r w:rsidR="00721950">
        <w:t>/</w:t>
      </w:r>
      <w:proofErr w:type="spellStart"/>
      <w:r>
        <w:t>EAS</w:t>
      </w:r>
      <w:proofErr w:type="spellEnd"/>
      <w:r>
        <w:t xml:space="preserve"> data </w:t>
      </w:r>
      <w:r w:rsidR="00D3617E">
        <w:t xml:space="preserve">between </w:t>
      </w:r>
      <w:r>
        <w:t xml:space="preserve">2005-06 </w:t>
      </w:r>
      <w:r w:rsidR="00D3617E">
        <w:t xml:space="preserve">and </w:t>
      </w:r>
      <w:r>
        <w:t>20</w:t>
      </w:r>
      <w:r w:rsidR="00A94F2B">
        <w:t>0</w:t>
      </w:r>
      <w:r>
        <w:t>6-07</w:t>
      </w:r>
      <w:r w:rsidR="00A94F2B">
        <w:t xml:space="preserve"> due to the change in </w:t>
      </w:r>
      <w:proofErr w:type="spellStart"/>
      <w:r w:rsidR="00A94F2B">
        <w:t>ANZSIC</w:t>
      </w:r>
      <w:proofErr w:type="spellEnd"/>
      <w:r w:rsidR="00A94F2B">
        <w:t xml:space="preserve"> classifications.</w:t>
      </w:r>
    </w:p>
    <w:p w:rsidR="00A92805" w:rsidRPr="00FD2159" w:rsidRDefault="00A92805" w:rsidP="00A92805">
      <w:pPr>
        <w:pStyle w:val="Source"/>
      </w:pPr>
      <w:r>
        <w:rPr>
          <w:i/>
        </w:rPr>
        <w:t>Data source</w:t>
      </w:r>
      <w:r w:rsidR="007C2844">
        <w:rPr>
          <w:i/>
        </w:rPr>
        <w:t>s</w:t>
      </w:r>
      <w:r w:rsidRPr="00167F06">
        <w:t>:</w:t>
      </w:r>
      <w:r>
        <w:t xml:space="preserve"> ABS (</w:t>
      </w:r>
      <w:r w:rsidR="00CE0496">
        <w:t xml:space="preserve">unpublished </w:t>
      </w:r>
      <w:r w:rsidRPr="00CE0496">
        <w:t>Labour Force Survey</w:t>
      </w:r>
      <w:r w:rsidR="00DA3130">
        <w:t xml:space="preserve"> data</w:t>
      </w:r>
      <w:r>
        <w:t>)</w:t>
      </w:r>
      <w:r w:rsidR="00DA3130">
        <w:t>;</w:t>
      </w:r>
      <w:r>
        <w:t xml:space="preserve"> ABS (</w:t>
      </w:r>
      <w:r>
        <w:rPr>
          <w:i/>
        </w:rPr>
        <w:t xml:space="preserve">Manufacturing Industry, Australia, </w:t>
      </w:r>
      <w:r w:rsidR="00B0648E">
        <w:t>various issues, Cat. no. 8221.0</w:t>
      </w:r>
      <w:r>
        <w:t>)</w:t>
      </w:r>
      <w:r w:rsidR="007C2844">
        <w:t>;</w:t>
      </w:r>
      <w:r>
        <w:t xml:space="preserve"> ABS (</w:t>
      </w:r>
      <w:r>
        <w:rPr>
          <w:i/>
        </w:rPr>
        <w:t>Australian Industry</w:t>
      </w:r>
      <w:r w:rsidR="00B0648E">
        <w:t>, various issues, Cat. no</w:t>
      </w:r>
      <w:r w:rsidR="00C6187E">
        <w:t>.</w:t>
      </w:r>
      <w:r w:rsidR="00B0648E">
        <w:t xml:space="preserve"> 8155.0</w:t>
      </w:r>
      <w:r>
        <w:t>).</w:t>
      </w:r>
    </w:p>
    <w:p w:rsidR="00690935" w:rsidRDefault="00DA3130" w:rsidP="004A71BC">
      <w:pPr>
        <w:pStyle w:val="BodyText"/>
        <w:rPr>
          <w:lang w:eastAsia="en-US"/>
        </w:rPr>
      </w:pPr>
      <w:r>
        <w:rPr>
          <w:lang w:eastAsia="en-US"/>
        </w:rPr>
        <w:t xml:space="preserve">However, </w:t>
      </w:r>
      <w:r w:rsidR="005902B9">
        <w:rPr>
          <w:lang w:eastAsia="en-US"/>
        </w:rPr>
        <w:t>in the Metal products subdiv</w:t>
      </w:r>
      <w:r w:rsidR="00D56D4D">
        <w:rPr>
          <w:lang w:eastAsia="en-US"/>
        </w:rPr>
        <w:t>i</w:t>
      </w:r>
      <w:r w:rsidR="005902B9">
        <w:rPr>
          <w:lang w:eastAsia="en-US"/>
        </w:rPr>
        <w:t xml:space="preserve">sions, </w:t>
      </w:r>
      <w:r>
        <w:rPr>
          <w:lang w:eastAsia="en-US"/>
        </w:rPr>
        <w:t>the two different sources of data indicate substantially different level</w:t>
      </w:r>
      <w:r w:rsidR="006056A1">
        <w:rPr>
          <w:lang w:eastAsia="en-US"/>
        </w:rPr>
        <w:t>s and trends</w:t>
      </w:r>
      <w:r>
        <w:rPr>
          <w:lang w:eastAsia="en-US"/>
        </w:rPr>
        <w:t xml:space="preserve"> </w:t>
      </w:r>
      <w:r w:rsidR="001E2E88">
        <w:rPr>
          <w:lang w:eastAsia="en-US"/>
        </w:rPr>
        <w:t xml:space="preserve">(figure </w:t>
      </w:r>
      <w:proofErr w:type="spellStart"/>
      <w:r w:rsidR="00E813FA">
        <w:t>H.5</w:t>
      </w:r>
      <w:proofErr w:type="spellEnd"/>
      <w:r w:rsidR="001E2E88">
        <w:rPr>
          <w:lang w:eastAsia="en-US"/>
        </w:rPr>
        <w:t>)</w:t>
      </w:r>
      <w:r w:rsidR="00D914E2">
        <w:rPr>
          <w:lang w:eastAsia="en-US"/>
        </w:rPr>
        <w:t xml:space="preserve">. </w:t>
      </w:r>
      <w:r w:rsidR="001E2E88">
        <w:rPr>
          <w:lang w:eastAsia="en-US"/>
        </w:rPr>
        <w:t>In Primary metal</w:t>
      </w:r>
      <w:r w:rsidR="00297A41">
        <w:rPr>
          <w:lang w:eastAsia="en-US"/>
        </w:rPr>
        <w:t>s</w:t>
      </w:r>
      <w:r w:rsidR="001E2E88">
        <w:rPr>
          <w:lang w:eastAsia="en-US"/>
        </w:rPr>
        <w:t xml:space="preserve">, the </w:t>
      </w:r>
      <w:proofErr w:type="spellStart"/>
      <w:r w:rsidR="00DE634B">
        <w:rPr>
          <w:lang w:eastAsia="en-US"/>
        </w:rPr>
        <w:t>LFS</w:t>
      </w:r>
      <w:proofErr w:type="spellEnd"/>
      <w:r w:rsidR="00DE634B">
        <w:rPr>
          <w:lang w:eastAsia="en-US"/>
        </w:rPr>
        <w:t xml:space="preserve"> </w:t>
      </w:r>
      <w:r w:rsidR="001E2E88">
        <w:rPr>
          <w:lang w:eastAsia="en-US"/>
        </w:rPr>
        <w:t xml:space="preserve">indicates stronger growth in employment relative to the </w:t>
      </w:r>
      <w:proofErr w:type="spellStart"/>
      <w:r w:rsidR="00DE634B">
        <w:rPr>
          <w:lang w:eastAsia="en-US"/>
        </w:rPr>
        <w:t>EAS</w:t>
      </w:r>
      <w:proofErr w:type="spellEnd"/>
      <w:r w:rsidR="00297A41">
        <w:rPr>
          <w:lang w:eastAsia="en-US"/>
        </w:rPr>
        <w:t>. In Fabricated metal</w:t>
      </w:r>
      <w:r w:rsidR="001E2E88">
        <w:rPr>
          <w:lang w:eastAsia="en-US"/>
        </w:rPr>
        <w:t xml:space="preserve">s, the </w:t>
      </w:r>
      <w:proofErr w:type="spellStart"/>
      <w:r w:rsidR="00E355B9">
        <w:rPr>
          <w:lang w:eastAsia="en-US"/>
        </w:rPr>
        <w:t>LFS</w:t>
      </w:r>
      <w:proofErr w:type="spellEnd"/>
      <w:r w:rsidR="001E2E88">
        <w:rPr>
          <w:lang w:eastAsia="en-US"/>
        </w:rPr>
        <w:t xml:space="preserve"> indicates a declining trend in employment, while the </w:t>
      </w:r>
      <w:proofErr w:type="spellStart"/>
      <w:r w:rsidR="00E355B9">
        <w:rPr>
          <w:lang w:eastAsia="en-US"/>
        </w:rPr>
        <w:t>EAS</w:t>
      </w:r>
      <w:proofErr w:type="spellEnd"/>
      <w:r w:rsidR="001E2E88">
        <w:rPr>
          <w:lang w:eastAsia="en-US"/>
        </w:rPr>
        <w:t xml:space="preserve"> indicates growth.</w:t>
      </w:r>
    </w:p>
    <w:p w:rsidR="00DA3130" w:rsidRDefault="00DA3130" w:rsidP="00DA3130">
      <w:pPr>
        <w:pStyle w:val="FigureTitle"/>
      </w:pPr>
      <w:r>
        <w:rPr>
          <w:b w:val="0"/>
        </w:rPr>
        <w:lastRenderedPageBreak/>
        <w:t xml:space="preserve">Figure </w:t>
      </w:r>
      <w:bookmarkStart w:id="13" w:name="OLE_LINK3"/>
      <w:proofErr w:type="spellStart"/>
      <w:r w:rsidR="00750D19">
        <w:rPr>
          <w:b w:val="0"/>
        </w:rPr>
        <w:t>H.</w:t>
      </w:r>
      <w:r w:rsidR="00D76F7C">
        <w:rPr>
          <w:b w:val="0"/>
          <w:noProof/>
        </w:rPr>
        <w:t>5</w:t>
      </w:r>
      <w:bookmarkEnd w:id="13"/>
      <w:proofErr w:type="spellEnd"/>
      <w:r>
        <w:tab/>
      </w:r>
      <w:r w:rsidR="00B224E5">
        <w:t xml:space="preserve">Employment </w:t>
      </w:r>
      <w:r>
        <w:t xml:space="preserve">in </w:t>
      </w:r>
      <w:r w:rsidR="00B224E5">
        <w:t>M</w:t>
      </w:r>
      <w:r>
        <w:t>etal products</w:t>
      </w:r>
      <w:r w:rsidR="00B224E5">
        <w:t xml:space="preserve"> subdivisions</w:t>
      </w:r>
      <w:r w:rsidR="00A94F2B" w:rsidRPr="00096ADE">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388"/>
        <w:gridCol w:w="4389"/>
      </w:tblGrid>
      <w:tr w:rsidR="0093407C" w:rsidRPr="002970CE" w:rsidTr="003D7BE0">
        <w:tc>
          <w:tcPr>
            <w:tcW w:w="4388" w:type="dxa"/>
          </w:tcPr>
          <w:p w:rsidR="0093407C" w:rsidRPr="002970CE" w:rsidRDefault="00297A41" w:rsidP="002970CE">
            <w:pPr>
              <w:pStyle w:val="Figure"/>
              <w:spacing w:after="0"/>
              <w:rPr>
                <w:i/>
                <w:sz w:val="22"/>
                <w:szCs w:val="22"/>
              </w:rPr>
            </w:pPr>
            <w:r w:rsidRPr="002970CE">
              <w:rPr>
                <w:i/>
                <w:sz w:val="22"/>
                <w:szCs w:val="22"/>
              </w:rPr>
              <w:t>Primary metals</w:t>
            </w:r>
          </w:p>
        </w:tc>
        <w:tc>
          <w:tcPr>
            <w:tcW w:w="4389" w:type="dxa"/>
          </w:tcPr>
          <w:p w:rsidR="0093407C" w:rsidRPr="002970CE" w:rsidRDefault="00297A41" w:rsidP="002970CE">
            <w:pPr>
              <w:pStyle w:val="Figure"/>
              <w:spacing w:after="0"/>
              <w:rPr>
                <w:i/>
                <w:sz w:val="22"/>
                <w:szCs w:val="22"/>
              </w:rPr>
            </w:pPr>
            <w:r w:rsidRPr="002970CE">
              <w:rPr>
                <w:i/>
                <w:sz w:val="22"/>
                <w:szCs w:val="22"/>
              </w:rPr>
              <w:t>Fabricated metals</w:t>
            </w:r>
          </w:p>
        </w:tc>
      </w:tr>
      <w:tr w:rsidR="00B224E5" w:rsidTr="003D7BE0">
        <w:tc>
          <w:tcPr>
            <w:tcW w:w="4388" w:type="dxa"/>
          </w:tcPr>
          <w:p w:rsidR="00B224E5" w:rsidRDefault="00631D6E" w:rsidP="002970CE">
            <w:pPr>
              <w:pStyle w:val="Figure"/>
              <w:spacing w:before="0" w:after="0"/>
            </w:pPr>
            <w:r>
              <w:pict>
                <v:shape id="_x0000_i1032" type="#_x0000_t75" alt="Details on this figure can be found within the text immediately before this image" style="width:198.4pt;height:171.65pt;mso-position-horizontal:absolute">
                  <v:imagedata r:id="rId16" o:title=""/>
                </v:shape>
              </w:pict>
            </w:r>
          </w:p>
        </w:tc>
        <w:tc>
          <w:tcPr>
            <w:tcW w:w="4389" w:type="dxa"/>
          </w:tcPr>
          <w:p w:rsidR="00B224E5" w:rsidRDefault="00631D6E" w:rsidP="002970CE">
            <w:pPr>
              <w:pStyle w:val="Figure"/>
              <w:spacing w:before="0" w:after="0"/>
            </w:pPr>
            <w:r>
              <w:pict>
                <v:shape id="_x0000_i1033" type="#_x0000_t75" alt="Details on this figure can be found within the text immediately before this image" style="width:198.4pt;height:173.3pt">
                  <v:imagedata r:id="rId17" o:title=""/>
                </v:shape>
              </w:pict>
            </w:r>
          </w:p>
        </w:tc>
      </w:tr>
      <w:tr w:rsidR="00B224E5" w:rsidTr="00C67220">
        <w:tc>
          <w:tcPr>
            <w:tcW w:w="8777" w:type="dxa"/>
            <w:gridSpan w:val="2"/>
          </w:tcPr>
          <w:p w:rsidR="00B224E5" w:rsidDel="00B224E5" w:rsidRDefault="00631D6E" w:rsidP="00721950">
            <w:pPr>
              <w:pStyle w:val="Figure"/>
              <w:spacing w:before="0" w:after="0"/>
            </w:pPr>
            <w:r>
              <w:pict>
                <v:shape id="_x0000_i1034" type="#_x0000_t75" alt="Legend. Solid line - Employment (LFS). Dashed line - Employment (EAS)" style="width:399.35pt;height:26.8pt">
                  <v:imagedata r:id="rId18" o:title=""/>
                </v:shape>
              </w:pict>
            </w:r>
          </w:p>
        </w:tc>
      </w:tr>
    </w:tbl>
    <w:p w:rsidR="00721950" w:rsidRPr="00096ADE" w:rsidRDefault="00721950" w:rsidP="00721950">
      <w:pPr>
        <w:pStyle w:val="Note"/>
        <w:rPr>
          <w:rStyle w:val="NoteLabel"/>
        </w:rPr>
      </w:pPr>
      <w:r>
        <w:rPr>
          <w:rStyle w:val="NoteLabel"/>
        </w:rPr>
        <w:t xml:space="preserve">a </w:t>
      </w:r>
      <w:r w:rsidRPr="00721950">
        <w:t>T</w:t>
      </w:r>
      <w:r>
        <w:t>here is a break in series for the Manufacturing Census/</w:t>
      </w:r>
      <w:proofErr w:type="spellStart"/>
      <w:r>
        <w:t>EAS</w:t>
      </w:r>
      <w:proofErr w:type="spellEnd"/>
      <w:r>
        <w:t xml:space="preserve"> data </w:t>
      </w:r>
      <w:r w:rsidR="003B021A">
        <w:t xml:space="preserve">between </w:t>
      </w:r>
      <w:r>
        <w:t xml:space="preserve">2005-06 </w:t>
      </w:r>
      <w:r w:rsidR="003B021A">
        <w:t xml:space="preserve">and </w:t>
      </w:r>
      <w:r>
        <w:t xml:space="preserve">2006-07 due to the change in </w:t>
      </w:r>
      <w:proofErr w:type="spellStart"/>
      <w:r>
        <w:t>ANZSIC</w:t>
      </w:r>
      <w:proofErr w:type="spellEnd"/>
      <w:r>
        <w:t xml:space="preserve"> classifications.</w:t>
      </w:r>
    </w:p>
    <w:p w:rsidR="00DA3130" w:rsidRPr="00FD2159" w:rsidRDefault="00DA3130" w:rsidP="00DA3130">
      <w:pPr>
        <w:pStyle w:val="Source"/>
      </w:pPr>
      <w:r>
        <w:rPr>
          <w:i/>
        </w:rPr>
        <w:t>Data source</w:t>
      </w:r>
      <w:r w:rsidR="004D43F8">
        <w:rPr>
          <w:i/>
        </w:rPr>
        <w:t>s</w:t>
      </w:r>
      <w:r w:rsidRPr="00167F06">
        <w:t xml:space="preserve">: </w:t>
      </w:r>
      <w:r>
        <w:t>ABS (</w:t>
      </w:r>
      <w:r w:rsidR="00B030FB">
        <w:t xml:space="preserve">unpublished </w:t>
      </w:r>
      <w:r w:rsidRPr="00B030FB">
        <w:t>Labour Force Survey</w:t>
      </w:r>
      <w:r w:rsidR="00B030FB">
        <w:t xml:space="preserve"> data</w:t>
      </w:r>
      <w:r>
        <w:t>); ABS (</w:t>
      </w:r>
      <w:r>
        <w:rPr>
          <w:i/>
        </w:rPr>
        <w:t>Manufacturing Industry,</w:t>
      </w:r>
      <w:r w:rsidR="00B030FB" w:rsidRPr="00B030FB">
        <w:t xml:space="preserve"> </w:t>
      </w:r>
      <w:r w:rsidR="00B030FB">
        <w:t>various issues,</w:t>
      </w:r>
      <w:r>
        <w:rPr>
          <w:i/>
        </w:rPr>
        <w:t xml:space="preserve"> Australia, </w:t>
      </w:r>
      <w:r>
        <w:t>Cat. no. 8221.0) and ABS (</w:t>
      </w:r>
      <w:r>
        <w:rPr>
          <w:i/>
        </w:rPr>
        <w:t>Australian Industry</w:t>
      </w:r>
      <w:r>
        <w:t>,</w:t>
      </w:r>
      <w:r w:rsidR="00B030FB">
        <w:t xml:space="preserve"> </w:t>
      </w:r>
      <w:r w:rsidR="00B030FB">
        <w:rPr>
          <w:i/>
        </w:rPr>
        <w:t>2010-11</w:t>
      </w:r>
      <w:r w:rsidR="00B030FB">
        <w:t>,</w:t>
      </w:r>
      <w:r>
        <w:t xml:space="preserve"> Cat. no</w:t>
      </w:r>
      <w:r w:rsidR="00C6187E">
        <w:t>.</w:t>
      </w:r>
      <w:r>
        <w:t xml:space="preserve"> 8155.0).</w:t>
      </w:r>
    </w:p>
    <w:p w:rsidR="00356020" w:rsidRPr="00BB16F1" w:rsidRDefault="00356020" w:rsidP="004A71BC">
      <w:pPr>
        <w:pStyle w:val="BodyText"/>
        <w:rPr>
          <w:lang w:eastAsia="en-US"/>
        </w:rPr>
      </w:pPr>
      <w:r>
        <w:rPr>
          <w:lang w:eastAsia="en-US"/>
        </w:rPr>
        <w:t xml:space="preserve">A possible source of the discrepancies between the two data sources is that the surveys use different methods of industry identification. In the </w:t>
      </w:r>
      <w:proofErr w:type="spellStart"/>
      <w:r>
        <w:rPr>
          <w:lang w:eastAsia="en-US"/>
        </w:rPr>
        <w:t>LFS</w:t>
      </w:r>
      <w:proofErr w:type="spellEnd"/>
      <w:r>
        <w:rPr>
          <w:lang w:eastAsia="en-US"/>
        </w:rPr>
        <w:t xml:space="preserve">, the employee indicates their industry of employment, while in the </w:t>
      </w:r>
      <w:proofErr w:type="spellStart"/>
      <w:r>
        <w:rPr>
          <w:lang w:eastAsia="en-US"/>
        </w:rPr>
        <w:t>EAS</w:t>
      </w:r>
      <w:proofErr w:type="spellEnd"/>
      <w:r>
        <w:rPr>
          <w:lang w:eastAsia="en-US"/>
        </w:rPr>
        <w:t xml:space="preserve"> the employer indicates their number of employees. Employer </w:t>
      </w:r>
      <w:r w:rsidR="00170C9B">
        <w:rPr>
          <w:lang w:eastAsia="en-US"/>
        </w:rPr>
        <w:t xml:space="preserve">(business) </w:t>
      </w:r>
      <w:r>
        <w:rPr>
          <w:lang w:eastAsia="en-US"/>
        </w:rPr>
        <w:t xml:space="preserve">surveys can be a more reliable basis for industry identification (appendix </w:t>
      </w:r>
      <w:r w:rsidR="00A4443C">
        <w:rPr>
          <w:lang w:eastAsia="en-US"/>
        </w:rPr>
        <w:t>G</w:t>
      </w:r>
      <w:r>
        <w:rPr>
          <w:lang w:eastAsia="en-US"/>
        </w:rPr>
        <w:t>)</w:t>
      </w:r>
      <w:r w:rsidR="00774466">
        <w:rPr>
          <w:lang w:eastAsia="en-US"/>
        </w:rPr>
        <w:t>.</w:t>
      </w:r>
      <w:r w:rsidR="00530C35">
        <w:rPr>
          <w:lang w:eastAsia="en-US"/>
        </w:rPr>
        <w:t xml:space="preserve"> </w:t>
      </w:r>
      <w:r w:rsidR="00256A73">
        <w:rPr>
          <w:lang w:eastAsia="en-US"/>
        </w:rPr>
        <w:t>T</w:t>
      </w:r>
      <w:r w:rsidR="0064144D">
        <w:rPr>
          <w:lang w:eastAsia="en-US"/>
        </w:rPr>
        <w:t xml:space="preserve">he </w:t>
      </w:r>
      <w:proofErr w:type="spellStart"/>
      <w:r w:rsidR="0064144D">
        <w:rPr>
          <w:lang w:eastAsia="en-US"/>
        </w:rPr>
        <w:t>EAS</w:t>
      </w:r>
      <w:proofErr w:type="spellEnd"/>
      <w:r>
        <w:rPr>
          <w:lang w:eastAsia="en-US"/>
        </w:rPr>
        <w:t xml:space="preserve"> employment data</w:t>
      </w:r>
      <w:r w:rsidR="00794A0E">
        <w:rPr>
          <w:lang w:eastAsia="en-US"/>
        </w:rPr>
        <w:t xml:space="preserve"> also</w:t>
      </w:r>
      <w:r>
        <w:rPr>
          <w:lang w:eastAsia="en-US"/>
        </w:rPr>
        <w:t xml:space="preserve"> appear more consistent with output trends</w:t>
      </w:r>
      <w:r w:rsidR="00256A73">
        <w:rPr>
          <w:lang w:eastAsia="en-US"/>
        </w:rPr>
        <w:t xml:space="preserve"> in this case</w:t>
      </w:r>
      <w:r>
        <w:rPr>
          <w:lang w:eastAsia="en-US"/>
        </w:rPr>
        <w:t>.</w:t>
      </w:r>
      <w:r w:rsidRPr="00356020">
        <w:t xml:space="preserve"> </w:t>
      </w:r>
      <w:r w:rsidR="00256A73">
        <w:t>T</w:t>
      </w:r>
      <w:r w:rsidRPr="00527925">
        <w:t xml:space="preserve">here was strong growth in </w:t>
      </w:r>
      <w:r w:rsidR="00BB16F1">
        <w:t>F</w:t>
      </w:r>
      <w:r w:rsidRPr="00527925">
        <w:t xml:space="preserve">abricated metal </w:t>
      </w:r>
      <w:r w:rsidR="001E5702">
        <w:t>product</w:t>
      </w:r>
      <w:r w:rsidRPr="00527925">
        <w:t xml:space="preserve"> employment over the period of cycle 4, which coincides with the </w:t>
      </w:r>
      <w:r w:rsidR="00BB16F1">
        <w:t>value added growth</w:t>
      </w:r>
      <w:r w:rsidRPr="00BB16F1">
        <w:t xml:space="preserve"> in </w:t>
      </w:r>
      <w:r w:rsidR="00BB16F1">
        <w:t>F</w:t>
      </w:r>
      <w:r w:rsidR="0000373B">
        <w:t xml:space="preserve">abricated metals </w:t>
      </w:r>
      <w:r w:rsidRPr="00BB16F1">
        <w:t>over the same period</w:t>
      </w:r>
      <w:r w:rsidR="002E2075" w:rsidRPr="00BB16F1">
        <w:t>.</w:t>
      </w:r>
    </w:p>
    <w:p w:rsidR="00896112" w:rsidRDefault="00896112" w:rsidP="00896112">
      <w:pPr>
        <w:pStyle w:val="BodyText"/>
      </w:pPr>
      <w:r>
        <w:t xml:space="preserve">It is possible to disaggregate the growth in employment in Fabricated metals along the same lines as output (box </w:t>
      </w:r>
      <w:r w:rsidR="007D2EF3">
        <w:t>6.1</w:t>
      </w:r>
      <w:r>
        <w:t xml:space="preserve">) in order to try and identify those industry classes responsible for employment growth. This approach is hampered by the </w:t>
      </w:r>
      <w:r w:rsidR="00170C9B">
        <w:t>un</w:t>
      </w:r>
      <w:r>
        <w:t>availability of data at this level of disaggregation</w:t>
      </w:r>
      <w:r w:rsidR="00170C9B">
        <w:t xml:space="preserve"> after</w:t>
      </w:r>
      <w:r>
        <w:t xml:space="preserve"> 2006-07 (table </w:t>
      </w:r>
      <w:proofErr w:type="spellStart"/>
      <w:r w:rsidR="00750D19">
        <w:t>H.5</w:t>
      </w:r>
      <w:proofErr w:type="spellEnd"/>
      <w:r>
        <w:t>).</w:t>
      </w:r>
    </w:p>
    <w:p w:rsidR="00896112" w:rsidRDefault="00896112" w:rsidP="00896112">
      <w:pPr>
        <w:pStyle w:val="BodyText"/>
      </w:pPr>
    </w:p>
    <w:p w:rsidR="00896112" w:rsidRDefault="00896112" w:rsidP="00896112">
      <w:pPr>
        <w:pStyle w:val="BodyText"/>
      </w:pPr>
    </w:p>
    <w:p w:rsidR="00896112" w:rsidRDefault="00896112" w:rsidP="00896112">
      <w:pPr>
        <w:pStyle w:val="TableTitle"/>
      </w:pPr>
      <w:r>
        <w:rPr>
          <w:b w:val="0"/>
        </w:rPr>
        <w:lastRenderedPageBreak/>
        <w:t xml:space="preserve">Table </w:t>
      </w:r>
      <w:bookmarkStart w:id="14" w:name="OLE_LINK47"/>
      <w:proofErr w:type="spellStart"/>
      <w:r w:rsidR="00750D19">
        <w:rPr>
          <w:b w:val="0"/>
        </w:rPr>
        <w:t>H.</w:t>
      </w:r>
      <w:r w:rsidR="00D76F7C">
        <w:rPr>
          <w:b w:val="0"/>
          <w:noProof/>
        </w:rPr>
        <w:t>5</w:t>
      </w:r>
      <w:bookmarkEnd w:id="14"/>
      <w:proofErr w:type="spellEnd"/>
      <w:r>
        <w:tab/>
        <w:t xml:space="preserve">Estimated contributions to </w:t>
      </w:r>
      <w:r w:rsidR="00A11166">
        <w:t xml:space="preserve">growth in </w:t>
      </w:r>
      <w:r w:rsidR="0000373B">
        <w:t>employment in Fabricated metals</w:t>
      </w:r>
    </w:p>
    <w:tbl>
      <w:tblPr>
        <w:tblW w:w="5000" w:type="pct"/>
        <w:tblLayout w:type="fixed"/>
        <w:tblCellMar>
          <w:left w:w="0" w:type="dxa"/>
          <w:right w:w="0" w:type="dxa"/>
        </w:tblCellMar>
        <w:tblLook w:val="0000" w:firstRow="0" w:lastRow="0" w:firstColumn="0" w:lastColumn="0" w:noHBand="0" w:noVBand="0"/>
      </w:tblPr>
      <w:tblGrid>
        <w:gridCol w:w="2936"/>
        <w:gridCol w:w="1246"/>
        <w:gridCol w:w="970"/>
        <w:gridCol w:w="107"/>
        <w:gridCol w:w="1245"/>
        <w:gridCol w:w="972"/>
        <w:gridCol w:w="98"/>
        <w:gridCol w:w="1215"/>
      </w:tblGrid>
      <w:tr w:rsidR="0006220B" w:rsidTr="009D4F33">
        <w:tc>
          <w:tcPr>
            <w:tcW w:w="1670" w:type="pct"/>
            <w:tcBorders>
              <w:top w:val="single" w:sz="4" w:space="0" w:color="auto"/>
            </w:tcBorders>
            <w:shd w:val="clear" w:color="auto" w:fill="auto"/>
          </w:tcPr>
          <w:p w:rsidR="0006220B" w:rsidRDefault="0006220B" w:rsidP="00C67220">
            <w:pPr>
              <w:pStyle w:val="TableColumnHeading"/>
              <w:jc w:val="left"/>
            </w:pPr>
          </w:p>
        </w:tc>
        <w:tc>
          <w:tcPr>
            <w:tcW w:w="1261" w:type="pct"/>
            <w:gridSpan w:val="2"/>
            <w:tcBorders>
              <w:top w:val="single" w:sz="4" w:space="0" w:color="auto"/>
              <w:bottom w:val="single" w:sz="4" w:space="0" w:color="auto"/>
            </w:tcBorders>
          </w:tcPr>
          <w:p w:rsidR="0006220B" w:rsidRDefault="007D2431" w:rsidP="007D2431">
            <w:pPr>
              <w:pStyle w:val="TableColumnHeading"/>
              <w:jc w:val="center"/>
            </w:pPr>
            <w:r>
              <w:br/>
            </w:r>
            <w:r w:rsidR="0006220B">
              <w:t>Period 1 (cycle 3):</w:t>
            </w:r>
            <w:r w:rsidR="0006220B">
              <w:br/>
              <w:t>1998-99 to 2003-04</w:t>
            </w:r>
          </w:p>
        </w:tc>
        <w:tc>
          <w:tcPr>
            <w:tcW w:w="61" w:type="pct"/>
            <w:tcBorders>
              <w:top w:val="single" w:sz="4" w:space="0" w:color="auto"/>
            </w:tcBorders>
          </w:tcPr>
          <w:p w:rsidR="0006220B" w:rsidRDefault="0006220B" w:rsidP="00914B0F">
            <w:pPr>
              <w:pStyle w:val="TableColumnHeading"/>
              <w:jc w:val="center"/>
            </w:pPr>
          </w:p>
        </w:tc>
        <w:tc>
          <w:tcPr>
            <w:tcW w:w="1261" w:type="pct"/>
            <w:gridSpan w:val="2"/>
            <w:tcBorders>
              <w:top w:val="single" w:sz="4" w:space="0" w:color="auto"/>
              <w:bottom w:val="single" w:sz="4" w:space="0" w:color="auto"/>
            </w:tcBorders>
            <w:shd w:val="clear" w:color="auto" w:fill="auto"/>
          </w:tcPr>
          <w:p w:rsidR="0006220B" w:rsidRDefault="007D2431" w:rsidP="007D2431">
            <w:pPr>
              <w:pStyle w:val="TableColumnHeading"/>
              <w:jc w:val="center"/>
            </w:pPr>
            <w:r>
              <w:br/>
            </w:r>
            <w:r w:rsidR="0006220B">
              <w:t>Period 2:</w:t>
            </w:r>
            <w:r w:rsidR="0006220B">
              <w:br/>
              <w:t>2003-04 to 2006-07</w:t>
            </w:r>
          </w:p>
        </w:tc>
        <w:tc>
          <w:tcPr>
            <w:tcW w:w="56" w:type="pct"/>
            <w:tcBorders>
              <w:top w:val="single" w:sz="4" w:space="0" w:color="auto"/>
            </w:tcBorders>
          </w:tcPr>
          <w:p w:rsidR="0006220B" w:rsidRDefault="0006220B" w:rsidP="00914B0F">
            <w:pPr>
              <w:pStyle w:val="TableColumnHeading"/>
              <w:ind w:right="28"/>
              <w:jc w:val="center"/>
            </w:pPr>
          </w:p>
        </w:tc>
        <w:tc>
          <w:tcPr>
            <w:tcW w:w="691" w:type="pct"/>
            <w:tcBorders>
              <w:top w:val="single" w:sz="4" w:space="0" w:color="auto"/>
              <w:bottom w:val="single" w:sz="4" w:space="0" w:color="auto"/>
            </w:tcBorders>
            <w:shd w:val="clear" w:color="auto" w:fill="auto"/>
          </w:tcPr>
          <w:p w:rsidR="0006220B" w:rsidRDefault="0006220B" w:rsidP="00914B0F">
            <w:pPr>
              <w:pStyle w:val="TableColumnHeading"/>
              <w:ind w:right="28"/>
              <w:jc w:val="center"/>
            </w:pPr>
            <w:r>
              <w:t>Difference between periods</w:t>
            </w:r>
          </w:p>
        </w:tc>
      </w:tr>
      <w:tr w:rsidR="0006220B" w:rsidTr="009D4F33">
        <w:tc>
          <w:tcPr>
            <w:tcW w:w="1670" w:type="pct"/>
            <w:tcBorders>
              <w:bottom w:val="single" w:sz="4" w:space="0" w:color="auto"/>
            </w:tcBorders>
            <w:shd w:val="clear" w:color="auto" w:fill="auto"/>
            <w:vAlign w:val="bottom"/>
          </w:tcPr>
          <w:p w:rsidR="0006220B" w:rsidRPr="00CF4865" w:rsidRDefault="0006220B" w:rsidP="00A73EE4">
            <w:pPr>
              <w:rPr>
                <w:rFonts w:ascii="Arial" w:hAnsi="Arial" w:cs="Arial"/>
                <w:i/>
                <w:color w:val="000000"/>
                <w:sz w:val="20"/>
                <w:szCs w:val="20"/>
              </w:rPr>
            </w:pPr>
          </w:p>
        </w:tc>
        <w:tc>
          <w:tcPr>
            <w:tcW w:w="709" w:type="pct"/>
            <w:tcBorders>
              <w:top w:val="single" w:sz="4" w:space="0" w:color="auto"/>
              <w:bottom w:val="single" w:sz="4" w:space="0" w:color="auto"/>
            </w:tcBorders>
            <w:vAlign w:val="bottom"/>
          </w:tcPr>
          <w:p w:rsidR="0006220B" w:rsidRPr="00CF4865" w:rsidRDefault="0006220B" w:rsidP="00C62B59">
            <w:pPr>
              <w:pStyle w:val="TableUnitsRow"/>
              <w:rPr>
                <w:i/>
              </w:rPr>
            </w:pPr>
            <w:r w:rsidRPr="00CF4865">
              <w:rPr>
                <w:i/>
              </w:rPr>
              <w:t>Change</w:t>
            </w:r>
            <w:r w:rsidR="00320D38">
              <w:rPr>
                <w:i/>
              </w:rPr>
              <w:t xml:space="preserve"> in employment</w:t>
            </w:r>
            <w:r w:rsidRPr="00CF4865">
              <w:rPr>
                <w:i/>
              </w:rPr>
              <w:t xml:space="preserve"> </w:t>
            </w:r>
          </w:p>
        </w:tc>
        <w:tc>
          <w:tcPr>
            <w:tcW w:w="552" w:type="pct"/>
            <w:tcBorders>
              <w:top w:val="single" w:sz="4" w:space="0" w:color="auto"/>
              <w:bottom w:val="single" w:sz="4" w:space="0" w:color="auto"/>
            </w:tcBorders>
            <w:vAlign w:val="bottom"/>
          </w:tcPr>
          <w:p w:rsidR="0006220B" w:rsidRPr="00CF4865" w:rsidRDefault="0006220B" w:rsidP="00C62B59">
            <w:pPr>
              <w:pStyle w:val="TableUnitsRow"/>
              <w:rPr>
                <w:i/>
              </w:rPr>
            </w:pPr>
            <w:r w:rsidRPr="00CF4865">
              <w:rPr>
                <w:i/>
              </w:rPr>
              <w:t>Contrib. to growth</w:t>
            </w:r>
          </w:p>
        </w:tc>
        <w:tc>
          <w:tcPr>
            <w:tcW w:w="61" w:type="pct"/>
            <w:tcBorders>
              <w:bottom w:val="single" w:sz="4" w:space="0" w:color="auto"/>
            </w:tcBorders>
          </w:tcPr>
          <w:p w:rsidR="0006220B" w:rsidRPr="00CF4865" w:rsidRDefault="0006220B" w:rsidP="00C62B59">
            <w:pPr>
              <w:pStyle w:val="TableUnitsRow"/>
              <w:rPr>
                <w:i/>
              </w:rPr>
            </w:pPr>
          </w:p>
        </w:tc>
        <w:tc>
          <w:tcPr>
            <w:tcW w:w="708" w:type="pct"/>
            <w:tcBorders>
              <w:top w:val="single" w:sz="4" w:space="0" w:color="auto"/>
              <w:bottom w:val="single" w:sz="4" w:space="0" w:color="auto"/>
            </w:tcBorders>
            <w:shd w:val="clear" w:color="auto" w:fill="auto"/>
            <w:vAlign w:val="bottom"/>
          </w:tcPr>
          <w:p w:rsidR="0006220B" w:rsidRPr="00CF4865" w:rsidRDefault="00320D38" w:rsidP="00C62B59">
            <w:pPr>
              <w:pStyle w:val="TableUnitsRow"/>
              <w:rPr>
                <w:i/>
              </w:rPr>
            </w:pPr>
            <w:r w:rsidRPr="00CF4865">
              <w:rPr>
                <w:i/>
              </w:rPr>
              <w:t>Change</w:t>
            </w:r>
            <w:r>
              <w:rPr>
                <w:i/>
              </w:rPr>
              <w:t xml:space="preserve"> in employment</w:t>
            </w:r>
          </w:p>
        </w:tc>
        <w:tc>
          <w:tcPr>
            <w:tcW w:w="553" w:type="pct"/>
            <w:tcBorders>
              <w:top w:val="single" w:sz="4" w:space="0" w:color="auto"/>
              <w:bottom w:val="single" w:sz="4" w:space="0" w:color="auto"/>
            </w:tcBorders>
            <w:shd w:val="clear" w:color="auto" w:fill="auto"/>
            <w:vAlign w:val="bottom"/>
          </w:tcPr>
          <w:p w:rsidR="0006220B" w:rsidRPr="00CF4865" w:rsidRDefault="0006220B" w:rsidP="00C62B59">
            <w:pPr>
              <w:pStyle w:val="TableUnitsRow"/>
              <w:rPr>
                <w:i/>
              </w:rPr>
            </w:pPr>
            <w:r w:rsidRPr="00CF4865">
              <w:rPr>
                <w:i/>
              </w:rPr>
              <w:t>Contrib. to growth</w:t>
            </w:r>
          </w:p>
        </w:tc>
        <w:tc>
          <w:tcPr>
            <w:tcW w:w="56" w:type="pct"/>
            <w:tcBorders>
              <w:bottom w:val="single" w:sz="4" w:space="0" w:color="auto"/>
            </w:tcBorders>
          </w:tcPr>
          <w:p w:rsidR="0006220B" w:rsidRPr="00CF4865" w:rsidRDefault="0006220B" w:rsidP="00C62B59">
            <w:pPr>
              <w:pStyle w:val="TableUnitsRow"/>
              <w:rPr>
                <w:i/>
              </w:rPr>
            </w:pPr>
          </w:p>
        </w:tc>
        <w:tc>
          <w:tcPr>
            <w:tcW w:w="691" w:type="pct"/>
            <w:tcBorders>
              <w:top w:val="single" w:sz="4" w:space="0" w:color="auto"/>
              <w:bottom w:val="single" w:sz="4" w:space="0" w:color="auto"/>
            </w:tcBorders>
            <w:shd w:val="clear" w:color="auto" w:fill="auto"/>
            <w:vAlign w:val="bottom"/>
          </w:tcPr>
          <w:p w:rsidR="0006220B" w:rsidRPr="00CF4865" w:rsidRDefault="00320D38" w:rsidP="00C62B59">
            <w:pPr>
              <w:pStyle w:val="TableUnitsRow"/>
              <w:rPr>
                <w:i/>
              </w:rPr>
            </w:pPr>
            <w:r w:rsidRPr="00CF4865">
              <w:rPr>
                <w:i/>
              </w:rPr>
              <w:t>Change</w:t>
            </w:r>
            <w:r>
              <w:rPr>
                <w:i/>
              </w:rPr>
              <w:t xml:space="preserve"> in employment</w:t>
            </w:r>
            <w:r w:rsidR="0006220B" w:rsidRPr="00CF4865">
              <w:rPr>
                <w:i/>
              </w:rPr>
              <w:t xml:space="preserve"> </w:t>
            </w:r>
          </w:p>
        </w:tc>
      </w:tr>
      <w:tr w:rsidR="0006220B" w:rsidTr="009D4F33">
        <w:tc>
          <w:tcPr>
            <w:tcW w:w="1670" w:type="pct"/>
            <w:tcBorders>
              <w:top w:val="single" w:sz="4" w:space="0" w:color="auto"/>
            </w:tcBorders>
            <w:shd w:val="clear" w:color="auto" w:fill="auto"/>
            <w:vAlign w:val="bottom"/>
          </w:tcPr>
          <w:p w:rsidR="0006220B" w:rsidRDefault="0006220B" w:rsidP="00C62B59">
            <w:pPr>
              <w:pStyle w:val="TableUnitsRow"/>
            </w:pPr>
          </w:p>
        </w:tc>
        <w:tc>
          <w:tcPr>
            <w:tcW w:w="709" w:type="pct"/>
            <w:tcBorders>
              <w:top w:val="single" w:sz="4" w:space="0" w:color="auto"/>
            </w:tcBorders>
            <w:vAlign w:val="bottom"/>
          </w:tcPr>
          <w:p w:rsidR="0006220B" w:rsidRDefault="007D2431" w:rsidP="00C62B59">
            <w:pPr>
              <w:pStyle w:val="TableUnitsRow"/>
            </w:pPr>
            <w:r>
              <w:t>number</w:t>
            </w:r>
          </w:p>
        </w:tc>
        <w:tc>
          <w:tcPr>
            <w:tcW w:w="552" w:type="pct"/>
            <w:tcBorders>
              <w:top w:val="single" w:sz="4" w:space="0" w:color="auto"/>
            </w:tcBorders>
            <w:vAlign w:val="bottom"/>
          </w:tcPr>
          <w:p w:rsidR="0006220B" w:rsidRDefault="0006220B" w:rsidP="00C62B59">
            <w:pPr>
              <w:pStyle w:val="TableUnitsRow"/>
            </w:pPr>
            <w:r>
              <w:t xml:space="preserve">% </w:t>
            </w:r>
            <w:proofErr w:type="spellStart"/>
            <w:r>
              <w:t>pts</w:t>
            </w:r>
            <w:proofErr w:type="spellEnd"/>
          </w:p>
        </w:tc>
        <w:tc>
          <w:tcPr>
            <w:tcW w:w="61" w:type="pct"/>
            <w:tcBorders>
              <w:top w:val="single" w:sz="4" w:space="0" w:color="auto"/>
            </w:tcBorders>
          </w:tcPr>
          <w:p w:rsidR="0006220B" w:rsidRDefault="0006220B" w:rsidP="00C62B59">
            <w:pPr>
              <w:pStyle w:val="TableUnitsRow"/>
            </w:pPr>
          </w:p>
        </w:tc>
        <w:tc>
          <w:tcPr>
            <w:tcW w:w="708" w:type="pct"/>
            <w:tcBorders>
              <w:top w:val="single" w:sz="4" w:space="0" w:color="auto"/>
            </w:tcBorders>
            <w:shd w:val="clear" w:color="auto" w:fill="auto"/>
            <w:vAlign w:val="bottom"/>
          </w:tcPr>
          <w:p w:rsidR="0006220B" w:rsidRDefault="007D2431" w:rsidP="00C62B59">
            <w:pPr>
              <w:pStyle w:val="TableUnitsRow"/>
            </w:pPr>
            <w:r>
              <w:t>number</w:t>
            </w:r>
          </w:p>
        </w:tc>
        <w:tc>
          <w:tcPr>
            <w:tcW w:w="553" w:type="pct"/>
            <w:tcBorders>
              <w:top w:val="single" w:sz="4" w:space="0" w:color="auto"/>
            </w:tcBorders>
            <w:shd w:val="clear" w:color="auto" w:fill="auto"/>
            <w:vAlign w:val="bottom"/>
          </w:tcPr>
          <w:p w:rsidR="0006220B" w:rsidRDefault="0006220B" w:rsidP="00C62B59">
            <w:pPr>
              <w:pStyle w:val="TableUnitsRow"/>
            </w:pPr>
            <w:r>
              <w:t xml:space="preserve">% </w:t>
            </w:r>
            <w:proofErr w:type="spellStart"/>
            <w:r>
              <w:t>pts</w:t>
            </w:r>
            <w:proofErr w:type="spellEnd"/>
          </w:p>
        </w:tc>
        <w:tc>
          <w:tcPr>
            <w:tcW w:w="56" w:type="pct"/>
            <w:tcBorders>
              <w:top w:val="single" w:sz="4" w:space="0" w:color="auto"/>
            </w:tcBorders>
          </w:tcPr>
          <w:p w:rsidR="0006220B" w:rsidRDefault="0006220B" w:rsidP="00C62B59">
            <w:pPr>
              <w:pStyle w:val="TableUnitsRow"/>
            </w:pPr>
          </w:p>
        </w:tc>
        <w:tc>
          <w:tcPr>
            <w:tcW w:w="691" w:type="pct"/>
            <w:tcBorders>
              <w:top w:val="single" w:sz="4" w:space="0" w:color="auto"/>
            </w:tcBorders>
            <w:shd w:val="clear" w:color="auto" w:fill="auto"/>
            <w:vAlign w:val="bottom"/>
          </w:tcPr>
          <w:p w:rsidR="0006220B" w:rsidRDefault="007D2431" w:rsidP="00C62B59">
            <w:pPr>
              <w:pStyle w:val="TableUnitsRow"/>
            </w:pPr>
            <w:r>
              <w:t>number</w:t>
            </w:r>
          </w:p>
        </w:tc>
      </w:tr>
      <w:tr w:rsidR="0006220B" w:rsidTr="009D4F33">
        <w:tc>
          <w:tcPr>
            <w:tcW w:w="1670" w:type="pct"/>
            <w:shd w:val="clear" w:color="auto" w:fill="D9D9D9" w:themeFill="background1" w:themeFillShade="D9"/>
            <w:vAlign w:val="bottom"/>
          </w:tcPr>
          <w:p w:rsidR="0006220B" w:rsidRDefault="009D4F33" w:rsidP="009D4F33">
            <w:pPr>
              <w:pStyle w:val="TableBodyText"/>
              <w:jc w:val="left"/>
            </w:pPr>
            <w:r>
              <w:t xml:space="preserve">   </w:t>
            </w:r>
            <w:r w:rsidR="0006220B">
              <w:t xml:space="preserve">2221 Structural steel </w:t>
            </w:r>
            <w:r>
              <w:br/>
              <w:t xml:space="preserve">   </w:t>
            </w:r>
            <w:r w:rsidR="00994ACD">
              <w:t xml:space="preserve">         </w:t>
            </w:r>
            <w:r w:rsidR="0006220B">
              <w:t>fabricating</w:t>
            </w:r>
          </w:p>
        </w:tc>
        <w:tc>
          <w:tcPr>
            <w:tcW w:w="709" w:type="pct"/>
            <w:shd w:val="clear" w:color="auto" w:fill="D9D9D9" w:themeFill="background1" w:themeFillShade="D9"/>
            <w:vAlign w:val="bottom"/>
          </w:tcPr>
          <w:p w:rsidR="0006220B" w:rsidRDefault="0006220B" w:rsidP="00C67220">
            <w:pPr>
              <w:pStyle w:val="TableBodyText"/>
            </w:pPr>
            <w:r>
              <w:t>-3 934</w:t>
            </w:r>
          </w:p>
        </w:tc>
        <w:tc>
          <w:tcPr>
            <w:tcW w:w="552" w:type="pct"/>
            <w:shd w:val="clear" w:color="auto" w:fill="D9D9D9" w:themeFill="background1" w:themeFillShade="D9"/>
            <w:vAlign w:val="bottom"/>
          </w:tcPr>
          <w:p w:rsidR="0006220B" w:rsidRDefault="0006220B" w:rsidP="00C67220">
            <w:pPr>
              <w:pStyle w:val="TableBodyText"/>
            </w:pPr>
            <w:r>
              <w:t>-0.5</w:t>
            </w:r>
          </w:p>
        </w:tc>
        <w:tc>
          <w:tcPr>
            <w:tcW w:w="61" w:type="pct"/>
            <w:shd w:val="clear" w:color="auto" w:fill="D9D9D9" w:themeFill="background1" w:themeFillShade="D9"/>
          </w:tcPr>
          <w:p w:rsidR="0006220B" w:rsidRDefault="0006220B" w:rsidP="00C67220">
            <w:pPr>
              <w:pStyle w:val="TableBodyText"/>
            </w:pPr>
          </w:p>
        </w:tc>
        <w:tc>
          <w:tcPr>
            <w:tcW w:w="708" w:type="pct"/>
            <w:shd w:val="clear" w:color="auto" w:fill="D9D9D9" w:themeFill="background1" w:themeFillShade="D9"/>
            <w:vAlign w:val="bottom"/>
          </w:tcPr>
          <w:p w:rsidR="0006220B" w:rsidRDefault="0006220B" w:rsidP="00C67220">
            <w:pPr>
              <w:pStyle w:val="TableBodyText"/>
            </w:pPr>
            <w:r>
              <w:t>5 387</w:t>
            </w:r>
          </w:p>
        </w:tc>
        <w:tc>
          <w:tcPr>
            <w:tcW w:w="553" w:type="pct"/>
            <w:shd w:val="clear" w:color="auto" w:fill="D9D9D9" w:themeFill="background1" w:themeFillShade="D9"/>
            <w:vAlign w:val="bottom"/>
          </w:tcPr>
          <w:p w:rsidR="0006220B" w:rsidRDefault="0006220B" w:rsidP="00C67220">
            <w:pPr>
              <w:pStyle w:val="TableBodyText"/>
            </w:pPr>
            <w:r>
              <w:t>0.6</w:t>
            </w:r>
          </w:p>
        </w:tc>
        <w:tc>
          <w:tcPr>
            <w:tcW w:w="56" w:type="pct"/>
            <w:shd w:val="clear" w:color="auto" w:fill="D9D9D9" w:themeFill="background1" w:themeFillShade="D9"/>
          </w:tcPr>
          <w:p w:rsidR="0006220B" w:rsidRDefault="0006220B" w:rsidP="00C67220">
            <w:pPr>
              <w:pStyle w:val="TableBodyText"/>
            </w:pPr>
          </w:p>
        </w:tc>
        <w:tc>
          <w:tcPr>
            <w:tcW w:w="691" w:type="pct"/>
            <w:shd w:val="clear" w:color="auto" w:fill="D9D9D9" w:themeFill="background1" w:themeFillShade="D9"/>
            <w:vAlign w:val="bottom"/>
          </w:tcPr>
          <w:p w:rsidR="0006220B" w:rsidRDefault="0006220B" w:rsidP="00C67220">
            <w:pPr>
              <w:pStyle w:val="TableBodyText"/>
            </w:pPr>
            <w:r>
              <w:t>9 321</w:t>
            </w:r>
          </w:p>
        </w:tc>
      </w:tr>
      <w:tr w:rsidR="0006220B" w:rsidTr="009D4F33">
        <w:tc>
          <w:tcPr>
            <w:tcW w:w="1670" w:type="pct"/>
            <w:shd w:val="clear" w:color="auto" w:fill="auto"/>
            <w:vAlign w:val="bottom"/>
          </w:tcPr>
          <w:p w:rsidR="0006220B" w:rsidRDefault="009D4F33" w:rsidP="009D4F33">
            <w:pPr>
              <w:pStyle w:val="TableBodyText"/>
              <w:jc w:val="left"/>
            </w:pPr>
            <w:r>
              <w:t xml:space="preserve">   </w:t>
            </w:r>
            <w:r w:rsidR="0006220B">
              <w:t>2223 Architectural aluminium</w:t>
            </w:r>
            <w:r>
              <w:br/>
              <w:t xml:space="preserve">   </w:t>
            </w:r>
            <w:r w:rsidR="00994ACD">
              <w:t xml:space="preserve">         </w:t>
            </w:r>
            <w:r w:rsidR="0006220B">
              <w:t>product manufacturing</w:t>
            </w:r>
          </w:p>
        </w:tc>
        <w:tc>
          <w:tcPr>
            <w:tcW w:w="709" w:type="pct"/>
            <w:shd w:val="clear" w:color="auto" w:fill="auto"/>
            <w:vAlign w:val="bottom"/>
          </w:tcPr>
          <w:p w:rsidR="0006220B" w:rsidRDefault="0006220B" w:rsidP="00C67220">
            <w:pPr>
              <w:pStyle w:val="TableBodyText"/>
            </w:pPr>
            <w:r>
              <w:t>1 956</w:t>
            </w:r>
          </w:p>
        </w:tc>
        <w:tc>
          <w:tcPr>
            <w:tcW w:w="552" w:type="pct"/>
            <w:shd w:val="clear" w:color="auto" w:fill="auto"/>
            <w:vAlign w:val="bottom"/>
          </w:tcPr>
          <w:p w:rsidR="0006220B" w:rsidRDefault="0006220B" w:rsidP="00C67220">
            <w:pPr>
              <w:pStyle w:val="TableBodyText"/>
            </w:pPr>
            <w:r>
              <w:t>0.2</w:t>
            </w:r>
          </w:p>
        </w:tc>
        <w:tc>
          <w:tcPr>
            <w:tcW w:w="61" w:type="pct"/>
            <w:shd w:val="clear" w:color="auto" w:fill="auto"/>
          </w:tcPr>
          <w:p w:rsidR="0006220B" w:rsidRDefault="0006220B" w:rsidP="00C67220">
            <w:pPr>
              <w:pStyle w:val="TableBodyText"/>
            </w:pPr>
          </w:p>
        </w:tc>
        <w:tc>
          <w:tcPr>
            <w:tcW w:w="708" w:type="pct"/>
            <w:shd w:val="clear" w:color="auto" w:fill="auto"/>
            <w:vAlign w:val="bottom"/>
          </w:tcPr>
          <w:p w:rsidR="0006220B" w:rsidRDefault="0006220B" w:rsidP="00C67220">
            <w:pPr>
              <w:pStyle w:val="TableBodyText"/>
            </w:pPr>
            <w:r>
              <w:t>2 033</w:t>
            </w:r>
          </w:p>
        </w:tc>
        <w:tc>
          <w:tcPr>
            <w:tcW w:w="553" w:type="pct"/>
            <w:shd w:val="clear" w:color="auto" w:fill="auto"/>
            <w:vAlign w:val="bottom"/>
          </w:tcPr>
          <w:p w:rsidR="0006220B" w:rsidRDefault="0006220B" w:rsidP="00C67220">
            <w:pPr>
              <w:pStyle w:val="TableBodyText"/>
            </w:pPr>
            <w:r>
              <w:t>0.2</w:t>
            </w:r>
          </w:p>
        </w:tc>
        <w:tc>
          <w:tcPr>
            <w:tcW w:w="56" w:type="pct"/>
            <w:shd w:val="clear" w:color="auto" w:fill="auto"/>
          </w:tcPr>
          <w:p w:rsidR="0006220B" w:rsidRDefault="0006220B" w:rsidP="00C67220">
            <w:pPr>
              <w:pStyle w:val="TableBodyText"/>
            </w:pPr>
          </w:p>
        </w:tc>
        <w:tc>
          <w:tcPr>
            <w:tcW w:w="691" w:type="pct"/>
            <w:shd w:val="clear" w:color="auto" w:fill="auto"/>
            <w:vAlign w:val="bottom"/>
          </w:tcPr>
          <w:p w:rsidR="0006220B" w:rsidRDefault="0006220B" w:rsidP="00C67220">
            <w:pPr>
              <w:pStyle w:val="TableBodyText"/>
            </w:pPr>
            <w:r>
              <w:t>77</w:t>
            </w:r>
          </w:p>
        </w:tc>
      </w:tr>
      <w:tr w:rsidR="0006220B" w:rsidTr="009D4F33">
        <w:tc>
          <w:tcPr>
            <w:tcW w:w="1670" w:type="pct"/>
            <w:shd w:val="clear" w:color="auto" w:fill="D9D9D9" w:themeFill="background1" w:themeFillShade="D9"/>
            <w:vAlign w:val="bottom"/>
          </w:tcPr>
          <w:p w:rsidR="0006220B" w:rsidRDefault="009D4F33" w:rsidP="00C67220">
            <w:pPr>
              <w:pStyle w:val="TableBodyText"/>
              <w:jc w:val="left"/>
            </w:pPr>
            <w:r>
              <w:t xml:space="preserve">   </w:t>
            </w:r>
            <w:r w:rsidR="0006220B">
              <w:t xml:space="preserve">2229 Other structural metal </w:t>
            </w:r>
            <w:r>
              <w:br/>
              <w:t xml:space="preserve">   </w:t>
            </w:r>
            <w:r w:rsidR="00994ACD">
              <w:t xml:space="preserve">         </w:t>
            </w:r>
            <w:r w:rsidR="0006220B">
              <w:t>product manufacturing</w:t>
            </w:r>
          </w:p>
        </w:tc>
        <w:tc>
          <w:tcPr>
            <w:tcW w:w="709" w:type="pct"/>
            <w:shd w:val="clear" w:color="auto" w:fill="D9D9D9" w:themeFill="background1" w:themeFillShade="D9"/>
            <w:vAlign w:val="bottom"/>
          </w:tcPr>
          <w:p w:rsidR="0006220B" w:rsidRDefault="0006220B" w:rsidP="00C67220">
            <w:pPr>
              <w:pStyle w:val="TableBodyText"/>
            </w:pPr>
            <w:r>
              <w:t>1 065</w:t>
            </w:r>
          </w:p>
        </w:tc>
        <w:tc>
          <w:tcPr>
            <w:tcW w:w="552" w:type="pct"/>
            <w:shd w:val="clear" w:color="auto" w:fill="D9D9D9" w:themeFill="background1" w:themeFillShade="D9"/>
            <w:vAlign w:val="bottom"/>
          </w:tcPr>
          <w:p w:rsidR="0006220B" w:rsidRDefault="0006220B" w:rsidP="00C67220">
            <w:pPr>
              <w:pStyle w:val="TableBodyText"/>
            </w:pPr>
            <w:r>
              <w:t>0.1</w:t>
            </w:r>
          </w:p>
        </w:tc>
        <w:tc>
          <w:tcPr>
            <w:tcW w:w="61" w:type="pct"/>
            <w:shd w:val="clear" w:color="auto" w:fill="D9D9D9" w:themeFill="background1" w:themeFillShade="D9"/>
          </w:tcPr>
          <w:p w:rsidR="0006220B" w:rsidRDefault="0006220B" w:rsidP="00C67220">
            <w:pPr>
              <w:pStyle w:val="TableBodyText"/>
            </w:pPr>
          </w:p>
        </w:tc>
        <w:tc>
          <w:tcPr>
            <w:tcW w:w="708" w:type="pct"/>
            <w:shd w:val="clear" w:color="auto" w:fill="D9D9D9" w:themeFill="background1" w:themeFillShade="D9"/>
            <w:vAlign w:val="bottom"/>
          </w:tcPr>
          <w:p w:rsidR="0006220B" w:rsidRDefault="0006220B" w:rsidP="00C67220">
            <w:pPr>
              <w:pStyle w:val="TableBodyText"/>
            </w:pPr>
            <w:r>
              <w:t>4 809</w:t>
            </w:r>
          </w:p>
        </w:tc>
        <w:tc>
          <w:tcPr>
            <w:tcW w:w="553" w:type="pct"/>
            <w:shd w:val="clear" w:color="auto" w:fill="D9D9D9" w:themeFill="background1" w:themeFillShade="D9"/>
            <w:vAlign w:val="bottom"/>
          </w:tcPr>
          <w:p w:rsidR="0006220B" w:rsidRDefault="0006220B" w:rsidP="00C67220">
            <w:pPr>
              <w:pStyle w:val="TableBodyText"/>
            </w:pPr>
            <w:r>
              <w:t>0.6</w:t>
            </w:r>
          </w:p>
        </w:tc>
        <w:tc>
          <w:tcPr>
            <w:tcW w:w="56" w:type="pct"/>
            <w:shd w:val="clear" w:color="auto" w:fill="D9D9D9" w:themeFill="background1" w:themeFillShade="D9"/>
          </w:tcPr>
          <w:p w:rsidR="0006220B" w:rsidRDefault="0006220B" w:rsidP="00C67220">
            <w:pPr>
              <w:pStyle w:val="TableBodyText"/>
            </w:pPr>
          </w:p>
        </w:tc>
        <w:tc>
          <w:tcPr>
            <w:tcW w:w="691" w:type="pct"/>
            <w:shd w:val="clear" w:color="auto" w:fill="D9D9D9" w:themeFill="background1" w:themeFillShade="D9"/>
            <w:vAlign w:val="bottom"/>
          </w:tcPr>
          <w:p w:rsidR="0006220B" w:rsidRDefault="0006220B" w:rsidP="00C67220">
            <w:pPr>
              <w:pStyle w:val="TableBodyText"/>
            </w:pPr>
            <w:r>
              <w:t>3 744</w:t>
            </w:r>
          </w:p>
        </w:tc>
      </w:tr>
      <w:tr w:rsidR="0006220B" w:rsidTr="009D4F33">
        <w:tc>
          <w:tcPr>
            <w:tcW w:w="1670" w:type="pct"/>
            <w:shd w:val="clear" w:color="auto" w:fill="auto"/>
            <w:vAlign w:val="bottom"/>
          </w:tcPr>
          <w:p w:rsidR="0006220B" w:rsidRDefault="009D4F33" w:rsidP="00C67220">
            <w:pPr>
              <w:pStyle w:val="TableBodyText"/>
              <w:jc w:val="left"/>
            </w:pPr>
            <w:r>
              <w:t xml:space="preserve">   </w:t>
            </w:r>
            <w:r w:rsidR="0006220B">
              <w:t xml:space="preserve">2291 Spring and wire product </w:t>
            </w:r>
            <w:r>
              <w:br/>
              <w:t xml:space="preserve">   </w:t>
            </w:r>
            <w:r w:rsidR="00994ACD">
              <w:t xml:space="preserve">         </w:t>
            </w:r>
            <w:r w:rsidR="0006220B">
              <w:t>manufacturing</w:t>
            </w:r>
          </w:p>
        </w:tc>
        <w:tc>
          <w:tcPr>
            <w:tcW w:w="709" w:type="pct"/>
            <w:shd w:val="clear" w:color="auto" w:fill="auto"/>
            <w:vAlign w:val="bottom"/>
          </w:tcPr>
          <w:p w:rsidR="0006220B" w:rsidRDefault="0006220B" w:rsidP="00C67220">
            <w:pPr>
              <w:pStyle w:val="TableBodyText"/>
            </w:pPr>
            <w:r>
              <w:t>-773</w:t>
            </w:r>
          </w:p>
        </w:tc>
        <w:tc>
          <w:tcPr>
            <w:tcW w:w="552" w:type="pct"/>
            <w:shd w:val="clear" w:color="auto" w:fill="auto"/>
            <w:vAlign w:val="bottom"/>
          </w:tcPr>
          <w:p w:rsidR="0006220B" w:rsidRDefault="0006220B" w:rsidP="00C67220">
            <w:pPr>
              <w:pStyle w:val="TableBodyText"/>
            </w:pPr>
            <w:r>
              <w:t>-0.1</w:t>
            </w:r>
          </w:p>
        </w:tc>
        <w:tc>
          <w:tcPr>
            <w:tcW w:w="61" w:type="pct"/>
            <w:shd w:val="clear" w:color="auto" w:fill="auto"/>
          </w:tcPr>
          <w:p w:rsidR="0006220B" w:rsidRDefault="0006220B" w:rsidP="00C67220">
            <w:pPr>
              <w:pStyle w:val="TableBodyText"/>
            </w:pPr>
          </w:p>
        </w:tc>
        <w:tc>
          <w:tcPr>
            <w:tcW w:w="708" w:type="pct"/>
            <w:shd w:val="clear" w:color="auto" w:fill="auto"/>
            <w:vAlign w:val="bottom"/>
          </w:tcPr>
          <w:p w:rsidR="0006220B" w:rsidRDefault="0006220B" w:rsidP="00C67220">
            <w:pPr>
              <w:pStyle w:val="TableBodyText"/>
            </w:pPr>
            <w:r>
              <w:t>-368</w:t>
            </w:r>
          </w:p>
        </w:tc>
        <w:tc>
          <w:tcPr>
            <w:tcW w:w="553" w:type="pct"/>
            <w:shd w:val="clear" w:color="auto" w:fill="auto"/>
            <w:vAlign w:val="bottom"/>
          </w:tcPr>
          <w:p w:rsidR="0006220B" w:rsidRDefault="0006220B" w:rsidP="00C67220">
            <w:pPr>
              <w:pStyle w:val="TableBodyText"/>
            </w:pPr>
            <w:r>
              <w:t>0.0</w:t>
            </w:r>
          </w:p>
        </w:tc>
        <w:tc>
          <w:tcPr>
            <w:tcW w:w="56" w:type="pct"/>
            <w:shd w:val="clear" w:color="auto" w:fill="auto"/>
          </w:tcPr>
          <w:p w:rsidR="0006220B" w:rsidRDefault="0006220B" w:rsidP="00C67220">
            <w:pPr>
              <w:pStyle w:val="TableBodyText"/>
            </w:pPr>
          </w:p>
        </w:tc>
        <w:tc>
          <w:tcPr>
            <w:tcW w:w="691" w:type="pct"/>
            <w:shd w:val="clear" w:color="auto" w:fill="auto"/>
            <w:vAlign w:val="bottom"/>
          </w:tcPr>
          <w:p w:rsidR="0006220B" w:rsidRDefault="0006220B" w:rsidP="00C67220">
            <w:pPr>
              <w:pStyle w:val="TableBodyText"/>
            </w:pPr>
            <w:r>
              <w:t>405</w:t>
            </w:r>
          </w:p>
        </w:tc>
      </w:tr>
      <w:tr w:rsidR="0006220B" w:rsidTr="009D4F33">
        <w:tc>
          <w:tcPr>
            <w:tcW w:w="1670" w:type="pct"/>
            <w:shd w:val="clear" w:color="auto" w:fill="D9D9D9" w:themeFill="background1" w:themeFillShade="D9"/>
            <w:vAlign w:val="bottom"/>
          </w:tcPr>
          <w:p w:rsidR="0006220B" w:rsidRDefault="009D4F33" w:rsidP="009D4F33">
            <w:pPr>
              <w:pStyle w:val="TableBodyText"/>
              <w:jc w:val="left"/>
            </w:pPr>
            <w:r>
              <w:t xml:space="preserve">   </w:t>
            </w:r>
            <w:r w:rsidR="0006220B">
              <w:t xml:space="preserve">2292 Nut, bolt, screw and </w:t>
            </w:r>
            <w:r>
              <w:br/>
              <w:t xml:space="preserve">   </w:t>
            </w:r>
            <w:r w:rsidR="00994ACD">
              <w:t xml:space="preserve">         </w:t>
            </w:r>
            <w:r w:rsidR="0006220B">
              <w:t>rivet manufacturing</w:t>
            </w:r>
          </w:p>
        </w:tc>
        <w:tc>
          <w:tcPr>
            <w:tcW w:w="709" w:type="pct"/>
            <w:shd w:val="clear" w:color="auto" w:fill="D9D9D9" w:themeFill="background1" w:themeFillShade="D9"/>
            <w:vAlign w:val="bottom"/>
          </w:tcPr>
          <w:p w:rsidR="0006220B" w:rsidRDefault="0006220B" w:rsidP="00C67220">
            <w:pPr>
              <w:pStyle w:val="TableBodyText"/>
            </w:pPr>
            <w:r>
              <w:t>190</w:t>
            </w:r>
          </w:p>
        </w:tc>
        <w:tc>
          <w:tcPr>
            <w:tcW w:w="552" w:type="pct"/>
            <w:shd w:val="clear" w:color="auto" w:fill="D9D9D9" w:themeFill="background1" w:themeFillShade="D9"/>
            <w:vAlign w:val="bottom"/>
          </w:tcPr>
          <w:p w:rsidR="0006220B" w:rsidRDefault="0006220B" w:rsidP="00C67220">
            <w:pPr>
              <w:pStyle w:val="TableBodyText"/>
            </w:pPr>
            <w:r>
              <w:t>0.0</w:t>
            </w:r>
          </w:p>
        </w:tc>
        <w:tc>
          <w:tcPr>
            <w:tcW w:w="61" w:type="pct"/>
            <w:shd w:val="clear" w:color="auto" w:fill="D9D9D9" w:themeFill="background1" w:themeFillShade="D9"/>
          </w:tcPr>
          <w:p w:rsidR="0006220B" w:rsidRDefault="0006220B" w:rsidP="00C67220">
            <w:pPr>
              <w:pStyle w:val="TableBodyText"/>
            </w:pPr>
          </w:p>
        </w:tc>
        <w:tc>
          <w:tcPr>
            <w:tcW w:w="708" w:type="pct"/>
            <w:shd w:val="clear" w:color="auto" w:fill="D9D9D9" w:themeFill="background1" w:themeFillShade="D9"/>
            <w:vAlign w:val="bottom"/>
          </w:tcPr>
          <w:p w:rsidR="0006220B" w:rsidRDefault="0006220B" w:rsidP="00C67220">
            <w:pPr>
              <w:pStyle w:val="TableBodyText"/>
            </w:pPr>
            <w:r>
              <w:t>19</w:t>
            </w:r>
          </w:p>
        </w:tc>
        <w:tc>
          <w:tcPr>
            <w:tcW w:w="553" w:type="pct"/>
            <w:shd w:val="clear" w:color="auto" w:fill="D9D9D9" w:themeFill="background1" w:themeFillShade="D9"/>
            <w:vAlign w:val="bottom"/>
          </w:tcPr>
          <w:p w:rsidR="0006220B" w:rsidRDefault="0006220B" w:rsidP="00C67220">
            <w:pPr>
              <w:pStyle w:val="TableBodyText"/>
            </w:pPr>
            <w:r>
              <w:t>0.0</w:t>
            </w:r>
          </w:p>
        </w:tc>
        <w:tc>
          <w:tcPr>
            <w:tcW w:w="56" w:type="pct"/>
            <w:shd w:val="clear" w:color="auto" w:fill="D9D9D9" w:themeFill="background1" w:themeFillShade="D9"/>
          </w:tcPr>
          <w:p w:rsidR="0006220B" w:rsidRDefault="0006220B" w:rsidP="00C67220">
            <w:pPr>
              <w:pStyle w:val="TableBodyText"/>
            </w:pPr>
          </w:p>
        </w:tc>
        <w:tc>
          <w:tcPr>
            <w:tcW w:w="691" w:type="pct"/>
            <w:shd w:val="clear" w:color="auto" w:fill="D9D9D9" w:themeFill="background1" w:themeFillShade="D9"/>
            <w:vAlign w:val="bottom"/>
          </w:tcPr>
          <w:p w:rsidR="0006220B" w:rsidRDefault="0006220B" w:rsidP="00C67220">
            <w:pPr>
              <w:pStyle w:val="TableBodyText"/>
            </w:pPr>
            <w:r>
              <w:t>-171</w:t>
            </w:r>
          </w:p>
        </w:tc>
      </w:tr>
      <w:tr w:rsidR="0006220B" w:rsidTr="009D4F33">
        <w:tc>
          <w:tcPr>
            <w:tcW w:w="1670" w:type="pct"/>
            <w:shd w:val="clear" w:color="auto" w:fill="auto"/>
            <w:vAlign w:val="bottom"/>
          </w:tcPr>
          <w:p w:rsidR="0006220B" w:rsidRDefault="009D4F33" w:rsidP="00C67220">
            <w:pPr>
              <w:pStyle w:val="TableBodyText"/>
              <w:jc w:val="left"/>
            </w:pPr>
            <w:r>
              <w:t xml:space="preserve">   </w:t>
            </w:r>
            <w:r w:rsidR="0006220B">
              <w:t xml:space="preserve">2293 Metal coating and </w:t>
            </w:r>
            <w:r>
              <w:br/>
              <w:t xml:space="preserve">   </w:t>
            </w:r>
            <w:r w:rsidR="00994ACD">
              <w:t xml:space="preserve">         </w:t>
            </w:r>
            <w:r w:rsidR="0006220B">
              <w:t>finishing</w:t>
            </w:r>
          </w:p>
        </w:tc>
        <w:tc>
          <w:tcPr>
            <w:tcW w:w="709" w:type="pct"/>
            <w:shd w:val="clear" w:color="auto" w:fill="auto"/>
            <w:vAlign w:val="bottom"/>
          </w:tcPr>
          <w:p w:rsidR="0006220B" w:rsidRDefault="0006220B" w:rsidP="00C67220">
            <w:pPr>
              <w:pStyle w:val="TableBodyText"/>
            </w:pPr>
            <w:r>
              <w:t>1 577</w:t>
            </w:r>
          </w:p>
        </w:tc>
        <w:tc>
          <w:tcPr>
            <w:tcW w:w="552" w:type="pct"/>
            <w:shd w:val="clear" w:color="auto" w:fill="auto"/>
            <w:vAlign w:val="bottom"/>
          </w:tcPr>
          <w:p w:rsidR="0006220B" w:rsidRDefault="0006220B" w:rsidP="00C67220">
            <w:pPr>
              <w:pStyle w:val="TableBodyText"/>
            </w:pPr>
            <w:r>
              <w:t>0.2</w:t>
            </w:r>
          </w:p>
        </w:tc>
        <w:tc>
          <w:tcPr>
            <w:tcW w:w="61" w:type="pct"/>
            <w:shd w:val="clear" w:color="auto" w:fill="auto"/>
          </w:tcPr>
          <w:p w:rsidR="0006220B" w:rsidRDefault="0006220B" w:rsidP="00C67220">
            <w:pPr>
              <w:pStyle w:val="TableBodyText"/>
            </w:pPr>
          </w:p>
        </w:tc>
        <w:tc>
          <w:tcPr>
            <w:tcW w:w="708" w:type="pct"/>
            <w:shd w:val="clear" w:color="auto" w:fill="auto"/>
            <w:vAlign w:val="bottom"/>
          </w:tcPr>
          <w:p w:rsidR="0006220B" w:rsidRDefault="0006220B" w:rsidP="00C67220">
            <w:pPr>
              <w:pStyle w:val="TableBodyText"/>
            </w:pPr>
            <w:r>
              <w:t>947</w:t>
            </w:r>
          </w:p>
        </w:tc>
        <w:tc>
          <w:tcPr>
            <w:tcW w:w="553" w:type="pct"/>
            <w:shd w:val="clear" w:color="auto" w:fill="auto"/>
            <w:vAlign w:val="bottom"/>
          </w:tcPr>
          <w:p w:rsidR="0006220B" w:rsidRDefault="0006220B" w:rsidP="00C67220">
            <w:pPr>
              <w:pStyle w:val="TableBodyText"/>
            </w:pPr>
            <w:r>
              <w:t>0.1</w:t>
            </w:r>
          </w:p>
        </w:tc>
        <w:tc>
          <w:tcPr>
            <w:tcW w:w="56" w:type="pct"/>
            <w:shd w:val="clear" w:color="auto" w:fill="auto"/>
          </w:tcPr>
          <w:p w:rsidR="0006220B" w:rsidRDefault="0006220B" w:rsidP="00C67220">
            <w:pPr>
              <w:pStyle w:val="TableBodyText"/>
            </w:pPr>
          </w:p>
        </w:tc>
        <w:tc>
          <w:tcPr>
            <w:tcW w:w="691" w:type="pct"/>
            <w:shd w:val="clear" w:color="auto" w:fill="auto"/>
            <w:vAlign w:val="bottom"/>
          </w:tcPr>
          <w:p w:rsidR="0006220B" w:rsidRDefault="0006220B" w:rsidP="00C67220">
            <w:pPr>
              <w:pStyle w:val="TableBodyText"/>
            </w:pPr>
            <w:r>
              <w:t>-630</w:t>
            </w:r>
          </w:p>
        </w:tc>
      </w:tr>
      <w:tr w:rsidR="0006220B" w:rsidRPr="00B350A3" w:rsidTr="009D4F33">
        <w:trPr>
          <w:trHeight w:val="493"/>
        </w:trPr>
        <w:tc>
          <w:tcPr>
            <w:tcW w:w="1670" w:type="pct"/>
            <w:shd w:val="clear" w:color="auto" w:fill="D9D9D9" w:themeFill="background1" w:themeFillShade="D9"/>
            <w:vAlign w:val="bottom"/>
          </w:tcPr>
          <w:p w:rsidR="0006220B" w:rsidRPr="00914B0F" w:rsidRDefault="001E21E6" w:rsidP="009D4F33">
            <w:pPr>
              <w:pStyle w:val="TableBodyText"/>
              <w:jc w:val="left"/>
              <w:rPr>
                <w:i/>
              </w:rPr>
            </w:pPr>
            <w:r>
              <w:rPr>
                <w:i/>
              </w:rPr>
              <w:t>Selected</w:t>
            </w:r>
            <w:r w:rsidRPr="00B350A3">
              <w:rPr>
                <w:i/>
              </w:rPr>
              <w:t xml:space="preserve"> classes</w:t>
            </w:r>
            <w:r>
              <w:rPr>
                <w:rStyle w:val="NoteLabel"/>
              </w:rPr>
              <w:t>a</w:t>
            </w:r>
          </w:p>
        </w:tc>
        <w:tc>
          <w:tcPr>
            <w:tcW w:w="709" w:type="pct"/>
            <w:shd w:val="clear" w:color="auto" w:fill="D9D9D9" w:themeFill="background1" w:themeFillShade="D9"/>
            <w:vAlign w:val="bottom"/>
          </w:tcPr>
          <w:p w:rsidR="0006220B" w:rsidRPr="007E1BE4" w:rsidRDefault="0006220B" w:rsidP="00C67220">
            <w:pPr>
              <w:pStyle w:val="TableBodyText"/>
              <w:rPr>
                <w:i/>
              </w:rPr>
            </w:pPr>
            <w:r w:rsidRPr="007E1BE4">
              <w:rPr>
                <w:i/>
              </w:rPr>
              <w:t>81</w:t>
            </w:r>
          </w:p>
        </w:tc>
        <w:tc>
          <w:tcPr>
            <w:tcW w:w="552" w:type="pct"/>
            <w:shd w:val="clear" w:color="auto" w:fill="D9D9D9" w:themeFill="background1" w:themeFillShade="D9"/>
            <w:vAlign w:val="bottom"/>
          </w:tcPr>
          <w:p w:rsidR="0006220B" w:rsidRPr="007E1BE4" w:rsidRDefault="0006220B" w:rsidP="00C67220">
            <w:pPr>
              <w:pStyle w:val="TableBodyText"/>
              <w:rPr>
                <w:i/>
              </w:rPr>
            </w:pPr>
            <w:r w:rsidRPr="007E1BE4">
              <w:rPr>
                <w:i/>
              </w:rPr>
              <w:t>0.0</w:t>
            </w:r>
          </w:p>
        </w:tc>
        <w:tc>
          <w:tcPr>
            <w:tcW w:w="61" w:type="pct"/>
            <w:shd w:val="clear" w:color="auto" w:fill="D9D9D9" w:themeFill="background1" w:themeFillShade="D9"/>
          </w:tcPr>
          <w:p w:rsidR="0006220B" w:rsidRPr="007E1BE4" w:rsidRDefault="0006220B" w:rsidP="00C67220">
            <w:pPr>
              <w:pStyle w:val="TableBodyText"/>
              <w:rPr>
                <w:i/>
              </w:rPr>
            </w:pPr>
          </w:p>
        </w:tc>
        <w:tc>
          <w:tcPr>
            <w:tcW w:w="708" w:type="pct"/>
            <w:shd w:val="clear" w:color="auto" w:fill="D9D9D9" w:themeFill="background1" w:themeFillShade="D9"/>
            <w:vAlign w:val="bottom"/>
          </w:tcPr>
          <w:p w:rsidR="0006220B" w:rsidRPr="007E1BE4" w:rsidRDefault="0006220B" w:rsidP="00C67220">
            <w:pPr>
              <w:pStyle w:val="TableBodyText"/>
              <w:rPr>
                <w:i/>
              </w:rPr>
            </w:pPr>
            <w:r w:rsidRPr="007E1BE4">
              <w:rPr>
                <w:i/>
              </w:rPr>
              <w:t>12</w:t>
            </w:r>
            <w:r>
              <w:rPr>
                <w:i/>
              </w:rPr>
              <w:t xml:space="preserve"> </w:t>
            </w:r>
            <w:r w:rsidRPr="007E1BE4">
              <w:rPr>
                <w:i/>
              </w:rPr>
              <w:t>827</w:t>
            </w:r>
          </w:p>
        </w:tc>
        <w:tc>
          <w:tcPr>
            <w:tcW w:w="553" w:type="pct"/>
            <w:shd w:val="clear" w:color="auto" w:fill="D9D9D9" w:themeFill="background1" w:themeFillShade="D9"/>
            <w:vAlign w:val="bottom"/>
          </w:tcPr>
          <w:p w:rsidR="0006220B" w:rsidRPr="007E1BE4" w:rsidRDefault="0006220B" w:rsidP="00C67220">
            <w:pPr>
              <w:pStyle w:val="TableBodyText"/>
              <w:rPr>
                <w:i/>
              </w:rPr>
            </w:pPr>
            <w:r w:rsidRPr="007E1BE4">
              <w:rPr>
                <w:i/>
              </w:rPr>
              <w:t>1.5</w:t>
            </w:r>
          </w:p>
        </w:tc>
        <w:tc>
          <w:tcPr>
            <w:tcW w:w="56" w:type="pct"/>
            <w:shd w:val="clear" w:color="auto" w:fill="D9D9D9" w:themeFill="background1" w:themeFillShade="D9"/>
          </w:tcPr>
          <w:p w:rsidR="0006220B" w:rsidRPr="007E1BE4" w:rsidRDefault="0006220B" w:rsidP="00C67220">
            <w:pPr>
              <w:pStyle w:val="TableBodyText"/>
              <w:rPr>
                <w:i/>
              </w:rPr>
            </w:pPr>
          </w:p>
        </w:tc>
        <w:tc>
          <w:tcPr>
            <w:tcW w:w="691" w:type="pct"/>
            <w:shd w:val="clear" w:color="auto" w:fill="D9D9D9" w:themeFill="background1" w:themeFillShade="D9"/>
            <w:vAlign w:val="bottom"/>
          </w:tcPr>
          <w:p w:rsidR="0006220B" w:rsidRPr="007E1BE4" w:rsidRDefault="0006220B" w:rsidP="00C67220">
            <w:pPr>
              <w:pStyle w:val="TableBodyText"/>
              <w:rPr>
                <w:i/>
              </w:rPr>
            </w:pPr>
            <w:r w:rsidRPr="007E1BE4">
              <w:rPr>
                <w:i/>
              </w:rPr>
              <w:t>12</w:t>
            </w:r>
            <w:r>
              <w:rPr>
                <w:i/>
              </w:rPr>
              <w:t xml:space="preserve"> </w:t>
            </w:r>
            <w:r w:rsidRPr="007E1BE4">
              <w:rPr>
                <w:i/>
              </w:rPr>
              <w:t>746</w:t>
            </w:r>
          </w:p>
        </w:tc>
      </w:tr>
      <w:tr w:rsidR="0006220B" w:rsidRPr="00B350A3" w:rsidTr="009D4F33">
        <w:trPr>
          <w:trHeight w:val="493"/>
        </w:trPr>
        <w:tc>
          <w:tcPr>
            <w:tcW w:w="1670" w:type="pct"/>
            <w:shd w:val="clear" w:color="auto" w:fill="auto"/>
            <w:vAlign w:val="bottom"/>
          </w:tcPr>
          <w:p w:rsidR="0006220B" w:rsidRPr="00B350A3" w:rsidRDefault="0006220B" w:rsidP="009D4F33">
            <w:pPr>
              <w:pStyle w:val="TableBodyText"/>
              <w:jc w:val="left"/>
              <w:rPr>
                <w:i/>
              </w:rPr>
            </w:pPr>
            <w:r w:rsidRPr="00B350A3">
              <w:rPr>
                <w:i/>
              </w:rPr>
              <w:t xml:space="preserve">All other </w:t>
            </w:r>
            <w:r>
              <w:rPr>
                <w:i/>
              </w:rPr>
              <w:t>f</w:t>
            </w:r>
            <w:r w:rsidRPr="00B350A3">
              <w:rPr>
                <w:i/>
              </w:rPr>
              <w:t>abricated metal</w:t>
            </w:r>
            <w:r>
              <w:rPr>
                <w:i/>
              </w:rPr>
              <w:t xml:space="preserve"> </w:t>
            </w:r>
            <w:r w:rsidR="009D4F33">
              <w:rPr>
                <w:i/>
              </w:rPr>
              <w:t xml:space="preserve">prod. </w:t>
            </w:r>
          </w:p>
        </w:tc>
        <w:tc>
          <w:tcPr>
            <w:tcW w:w="709" w:type="pct"/>
            <w:shd w:val="clear" w:color="auto" w:fill="auto"/>
            <w:vAlign w:val="bottom"/>
          </w:tcPr>
          <w:p w:rsidR="0006220B" w:rsidRPr="00E61D14" w:rsidRDefault="0006220B" w:rsidP="00C67220">
            <w:pPr>
              <w:pStyle w:val="TableBodyText"/>
              <w:rPr>
                <w:i/>
              </w:rPr>
            </w:pPr>
            <w:r w:rsidRPr="00E61D14">
              <w:rPr>
                <w:i/>
              </w:rPr>
              <w:t>8</w:t>
            </w:r>
            <w:r>
              <w:rPr>
                <w:i/>
              </w:rPr>
              <w:t xml:space="preserve"> </w:t>
            </w:r>
            <w:r w:rsidRPr="00E61D14">
              <w:rPr>
                <w:i/>
              </w:rPr>
              <w:t>556</w:t>
            </w:r>
          </w:p>
        </w:tc>
        <w:tc>
          <w:tcPr>
            <w:tcW w:w="552" w:type="pct"/>
            <w:shd w:val="clear" w:color="auto" w:fill="auto"/>
            <w:vAlign w:val="bottom"/>
          </w:tcPr>
          <w:p w:rsidR="0006220B" w:rsidRPr="00E61D14" w:rsidRDefault="0006220B" w:rsidP="00C67220">
            <w:pPr>
              <w:pStyle w:val="TableBodyText"/>
              <w:rPr>
                <w:i/>
              </w:rPr>
            </w:pPr>
            <w:r w:rsidRPr="00E61D14">
              <w:rPr>
                <w:i/>
              </w:rPr>
              <w:t>1.1</w:t>
            </w:r>
          </w:p>
        </w:tc>
        <w:tc>
          <w:tcPr>
            <w:tcW w:w="61" w:type="pct"/>
            <w:shd w:val="clear" w:color="auto" w:fill="auto"/>
          </w:tcPr>
          <w:p w:rsidR="0006220B" w:rsidRPr="00E61D14" w:rsidRDefault="0006220B" w:rsidP="00C67220">
            <w:pPr>
              <w:pStyle w:val="TableBodyText"/>
              <w:rPr>
                <w:i/>
              </w:rPr>
            </w:pPr>
          </w:p>
        </w:tc>
        <w:tc>
          <w:tcPr>
            <w:tcW w:w="708" w:type="pct"/>
            <w:shd w:val="clear" w:color="auto" w:fill="auto"/>
            <w:vAlign w:val="bottom"/>
          </w:tcPr>
          <w:p w:rsidR="0006220B" w:rsidRPr="00E61D14" w:rsidRDefault="0006220B" w:rsidP="00C67220">
            <w:pPr>
              <w:pStyle w:val="TableBodyText"/>
              <w:rPr>
                <w:i/>
              </w:rPr>
            </w:pPr>
            <w:r w:rsidRPr="00E61D14">
              <w:rPr>
                <w:i/>
              </w:rPr>
              <w:t>-3</w:t>
            </w:r>
            <w:r>
              <w:rPr>
                <w:i/>
              </w:rPr>
              <w:t xml:space="preserve"> </w:t>
            </w:r>
            <w:r w:rsidRPr="00E61D14">
              <w:rPr>
                <w:i/>
              </w:rPr>
              <w:t>827</w:t>
            </w:r>
          </w:p>
        </w:tc>
        <w:tc>
          <w:tcPr>
            <w:tcW w:w="553" w:type="pct"/>
            <w:shd w:val="clear" w:color="auto" w:fill="auto"/>
            <w:vAlign w:val="bottom"/>
          </w:tcPr>
          <w:p w:rsidR="0006220B" w:rsidRPr="00E61D14" w:rsidRDefault="0006220B" w:rsidP="00C67220">
            <w:pPr>
              <w:pStyle w:val="TableBodyText"/>
              <w:rPr>
                <w:i/>
              </w:rPr>
            </w:pPr>
            <w:r w:rsidRPr="00E61D14">
              <w:rPr>
                <w:i/>
              </w:rPr>
              <w:t>-0.5</w:t>
            </w:r>
          </w:p>
        </w:tc>
        <w:tc>
          <w:tcPr>
            <w:tcW w:w="56" w:type="pct"/>
            <w:shd w:val="clear" w:color="auto" w:fill="auto"/>
          </w:tcPr>
          <w:p w:rsidR="0006220B" w:rsidRPr="00E61D14" w:rsidRDefault="0006220B" w:rsidP="00C67220">
            <w:pPr>
              <w:pStyle w:val="TableBodyText"/>
              <w:rPr>
                <w:i/>
              </w:rPr>
            </w:pPr>
          </w:p>
        </w:tc>
        <w:tc>
          <w:tcPr>
            <w:tcW w:w="691" w:type="pct"/>
            <w:shd w:val="clear" w:color="auto" w:fill="auto"/>
            <w:vAlign w:val="bottom"/>
          </w:tcPr>
          <w:p w:rsidR="0006220B" w:rsidRPr="00E61D14" w:rsidRDefault="0006220B" w:rsidP="00C67220">
            <w:pPr>
              <w:pStyle w:val="TableBodyText"/>
              <w:rPr>
                <w:i/>
              </w:rPr>
            </w:pPr>
            <w:r w:rsidRPr="00E61D14">
              <w:rPr>
                <w:i/>
              </w:rPr>
              <w:t>-12</w:t>
            </w:r>
            <w:r>
              <w:rPr>
                <w:i/>
              </w:rPr>
              <w:t xml:space="preserve"> </w:t>
            </w:r>
            <w:r w:rsidRPr="00E61D14">
              <w:rPr>
                <w:i/>
              </w:rPr>
              <w:t>383</w:t>
            </w:r>
          </w:p>
        </w:tc>
      </w:tr>
      <w:tr w:rsidR="0006220B" w:rsidRPr="00B350A3" w:rsidTr="009D4F33">
        <w:trPr>
          <w:trHeight w:val="493"/>
        </w:trPr>
        <w:tc>
          <w:tcPr>
            <w:tcW w:w="1670" w:type="pct"/>
            <w:tcBorders>
              <w:bottom w:val="single" w:sz="4" w:space="0" w:color="auto"/>
            </w:tcBorders>
            <w:shd w:val="clear" w:color="auto" w:fill="D9D9D9" w:themeFill="background1" w:themeFillShade="D9"/>
            <w:vAlign w:val="bottom"/>
          </w:tcPr>
          <w:p w:rsidR="0006220B" w:rsidRPr="00B350A3" w:rsidRDefault="0006220B" w:rsidP="009D4F33">
            <w:pPr>
              <w:pStyle w:val="TableBodyText"/>
              <w:jc w:val="left"/>
              <w:rPr>
                <w:b/>
              </w:rPr>
            </w:pPr>
            <w:r w:rsidRPr="00B350A3">
              <w:rPr>
                <w:b/>
              </w:rPr>
              <w:t>22 Fabricated metal</w:t>
            </w:r>
            <w:r>
              <w:rPr>
                <w:b/>
              </w:rPr>
              <w:t>s</w:t>
            </w:r>
          </w:p>
        </w:tc>
        <w:tc>
          <w:tcPr>
            <w:tcW w:w="709" w:type="pct"/>
            <w:tcBorders>
              <w:bottom w:val="single" w:sz="4" w:space="0" w:color="auto"/>
            </w:tcBorders>
            <w:shd w:val="clear" w:color="auto" w:fill="D9D9D9" w:themeFill="background1" w:themeFillShade="D9"/>
            <w:vAlign w:val="bottom"/>
          </w:tcPr>
          <w:p w:rsidR="0006220B" w:rsidRPr="00E61D14" w:rsidRDefault="0006220B" w:rsidP="00C67220">
            <w:pPr>
              <w:pStyle w:val="TableBodyText"/>
              <w:rPr>
                <w:i/>
              </w:rPr>
            </w:pPr>
            <w:r w:rsidRPr="00E61D14">
              <w:rPr>
                <w:i/>
              </w:rPr>
              <w:t>8</w:t>
            </w:r>
            <w:r>
              <w:rPr>
                <w:i/>
              </w:rPr>
              <w:t xml:space="preserve"> </w:t>
            </w:r>
            <w:r w:rsidRPr="00E61D14">
              <w:rPr>
                <w:i/>
              </w:rPr>
              <w:t>637</w:t>
            </w:r>
          </w:p>
        </w:tc>
        <w:tc>
          <w:tcPr>
            <w:tcW w:w="552" w:type="pct"/>
            <w:tcBorders>
              <w:bottom w:val="single" w:sz="4" w:space="0" w:color="auto"/>
            </w:tcBorders>
            <w:shd w:val="clear" w:color="auto" w:fill="D9D9D9" w:themeFill="background1" w:themeFillShade="D9"/>
            <w:vAlign w:val="bottom"/>
          </w:tcPr>
          <w:p w:rsidR="0006220B" w:rsidRPr="00E61D14" w:rsidRDefault="0006220B" w:rsidP="00C67220">
            <w:pPr>
              <w:pStyle w:val="TableBodyText"/>
              <w:rPr>
                <w:i/>
              </w:rPr>
            </w:pPr>
            <w:r w:rsidRPr="00E61D14">
              <w:rPr>
                <w:i/>
              </w:rPr>
              <w:t>1.1</w:t>
            </w:r>
          </w:p>
        </w:tc>
        <w:tc>
          <w:tcPr>
            <w:tcW w:w="61" w:type="pct"/>
            <w:tcBorders>
              <w:bottom w:val="single" w:sz="4" w:space="0" w:color="auto"/>
            </w:tcBorders>
            <w:shd w:val="clear" w:color="auto" w:fill="D9D9D9" w:themeFill="background1" w:themeFillShade="D9"/>
          </w:tcPr>
          <w:p w:rsidR="0006220B" w:rsidRDefault="0006220B" w:rsidP="00C67220">
            <w:pPr>
              <w:pStyle w:val="TableBodyText"/>
              <w:rPr>
                <w:i/>
              </w:rPr>
            </w:pPr>
          </w:p>
        </w:tc>
        <w:tc>
          <w:tcPr>
            <w:tcW w:w="708" w:type="pct"/>
            <w:tcBorders>
              <w:bottom w:val="single" w:sz="4" w:space="0" w:color="auto"/>
            </w:tcBorders>
            <w:shd w:val="clear" w:color="auto" w:fill="D9D9D9" w:themeFill="background1" w:themeFillShade="D9"/>
            <w:vAlign w:val="bottom"/>
          </w:tcPr>
          <w:p w:rsidR="0006220B" w:rsidRPr="00E61D14" w:rsidRDefault="0006220B" w:rsidP="00C67220">
            <w:pPr>
              <w:pStyle w:val="TableBodyText"/>
              <w:rPr>
                <w:i/>
              </w:rPr>
            </w:pPr>
            <w:r>
              <w:rPr>
                <w:i/>
              </w:rPr>
              <w:t>9 000</w:t>
            </w:r>
          </w:p>
        </w:tc>
        <w:tc>
          <w:tcPr>
            <w:tcW w:w="553" w:type="pct"/>
            <w:tcBorders>
              <w:bottom w:val="single" w:sz="4" w:space="0" w:color="auto"/>
            </w:tcBorders>
            <w:shd w:val="clear" w:color="auto" w:fill="D9D9D9" w:themeFill="background1" w:themeFillShade="D9"/>
            <w:vAlign w:val="bottom"/>
          </w:tcPr>
          <w:p w:rsidR="0006220B" w:rsidRPr="00E61D14" w:rsidRDefault="0006220B" w:rsidP="00C67220">
            <w:pPr>
              <w:pStyle w:val="TableBodyText"/>
              <w:rPr>
                <w:i/>
              </w:rPr>
            </w:pPr>
            <w:r w:rsidRPr="00E61D14">
              <w:rPr>
                <w:i/>
              </w:rPr>
              <w:t>1.1</w:t>
            </w:r>
          </w:p>
        </w:tc>
        <w:tc>
          <w:tcPr>
            <w:tcW w:w="56" w:type="pct"/>
            <w:tcBorders>
              <w:bottom w:val="single" w:sz="4" w:space="0" w:color="auto"/>
            </w:tcBorders>
            <w:shd w:val="clear" w:color="auto" w:fill="D9D9D9" w:themeFill="background1" w:themeFillShade="D9"/>
          </w:tcPr>
          <w:p w:rsidR="0006220B" w:rsidRPr="00E61D14" w:rsidRDefault="0006220B" w:rsidP="00C67220">
            <w:pPr>
              <w:pStyle w:val="TableBodyText"/>
              <w:rPr>
                <w:i/>
              </w:rPr>
            </w:pPr>
          </w:p>
        </w:tc>
        <w:tc>
          <w:tcPr>
            <w:tcW w:w="691" w:type="pct"/>
            <w:tcBorders>
              <w:bottom w:val="single" w:sz="4" w:space="0" w:color="auto"/>
            </w:tcBorders>
            <w:shd w:val="clear" w:color="auto" w:fill="D9D9D9" w:themeFill="background1" w:themeFillShade="D9"/>
            <w:vAlign w:val="bottom"/>
          </w:tcPr>
          <w:p w:rsidR="0006220B" w:rsidRPr="00E61D14" w:rsidRDefault="00CE5E01" w:rsidP="00CE5E01">
            <w:pPr>
              <w:pStyle w:val="TableBodyText"/>
              <w:rPr>
                <w:i/>
              </w:rPr>
            </w:pPr>
            <w:r>
              <w:rPr>
                <w:i/>
              </w:rPr>
              <w:t>363</w:t>
            </w:r>
          </w:p>
        </w:tc>
      </w:tr>
    </w:tbl>
    <w:p w:rsidR="0031165D" w:rsidRDefault="0031165D" w:rsidP="0031165D">
      <w:pPr>
        <w:pStyle w:val="Note"/>
      </w:pPr>
      <w:proofErr w:type="spellStart"/>
      <w:r>
        <w:rPr>
          <w:rStyle w:val="NoteLabel"/>
        </w:rPr>
        <w:t>a</w:t>
      </w:r>
      <w:proofErr w:type="spellEnd"/>
      <w:r>
        <w:rPr>
          <w:rStyle w:val="NoteLabel"/>
        </w:rPr>
        <w:t xml:space="preserve"> </w:t>
      </w:r>
      <w:r>
        <w:t xml:space="preserve">Includes the </w:t>
      </w:r>
      <w:proofErr w:type="spellStart"/>
      <w:r>
        <w:t>ANZSIC06</w:t>
      </w:r>
      <w:proofErr w:type="spellEnd"/>
      <w:r>
        <w:t xml:space="preserve"> classes listed above. These are the classes for which there was no change in definition between </w:t>
      </w:r>
      <w:proofErr w:type="spellStart"/>
      <w:r>
        <w:t>ANZSIC93</w:t>
      </w:r>
      <w:proofErr w:type="spellEnd"/>
      <w:r>
        <w:t xml:space="preserve"> to </w:t>
      </w:r>
      <w:proofErr w:type="spellStart"/>
      <w:r>
        <w:t>ANZSIC06</w:t>
      </w:r>
      <w:proofErr w:type="spellEnd"/>
      <w:r>
        <w:t>. See box 6.1 for further details.</w:t>
      </w:r>
    </w:p>
    <w:p w:rsidR="00896112" w:rsidRPr="00854416" w:rsidRDefault="00995665" w:rsidP="002B62FD">
      <w:pPr>
        <w:pStyle w:val="Note"/>
        <w:rPr>
          <w:u w:val="single"/>
        </w:rPr>
      </w:pPr>
      <w:r>
        <w:rPr>
          <w:i/>
        </w:rPr>
        <w:t>Sources</w:t>
      </w:r>
      <w:r w:rsidR="00896112">
        <w:t>: Authors’ estimates based on ABS (</w:t>
      </w:r>
      <w:r w:rsidR="00896112">
        <w:rPr>
          <w:i/>
        </w:rPr>
        <w:t>Australian Manufacturing</w:t>
      </w:r>
      <w:r w:rsidR="000F2B98">
        <w:t xml:space="preserve">, various </w:t>
      </w:r>
      <w:r w:rsidR="00BE5825">
        <w:t>issues</w:t>
      </w:r>
      <w:r w:rsidR="00896112">
        <w:t>, Cat. no</w:t>
      </w:r>
      <w:r w:rsidR="00C6187E">
        <w:t>.</w:t>
      </w:r>
      <w:r w:rsidR="00896112">
        <w:t xml:space="preserve"> 8221.0), ABS</w:t>
      </w:r>
      <w:r w:rsidR="00CE5E01">
        <w:t> </w:t>
      </w:r>
      <w:r w:rsidR="00896112">
        <w:t>(</w:t>
      </w:r>
      <w:r w:rsidR="00896112" w:rsidRPr="00C1128B">
        <w:rPr>
          <w:i/>
        </w:rPr>
        <w:t>Australian Industry</w:t>
      </w:r>
      <w:r w:rsidR="000F2B98" w:rsidRPr="00C1128B">
        <w:t xml:space="preserve">, </w:t>
      </w:r>
      <w:r w:rsidR="00BE5825">
        <w:t>various issues</w:t>
      </w:r>
      <w:r w:rsidR="00896112" w:rsidRPr="00C1128B">
        <w:t xml:space="preserve">, Cat. no. 8155.0) </w:t>
      </w:r>
      <w:r w:rsidR="007E1BE4">
        <w:t>and</w:t>
      </w:r>
      <w:r w:rsidR="00896112" w:rsidRPr="00C1128B">
        <w:t xml:space="preserve"> ABS </w:t>
      </w:r>
      <w:r w:rsidR="00896112" w:rsidRPr="00C1128B">
        <w:rPr>
          <w:i/>
        </w:rPr>
        <w:t>(Experimental Estimates for the Manufacturing Industry,</w:t>
      </w:r>
      <w:r w:rsidR="000F2B98" w:rsidRPr="000F2B98">
        <w:t xml:space="preserve"> </w:t>
      </w:r>
      <w:r w:rsidR="00BE5825">
        <w:t>various issues</w:t>
      </w:r>
      <w:r w:rsidR="000F2B98">
        <w:t>,</w:t>
      </w:r>
      <w:r w:rsidR="00896112" w:rsidRPr="00C1128B">
        <w:rPr>
          <w:i/>
        </w:rPr>
        <w:t xml:space="preserve"> </w:t>
      </w:r>
      <w:r w:rsidR="000F2B98">
        <w:t>Cat. no. 8159.0</w:t>
      </w:r>
      <w:r w:rsidR="00896112" w:rsidRPr="00C1128B">
        <w:t>).</w:t>
      </w:r>
      <w:r w:rsidR="00896112">
        <w:rPr>
          <w:u w:val="single"/>
        </w:rPr>
        <w:t xml:space="preserve"> </w:t>
      </w:r>
    </w:p>
    <w:p w:rsidR="00896112" w:rsidRDefault="00896112" w:rsidP="00896112">
      <w:pPr>
        <w:pStyle w:val="BodyText"/>
      </w:pPr>
      <w:r>
        <w:t>The strongest</w:t>
      </w:r>
      <w:r w:rsidR="00BB76A2">
        <w:t xml:space="preserve"> employment</w:t>
      </w:r>
      <w:r>
        <w:t xml:space="preserve"> growth in the period that overlaps cycle </w:t>
      </w:r>
      <w:r w:rsidR="004D3DB8">
        <w:t>4</w:t>
      </w:r>
      <w:r>
        <w:t xml:space="preserve"> occur</w:t>
      </w:r>
      <w:r w:rsidR="002A114B">
        <w:t>red</w:t>
      </w:r>
      <w:r>
        <w:t xml:space="preserve"> in Structural steel fabricating and Other structural metal product manufacturing, and the strongest </w:t>
      </w:r>
      <w:r w:rsidR="00BB76A2">
        <w:t xml:space="preserve">employment </w:t>
      </w:r>
      <w:r>
        <w:t xml:space="preserve">growth between cycles </w:t>
      </w:r>
      <w:r w:rsidR="0078111F">
        <w:t>wa</w:t>
      </w:r>
      <w:r>
        <w:t xml:space="preserve">s in the former. This matches with the trends observed in the nominal </w:t>
      </w:r>
      <w:r w:rsidR="00703619">
        <w:t>value added</w:t>
      </w:r>
      <w:r>
        <w:t xml:space="preserve"> growth for the subdivision (table </w:t>
      </w:r>
      <w:r w:rsidR="00BC2F28">
        <w:t>6.</w:t>
      </w:r>
      <w:r w:rsidR="00CE5E01">
        <w:t>4</w:t>
      </w:r>
      <w:r>
        <w:t>).</w:t>
      </w:r>
    </w:p>
    <w:sectPr w:rsidR="00896112" w:rsidSect="00B53F0A">
      <w:headerReference w:type="even" r:id="rId19"/>
      <w:headerReference w:type="default" r:id="rId20"/>
      <w:footerReference w:type="even" r:id="rId21"/>
      <w:footerReference w:type="default" r:id="rId22"/>
      <w:pgSz w:w="11907" w:h="16840" w:code="9"/>
      <w:pgMar w:top="1985" w:right="1304" w:bottom="1418" w:left="1814" w:header="1701" w:footer="567" w:gutter="0"/>
      <w:pgNumType w:start="29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B48" w:rsidRDefault="00395B48">
      <w:r>
        <w:separator/>
      </w:r>
    </w:p>
  </w:endnote>
  <w:endnote w:type="continuationSeparator" w:id="0">
    <w:p w:rsidR="00395B48" w:rsidRDefault="00395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395B48">
      <w:trPr>
        <w:trHeight w:hRule="exact" w:val="740"/>
      </w:trPr>
      <w:tc>
        <w:tcPr>
          <w:tcW w:w="510" w:type="dxa"/>
          <w:tcBorders>
            <w:top w:val="single" w:sz="6" w:space="0" w:color="auto"/>
          </w:tcBorders>
        </w:tcPr>
        <w:p w:rsidR="00395B48" w:rsidRDefault="00395B48"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E50174">
            <w:rPr>
              <w:rStyle w:val="PageNumber"/>
              <w:noProof/>
            </w:rPr>
            <w:t>292</w:t>
          </w:r>
          <w:r>
            <w:rPr>
              <w:rStyle w:val="PageNumber"/>
            </w:rPr>
            <w:fldChar w:fldCharType="end"/>
          </w:r>
        </w:p>
      </w:tc>
      <w:tc>
        <w:tcPr>
          <w:tcW w:w="1644" w:type="dxa"/>
          <w:tcBorders>
            <w:top w:val="single" w:sz="6" w:space="0" w:color="auto"/>
          </w:tcBorders>
        </w:tcPr>
        <w:p w:rsidR="00395B48" w:rsidRDefault="003630B2" w:rsidP="0019293B">
          <w:pPr>
            <w:pStyle w:val="Footer"/>
          </w:pPr>
          <w:fldSimple w:instr=" SUBJECT  \* MERGEFORMAT ">
            <w:r w:rsidR="000A2AC6">
              <w:t>PRODUCTIVITY IN MANUFACTURING</w:t>
            </w:r>
          </w:fldSimple>
        </w:p>
      </w:tc>
      <w:tc>
        <w:tcPr>
          <w:tcW w:w="6634" w:type="dxa"/>
        </w:tcPr>
        <w:p w:rsidR="00395B48" w:rsidRDefault="00395B48" w:rsidP="0019293B">
          <w:pPr>
            <w:pStyle w:val="Footer"/>
          </w:pPr>
        </w:p>
      </w:tc>
    </w:tr>
  </w:tbl>
  <w:p w:rsidR="00395B48" w:rsidRDefault="00395B48"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395B48">
      <w:trPr>
        <w:trHeight w:hRule="exact" w:val="740"/>
      </w:trPr>
      <w:tc>
        <w:tcPr>
          <w:tcW w:w="6634" w:type="dxa"/>
        </w:tcPr>
        <w:p w:rsidR="00395B48" w:rsidRDefault="00395B48">
          <w:pPr>
            <w:pStyle w:val="Footer"/>
            <w:ind w:right="360" w:firstLine="360"/>
          </w:pPr>
        </w:p>
      </w:tc>
      <w:tc>
        <w:tcPr>
          <w:tcW w:w="1644" w:type="dxa"/>
          <w:tcBorders>
            <w:top w:val="single" w:sz="6" w:space="0" w:color="auto"/>
          </w:tcBorders>
        </w:tcPr>
        <w:p w:rsidR="00395B48" w:rsidRDefault="003630B2">
          <w:pPr>
            <w:pStyle w:val="Footer"/>
          </w:pPr>
          <w:fldSimple w:instr=" TITLE  \* MERGEFORMAT ">
            <w:r w:rsidR="000A2AC6">
              <w:t>Additional information on MP</w:t>
            </w:r>
          </w:fldSimple>
        </w:p>
      </w:tc>
      <w:tc>
        <w:tcPr>
          <w:tcW w:w="510" w:type="dxa"/>
          <w:tcBorders>
            <w:top w:val="single" w:sz="6" w:space="0" w:color="auto"/>
          </w:tcBorders>
        </w:tcPr>
        <w:p w:rsidR="00395B48" w:rsidRDefault="00395B48">
          <w:pPr>
            <w:pStyle w:val="Footer"/>
            <w:jc w:val="right"/>
          </w:pPr>
          <w:r>
            <w:rPr>
              <w:rStyle w:val="PageNumber"/>
            </w:rPr>
            <w:fldChar w:fldCharType="begin"/>
          </w:r>
          <w:r>
            <w:rPr>
              <w:rStyle w:val="PageNumber"/>
            </w:rPr>
            <w:instrText xml:space="preserve">PAGE  </w:instrText>
          </w:r>
          <w:r>
            <w:rPr>
              <w:rStyle w:val="PageNumber"/>
            </w:rPr>
            <w:fldChar w:fldCharType="separate"/>
          </w:r>
          <w:r w:rsidR="00E50174">
            <w:rPr>
              <w:rStyle w:val="PageNumber"/>
              <w:noProof/>
            </w:rPr>
            <w:t>291</w:t>
          </w:r>
          <w:r>
            <w:rPr>
              <w:rStyle w:val="PageNumber"/>
            </w:rPr>
            <w:fldChar w:fldCharType="end"/>
          </w:r>
        </w:p>
      </w:tc>
    </w:tr>
  </w:tbl>
  <w:p w:rsidR="00395B48" w:rsidRDefault="00395B48">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B48" w:rsidRDefault="00395B48">
      <w:r>
        <w:separator/>
      </w:r>
    </w:p>
  </w:footnote>
  <w:footnote w:type="continuationSeparator" w:id="0">
    <w:p w:rsidR="00395B48" w:rsidRDefault="00395B48">
      <w:r>
        <w:continuationSeparator/>
      </w:r>
    </w:p>
  </w:footnote>
  <w:footnote w:id="1">
    <w:p w:rsidR="00CE074B" w:rsidRDefault="00CE074B" w:rsidP="00CE074B">
      <w:pPr>
        <w:pStyle w:val="FootnoteText"/>
      </w:pPr>
      <w:r>
        <w:rPr>
          <w:rStyle w:val="FootnoteReference"/>
        </w:rPr>
        <w:footnoteRef/>
      </w:r>
      <w:r>
        <w:t xml:space="preserve"> </w:t>
      </w:r>
      <w:r>
        <w:tab/>
        <w:t>D</w:t>
      </w:r>
      <w:r w:rsidRPr="00FD17DE">
        <w:t>eflat</w:t>
      </w:r>
      <w:r>
        <w:t>ing</w:t>
      </w:r>
      <w:r w:rsidRPr="00FD17DE">
        <w:t xml:space="preserve"> disaggregated nominal </w:t>
      </w:r>
      <w:r>
        <w:t>value added</w:t>
      </w:r>
      <w:r w:rsidRPr="00FD17DE">
        <w:t xml:space="preserve"> data by using producer prices data for output</w:t>
      </w:r>
      <w:r>
        <w:t xml:space="preserve"> can only provide a broad approximation of real VA derived from double deflation. Double deflated real VA involves separate deflation of gross output and intermediate inputs using separate price indexes for each. </w:t>
      </w:r>
      <w:r w:rsidRPr="00FD17DE">
        <w:t xml:space="preserve">If there are changes in intermediate input prices that are different to those of output prices, then deflating the nominal </w:t>
      </w:r>
      <w:r>
        <w:t>value added</w:t>
      </w:r>
      <w:r w:rsidRPr="00FD17DE">
        <w:t xml:space="preserve"> data by output deflators </w:t>
      </w:r>
      <w:r>
        <w:t>will</w:t>
      </w:r>
      <w:r w:rsidRPr="00FD17DE">
        <w:t xml:space="preserve"> </w:t>
      </w:r>
      <w:r>
        <w:t>differ from a double deflated series.</w:t>
      </w:r>
    </w:p>
  </w:footnote>
  <w:footnote w:id="2">
    <w:p w:rsidR="00395B48" w:rsidRDefault="00395B48">
      <w:pPr>
        <w:pStyle w:val="FootnoteText"/>
      </w:pPr>
      <w:r>
        <w:rPr>
          <w:rStyle w:val="FootnoteReference"/>
        </w:rPr>
        <w:footnoteRef/>
      </w:r>
      <w:r>
        <w:t xml:space="preserve"> </w:t>
      </w:r>
      <w:r>
        <w:tab/>
        <w:t>These data are not available beyond 1996-97.</w:t>
      </w:r>
    </w:p>
  </w:footnote>
  <w:footnote w:id="3">
    <w:p w:rsidR="00395B48" w:rsidRDefault="00395B48" w:rsidP="00D94BEB">
      <w:pPr>
        <w:pStyle w:val="FootnoteText"/>
      </w:pPr>
      <w:r>
        <w:rPr>
          <w:rStyle w:val="FootnoteReference"/>
        </w:rPr>
        <w:footnoteRef/>
      </w:r>
      <w:r>
        <w:t xml:space="preserve"> </w:t>
      </w:r>
      <w:r>
        <w:tab/>
        <w:t>The average length of lags is calculated using investment data from the Deloitte Access Economics Investment Monitor (database).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95B48">
      <w:tc>
        <w:tcPr>
          <w:tcW w:w="2155" w:type="dxa"/>
          <w:tcBorders>
            <w:top w:val="single" w:sz="24" w:space="0" w:color="auto"/>
          </w:tcBorders>
        </w:tcPr>
        <w:p w:rsidR="00395B48" w:rsidRDefault="00395B48" w:rsidP="0019293B">
          <w:pPr>
            <w:pStyle w:val="HeaderEven"/>
          </w:pPr>
        </w:p>
      </w:tc>
      <w:tc>
        <w:tcPr>
          <w:tcW w:w="6634" w:type="dxa"/>
          <w:tcBorders>
            <w:top w:val="single" w:sz="6" w:space="0" w:color="auto"/>
          </w:tcBorders>
        </w:tcPr>
        <w:p w:rsidR="00395B48" w:rsidRDefault="00395B48" w:rsidP="0019293B">
          <w:pPr>
            <w:pStyle w:val="HeaderEven"/>
          </w:pPr>
        </w:p>
      </w:tc>
    </w:tr>
  </w:tbl>
  <w:p w:rsidR="00395B48" w:rsidRDefault="00395B48"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95B48">
      <w:tc>
        <w:tcPr>
          <w:tcW w:w="6634" w:type="dxa"/>
          <w:tcBorders>
            <w:top w:val="single" w:sz="6" w:space="0" w:color="auto"/>
          </w:tcBorders>
        </w:tcPr>
        <w:p w:rsidR="00395B48" w:rsidRDefault="00395B48" w:rsidP="00E669E2">
          <w:pPr>
            <w:pStyle w:val="HeaderOdd"/>
          </w:pPr>
        </w:p>
      </w:tc>
      <w:tc>
        <w:tcPr>
          <w:tcW w:w="2155" w:type="dxa"/>
          <w:tcBorders>
            <w:top w:val="single" w:sz="24" w:space="0" w:color="auto"/>
          </w:tcBorders>
        </w:tcPr>
        <w:p w:rsidR="00395B48" w:rsidRDefault="00395B48" w:rsidP="00E669E2">
          <w:pPr>
            <w:pStyle w:val="HeaderOdd"/>
          </w:pPr>
        </w:p>
      </w:tc>
    </w:tr>
  </w:tbl>
  <w:p w:rsidR="00395B48" w:rsidRDefault="00395B48"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9"/>
  </w:num>
  <w:num w:numId="2">
    <w:abstractNumId w:val="16"/>
  </w:num>
  <w:num w:numId="3">
    <w:abstractNumId w:val="1"/>
  </w:num>
  <w:num w:numId="4">
    <w:abstractNumId w:val="11"/>
  </w:num>
  <w:num w:numId="5">
    <w:abstractNumId w:val="2"/>
  </w:num>
  <w:num w:numId="6">
    <w:abstractNumId w:val="15"/>
  </w:num>
  <w:num w:numId="7">
    <w:abstractNumId w:val="13"/>
  </w:num>
  <w:num w:numId="8">
    <w:abstractNumId w:val="17"/>
  </w:num>
  <w:num w:numId="9">
    <w:abstractNumId w:val="6"/>
  </w:num>
  <w:num w:numId="10">
    <w:abstractNumId w:val="12"/>
  </w:num>
  <w:num w:numId="11">
    <w:abstractNumId w:val="5"/>
  </w:num>
  <w:num w:numId="12">
    <w:abstractNumId w:val="4"/>
  </w:num>
  <w:num w:numId="13">
    <w:abstractNumId w:val="7"/>
  </w:num>
  <w:num w:numId="14">
    <w:abstractNumId w:val="8"/>
  </w:num>
  <w:num w:numId="15">
    <w:abstractNumId w:val="10"/>
  </w:num>
  <w:num w:numId="16">
    <w:abstractNumId w:val="3"/>
  </w:num>
  <w:num w:numId="17">
    <w:abstractNumId w:val="14"/>
  </w:num>
  <w:num w:numId="18">
    <w:abstractNumId w:val="0"/>
    <w:lvlOverride w:ilvl="0">
      <w:lvl w:ilvl="0">
        <w:start w:val="1"/>
        <w:numFmt w:val="bullet"/>
        <w:lvlText w:val=""/>
        <w:legacy w:legacy="1" w:legacySpace="0" w:legacyIndent="340"/>
        <w:lvlJc w:val="left"/>
        <w:pPr>
          <w:ind w:left="340" w:hanging="340"/>
        </w:pPr>
        <w:rPr>
          <w:rFonts w:ascii="Symbol" w:hAnsi="Symbol" w:hint="default"/>
          <w:sz w:val="18"/>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H"/>
    <w:docVar w:name="FindingOptions" w:val="1"/>
    <w:docVar w:name="RecOptions" w:val="111"/>
    <w:docVar w:name="ShortChapterTitle" w:val="Additional information on MP"/>
    <w:docVar w:name="ShortReportTitle" w:val="PRODUCTIVITY IN MANUFACTURING"/>
  </w:docVars>
  <w:rsids>
    <w:rsidRoot w:val="002331B7"/>
    <w:rsid w:val="0000373B"/>
    <w:rsid w:val="000039C0"/>
    <w:rsid w:val="00007282"/>
    <w:rsid w:val="000118D4"/>
    <w:rsid w:val="000175BD"/>
    <w:rsid w:val="00021F86"/>
    <w:rsid w:val="000227D5"/>
    <w:rsid w:val="000245AA"/>
    <w:rsid w:val="000319AF"/>
    <w:rsid w:val="00036577"/>
    <w:rsid w:val="0003664B"/>
    <w:rsid w:val="0004111F"/>
    <w:rsid w:val="0005534C"/>
    <w:rsid w:val="000565B3"/>
    <w:rsid w:val="00061F83"/>
    <w:rsid w:val="0006220B"/>
    <w:rsid w:val="00063203"/>
    <w:rsid w:val="0007150B"/>
    <w:rsid w:val="00073DCB"/>
    <w:rsid w:val="0007465B"/>
    <w:rsid w:val="00074CCD"/>
    <w:rsid w:val="000938F5"/>
    <w:rsid w:val="000962A4"/>
    <w:rsid w:val="00096ADE"/>
    <w:rsid w:val="00096E55"/>
    <w:rsid w:val="000A2AC6"/>
    <w:rsid w:val="000A6E0C"/>
    <w:rsid w:val="000B601B"/>
    <w:rsid w:val="000C14DB"/>
    <w:rsid w:val="000C207E"/>
    <w:rsid w:val="000C2838"/>
    <w:rsid w:val="000D2464"/>
    <w:rsid w:val="000D43F1"/>
    <w:rsid w:val="000D4D49"/>
    <w:rsid w:val="000D4F83"/>
    <w:rsid w:val="000E4A03"/>
    <w:rsid w:val="000F0035"/>
    <w:rsid w:val="000F0266"/>
    <w:rsid w:val="000F2B98"/>
    <w:rsid w:val="000F420B"/>
    <w:rsid w:val="000F5E8D"/>
    <w:rsid w:val="001075BB"/>
    <w:rsid w:val="00110116"/>
    <w:rsid w:val="00120072"/>
    <w:rsid w:val="001246A7"/>
    <w:rsid w:val="00126378"/>
    <w:rsid w:val="001265A1"/>
    <w:rsid w:val="00126EB8"/>
    <w:rsid w:val="001274D4"/>
    <w:rsid w:val="00130069"/>
    <w:rsid w:val="0013058C"/>
    <w:rsid w:val="00132568"/>
    <w:rsid w:val="00134B7F"/>
    <w:rsid w:val="00136346"/>
    <w:rsid w:val="001363AA"/>
    <w:rsid w:val="001419B9"/>
    <w:rsid w:val="00142F0B"/>
    <w:rsid w:val="00147D5E"/>
    <w:rsid w:val="0015206F"/>
    <w:rsid w:val="00152D56"/>
    <w:rsid w:val="0015401D"/>
    <w:rsid w:val="00165E8A"/>
    <w:rsid w:val="00170C9B"/>
    <w:rsid w:val="00170EBC"/>
    <w:rsid w:val="00170FF9"/>
    <w:rsid w:val="00172F47"/>
    <w:rsid w:val="00174952"/>
    <w:rsid w:val="00182F51"/>
    <w:rsid w:val="00183E82"/>
    <w:rsid w:val="001878BB"/>
    <w:rsid w:val="00187D6D"/>
    <w:rsid w:val="00191AE0"/>
    <w:rsid w:val="0019293B"/>
    <w:rsid w:val="0019426B"/>
    <w:rsid w:val="001A3A97"/>
    <w:rsid w:val="001A455B"/>
    <w:rsid w:val="001B4AEE"/>
    <w:rsid w:val="001C0865"/>
    <w:rsid w:val="001C1C16"/>
    <w:rsid w:val="001C2BBA"/>
    <w:rsid w:val="001C3AB3"/>
    <w:rsid w:val="001C3ABA"/>
    <w:rsid w:val="001C62AA"/>
    <w:rsid w:val="001D2B8B"/>
    <w:rsid w:val="001D60BA"/>
    <w:rsid w:val="001E21E6"/>
    <w:rsid w:val="001E2E88"/>
    <w:rsid w:val="001E5561"/>
    <w:rsid w:val="001E5702"/>
    <w:rsid w:val="001E7BE8"/>
    <w:rsid w:val="001F0248"/>
    <w:rsid w:val="001F12D0"/>
    <w:rsid w:val="001F3C1F"/>
    <w:rsid w:val="001F3EB3"/>
    <w:rsid w:val="001F4F86"/>
    <w:rsid w:val="001F5884"/>
    <w:rsid w:val="001F7742"/>
    <w:rsid w:val="00201CCD"/>
    <w:rsid w:val="00202C2C"/>
    <w:rsid w:val="0021298D"/>
    <w:rsid w:val="002135AB"/>
    <w:rsid w:val="002144BE"/>
    <w:rsid w:val="00217E24"/>
    <w:rsid w:val="0022008F"/>
    <w:rsid w:val="00220F20"/>
    <w:rsid w:val="0022630A"/>
    <w:rsid w:val="002312E2"/>
    <w:rsid w:val="002328D2"/>
    <w:rsid w:val="002331B7"/>
    <w:rsid w:val="002353BA"/>
    <w:rsid w:val="00242279"/>
    <w:rsid w:val="00245C82"/>
    <w:rsid w:val="00254A2B"/>
    <w:rsid w:val="00256A73"/>
    <w:rsid w:val="00257469"/>
    <w:rsid w:val="0026197D"/>
    <w:rsid w:val="002629B4"/>
    <w:rsid w:val="00264E48"/>
    <w:rsid w:val="00272E46"/>
    <w:rsid w:val="00282C64"/>
    <w:rsid w:val="00291B40"/>
    <w:rsid w:val="002932CE"/>
    <w:rsid w:val="002970CE"/>
    <w:rsid w:val="00297A41"/>
    <w:rsid w:val="002A114B"/>
    <w:rsid w:val="002A3A20"/>
    <w:rsid w:val="002B142F"/>
    <w:rsid w:val="002B4008"/>
    <w:rsid w:val="002B62FD"/>
    <w:rsid w:val="002C1179"/>
    <w:rsid w:val="002C1B15"/>
    <w:rsid w:val="002C2D1F"/>
    <w:rsid w:val="002C3B5D"/>
    <w:rsid w:val="002C5206"/>
    <w:rsid w:val="002C66D7"/>
    <w:rsid w:val="002C72C9"/>
    <w:rsid w:val="002D0E8E"/>
    <w:rsid w:val="002D2C07"/>
    <w:rsid w:val="002D3E4E"/>
    <w:rsid w:val="002E2075"/>
    <w:rsid w:val="002F28BA"/>
    <w:rsid w:val="00301189"/>
    <w:rsid w:val="00307F8D"/>
    <w:rsid w:val="0031165D"/>
    <w:rsid w:val="003128EC"/>
    <w:rsid w:val="00320D38"/>
    <w:rsid w:val="0032204A"/>
    <w:rsid w:val="00323E09"/>
    <w:rsid w:val="00324AD1"/>
    <w:rsid w:val="003317FC"/>
    <w:rsid w:val="0033228D"/>
    <w:rsid w:val="00332F79"/>
    <w:rsid w:val="0033346F"/>
    <w:rsid w:val="00333932"/>
    <w:rsid w:val="0033594F"/>
    <w:rsid w:val="00343D45"/>
    <w:rsid w:val="003446C3"/>
    <w:rsid w:val="00346A36"/>
    <w:rsid w:val="00350341"/>
    <w:rsid w:val="003503F4"/>
    <w:rsid w:val="003518AA"/>
    <w:rsid w:val="00352165"/>
    <w:rsid w:val="00353182"/>
    <w:rsid w:val="00356020"/>
    <w:rsid w:val="003565D9"/>
    <w:rsid w:val="003602E1"/>
    <w:rsid w:val="0036290E"/>
    <w:rsid w:val="003630B2"/>
    <w:rsid w:val="0037026F"/>
    <w:rsid w:val="00371240"/>
    <w:rsid w:val="00371790"/>
    <w:rsid w:val="00374731"/>
    <w:rsid w:val="00376E59"/>
    <w:rsid w:val="003855FE"/>
    <w:rsid w:val="00386FB4"/>
    <w:rsid w:val="003919F9"/>
    <w:rsid w:val="00395B48"/>
    <w:rsid w:val="00395BF8"/>
    <w:rsid w:val="0039659D"/>
    <w:rsid w:val="003A6B9E"/>
    <w:rsid w:val="003A7477"/>
    <w:rsid w:val="003B021A"/>
    <w:rsid w:val="003B02A1"/>
    <w:rsid w:val="003B64FB"/>
    <w:rsid w:val="003C337E"/>
    <w:rsid w:val="003C38B5"/>
    <w:rsid w:val="003C59D8"/>
    <w:rsid w:val="003C5D99"/>
    <w:rsid w:val="003D10CE"/>
    <w:rsid w:val="003D387F"/>
    <w:rsid w:val="003D3B52"/>
    <w:rsid w:val="003D5769"/>
    <w:rsid w:val="003D7BE0"/>
    <w:rsid w:val="003E0F5B"/>
    <w:rsid w:val="003E2F59"/>
    <w:rsid w:val="003E7086"/>
    <w:rsid w:val="003F0789"/>
    <w:rsid w:val="003F3FF5"/>
    <w:rsid w:val="003F5EA9"/>
    <w:rsid w:val="003F6B46"/>
    <w:rsid w:val="003F7A03"/>
    <w:rsid w:val="003F7D0D"/>
    <w:rsid w:val="00401882"/>
    <w:rsid w:val="00404A49"/>
    <w:rsid w:val="004100C8"/>
    <w:rsid w:val="00411DBD"/>
    <w:rsid w:val="00412A08"/>
    <w:rsid w:val="00412ACE"/>
    <w:rsid w:val="00420227"/>
    <w:rsid w:val="004218BF"/>
    <w:rsid w:val="004247EA"/>
    <w:rsid w:val="00426A8D"/>
    <w:rsid w:val="00431249"/>
    <w:rsid w:val="00434C19"/>
    <w:rsid w:val="0043540F"/>
    <w:rsid w:val="004366AB"/>
    <w:rsid w:val="00437BE7"/>
    <w:rsid w:val="0044057B"/>
    <w:rsid w:val="004439D5"/>
    <w:rsid w:val="00450810"/>
    <w:rsid w:val="00455863"/>
    <w:rsid w:val="0045636C"/>
    <w:rsid w:val="00463604"/>
    <w:rsid w:val="004636C9"/>
    <w:rsid w:val="00475367"/>
    <w:rsid w:val="00477144"/>
    <w:rsid w:val="00477196"/>
    <w:rsid w:val="00490870"/>
    <w:rsid w:val="00491380"/>
    <w:rsid w:val="004935E6"/>
    <w:rsid w:val="0049459F"/>
    <w:rsid w:val="00494AE5"/>
    <w:rsid w:val="004953E9"/>
    <w:rsid w:val="004979C6"/>
    <w:rsid w:val="004A2A9F"/>
    <w:rsid w:val="004A38DD"/>
    <w:rsid w:val="004A5118"/>
    <w:rsid w:val="004A71BC"/>
    <w:rsid w:val="004B3337"/>
    <w:rsid w:val="004B43AE"/>
    <w:rsid w:val="004C1756"/>
    <w:rsid w:val="004C30ED"/>
    <w:rsid w:val="004C64F7"/>
    <w:rsid w:val="004D1F42"/>
    <w:rsid w:val="004D3DB8"/>
    <w:rsid w:val="004D43F8"/>
    <w:rsid w:val="004D4EB7"/>
    <w:rsid w:val="004D5675"/>
    <w:rsid w:val="004D6F32"/>
    <w:rsid w:val="004D7FBA"/>
    <w:rsid w:val="004E031A"/>
    <w:rsid w:val="004E0AB7"/>
    <w:rsid w:val="004E5A8C"/>
    <w:rsid w:val="004E6083"/>
    <w:rsid w:val="004E6565"/>
    <w:rsid w:val="004F0F49"/>
    <w:rsid w:val="004F2834"/>
    <w:rsid w:val="00501C22"/>
    <w:rsid w:val="0051501D"/>
    <w:rsid w:val="00523639"/>
    <w:rsid w:val="00523CEC"/>
    <w:rsid w:val="00527925"/>
    <w:rsid w:val="00530C35"/>
    <w:rsid w:val="00531FE5"/>
    <w:rsid w:val="0053297B"/>
    <w:rsid w:val="00535472"/>
    <w:rsid w:val="00535C93"/>
    <w:rsid w:val="005366A3"/>
    <w:rsid w:val="005402FA"/>
    <w:rsid w:val="005429A3"/>
    <w:rsid w:val="00543993"/>
    <w:rsid w:val="0054501D"/>
    <w:rsid w:val="005458E5"/>
    <w:rsid w:val="00553C9C"/>
    <w:rsid w:val="00555D28"/>
    <w:rsid w:val="00560F4A"/>
    <w:rsid w:val="005611B8"/>
    <w:rsid w:val="0056770C"/>
    <w:rsid w:val="00567966"/>
    <w:rsid w:val="005765F5"/>
    <w:rsid w:val="005833CF"/>
    <w:rsid w:val="00583C39"/>
    <w:rsid w:val="00584626"/>
    <w:rsid w:val="00586B7A"/>
    <w:rsid w:val="00587F28"/>
    <w:rsid w:val="005902B9"/>
    <w:rsid w:val="005909CF"/>
    <w:rsid w:val="00591E71"/>
    <w:rsid w:val="00592BD7"/>
    <w:rsid w:val="00594DA4"/>
    <w:rsid w:val="005A0D41"/>
    <w:rsid w:val="005A0DC5"/>
    <w:rsid w:val="005A7F28"/>
    <w:rsid w:val="005B0FDC"/>
    <w:rsid w:val="005B4F81"/>
    <w:rsid w:val="005C0944"/>
    <w:rsid w:val="005C0C5E"/>
    <w:rsid w:val="005C36BD"/>
    <w:rsid w:val="005D0F5D"/>
    <w:rsid w:val="005D3D8E"/>
    <w:rsid w:val="005E1028"/>
    <w:rsid w:val="005E3C0B"/>
    <w:rsid w:val="005E6244"/>
    <w:rsid w:val="005F0621"/>
    <w:rsid w:val="005F2645"/>
    <w:rsid w:val="005F2CDF"/>
    <w:rsid w:val="005F45E4"/>
    <w:rsid w:val="006022F7"/>
    <w:rsid w:val="006056A1"/>
    <w:rsid w:val="00607BF1"/>
    <w:rsid w:val="0062066E"/>
    <w:rsid w:val="00620753"/>
    <w:rsid w:val="006223F5"/>
    <w:rsid w:val="00623398"/>
    <w:rsid w:val="00630D4D"/>
    <w:rsid w:val="00631D6E"/>
    <w:rsid w:val="00632A74"/>
    <w:rsid w:val="00640E11"/>
    <w:rsid w:val="0064144D"/>
    <w:rsid w:val="00644096"/>
    <w:rsid w:val="00646E28"/>
    <w:rsid w:val="0065514E"/>
    <w:rsid w:val="00663BF1"/>
    <w:rsid w:val="00670A0A"/>
    <w:rsid w:val="00671FF2"/>
    <w:rsid w:val="00680364"/>
    <w:rsid w:val="00683C9C"/>
    <w:rsid w:val="006875ED"/>
    <w:rsid w:val="00690935"/>
    <w:rsid w:val="00696EE9"/>
    <w:rsid w:val="006A1E14"/>
    <w:rsid w:val="006A4655"/>
    <w:rsid w:val="006A7A84"/>
    <w:rsid w:val="006B2B3C"/>
    <w:rsid w:val="006C1D81"/>
    <w:rsid w:val="006C64D2"/>
    <w:rsid w:val="006C7038"/>
    <w:rsid w:val="006C7151"/>
    <w:rsid w:val="006D2CCA"/>
    <w:rsid w:val="006D3A16"/>
    <w:rsid w:val="006E73EF"/>
    <w:rsid w:val="006F3F44"/>
    <w:rsid w:val="006F6197"/>
    <w:rsid w:val="00703619"/>
    <w:rsid w:val="00703674"/>
    <w:rsid w:val="00705CA2"/>
    <w:rsid w:val="00711CBD"/>
    <w:rsid w:val="00711FE1"/>
    <w:rsid w:val="00714D4D"/>
    <w:rsid w:val="00716A44"/>
    <w:rsid w:val="00721950"/>
    <w:rsid w:val="00723526"/>
    <w:rsid w:val="00726355"/>
    <w:rsid w:val="007274B1"/>
    <w:rsid w:val="00735610"/>
    <w:rsid w:val="00740C70"/>
    <w:rsid w:val="00750D19"/>
    <w:rsid w:val="00757DB5"/>
    <w:rsid w:val="007604BB"/>
    <w:rsid w:val="007640E4"/>
    <w:rsid w:val="0076699C"/>
    <w:rsid w:val="00772873"/>
    <w:rsid w:val="00772DA4"/>
    <w:rsid w:val="00774466"/>
    <w:rsid w:val="00775D4F"/>
    <w:rsid w:val="007802AF"/>
    <w:rsid w:val="0078072F"/>
    <w:rsid w:val="00780B70"/>
    <w:rsid w:val="0078111F"/>
    <w:rsid w:val="007825AD"/>
    <w:rsid w:val="00782E76"/>
    <w:rsid w:val="00785232"/>
    <w:rsid w:val="00794A0E"/>
    <w:rsid w:val="00795593"/>
    <w:rsid w:val="00795CE5"/>
    <w:rsid w:val="00796F0A"/>
    <w:rsid w:val="007A21EB"/>
    <w:rsid w:val="007A5587"/>
    <w:rsid w:val="007A6386"/>
    <w:rsid w:val="007B1A93"/>
    <w:rsid w:val="007B25F6"/>
    <w:rsid w:val="007B347D"/>
    <w:rsid w:val="007B4170"/>
    <w:rsid w:val="007B526F"/>
    <w:rsid w:val="007C2844"/>
    <w:rsid w:val="007C36C9"/>
    <w:rsid w:val="007C7B54"/>
    <w:rsid w:val="007D17D8"/>
    <w:rsid w:val="007D2431"/>
    <w:rsid w:val="007D2EF3"/>
    <w:rsid w:val="007D42EB"/>
    <w:rsid w:val="007D4D51"/>
    <w:rsid w:val="007D6191"/>
    <w:rsid w:val="007D6401"/>
    <w:rsid w:val="007D7DEF"/>
    <w:rsid w:val="007E01E4"/>
    <w:rsid w:val="007E1BE4"/>
    <w:rsid w:val="007E7713"/>
    <w:rsid w:val="007F06E9"/>
    <w:rsid w:val="007F59FC"/>
    <w:rsid w:val="007F7107"/>
    <w:rsid w:val="00800D4C"/>
    <w:rsid w:val="00804105"/>
    <w:rsid w:val="00807B0F"/>
    <w:rsid w:val="0081030F"/>
    <w:rsid w:val="00810FAC"/>
    <w:rsid w:val="00813A15"/>
    <w:rsid w:val="0082087D"/>
    <w:rsid w:val="0082231D"/>
    <w:rsid w:val="0082479F"/>
    <w:rsid w:val="0082697E"/>
    <w:rsid w:val="00827FA2"/>
    <w:rsid w:val="00835771"/>
    <w:rsid w:val="00835ECD"/>
    <w:rsid w:val="00837472"/>
    <w:rsid w:val="00842933"/>
    <w:rsid w:val="00850FE6"/>
    <w:rsid w:val="0085721B"/>
    <w:rsid w:val="0086082C"/>
    <w:rsid w:val="0086252C"/>
    <w:rsid w:val="00864ADC"/>
    <w:rsid w:val="00866E22"/>
    <w:rsid w:val="008674D0"/>
    <w:rsid w:val="00870295"/>
    <w:rsid w:val="00880153"/>
    <w:rsid w:val="00880F97"/>
    <w:rsid w:val="0088133A"/>
    <w:rsid w:val="008878F0"/>
    <w:rsid w:val="0089285E"/>
    <w:rsid w:val="0089436C"/>
    <w:rsid w:val="00896112"/>
    <w:rsid w:val="008A079F"/>
    <w:rsid w:val="008A64C4"/>
    <w:rsid w:val="008A675E"/>
    <w:rsid w:val="008B33E0"/>
    <w:rsid w:val="008B5E12"/>
    <w:rsid w:val="008C197F"/>
    <w:rsid w:val="008D2E3F"/>
    <w:rsid w:val="008D31B7"/>
    <w:rsid w:val="008D365C"/>
    <w:rsid w:val="008D4EB2"/>
    <w:rsid w:val="008D77AB"/>
    <w:rsid w:val="008E0C4D"/>
    <w:rsid w:val="008E6033"/>
    <w:rsid w:val="008F1D3B"/>
    <w:rsid w:val="008F7938"/>
    <w:rsid w:val="0090129A"/>
    <w:rsid w:val="0090158D"/>
    <w:rsid w:val="00902B93"/>
    <w:rsid w:val="009030BF"/>
    <w:rsid w:val="009076B9"/>
    <w:rsid w:val="0091032F"/>
    <w:rsid w:val="00910A7B"/>
    <w:rsid w:val="00910D83"/>
    <w:rsid w:val="00911A1C"/>
    <w:rsid w:val="00914368"/>
    <w:rsid w:val="00914B0F"/>
    <w:rsid w:val="00921212"/>
    <w:rsid w:val="009229A2"/>
    <w:rsid w:val="00931076"/>
    <w:rsid w:val="0093292D"/>
    <w:rsid w:val="0093407C"/>
    <w:rsid w:val="009345D9"/>
    <w:rsid w:val="0093498E"/>
    <w:rsid w:val="00934B15"/>
    <w:rsid w:val="009372CE"/>
    <w:rsid w:val="00940C87"/>
    <w:rsid w:val="00940F4D"/>
    <w:rsid w:val="00942B62"/>
    <w:rsid w:val="00944CB7"/>
    <w:rsid w:val="0094536B"/>
    <w:rsid w:val="0095323B"/>
    <w:rsid w:val="00956A0C"/>
    <w:rsid w:val="00956BD9"/>
    <w:rsid w:val="009574F0"/>
    <w:rsid w:val="00962489"/>
    <w:rsid w:val="009715A1"/>
    <w:rsid w:val="009722A4"/>
    <w:rsid w:val="00972CC2"/>
    <w:rsid w:val="009741C3"/>
    <w:rsid w:val="00982251"/>
    <w:rsid w:val="00990C2C"/>
    <w:rsid w:val="00994ACD"/>
    <w:rsid w:val="00995665"/>
    <w:rsid w:val="00996527"/>
    <w:rsid w:val="009A4B36"/>
    <w:rsid w:val="009A6E76"/>
    <w:rsid w:val="009B1424"/>
    <w:rsid w:val="009B3C32"/>
    <w:rsid w:val="009B3F8C"/>
    <w:rsid w:val="009D4F33"/>
    <w:rsid w:val="009D6DEC"/>
    <w:rsid w:val="009E1844"/>
    <w:rsid w:val="009E276A"/>
    <w:rsid w:val="009F0D1B"/>
    <w:rsid w:val="009F2810"/>
    <w:rsid w:val="009F696D"/>
    <w:rsid w:val="009F6BC6"/>
    <w:rsid w:val="00A02E32"/>
    <w:rsid w:val="00A031A4"/>
    <w:rsid w:val="00A11166"/>
    <w:rsid w:val="00A145A8"/>
    <w:rsid w:val="00A17328"/>
    <w:rsid w:val="00A17D08"/>
    <w:rsid w:val="00A20144"/>
    <w:rsid w:val="00A21C89"/>
    <w:rsid w:val="00A23A20"/>
    <w:rsid w:val="00A268B9"/>
    <w:rsid w:val="00A2703A"/>
    <w:rsid w:val="00A33DFF"/>
    <w:rsid w:val="00A344C2"/>
    <w:rsid w:val="00A34FC4"/>
    <w:rsid w:val="00A35115"/>
    <w:rsid w:val="00A36D9A"/>
    <w:rsid w:val="00A41C7A"/>
    <w:rsid w:val="00A42AB3"/>
    <w:rsid w:val="00A43248"/>
    <w:rsid w:val="00A4443C"/>
    <w:rsid w:val="00A4696E"/>
    <w:rsid w:val="00A50323"/>
    <w:rsid w:val="00A554AB"/>
    <w:rsid w:val="00A57062"/>
    <w:rsid w:val="00A65999"/>
    <w:rsid w:val="00A66361"/>
    <w:rsid w:val="00A66BFF"/>
    <w:rsid w:val="00A73EE4"/>
    <w:rsid w:val="00A74C7D"/>
    <w:rsid w:val="00A76D88"/>
    <w:rsid w:val="00A837B2"/>
    <w:rsid w:val="00A83EDA"/>
    <w:rsid w:val="00A92805"/>
    <w:rsid w:val="00A92B53"/>
    <w:rsid w:val="00A94F2B"/>
    <w:rsid w:val="00A94FA6"/>
    <w:rsid w:val="00A96175"/>
    <w:rsid w:val="00AA2646"/>
    <w:rsid w:val="00AA49A0"/>
    <w:rsid w:val="00AA4D98"/>
    <w:rsid w:val="00AA6710"/>
    <w:rsid w:val="00AB0681"/>
    <w:rsid w:val="00AB1E53"/>
    <w:rsid w:val="00AB2681"/>
    <w:rsid w:val="00AC5E52"/>
    <w:rsid w:val="00AD4D57"/>
    <w:rsid w:val="00AD520B"/>
    <w:rsid w:val="00AD6B75"/>
    <w:rsid w:val="00AD7F70"/>
    <w:rsid w:val="00AE0EE2"/>
    <w:rsid w:val="00AF35DB"/>
    <w:rsid w:val="00B030FB"/>
    <w:rsid w:val="00B03A5C"/>
    <w:rsid w:val="00B0648E"/>
    <w:rsid w:val="00B10C51"/>
    <w:rsid w:val="00B14585"/>
    <w:rsid w:val="00B162ED"/>
    <w:rsid w:val="00B224E5"/>
    <w:rsid w:val="00B22D6E"/>
    <w:rsid w:val="00B351CD"/>
    <w:rsid w:val="00B379CE"/>
    <w:rsid w:val="00B425C3"/>
    <w:rsid w:val="00B42ED1"/>
    <w:rsid w:val="00B440AD"/>
    <w:rsid w:val="00B44FB7"/>
    <w:rsid w:val="00B479BB"/>
    <w:rsid w:val="00B525FC"/>
    <w:rsid w:val="00B53E7E"/>
    <w:rsid w:val="00B53F0A"/>
    <w:rsid w:val="00B6342E"/>
    <w:rsid w:val="00B650C4"/>
    <w:rsid w:val="00B665D9"/>
    <w:rsid w:val="00B66B98"/>
    <w:rsid w:val="00B7113F"/>
    <w:rsid w:val="00B72045"/>
    <w:rsid w:val="00B81B84"/>
    <w:rsid w:val="00B86B80"/>
    <w:rsid w:val="00B90403"/>
    <w:rsid w:val="00B90538"/>
    <w:rsid w:val="00B90DFA"/>
    <w:rsid w:val="00B90FE6"/>
    <w:rsid w:val="00B91B1E"/>
    <w:rsid w:val="00BA0494"/>
    <w:rsid w:val="00BA524B"/>
    <w:rsid w:val="00BA73B6"/>
    <w:rsid w:val="00BA7E27"/>
    <w:rsid w:val="00BB0276"/>
    <w:rsid w:val="00BB16F1"/>
    <w:rsid w:val="00BB2603"/>
    <w:rsid w:val="00BB4FCD"/>
    <w:rsid w:val="00BB76A2"/>
    <w:rsid w:val="00BC04E9"/>
    <w:rsid w:val="00BC2F28"/>
    <w:rsid w:val="00BD13EA"/>
    <w:rsid w:val="00BD4220"/>
    <w:rsid w:val="00BE3808"/>
    <w:rsid w:val="00BE4777"/>
    <w:rsid w:val="00BE511B"/>
    <w:rsid w:val="00BE5825"/>
    <w:rsid w:val="00BF3B13"/>
    <w:rsid w:val="00BF5FBD"/>
    <w:rsid w:val="00BF7EAC"/>
    <w:rsid w:val="00C00CF0"/>
    <w:rsid w:val="00C03F4B"/>
    <w:rsid w:val="00C04731"/>
    <w:rsid w:val="00C062E9"/>
    <w:rsid w:val="00C07B64"/>
    <w:rsid w:val="00C104E9"/>
    <w:rsid w:val="00C12D4D"/>
    <w:rsid w:val="00C13721"/>
    <w:rsid w:val="00C14FE4"/>
    <w:rsid w:val="00C16B3A"/>
    <w:rsid w:val="00C22C35"/>
    <w:rsid w:val="00C25587"/>
    <w:rsid w:val="00C26387"/>
    <w:rsid w:val="00C2670B"/>
    <w:rsid w:val="00C3066D"/>
    <w:rsid w:val="00C31BD6"/>
    <w:rsid w:val="00C33276"/>
    <w:rsid w:val="00C3738F"/>
    <w:rsid w:val="00C477D8"/>
    <w:rsid w:val="00C50653"/>
    <w:rsid w:val="00C52416"/>
    <w:rsid w:val="00C543F4"/>
    <w:rsid w:val="00C5661C"/>
    <w:rsid w:val="00C610E6"/>
    <w:rsid w:val="00C6187E"/>
    <w:rsid w:val="00C6291C"/>
    <w:rsid w:val="00C62B59"/>
    <w:rsid w:val="00C62F61"/>
    <w:rsid w:val="00C633CB"/>
    <w:rsid w:val="00C65E2F"/>
    <w:rsid w:val="00C670D1"/>
    <w:rsid w:val="00C67220"/>
    <w:rsid w:val="00C736B7"/>
    <w:rsid w:val="00C75A77"/>
    <w:rsid w:val="00C76192"/>
    <w:rsid w:val="00C801D8"/>
    <w:rsid w:val="00C81D4A"/>
    <w:rsid w:val="00C87368"/>
    <w:rsid w:val="00C8756F"/>
    <w:rsid w:val="00C8762C"/>
    <w:rsid w:val="00C877A3"/>
    <w:rsid w:val="00C879B8"/>
    <w:rsid w:val="00C91129"/>
    <w:rsid w:val="00C91835"/>
    <w:rsid w:val="00C9563B"/>
    <w:rsid w:val="00CA00F9"/>
    <w:rsid w:val="00CA251B"/>
    <w:rsid w:val="00CA2961"/>
    <w:rsid w:val="00CA3827"/>
    <w:rsid w:val="00CA67B6"/>
    <w:rsid w:val="00CB0217"/>
    <w:rsid w:val="00CB0E94"/>
    <w:rsid w:val="00CB50D7"/>
    <w:rsid w:val="00CB7177"/>
    <w:rsid w:val="00CC1998"/>
    <w:rsid w:val="00CC4946"/>
    <w:rsid w:val="00CD3BAA"/>
    <w:rsid w:val="00CD4A6E"/>
    <w:rsid w:val="00CD69A3"/>
    <w:rsid w:val="00CE0496"/>
    <w:rsid w:val="00CE074B"/>
    <w:rsid w:val="00CE0AC7"/>
    <w:rsid w:val="00CE0E96"/>
    <w:rsid w:val="00CE5E01"/>
    <w:rsid w:val="00CF3031"/>
    <w:rsid w:val="00CF4865"/>
    <w:rsid w:val="00CF6609"/>
    <w:rsid w:val="00D02D39"/>
    <w:rsid w:val="00D036B2"/>
    <w:rsid w:val="00D05561"/>
    <w:rsid w:val="00D1156B"/>
    <w:rsid w:val="00D12CAF"/>
    <w:rsid w:val="00D16E9D"/>
    <w:rsid w:val="00D20E25"/>
    <w:rsid w:val="00D228D1"/>
    <w:rsid w:val="00D2462A"/>
    <w:rsid w:val="00D25D92"/>
    <w:rsid w:val="00D270A4"/>
    <w:rsid w:val="00D31FE9"/>
    <w:rsid w:val="00D34E1B"/>
    <w:rsid w:val="00D3589E"/>
    <w:rsid w:val="00D3617E"/>
    <w:rsid w:val="00D376BA"/>
    <w:rsid w:val="00D45634"/>
    <w:rsid w:val="00D5153A"/>
    <w:rsid w:val="00D5568A"/>
    <w:rsid w:val="00D56D4D"/>
    <w:rsid w:val="00D62CBB"/>
    <w:rsid w:val="00D630A1"/>
    <w:rsid w:val="00D63D73"/>
    <w:rsid w:val="00D64452"/>
    <w:rsid w:val="00D6631A"/>
    <w:rsid w:val="00D6686D"/>
    <w:rsid w:val="00D66E1E"/>
    <w:rsid w:val="00D6790B"/>
    <w:rsid w:val="00D75722"/>
    <w:rsid w:val="00D75E99"/>
    <w:rsid w:val="00D75FA1"/>
    <w:rsid w:val="00D76F7C"/>
    <w:rsid w:val="00D80CF5"/>
    <w:rsid w:val="00D81C15"/>
    <w:rsid w:val="00D84944"/>
    <w:rsid w:val="00D90794"/>
    <w:rsid w:val="00D914E2"/>
    <w:rsid w:val="00D92A0B"/>
    <w:rsid w:val="00D94BEB"/>
    <w:rsid w:val="00D95170"/>
    <w:rsid w:val="00DA3130"/>
    <w:rsid w:val="00DA3A84"/>
    <w:rsid w:val="00DA5577"/>
    <w:rsid w:val="00DA5BBA"/>
    <w:rsid w:val="00DA643D"/>
    <w:rsid w:val="00DA7714"/>
    <w:rsid w:val="00DB0D65"/>
    <w:rsid w:val="00DB0EFA"/>
    <w:rsid w:val="00DB26D2"/>
    <w:rsid w:val="00DB2CA8"/>
    <w:rsid w:val="00DB3DB9"/>
    <w:rsid w:val="00DB67C9"/>
    <w:rsid w:val="00DC0518"/>
    <w:rsid w:val="00DC0C95"/>
    <w:rsid w:val="00DC1072"/>
    <w:rsid w:val="00DC5A10"/>
    <w:rsid w:val="00DC7572"/>
    <w:rsid w:val="00DC7576"/>
    <w:rsid w:val="00DD2ED1"/>
    <w:rsid w:val="00DD6580"/>
    <w:rsid w:val="00DE0FB7"/>
    <w:rsid w:val="00DE4E06"/>
    <w:rsid w:val="00DE634B"/>
    <w:rsid w:val="00DF1E80"/>
    <w:rsid w:val="00DF76A4"/>
    <w:rsid w:val="00E03BE6"/>
    <w:rsid w:val="00E03E52"/>
    <w:rsid w:val="00E059A9"/>
    <w:rsid w:val="00E116C7"/>
    <w:rsid w:val="00E11C17"/>
    <w:rsid w:val="00E148D3"/>
    <w:rsid w:val="00E17C72"/>
    <w:rsid w:val="00E2014D"/>
    <w:rsid w:val="00E21FC6"/>
    <w:rsid w:val="00E355B9"/>
    <w:rsid w:val="00E40A70"/>
    <w:rsid w:val="00E431A9"/>
    <w:rsid w:val="00E476B3"/>
    <w:rsid w:val="00E47F96"/>
    <w:rsid w:val="00E50174"/>
    <w:rsid w:val="00E61A25"/>
    <w:rsid w:val="00E6246A"/>
    <w:rsid w:val="00E669E2"/>
    <w:rsid w:val="00E76135"/>
    <w:rsid w:val="00E813FA"/>
    <w:rsid w:val="00E824CE"/>
    <w:rsid w:val="00E82F4F"/>
    <w:rsid w:val="00EB2DD2"/>
    <w:rsid w:val="00EC1423"/>
    <w:rsid w:val="00EC2844"/>
    <w:rsid w:val="00EC5500"/>
    <w:rsid w:val="00ED03D2"/>
    <w:rsid w:val="00ED17D6"/>
    <w:rsid w:val="00ED18F8"/>
    <w:rsid w:val="00ED294C"/>
    <w:rsid w:val="00EE3B40"/>
    <w:rsid w:val="00EE3E51"/>
    <w:rsid w:val="00EF0510"/>
    <w:rsid w:val="00EF6C6C"/>
    <w:rsid w:val="00F0087F"/>
    <w:rsid w:val="00F03028"/>
    <w:rsid w:val="00F056FC"/>
    <w:rsid w:val="00F10476"/>
    <w:rsid w:val="00F135D8"/>
    <w:rsid w:val="00F1633A"/>
    <w:rsid w:val="00F22638"/>
    <w:rsid w:val="00F26597"/>
    <w:rsid w:val="00F3044B"/>
    <w:rsid w:val="00F31299"/>
    <w:rsid w:val="00F32DD2"/>
    <w:rsid w:val="00F3534A"/>
    <w:rsid w:val="00F3580B"/>
    <w:rsid w:val="00F43A3D"/>
    <w:rsid w:val="00F46936"/>
    <w:rsid w:val="00F51609"/>
    <w:rsid w:val="00F5591E"/>
    <w:rsid w:val="00F56228"/>
    <w:rsid w:val="00F56BBF"/>
    <w:rsid w:val="00F56BFB"/>
    <w:rsid w:val="00F6415D"/>
    <w:rsid w:val="00F64291"/>
    <w:rsid w:val="00F65F07"/>
    <w:rsid w:val="00F67EB8"/>
    <w:rsid w:val="00F712B8"/>
    <w:rsid w:val="00F81006"/>
    <w:rsid w:val="00F8313D"/>
    <w:rsid w:val="00F85325"/>
    <w:rsid w:val="00F90199"/>
    <w:rsid w:val="00FA1604"/>
    <w:rsid w:val="00FB39EB"/>
    <w:rsid w:val="00FB48F4"/>
    <w:rsid w:val="00FB59B3"/>
    <w:rsid w:val="00FB694C"/>
    <w:rsid w:val="00FC034C"/>
    <w:rsid w:val="00FD192F"/>
    <w:rsid w:val="00FD22B1"/>
    <w:rsid w:val="00FD51BF"/>
    <w:rsid w:val="00FE5397"/>
    <w:rsid w:val="00FF64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next w:val="BodyText"/>
    <w:rsid w:val="004247EA"/>
    <w:rPr>
      <w:rFonts w:asciiTheme="minorHAnsi" w:eastAsiaTheme="minorHAnsi" w:hAnsiTheme="minorHAnsi" w:cstheme="minorBidi"/>
      <w:sz w:val="22"/>
      <w:szCs w:val="22"/>
      <w:lang w:eastAsia="en-US"/>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qForma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3"/>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tabs>
        <w:tab w:val="num" w:pos="340"/>
      </w:tabs>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BoxSpace">
    <w:name w:val="Box Space"/>
    <w:basedOn w:val="BodyText"/>
    <w:rsid w:val="004247EA"/>
    <w:pPr>
      <w:keepNext/>
      <w:spacing w:before="360" w:line="80" w:lineRule="exact"/>
      <w:jc w:val="left"/>
    </w:pPr>
  </w:style>
  <w:style w:type="character" w:customStyle="1" w:styleId="BodyTextChar">
    <w:name w:val="Body Text Char"/>
    <w:basedOn w:val="DefaultParagraphFont"/>
    <w:link w:val="BodyText"/>
    <w:rsid w:val="004247EA"/>
    <w:rPr>
      <w:sz w:val="26"/>
    </w:rPr>
  </w:style>
  <w:style w:type="character" w:customStyle="1" w:styleId="CommentTextChar">
    <w:name w:val="Comment Text Char"/>
    <w:basedOn w:val="DefaultParagraphFont"/>
    <w:semiHidden/>
    <w:rsid w:val="004247EA"/>
    <w:rPr>
      <w:szCs w:val="24"/>
    </w:rPr>
  </w:style>
  <w:style w:type="paragraph" w:styleId="CommentSubject">
    <w:name w:val="annotation subject"/>
    <w:basedOn w:val="CommentText"/>
    <w:next w:val="CommentText"/>
    <w:link w:val="CommentSubjectChar"/>
    <w:rsid w:val="004247EA"/>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4247EA"/>
    <w:rPr>
      <w:szCs w:val="24"/>
    </w:rPr>
  </w:style>
  <w:style w:type="character" w:customStyle="1" w:styleId="CommentSubjectChar">
    <w:name w:val="Comment Subject Char"/>
    <w:basedOn w:val="CommentTextChar1"/>
    <w:link w:val="CommentSubject"/>
    <w:rsid w:val="004247EA"/>
    <w:rPr>
      <w:rFonts w:asciiTheme="minorHAnsi" w:eastAsiaTheme="minorHAnsi" w:hAnsiTheme="minorHAnsi" w:cstheme="minorBidi"/>
      <w:b/>
      <w:bCs/>
      <w:szCs w:val="24"/>
      <w:lang w:eastAsia="en-US"/>
    </w:rPr>
  </w:style>
  <w:style w:type="character" w:styleId="Hyperlink">
    <w:name w:val="Hyperlink"/>
    <w:basedOn w:val="DefaultParagraphFont"/>
    <w:rsid w:val="004247EA"/>
    <w:rPr>
      <w:color w:val="0000FF" w:themeColor="hyperlink"/>
      <w:u w:val="single"/>
    </w:rPr>
  </w:style>
  <w:style w:type="paragraph" w:styleId="ListParagraph">
    <w:name w:val="List Paragraph"/>
    <w:basedOn w:val="Normal"/>
    <w:uiPriority w:val="34"/>
    <w:rsid w:val="004247EA"/>
    <w:pPr>
      <w:ind w:left="720"/>
    </w:pPr>
  </w:style>
  <w:style w:type="paragraph" w:styleId="NormalWeb">
    <w:name w:val="Normal (Web)"/>
    <w:basedOn w:val="Normal"/>
    <w:uiPriority w:val="99"/>
    <w:unhideWhenUsed/>
    <w:rsid w:val="004247EA"/>
    <w:pPr>
      <w:spacing w:before="100" w:beforeAutospacing="1" w:after="100" w:afterAutospacing="1"/>
    </w:pPr>
    <w:rPr>
      <w:rFonts w:ascii="Times New Roman" w:eastAsia="Times New Roman" w:hAnsi="Times New Roman" w:cs="Times New Roman"/>
      <w:sz w:val="24"/>
      <w:szCs w:val="24"/>
      <w:lang w:eastAsia="en-AU"/>
    </w:rPr>
  </w:style>
  <w:style w:type="character" w:styleId="FollowedHyperlink">
    <w:name w:val="FollowedHyperlink"/>
    <w:basedOn w:val="DefaultParagraphFont"/>
    <w:rsid w:val="004247EA"/>
    <w:rPr>
      <w:color w:val="800080" w:themeColor="followedHyperlink"/>
      <w:u w:val="single"/>
    </w:rPr>
  </w:style>
  <w:style w:type="paragraph" w:customStyle="1" w:styleId="Table">
    <w:name w:val="Table"/>
    <w:basedOn w:val="TableColumnHeading"/>
    <w:rsid w:val="004247EA"/>
  </w:style>
  <w:style w:type="paragraph" w:styleId="Revision">
    <w:name w:val="Revision"/>
    <w:hidden/>
    <w:uiPriority w:val="99"/>
    <w:semiHidden/>
    <w:rsid w:val="004247EA"/>
    <w:rPr>
      <w:rFonts w:asciiTheme="minorHAnsi" w:eastAsiaTheme="minorHAnsi" w:hAnsiTheme="minorHAnsi" w:cstheme="minorBidi"/>
      <w:sz w:val="22"/>
      <w:szCs w:val="22"/>
      <w:lang w:eastAsia="en-US"/>
    </w:rPr>
  </w:style>
  <w:style w:type="character" w:customStyle="1" w:styleId="ReferenceChar">
    <w:name w:val="Reference Char"/>
    <w:basedOn w:val="DefaultParagraphFont"/>
    <w:link w:val="Reference"/>
    <w:rsid w:val="008674D0"/>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next w:val="BodyText"/>
    <w:rsid w:val="004247EA"/>
    <w:rPr>
      <w:rFonts w:asciiTheme="minorHAnsi" w:eastAsiaTheme="minorHAnsi" w:hAnsiTheme="minorHAnsi" w:cstheme="minorBidi"/>
      <w:sz w:val="22"/>
      <w:szCs w:val="22"/>
      <w:lang w:eastAsia="en-US"/>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qForma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3"/>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tabs>
        <w:tab w:val="num" w:pos="340"/>
      </w:tabs>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BoxSpace">
    <w:name w:val="Box Space"/>
    <w:basedOn w:val="BodyText"/>
    <w:rsid w:val="004247EA"/>
    <w:pPr>
      <w:keepNext/>
      <w:spacing w:before="360" w:line="80" w:lineRule="exact"/>
      <w:jc w:val="left"/>
    </w:pPr>
  </w:style>
  <w:style w:type="character" w:customStyle="1" w:styleId="BodyTextChar">
    <w:name w:val="Body Text Char"/>
    <w:basedOn w:val="DefaultParagraphFont"/>
    <w:link w:val="BodyText"/>
    <w:rsid w:val="004247EA"/>
    <w:rPr>
      <w:sz w:val="26"/>
    </w:rPr>
  </w:style>
  <w:style w:type="character" w:customStyle="1" w:styleId="CommentTextChar">
    <w:name w:val="Comment Text Char"/>
    <w:basedOn w:val="DefaultParagraphFont"/>
    <w:semiHidden/>
    <w:rsid w:val="004247EA"/>
    <w:rPr>
      <w:szCs w:val="24"/>
    </w:rPr>
  </w:style>
  <w:style w:type="paragraph" w:styleId="CommentSubject">
    <w:name w:val="annotation subject"/>
    <w:basedOn w:val="CommentText"/>
    <w:next w:val="CommentText"/>
    <w:link w:val="CommentSubjectChar"/>
    <w:rsid w:val="004247EA"/>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4247EA"/>
    <w:rPr>
      <w:szCs w:val="24"/>
    </w:rPr>
  </w:style>
  <w:style w:type="character" w:customStyle="1" w:styleId="CommentSubjectChar">
    <w:name w:val="Comment Subject Char"/>
    <w:basedOn w:val="CommentTextChar1"/>
    <w:link w:val="CommentSubject"/>
    <w:rsid w:val="004247EA"/>
    <w:rPr>
      <w:rFonts w:asciiTheme="minorHAnsi" w:eastAsiaTheme="minorHAnsi" w:hAnsiTheme="minorHAnsi" w:cstheme="minorBidi"/>
      <w:b/>
      <w:bCs/>
      <w:szCs w:val="24"/>
      <w:lang w:eastAsia="en-US"/>
    </w:rPr>
  </w:style>
  <w:style w:type="character" w:styleId="Hyperlink">
    <w:name w:val="Hyperlink"/>
    <w:basedOn w:val="DefaultParagraphFont"/>
    <w:rsid w:val="004247EA"/>
    <w:rPr>
      <w:color w:val="0000FF" w:themeColor="hyperlink"/>
      <w:u w:val="single"/>
    </w:rPr>
  </w:style>
  <w:style w:type="paragraph" w:styleId="ListParagraph">
    <w:name w:val="List Paragraph"/>
    <w:basedOn w:val="Normal"/>
    <w:uiPriority w:val="34"/>
    <w:rsid w:val="004247EA"/>
    <w:pPr>
      <w:ind w:left="720"/>
    </w:pPr>
  </w:style>
  <w:style w:type="paragraph" w:styleId="NormalWeb">
    <w:name w:val="Normal (Web)"/>
    <w:basedOn w:val="Normal"/>
    <w:uiPriority w:val="99"/>
    <w:unhideWhenUsed/>
    <w:rsid w:val="004247EA"/>
    <w:pPr>
      <w:spacing w:before="100" w:beforeAutospacing="1" w:after="100" w:afterAutospacing="1"/>
    </w:pPr>
    <w:rPr>
      <w:rFonts w:ascii="Times New Roman" w:eastAsia="Times New Roman" w:hAnsi="Times New Roman" w:cs="Times New Roman"/>
      <w:sz w:val="24"/>
      <w:szCs w:val="24"/>
      <w:lang w:eastAsia="en-AU"/>
    </w:rPr>
  </w:style>
  <w:style w:type="character" w:styleId="FollowedHyperlink">
    <w:name w:val="FollowedHyperlink"/>
    <w:basedOn w:val="DefaultParagraphFont"/>
    <w:rsid w:val="004247EA"/>
    <w:rPr>
      <w:color w:val="800080" w:themeColor="followedHyperlink"/>
      <w:u w:val="single"/>
    </w:rPr>
  </w:style>
  <w:style w:type="paragraph" w:customStyle="1" w:styleId="Table">
    <w:name w:val="Table"/>
    <w:basedOn w:val="TableColumnHeading"/>
    <w:rsid w:val="004247EA"/>
  </w:style>
  <w:style w:type="paragraph" w:styleId="Revision">
    <w:name w:val="Revision"/>
    <w:hidden/>
    <w:uiPriority w:val="99"/>
    <w:semiHidden/>
    <w:rsid w:val="004247EA"/>
    <w:rPr>
      <w:rFonts w:asciiTheme="minorHAnsi" w:eastAsiaTheme="minorHAnsi" w:hAnsiTheme="minorHAnsi" w:cstheme="minorBidi"/>
      <w:sz w:val="22"/>
      <w:szCs w:val="22"/>
      <w:lang w:eastAsia="en-US"/>
    </w:rPr>
  </w:style>
  <w:style w:type="character" w:customStyle="1" w:styleId="ReferenceChar">
    <w:name w:val="Reference Char"/>
    <w:basedOn w:val="DefaultParagraphFont"/>
    <w:link w:val="Reference"/>
    <w:rsid w:val="008674D0"/>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963881">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6599A-3D5E-4D19-9656-525342978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12</Pages>
  <Words>2986</Words>
  <Characters>15482</Characters>
  <Application>Microsoft Office Word</Application>
  <DocSecurity>0</DocSecurity>
  <Lines>775</Lines>
  <Paragraphs>457</Paragraphs>
  <ScaleCrop>false</ScaleCrop>
  <HeadingPairs>
    <vt:vector size="2" baseType="variant">
      <vt:variant>
        <vt:lpstr>Title</vt:lpstr>
      </vt:variant>
      <vt:variant>
        <vt:i4>1</vt:i4>
      </vt:variant>
    </vt:vector>
  </HeadingPairs>
  <TitlesOfParts>
    <vt:vector size="1" baseType="lpstr">
      <vt:lpstr>Additional information on MP</vt:lpstr>
    </vt:vector>
  </TitlesOfParts>
  <Company>Productivity Commission</Company>
  <LinksUpToDate>false</LinksUpToDate>
  <CharactersWithSpaces>18293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Additional information on MP</dc:title>
  <dc:subject>PRODUCTIVITY IN MANUFACTURING</dc:subject>
  <dc:creator>Productivity Commission</dc:creator>
  <dc:description>H.</dc:description>
  <cp:lastModifiedBy>Productivity Commission</cp:lastModifiedBy>
  <cp:revision>2</cp:revision>
  <cp:lastPrinted>2013-11-28T00:09:00Z</cp:lastPrinted>
  <dcterms:created xsi:type="dcterms:W3CDTF">2013-12-04T00:17:00Z</dcterms:created>
  <dcterms:modified xsi:type="dcterms:W3CDTF">2013-12-04T00:17:00Z</dcterms:modified>
</cp:coreProperties>
</file>