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E4E" w:rsidRPr="00BB1E4E" w:rsidRDefault="00403AAD" w:rsidP="00BB1E4E">
      <w:pPr>
        <w:pStyle w:val="Heading1"/>
        <w:rPr>
          <w:color w:val="FFFFFF" w:themeColor="background1"/>
          <w:sz w:val="16"/>
          <w:szCs w:val="16"/>
        </w:rPr>
      </w:pPr>
      <w:bookmarkStart w:id="0" w:name="begin"/>
      <w:bookmarkStart w:id="1" w:name="_Toc26780068"/>
      <w:bookmarkStart w:id="2" w:name="_GoBack"/>
      <w:bookmarkEnd w:id="0"/>
      <w:r w:rsidRPr="00BB1E4E">
        <w:rPr>
          <w:b/>
          <w:noProof/>
          <w:color w:val="FFFFFF" w:themeColor="background1"/>
          <w:sz w:val="16"/>
          <w:szCs w:val="16"/>
        </w:rPr>
        <w:drawing>
          <wp:anchor distT="0" distB="0" distL="114300" distR="114300" simplePos="0" relativeHeight="251659264" behindDoc="0" locked="0" layoutInCell="1" allowOverlap="1" wp14:anchorId="4A4AA1BD" wp14:editId="2C2BA348">
            <wp:simplePos x="0" y="0"/>
            <wp:positionH relativeFrom="page">
              <wp:align>center</wp:align>
            </wp:positionH>
            <wp:positionV relativeFrom="page">
              <wp:align>center</wp:align>
            </wp:positionV>
            <wp:extent cx="7566025" cy="10702290"/>
            <wp:effectExtent l="0" t="0" r="0" b="3810"/>
            <wp:wrapNone/>
            <wp:docPr id="6" name="Picture 6" descr="Cover for: Tim Murray and John Salerian, Unifying partial and general equilibrium modelling for applied policy analysis, Staff Working Paper, Productivity Commision, December 2019. &#10;The views expressed in this paper are those of the staff involved and do not necessarily reflect the views of the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mr-swp-cover-web.png"/>
                    <pic:cNvPicPr/>
                  </pic:nvPicPr>
                  <pic:blipFill>
                    <a:blip r:embed="rId8">
                      <a:extLst>
                        <a:ext uri="{28A0092B-C50C-407E-A947-70E740481C1C}">
                          <a14:useLocalDpi xmlns:a14="http://schemas.microsoft.com/office/drawing/2010/main" val="0"/>
                        </a:ext>
                      </a:extLst>
                    </a:blip>
                    <a:stretch>
                      <a:fillRect/>
                    </a:stretch>
                  </pic:blipFill>
                  <pic:spPr>
                    <a:xfrm>
                      <a:off x="0" y="0"/>
                      <a:ext cx="7566403" cy="10702799"/>
                    </a:xfrm>
                    <a:prstGeom prst="rect">
                      <a:avLst/>
                    </a:prstGeom>
                  </pic:spPr>
                </pic:pic>
              </a:graphicData>
            </a:graphic>
            <wp14:sizeRelH relativeFrom="margin">
              <wp14:pctWidth>0</wp14:pctWidth>
            </wp14:sizeRelH>
            <wp14:sizeRelV relativeFrom="margin">
              <wp14:pctHeight>0</wp14:pctHeight>
            </wp14:sizeRelV>
          </wp:anchor>
        </w:drawing>
      </w:r>
      <w:bookmarkEnd w:id="2"/>
      <w:r w:rsidR="00BB1E4E" w:rsidRPr="00BB1E4E">
        <w:rPr>
          <w:color w:val="FFFFFF" w:themeColor="background1"/>
          <w:sz w:val="16"/>
          <w:szCs w:val="16"/>
        </w:rPr>
        <w:t>Unifying partial and general equilibrium modelling for applied policy analysis</w:t>
      </w:r>
      <w:bookmarkEnd w:id="1"/>
    </w:p>
    <w:p w:rsidR="00194D0E" w:rsidRPr="00BB1E4E" w:rsidRDefault="00194D0E" w:rsidP="00194D0E">
      <w:pPr>
        <w:pStyle w:val="BodyText"/>
        <w:rPr>
          <w:rFonts w:ascii="Arial" w:hAnsi="Arial"/>
          <w:b/>
          <w:sz w:val="22"/>
          <w:szCs w:val="26"/>
          <w:lang w:eastAsia="en-US"/>
        </w:rPr>
      </w:pPr>
      <w:r w:rsidRPr="00BB1E4E">
        <w:rPr>
          <w:color w:val="FFFFFF" w:themeColor="background1"/>
          <w:sz w:val="16"/>
          <w:szCs w:val="16"/>
        </w:rPr>
        <w:t>Staff Working Paper, Productivity Commission</w:t>
      </w:r>
      <w:r w:rsidRPr="00BB1E4E">
        <w:rPr>
          <w:rFonts w:ascii="Arial" w:hAnsi="Arial"/>
          <w:b/>
          <w:sz w:val="22"/>
          <w:szCs w:val="26"/>
          <w:lang w:eastAsia="en-US"/>
        </w:rPr>
        <w:br w:type="page"/>
      </w:r>
    </w:p>
    <w:bookmarkStart w:id="3" w:name="cov"/>
    <w:bookmarkEnd w:id="3"/>
    <w:p w:rsidR="00194D0E" w:rsidRDefault="00194D0E" w:rsidP="00194D0E">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2019</w:t>
      </w:r>
    </w:p>
    <w:p w:rsidR="00194D0E" w:rsidRPr="005360C6" w:rsidRDefault="00194D0E" w:rsidP="00194D0E">
      <w:pPr>
        <w:pStyle w:val="BodyText"/>
        <w:tabs>
          <w:tab w:val="left" w:pos="851"/>
        </w:tabs>
        <w:spacing w:before="200" w:after="120"/>
        <w:jc w:val="left"/>
        <w:rPr>
          <w:b/>
          <w:sz w:val="20"/>
        </w:rPr>
      </w:pPr>
      <w:bookmarkStart w:id="4" w:name="ISSN"/>
      <w:bookmarkEnd w:id="4"/>
      <w:r w:rsidRPr="005360C6">
        <w:rPr>
          <w:b/>
          <w:sz w:val="20"/>
        </w:rPr>
        <w:t>ISBN</w:t>
      </w:r>
      <w:r w:rsidRPr="005360C6">
        <w:rPr>
          <w:b/>
          <w:sz w:val="20"/>
        </w:rPr>
        <w:tab/>
      </w:r>
      <w:r w:rsidR="00BB1E4E" w:rsidRPr="005360C6">
        <w:rPr>
          <w:b/>
          <w:sz w:val="20"/>
        </w:rPr>
        <w:t>978-1-74037-686-0</w:t>
      </w:r>
      <w:r w:rsidRPr="005360C6">
        <w:rPr>
          <w:b/>
          <w:sz w:val="20"/>
        </w:rPr>
        <w:t xml:space="preserve"> (PDF)</w:t>
      </w:r>
    </w:p>
    <w:p w:rsidR="00194D0E" w:rsidRDefault="00194D0E" w:rsidP="00194D0E">
      <w:pPr>
        <w:pStyle w:val="BodyText"/>
        <w:spacing w:after="120"/>
      </w:pPr>
      <w:r w:rsidRPr="00862D8F">
        <w:rPr>
          <w:noProof/>
          <w:sz w:val="22"/>
          <w:szCs w:val="22"/>
        </w:rPr>
        <w:drawing>
          <wp:inline distT="0" distB="0" distL="0" distR="0" wp14:anchorId="2123CFE8" wp14:editId="75EBCD72">
            <wp:extent cx="843280" cy="295043"/>
            <wp:effectExtent l="0" t="0" r="0" b="0"/>
            <wp:docPr id="8" name="Picture 8"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194D0E" w:rsidRPr="00766247" w:rsidRDefault="00194D0E" w:rsidP="00194D0E">
      <w:pPr>
        <w:pStyle w:val="Copyrightbodytext"/>
        <w:rPr>
          <w:sz w:val="20"/>
        </w:rPr>
      </w:pPr>
      <w:r w:rsidRPr="00766247">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766247">
            <w:rPr>
              <w:sz w:val="20"/>
            </w:rPr>
            <w:t>http://creativecommons.org/licenses/by/3.0/au</w:t>
          </w:r>
        </w:hyperlink>
      </w:hyperlink>
      <w:r w:rsidRPr="00766247">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194D0E" w:rsidRPr="008A3857" w:rsidRDefault="00194D0E" w:rsidP="00194D0E">
      <w:pPr>
        <w:pStyle w:val="Copyrightsubtitle"/>
      </w:pPr>
      <w:r w:rsidRPr="008A3857">
        <w:t>Use of the Commonwealth Coat of Arms</w:t>
      </w:r>
    </w:p>
    <w:p w:rsidR="00194D0E" w:rsidRPr="0031235D" w:rsidRDefault="00194D0E" w:rsidP="00194D0E">
      <w:pPr>
        <w:pStyle w:val="Copyrightbodytext"/>
        <w:rPr>
          <w:spacing w:val="-2"/>
          <w:sz w:val="20"/>
          <w:u w:val="single"/>
        </w:rPr>
      </w:pPr>
      <w:r w:rsidRPr="00766247">
        <w:rPr>
          <w:spacing w:val="-2"/>
          <w:sz w:val="20"/>
        </w:rPr>
        <w:t xml:space="preserve">Terms of use for the Coat of Arms are available from the Department of the Prime Minister and Cabinet’s website: </w:t>
      </w:r>
      <w:hyperlink r:id="rId12" w:history="1">
        <w:r w:rsidRPr="0031235D">
          <w:rPr>
            <w:rStyle w:val="Hyperlink"/>
            <w:spacing w:val="-2"/>
            <w:sz w:val="20"/>
          </w:rPr>
          <w:t>www.pmc.gov.au/government/commonwealth-coat-arms</w:t>
        </w:r>
      </w:hyperlink>
    </w:p>
    <w:p w:rsidR="00194D0E" w:rsidRPr="008A3857" w:rsidRDefault="00194D0E" w:rsidP="00194D0E">
      <w:pPr>
        <w:pStyle w:val="Copyrightsubtitle"/>
      </w:pPr>
      <w:r w:rsidRPr="008A3857">
        <w:t>Third party copyright</w:t>
      </w:r>
    </w:p>
    <w:p w:rsidR="00194D0E" w:rsidRPr="00766247" w:rsidRDefault="00194D0E" w:rsidP="00194D0E">
      <w:pPr>
        <w:pStyle w:val="Copyrightbodytext"/>
        <w:rPr>
          <w:sz w:val="20"/>
        </w:rPr>
      </w:pPr>
      <w:r w:rsidRPr="00766247">
        <w:rPr>
          <w:sz w:val="20"/>
        </w:rPr>
        <w:t>Wherever a third party holds copyright in this material, the copyright remains with that party. Their permission may be required to use the material, please contact them directly.</w:t>
      </w:r>
    </w:p>
    <w:p w:rsidR="00194D0E" w:rsidRPr="008A3857" w:rsidRDefault="00194D0E" w:rsidP="00194D0E">
      <w:pPr>
        <w:pStyle w:val="Copyrightsubtitle"/>
      </w:pPr>
      <w:r w:rsidRPr="008A3857">
        <w:t xml:space="preserve">An appropriate </w:t>
      </w:r>
      <w:r>
        <w:t>reference</w:t>
      </w:r>
      <w:r w:rsidRPr="008A3857">
        <w:t xml:space="preserve"> for this publication is:</w:t>
      </w:r>
    </w:p>
    <w:p w:rsidR="00194D0E" w:rsidRPr="00766247" w:rsidRDefault="00194D0E" w:rsidP="00194D0E">
      <w:pPr>
        <w:pStyle w:val="Copyrightbodytext"/>
        <w:rPr>
          <w:sz w:val="20"/>
        </w:rPr>
      </w:pPr>
      <w:r>
        <w:rPr>
          <w:sz w:val="20"/>
        </w:rPr>
        <w:t xml:space="preserve">Murray, T. and Salerian, J. 2019, </w:t>
      </w:r>
      <w:r w:rsidRPr="00194D0E">
        <w:rPr>
          <w:i/>
          <w:sz w:val="20"/>
        </w:rPr>
        <w:t>Unifying partial and general equilibrium modelling for applied policy analysis</w:t>
      </w:r>
      <w:r>
        <w:rPr>
          <w:sz w:val="20"/>
        </w:rPr>
        <w:t>, Productivity Commission Staff Working Paper, December.</w:t>
      </w:r>
    </w:p>
    <w:p w:rsidR="00194D0E" w:rsidRPr="008A3857" w:rsidRDefault="00194D0E" w:rsidP="00194D0E">
      <w:pPr>
        <w:pStyle w:val="Copyrightsubtitle"/>
      </w:pPr>
      <w:bookmarkStart w:id="5" w:name="JEL"/>
      <w:bookmarkEnd w:id="5"/>
      <w:r w:rsidRPr="008A3857">
        <w:t>Publications enquiries</w:t>
      </w:r>
    </w:p>
    <w:p w:rsidR="00194D0E" w:rsidRPr="00766247" w:rsidRDefault="00194D0E" w:rsidP="00194D0E">
      <w:pPr>
        <w:pStyle w:val="Copyrightbodytext"/>
        <w:rPr>
          <w:sz w:val="20"/>
        </w:rPr>
      </w:pPr>
      <w:r w:rsidRPr="00766247">
        <w:rPr>
          <w:sz w:val="20"/>
        </w:rPr>
        <w:t>Media, Publications and Web, phone: (03) 9653 2244 or email: mpw@pc.gov.au</w:t>
      </w:r>
    </w:p>
    <w:p w:rsidR="00194D0E" w:rsidRDefault="00194D0E" w:rsidP="00194D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94D0E" w:rsidTr="00BB1E4E">
        <w:trPr>
          <w:tblHeader/>
        </w:trPr>
        <w:tc>
          <w:tcPr>
            <w:tcW w:w="5000" w:type="pct"/>
            <w:tcBorders>
              <w:top w:val="single" w:sz="6" w:space="0" w:color="78A22F"/>
              <w:left w:val="nil"/>
              <w:bottom w:val="nil"/>
              <w:right w:val="nil"/>
            </w:tcBorders>
            <w:shd w:val="clear" w:color="auto" w:fill="F2F2F2" w:themeFill="background1" w:themeFillShade="F2"/>
          </w:tcPr>
          <w:p w:rsidR="00194D0E" w:rsidRPr="008A3857" w:rsidRDefault="00194D0E" w:rsidP="00BB1E4E">
            <w:pPr>
              <w:pStyle w:val="BoxTitle"/>
            </w:pPr>
            <w:r w:rsidRPr="008A3857">
              <w:t>The Productivity Commission</w:t>
            </w:r>
          </w:p>
        </w:tc>
      </w:tr>
      <w:tr w:rsidR="00194D0E" w:rsidTr="00BB1E4E">
        <w:tc>
          <w:tcPr>
            <w:tcW w:w="5000" w:type="pct"/>
            <w:tcBorders>
              <w:top w:val="nil"/>
              <w:left w:val="nil"/>
              <w:bottom w:val="nil"/>
              <w:right w:val="nil"/>
            </w:tcBorders>
            <w:shd w:val="clear" w:color="auto" w:fill="F2F2F2" w:themeFill="background1" w:themeFillShade="F2"/>
          </w:tcPr>
          <w:p w:rsidR="00194D0E" w:rsidRDefault="00194D0E" w:rsidP="00BB1E4E">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194D0E" w:rsidRDefault="00194D0E" w:rsidP="00BB1E4E">
            <w:pPr>
              <w:pStyle w:val="Box"/>
            </w:pPr>
            <w:r w:rsidRPr="00BB5DCF">
              <w:t>The Commission’s independence is underpinned by an Act of Parliament. Its processes and outputs are open to public scrutiny and are driven by concern for the wellbeing of the community as a whole.</w:t>
            </w:r>
          </w:p>
          <w:p w:rsidR="00194D0E" w:rsidRDefault="00194D0E" w:rsidP="00BB1E4E">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194D0E" w:rsidTr="00BB1E4E">
        <w:tc>
          <w:tcPr>
            <w:tcW w:w="5000" w:type="pct"/>
            <w:tcBorders>
              <w:top w:val="nil"/>
              <w:left w:val="nil"/>
              <w:bottom w:val="single" w:sz="6" w:space="0" w:color="78A22F"/>
              <w:right w:val="nil"/>
            </w:tcBorders>
            <w:shd w:val="clear" w:color="auto" w:fill="F2F2F2" w:themeFill="background1" w:themeFillShade="F2"/>
          </w:tcPr>
          <w:p w:rsidR="00194D0E" w:rsidRDefault="00194D0E" w:rsidP="00BB1E4E">
            <w:pPr>
              <w:pStyle w:val="Box"/>
              <w:spacing w:before="0" w:line="120" w:lineRule="exact"/>
            </w:pPr>
          </w:p>
        </w:tc>
      </w:tr>
    </w:tbl>
    <w:p w:rsidR="00194D0E" w:rsidRDefault="00194D0E" w:rsidP="00194D0E">
      <w:pPr>
        <w:pStyle w:val="BodyText"/>
        <w:sectPr w:rsidR="00194D0E" w:rsidSect="00BB1E4E">
          <w:pgSz w:w="11907" w:h="16840" w:code="9"/>
          <w:pgMar w:top="1304" w:right="1304" w:bottom="567" w:left="1814" w:header="1701" w:footer="397" w:gutter="0"/>
          <w:pgNumType w:fmt="lowerRoman" w:start="1"/>
          <w:cols w:space="720"/>
          <w:titlePg/>
        </w:sectPr>
      </w:pPr>
    </w:p>
    <w:p w:rsidR="00194D0E" w:rsidRDefault="00194D0E" w:rsidP="00194D0E">
      <w:pPr>
        <w:pStyle w:val="Heading1NotTOC"/>
        <w:spacing w:after="1200"/>
      </w:pPr>
      <w:bookmarkStart w:id="6" w:name="Contents"/>
      <w:bookmarkEnd w:id="6"/>
      <w:r w:rsidRPr="00B153C3">
        <w:lastRenderedPageBreak/>
        <w:t>Contents</w:t>
      </w:r>
      <w:bookmarkStart w:id="7" w:name="InsertContents"/>
      <w:bookmarkEnd w:id="7"/>
    </w:p>
    <w:p w:rsidR="001555C8" w:rsidRDefault="001555C8" w:rsidP="001555C8">
      <w:pPr>
        <w:pStyle w:val="TOC1"/>
        <w:rPr>
          <w:rFonts w:asciiTheme="minorHAnsi" w:eastAsiaTheme="minorEastAsia" w:hAnsiTheme="minorHAnsi"/>
          <w:noProof/>
          <w:sz w:val="22"/>
          <w:szCs w:val="22"/>
          <w:lang w:eastAsia="en-AU"/>
        </w:rPr>
      </w:pPr>
      <w:r>
        <w:rPr>
          <w:noProof/>
        </w:rPr>
        <w:t>Abstract</w:t>
      </w:r>
      <w:r>
        <w:rPr>
          <w:noProof/>
        </w:rPr>
        <w:tab/>
        <w:t>1</w:t>
      </w:r>
    </w:p>
    <w:p w:rsidR="001555C8" w:rsidRDefault="001555C8" w:rsidP="001555C8">
      <w:pPr>
        <w:pStyle w:val="TOC1"/>
        <w:rPr>
          <w:rFonts w:asciiTheme="minorHAnsi" w:eastAsiaTheme="minorEastAsia" w:hAnsiTheme="minorHAnsi"/>
          <w:noProof/>
          <w:sz w:val="22"/>
          <w:szCs w:val="22"/>
          <w:lang w:eastAsia="en-AU"/>
        </w:rPr>
      </w:pPr>
      <w:r>
        <w:rPr>
          <w:noProof/>
        </w:rPr>
        <w:t>1.</w:t>
      </w:r>
      <w:r>
        <w:rPr>
          <w:rFonts w:asciiTheme="minorHAnsi" w:eastAsiaTheme="minorEastAsia" w:hAnsiTheme="minorHAnsi"/>
          <w:noProof/>
          <w:sz w:val="22"/>
          <w:szCs w:val="22"/>
          <w:lang w:eastAsia="en-AU"/>
        </w:rPr>
        <w:tab/>
      </w:r>
      <w:r>
        <w:rPr>
          <w:noProof/>
        </w:rPr>
        <w:t>Introduction</w:t>
      </w:r>
      <w:r>
        <w:rPr>
          <w:noProof/>
        </w:rPr>
        <w:tab/>
        <w:t>1</w:t>
      </w:r>
    </w:p>
    <w:p w:rsidR="001555C8" w:rsidRDefault="001555C8" w:rsidP="001555C8">
      <w:pPr>
        <w:pStyle w:val="TOC1"/>
        <w:rPr>
          <w:rFonts w:asciiTheme="minorHAnsi" w:eastAsiaTheme="minorEastAsia" w:hAnsiTheme="minorHAnsi"/>
          <w:noProof/>
          <w:sz w:val="22"/>
          <w:szCs w:val="22"/>
          <w:lang w:eastAsia="en-AU"/>
        </w:rPr>
      </w:pPr>
      <w:r>
        <w:rPr>
          <w:noProof/>
        </w:rPr>
        <w:t>2.</w:t>
      </w:r>
      <w:r>
        <w:rPr>
          <w:rFonts w:asciiTheme="minorHAnsi" w:eastAsiaTheme="minorEastAsia" w:hAnsiTheme="minorHAnsi"/>
          <w:noProof/>
          <w:sz w:val="22"/>
          <w:szCs w:val="22"/>
          <w:lang w:eastAsia="en-AU"/>
        </w:rPr>
        <w:tab/>
      </w:r>
      <w:r>
        <w:rPr>
          <w:noProof/>
        </w:rPr>
        <w:t>MCP presents opportunities for linking PE and CGE models</w:t>
      </w:r>
      <w:r>
        <w:rPr>
          <w:noProof/>
        </w:rPr>
        <w:tab/>
        <w:t>3</w:t>
      </w:r>
    </w:p>
    <w:p w:rsidR="001555C8" w:rsidRDefault="001555C8" w:rsidP="001555C8">
      <w:pPr>
        <w:pStyle w:val="TOC1"/>
        <w:rPr>
          <w:rFonts w:asciiTheme="minorHAnsi" w:eastAsiaTheme="minorEastAsia" w:hAnsiTheme="minorHAnsi"/>
          <w:noProof/>
          <w:sz w:val="22"/>
          <w:szCs w:val="22"/>
          <w:lang w:eastAsia="en-AU"/>
        </w:rPr>
      </w:pPr>
      <w:r>
        <w:rPr>
          <w:noProof/>
        </w:rPr>
        <w:t>3.</w:t>
      </w:r>
      <w:r>
        <w:rPr>
          <w:rFonts w:asciiTheme="minorHAnsi" w:eastAsiaTheme="minorEastAsia" w:hAnsiTheme="minorHAnsi"/>
          <w:noProof/>
          <w:sz w:val="22"/>
          <w:szCs w:val="22"/>
          <w:lang w:eastAsia="en-AU"/>
        </w:rPr>
        <w:tab/>
      </w:r>
      <w:r>
        <w:rPr>
          <w:noProof/>
        </w:rPr>
        <w:t>Model description</w:t>
      </w:r>
      <w:r>
        <w:rPr>
          <w:noProof/>
        </w:rPr>
        <w:tab/>
        <w:t>6</w:t>
      </w:r>
    </w:p>
    <w:p w:rsidR="001555C8" w:rsidRDefault="001555C8" w:rsidP="001555C8">
      <w:pPr>
        <w:pStyle w:val="TOC1"/>
        <w:rPr>
          <w:rFonts w:asciiTheme="minorHAnsi" w:eastAsiaTheme="minorEastAsia" w:hAnsiTheme="minorHAnsi"/>
          <w:noProof/>
          <w:sz w:val="22"/>
          <w:szCs w:val="22"/>
          <w:lang w:eastAsia="en-AU"/>
        </w:rPr>
      </w:pPr>
      <w:r>
        <w:rPr>
          <w:noProof/>
        </w:rPr>
        <w:t>4.</w:t>
      </w:r>
      <w:r>
        <w:rPr>
          <w:rFonts w:asciiTheme="minorHAnsi" w:eastAsiaTheme="minorEastAsia" w:hAnsiTheme="minorHAnsi"/>
          <w:noProof/>
          <w:sz w:val="22"/>
          <w:szCs w:val="22"/>
          <w:lang w:eastAsia="en-AU"/>
        </w:rPr>
        <w:tab/>
      </w:r>
      <w:r>
        <w:rPr>
          <w:noProof/>
        </w:rPr>
        <w:t>Illustrative policy application: Renewable Energy Target</w:t>
      </w:r>
      <w:r>
        <w:rPr>
          <w:noProof/>
        </w:rPr>
        <w:tab/>
        <w:t>13</w:t>
      </w:r>
    </w:p>
    <w:p w:rsidR="001555C8" w:rsidRDefault="001555C8" w:rsidP="001555C8">
      <w:pPr>
        <w:pStyle w:val="TOC1"/>
        <w:rPr>
          <w:rFonts w:asciiTheme="minorHAnsi" w:eastAsiaTheme="minorEastAsia" w:hAnsiTheme="minorHAnsi"/>
          <w:noProof/>
          <w:sz w:val="22"/>
          <w:szCs w:val="22"/>
          <w:lang w:eastAsia="en-AU"/>
        </w:rPr>
      </w:pPr>
      <w:r>
        <w:rPr>
          <w:noProof/>
        </w:rPr>
        <w:t>5.</w:t>
      </w:r>
      <w:r>
        <w:rPr>
          <w:rFonts w:asciiTheme="minorHAnsi" w:eastAsiaTheme="minorEastAsia" w:hAnsiTheme="minorHAnsi"/>
          <w:noProof/>
          <w:sz w:val="22"/>
          <w:szCs w:val="22"/>
          <w:lang w:eastAsia="en-AU"/>
        </w:rPr>
        <w:tab/>
      </w:r>
      <w:r>
        <w:rPr>
          <w:noProof/>
        </w:rPr>
        <w:t>Simulation results</w:t>
      </w:r>
      <w:r>
        <w:rPr>
          <w:noProof/>
        </w:rPr>
        <w:tab/>
        <w:t>14</w:t>
      </w:r>
    </w:p>
    <w:p w:rsidR="001555C8" w:rsidRDefault="001555C8" w:rsidP="001555C8">
      <w:pPr>
        <w:pStyle w:val="TOC1"/>
        <w:rPr>
          <w:rFonts w:asciiTheme="minorHAnsi" w:eastAsiaTheme="minorEastAsia" w:hAnsiTheme="minorHAnsi"/>
          <w:noProof/>
          <w:sz w:val="22"/>
          <w:szCs w:val="22"/>
          <w:lang w:eastAsia="en-AU"/>
        </w:rPr>
      </w:pPr>
      <w:r>
        <w:rPr>
          <w:noProof/>
        </w:rPr>
        <w:t>6.</w:t>
      </w:r>
      <w:r>
        <w:rPr>
          <w:rFonts w:asciiTheme="minorHAnsi" w:eastAsiaTheme="minorEastAsia" w:hAnsiTheme="minorHAnsi"/>
          <w:noProof/>
          <w:sz w:val="22"/>
          <w:szCs w:val="22"/>
          <w:lang w:eastAsia="en-AU"/>
        </w:rPr>
        <w:tab/>
      </w:r>
      <w:r>
        <w:rPr>
          <w:noProof/>
        </w:rPr>
        <w:t>Conclusions</w:t>
      </w:r>
      <w:r>
        <w:rPr>
          <w:noProof/>
        </w:rPr>
        <w:tab/>
        <w:t>21</w:t>
      </w:r>
    </w:p>
    <w:p w:rsidR="001555C8" w:rsidRDefault="001555C8" w:rsidP="001555C8">
      <w:pPr>
        <w:pStyle w:val="TOC1"/>
      </w:pPr>
      <w:r>
        <w:rPr>
          <w:noProof/>
        </w:rPr>
        <w:t>References</w:t>
      </w:r>
      <w:r>
        <w:rPr>
          <w:noProof/>
        </w:rPr>
        <w:tab/>
        <w:t>22</w:t>
      </w:r>
    </w:p>
    <w:p w:rsidR="001555C8" w:rsidRDefault="001555C8" w:rsidP="00194D0E">
      <w:pPr>
        <w:pStyle w:val="BodyText"/>
      </w:pPr>
    </w:p>
    <w:p w:rsidR="001555C8" w:rsidRDefault="001555C8" w:rsidP="00194D0E">
      <w:pPr>
        <w:pStyle w:val="BodyText"/>
        <w:sectPr w:rsidR="001555C8" w:rsidSect="00BB1E4E">
          <w:headerReference w:type="even" r:id="rId14"/>
          <w:headerReference w:type="default" r:id="rId15"/>
          <w:footerReference w:type="even" r:id="rId16"/>
          <w:footerReference w:type="default" r:id="rId17"/>
          <w:type w:val="oddPage"/>
          <w:pgSz w:w="11907" w:h="16840" w:code="9"/>
          <w:pgMar w:top="1985" w:right="1304" w:bottom="1247" w:left="1814" w:header="1701" w:footer="397" w:gutter="0"/>
          <w:pgNumType w:fmt="lowerRoman"/>
          <w:cols w:space="720"/>
        </w:sectPr>
      </w:pPr>
    </w:p>
    <w:p w:rsidR="00965C6A" w:rsidRPr="00243F68" w:rsidRDefault="00965C6A" w:rsidP="00BB1E4E">
      <w:pPr>
        <w:pStyle w:val="Heading1"/>
        <w:ind w:left="0" w:firstLine="0"/>
      </w:pPr>
      <w:bookmarkStart w:id="8" w:name="_Toc26780069"/>
      <w:r w:rsidRPr="00243F68">
        <w:lastRenderedPageBreak/>
        <w:t>Unifying partial and general equilibrium modelling for applied policy analysis</w:t>
      </w:r>
      <w:bookmarkEnd w:id="8"/>
    </w:p>
    <w:p w:rsidR="00965C6A" w:rsidRPr="00AA7D5A" w:rsidRDefault="00965C6A" w:rsidP="00BB1E4E">
      <w:pPr>
        <w:pStyle w:val="Heading2"/>
      </w:pPr>
      <w:bookmarkStart w:id="9" w:name="_Toc26780070"/>
      <w:r w:rsidRPr="00AA7D5A">
        <w:t>Abstract</w:t>
      </w:r>
      <w:bookmarkEnd w:id="9"/>
    </w:p>
    <w:p w:rsidR="00965C6A" w:rsidRDefault="00965C6A" w:rsidP="00BB1E4E">
      <w:pPr>
        <w:pStyle w:val="BodyText"/>
      </w:pPr>
      <w:r w:rsidRPr="00243F68">
        <w:t>A number of modelling frameworks have been used historically to address different policy questions. Partial equilibrium (PE) models have typically been used where engineering or industry-specific details are of particular importance. Computable General Equilibrium (CGE) models have been used where economy</w:t>
      </w:r>
      <w:r w:rsidR="00AA7D5A">
        <w:t>-</w:t>
      </w:r>
      <w:r w:rsidRPr="00243F68">
        <w:t>wide implications and inter-industry linkages are important. However, the two frameworks have a common mathematical and conceptual origin. Recent developments in Mixed Complementary Problems (MCPs) presents an opportunity to incorporate desirable PE characteristics (engineering and policy constraints) into CGE models. This paper presents a demonstration model of an integrated MCP PE-CGE model, combining an electricity model (which includes physical laws and economic principles unique to electricity generation and transmission) with a CGE model (which includes typical CGE characteristics such as a number of industries, primary factors, taxes, inter-industry linkages and trade). The benefit of this approach is that richer insights can be gained about policy issues where the impacts depend on both the characteristics of the industry and economy</w:t>
      </w:r>
      <w:r w:rsidR="00AA7D5A">
        <w:t>-</w:t>
      </w:r>
      <w:r w:rsidRPr="00243F68">
        <w:t>wide interactions.</w:t>
      </w:r>
    </w:p>
    <w:p w:rsidR="00965C6A" w:rsidRPr="002901DB" w:rsidRDefault="00965C6A" w:rsidP="00BB1E4E">
      <w:pPr>
        <w:pStyle w:val="Heading2"/>
      </w:pPr>
      <w:bookmarkStart w:id="10" w:name="_Toc26780071"/>
      <w:r w:rsidRPr="002901DB">
        <w:t>1.</w:t>
      </w:r>
      <w:r w:rsidR="00BB1E4E">
        <w:tab/>
      </w:r>
      <w:r w:rsidRPr="002901DB">
        <w:t>Introduction</w:t>
      </w:r>
      <w:bookmarkEnd w:id="10"/>
    </w:p>
    <w:p w:rsidR="00965C6A" w:rsidRPr="000343C6" w:rsidRDefault="00965C6A" w:rsidP="00BB1E4E">
      <w:pPr>
        <w:pStyle w:val="BodyText"/>
      </w:pPr>
      <w:r w:rsidRPr="000343C6">
        <w:t xml:space="preserve">Economic models provide useful insights into economic policy issues. Although models are simple representations of the real world, they provide the policy analyst with a laboratory for testing ideas and policy proposals (Hazell and Norton 1986). There are many forms of economic models with strengths and weaknesses in terms of their usefulness in informing judgements about specific policy issues. </w:t>
      </w:r>
    </w:p>
    <w:p w:rsidR="00965C6A" w:rsidRPr="000343C6" w:rsidRDefault="00965C6A" w:rsidP="00BB1E4E">
      <w:pPr>
        <w:pStyle w:val="BodyText"/>
      </w:pPr>
      <w:r w:rsidRPr="000343C6">
        <w:t>The choice of modelling framework depends on the policy questions under consideration. In selecting the modelling tool to provide the best insights into those questions, it is ideal to keep the approach as simple as possible, focussing detail on the matters that are important and relevant to the policy issues at hand. Nevertheless, complexity can be unavoidable as economic interactions are often intertwined in ways that affect outcomes. For example, policy developments in an industry that change prices for consumers, or that changes the demand for labour, can have economy</w:t>
      </w:r>
      <w:r w:rsidR="00BE7D03">
        <w:t>-</w:t>
      </w:r>
      <w:r w:rsidRPr="000343C6">
        <w:t xml:space="preserve">wide effects by shifting consumption patterns, or changing wages for some types of workers. The development of the MCP framework offers a way to capture some of this complexity. Specifically, the MCP modelling framework opens </w:t>
      </w:r>
      <w:r w:rsidRPr="000343C6">
        <w:lastRenderedPageBreak/>
        <w:t>up greater opportunities to combine CGE frameworks and PE frameworks into single unified models.</w:t>
      </w:r>
    </w:p>
    <w:p w:rsidR="00965C6A" w:rsidRPr="000343C6" w:rsidRDefault="00965C6A" w:rsidP="00BB1E4E">
      <w:pPr>
        <w:pStyle w:val="BodyText"/>
      </w:pPr>
      <w:r w:rsidRPr="000343C6">
        <w:t>This paper explains how we embedded a PE model of the electricity generation and transmission sector within a simplified CGE model to create a single model that is able to provide the types of insights typically only available from each model individually. This approach has the potential to make CGE models more useful for analysis of policy where both the sectoral and economy</w:t>
      </w:r>
      <w:r w:rsidR="00BE7D03">
        <w:t>-</w:t>
      </w:r>
      <w:r w:rsidRPr="000343C6">
        <w:t>wide details are important and there are strong economic interdependencies between the two.</w:t>
      </w:r>
    </w:p>
    <w:p w:rsidR="00965C6A" w:rsidRPr="000343C6" w:rsidRDefault="00965C6A" w:rsidP="00BB1E4E">
      <w:pPr>
        <w:pStyle w:val="BodyText"/>
      </w:pPr>
      <w:r w:rsidRPr="000343C6">
        <w:t>The model is used to illustrate the economic principles underlying the Australian National Electricity Market (NEM) and the Renewable Energy Market by including Australia’s Renewable Energy Target (RET) framework explicitly. This is a fruitful area of exploration relevant to policy makers in Australia, where recent events in the electricity market have renewed discussions about the interaction between renewable policy and electricity market design.</w:t>
      </w:r>
      <w:r>
        <w:rPr>
          <w:rStyle w:val="FootnoteReference"/>
          <w:sz w:val="24"/>
          <w:szCs w:val="24"/>
        </w:rPr>
        <w:footnoteReference w:id="1"/>
      </w:r>
    </w:p>
    <w:p w:rsidR="00965C6A" w:rsidRPr="000343C6" w:rsidRDefault="00965C6A" w:rsidP="00BB1E4E">
      <w:pPr>
        <w:pStyle w:val="BodyText"/>
      </w:pPr>
      <w:r w:rsidRPr="000343C6">
        <w:t>For modelling approaches to be able to explore these policy issues, the models used for the analysis should include appropriate technology and economic principles. The model created in this paper is used to illustrate the economic principles at play at the industry level through the operation of the NEM and RET, as well as the key interactions and linkages with the rest of the economy. The PE components reflect the operation of the NEM and RET, while the CGE components feed these impacts through the rest of the economy and also provides feedback from the rest of the economy to the electricity sector.</w:t>
      </w:r>
    </w:p>
    <w:p w:rsidR="00965C6A" w:rsidRPr="000343C6" w:rsidRDefault="00965C6A" w:rsidP="00BB1E4E">
      <w:pPr>
        <w:pStyle w:val="BodyText"/>
      </w:pPr>
      <w:r w:rsidRPr="000343C6">
        <w:t xml:space="preserve">The new model integrates the PE electricity industry model developed by Salerian, Gregan and </w:t>
      </w:r>
      <w:r>
        <w:t>Stevens</w:t>
      </w:r>
      <w:r w:rsidRPr="000343C6">
        <w:t xml:space="preserve"> (2000) into a CGE model (Gilbert and Tower 2013). However, the authors wish to stress that the hypothetical model presented here is to demonstrate proof of concept and it is not ‘application ready’ for policy analysis. The results presented in this paper are intended to illustrate the potential to apply the MCP technique to create PE CGE models for policy analysis. As such, the results should not be used to draw conclusions about the RET policy. For this reason the data used to calibrate the CGE components of the model (see section 3 below), while initially based on Australia, have been rescaled to represent a hypothetical electricity sector and an economy about the size of one of Australia’s larger states. Further, the energy components of the model have realistic prices and characteristics, but the mix of technologies does not represent the generation sector of Australia or any of its states specifically.</w:t>
      </w:r>
    </w:p>
    <w:p w:rsidR="00965C6A" w:rsidRPr="000343C6" w:rsidRDefault="00965C6A" w:rsidP="00BB1E4E">
      <w:pPr>
        <w:pStyle w:val="BodyText"/>
      </w:pPr>
      <w:r w:rsidRPr="000343C6">
        <w:lastRenderedPageBreak/>
        <w:t>The remainder of this paper is organised as follows. Section 2 describes MCP and the way it opens doors for integrated model development. Section 3 describes the data, PE and CGE models used for this illustration, as well as the steps that need to be taken to integrate the PE model within the CGE model using MCP. Section 4 details the way the NEM and RET operate in Australia, and how these features are incorporated into the integrated MCP model (which contains the theory from both the PE electricity and CGE economy</w:t>
      </w:r>
      <w:r w:rsidR="00BE7D03">
        <w:t>-</w:t>
      </w:r>
      <w:r w:rsidRPr="000343C6">
        <w:t>wide models). Section 5 presents illustrative policy results, demonstrating the economic insights that are obtained from the MCP model — insights which could not be obtained by either the original PE or CGE in isolation without reliance on more extensive subjective judgements by the analyst. Key insights and scope for research are included in Section 6.</w:t>
      </w:r>
    </w:p>
    <w:p w:rsidR="00965C6A" w:rsidRPr="002901DB" w:rsidRDefault="00965C6A" w:rsidP="00BB1E4E">
      <w:pPr>
        <w:pStyle w:val="Heading2"/>
      </w:pPr>
      <w:bookmarkStart w:id="11" w:name="_Toc26780072"/>
      <w:r w:rsidRPr="002901DB">
        <w:t>2.</w:t>
      </w:r>
      <w:r w:rsidR="00BB1E4E">
        <w:tab/>
      </w:r>
      <w:r w:rsidRPr="002901DB">
        <w:t>MCP presents opportunities for linking PE and CGE models</w:t>
      </w:r>
      <w:bookmarkEnd w:id="11"/>
    </w:p>
    <w:p w:rsidR="00965C6A" w:rsidRPr="000343C6" w:rsidRDefault="00965C6A" w:rsidP="00BB1E4E">
      <w:pPr>
        <w:pStyle w:val="BodyText"/>
      </w:pPr>
      <w:r w:rsidRPr="000343C6">
        <w:t>PE models</w:t>
      </w:r>
      <w:r>
        <w:rPr>
          <w:rStyle w:val="FootnoteReference"/>
          <w:sz w:val="24"/>
          <w:szCs w:val="24"/>
        </w:rPr>
        <w:footnoteReference w:id="2"/>
      </w:r>
      <w:r w:rsidRPr="000343C6">
        <w:t xml:space="preserve"> have been used where industry-specific or technological details are fundamental to the analysis of policy issues. Well-designed PE models can incorporate a range of detailed economic, institutional and technological characteristics that provide important insights for policy analysis by creating a link between theory and empirics (Hazell and Norton 1986). Reflecting this, PE models have been applied to analyse a number of policy and resource allocation fields including electricity, natural gas, trade and urban water. Examples include Takayama and Judge (1971); Heady and Srivastava (1975); Meister, Chen and Heady (1978); Norton and Solis (1983); Hazell and Norton (1986); Labys, Takayama and Uri (1989); Heady and Vocke (1992); and Barker, Murray and Salerian (2010). However, the acknowledged limitation of PE analysis is the inability to incorporate shifts driven by simultaneous (endogenous) income changes, which are an economy</w:t>
      </w:r>
      <w:r w:rsidR="0006758A">
        <w:t>-</w:t>
      </w:r>
      <w:r w:rsidRPr="000343C6">
        <w:t>wide consequence of policies under investigation (McCarl and Spreen 1980; Hertel 1990).</w:t>
      </w:r>
    </w:p>
    <w:p w:rsidR="00965C6A" w:rsidRPr="000343C6" w:rsidRDefault="00965C6A" w:rsidP="00BB1E4E">
      <w:pPr>
        <w:pStyle w:val="BodyText"/>
      </w:pPr>
      <w:r w:rsidRPr="000343C6">
        <w:t>CGE models have been used where inter-industry, inter-regional or economy</w:t>
      </w:r>
      <w:r w:rsidR="0006758A">
        <w:t>-</w:t>
      </w:r>
      <w:r w:rsidRPr="000343C6">
        <w:t>wide impacts of policy are important. While CGE models used for policy analysis today come in a variety of scales, some have evolved over time to become large-scale, recursive comparative static (dynamic) models. These are often defined as linear square systems of equations (by expressing them in percentage change form), such as the Victoria University Regional Model (VURM, Adams 2015), the United States of America General Equilibrium Mo</w:t>
      </w:r>
      <w:r>
        <w:t>del (USAGE, Dixon and Rimmer 200</w:t>
      </w:r>
      <w:r w:rsidRPr="000343C6">
        <w:t>2), and the Global Trade Analysis Project (GTAP Hertel 1997) model. Models formulated in levels (defined as nonlinear square systems of equations) have also been used, as advances in solving nonlinear systems of equations have developed (such as those used by Rutherford 2008; Devarajan, Lewis and Robinson 1990). Although CGE models are particularly strong at highlighting linkages and economy</w:t>
      </w:r>
      <w:r w:rsidR="0006758A">
        <w:t>-</w:t>
      </w:r>
      <w:r w:rsidRPr="000343C6">
        <w:t xml:space="preserve">wide interdependencies, their stylised industry representation can be a limitation in that they do </w:t>
      </w:r>
      <w:r w:rsidRPr="000343C6">
        <w:lastRenderedPageBreak/>
        <w:t>not capture the economic and technological fundamentals underpinning the behaviour of agents in a specific sector.</w:t>
      </w:r>
    </w:p>
    <w:p w:rsidR="00965C6A" w:rsidRPr="000343C6" w:rsidRDefault="00965C6A" w:rsidP="00BB1E4E">
      <w:pPr>
        <w:pStyle w:val="BodyText"/>
      </w:pPr>
      <w:r w:rsidRPr="000343C6">
        <w:t xml:space="preserve">Combining the strengths of each approach into a unified modelling framework has proved challenging. In the past, combined approaches have largely taken one of three forms. First, iterating between two pre-existing (but distinct) models (see for example Garnaut 2008). Second, integrating small bottom-up energy models with top-down macroeconomic models as a proof-of-concept (see for example Bohringer and Rutherford 2008 who combined a stylised bottom-up energy model with a small top down macroeconomic CGE model). Third, representing various elements of the energy sector (for example, load blocks) as separate commodities within the stylised structure of a CGE model (see for example Wiskich 2014). </w:t>
      </w:r>
    </w:p>
    <w:p w:rsidR="00965C6A" w:rsidRPr="000343C6" w:rsidRDefault="00965C6A" w:rsidP="00BB1E4E">
      <w:pPr>
        <w:pStyle w:val="BodyText"/>
      </w:pPr>
      <w:r w:rsidRPr="000343C6">
        <w:t>In some areas (typically in analysing trade), a nested approach has also been adopted, where a PE model is nested within a CGE model and the PE supplements the broader CGE results (see for example, Narayan, Hertel and Horridge 2010) such that the PE components can be aggregated to form a sub-component of the CGE model, and are a refinement on the CGE approach. Grant, Hertel and Rutherford (200</w:t>
      </w:r>
      <w:r>
        <w:t>9</w:t>
      </w:r>
      <w:r w:rsidRPr="000343C6">
        <w:t>) combined a detailed PE model of dairy trade (detailed in terms of the number of different products traded) with a detailed global trade model (GTAPinGAMS). However, although the PE model contains a large amount of dairy commodity detail (and the combined model they create uses inequalities), it does not include industry-specific technologies. Many of the above approaches continue to use stylised constant elasticity of transformation/constant elasticity of substitution relationships (borrowed from the CGE framework) to represent industries within the PE model without taking the next step of including a PE model with its own detailed and unique theory which sets it apart from the stylised CGE behaviour of agents in the economy.</w:t>
      </w:r>
    </w:p>
    <w:p w:rsidR="00965C6A" w:rsidRPr="000343C6" w:rsidRDefault="00965C6A" w:rsidP="00BB1E4E">
      <w:pPr>
        <w:pStyle w:val="BodyText"/>
      </w:pPr>
      <w:r w:rsidRPr="000343C6">
        <w:t>Mostly, analysts have applied both the PE and CGE approaches separately, without completely integrating the two to solve for a consistent equilibrium. However, the evolution of MCP frameworks and algorithms have opened new possibilities in integrated economic model development.</w:t>
      </w:r>
    </w:p>
    <w:p w:rsidR="00965C6A" w:rsidRPr="000343C6" w:rsidRDefault="00965C6A" w:rsidP="00BB1E4E">
      <w:pPr>
        <w:pStyle w:val="BodyText"/>
      </w:pPr>
      <w:r w:rsidRPr="000343C6">
        <w:t>An MCP is described in Ferris (2000):</w:t>
      </w:r>
    </w:p>
    <w:p w:rsidR="00965C6A" w:rsidRPr="000343C6" w:rsidRDefault="00965C6A" w:rsidP="00BB1E4E">
      <w:pPr>
        <w:pStyle w:val="BodyText"/>
      </w:pPr>
      <w:r w:rsidRPr="000343C6">
        <w:t>The complementarity problem adds a combinatorial twist to the classic square system of nonlinear equations, thus enabling a broader range of situations to be modelled. In its simplest form, the combinatorial problem is to choose from 2n inequalities a subset of n that will be satisfied as equations. These problems arise in a variety of disciplines including engineering and economics where we might want to compute a Wardropian and Walrasian equilibria, and optimisation where we can model the first order optimality conditions for nonlinear programs. Other examples, such as bimatrix games and options pricing, abound.</w:t>
      </w:r>
    </w:p>
    <w:p w:rsidR="00965C6A" w:rsidRDefault="00965C6A" w:rsidP="00BB1E4E">
      <w:pPr>
        <w:pStyle w:val="BodyText"/>
      </w:pPr>
      <w:r w:rsidRPr="000343C6">
        <w:t xml:space="preserve">MCPs encompass a number a special cases, including typical formulations of economic problems, as listed in </w:t>
      </w:r>
      <w:r w:rsidR="00476DFA">
        <w:t>t</w:t>
      </w:r>
      <w:r w:rsidRPr="000343C6">
        <w:t xml:space="preserve">able 1 (summarised from Rutherford 1995), and can include both equalities and inequalities in the system of relationships. In </w:t>
      </w:r>
      <w:r w:rsidR="00476DFA">
        <w:t>t</w:t>
      </w:r>
      <w:r w:rsidRPr="000343C6">
        <w:t xml:space="preserve">able 1 examples are provided of the types of CGE or PE model that would be typical of each special case. As all of the frameworks outlined in the table can be thought of as special cases of MCPs, the MCP </w:t>
      </w:r>
      <w:r w:rsidRPr="000343C6">
        <w:lastRenderedPageBreak/>
        <w:t xml:space="preserve">framework provides an avenue for combining these models into a single model, provided that the MCP solver is sufficiently reliable and powerful to solve the joint model under consideration. Looking at </w:t>
      </w:r>
      <w:r w:rsidR="00476DFA">
        <w:t>t</w:t>
      </w:r>
      <w:r w:rsidRPr="000343C6">
        <w:t>able 1, a typical CGE model can be specified as either special cases (1) or (2), and a PE model as special cases (3) or (4), and thus MCP (general case (5)) provides an avenue for combining CGE and PE models.</w:t>
      </w:r>
    </w:p>
    <w:p w:rsidR="00BB1E4E" w:rsidRDefault="00BB1E4E" w:rsidP="00BB1E4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B1E4E" w:rsidTr="00BB1E4E">
        <w:trPr>
          <w:tblHeader/>
        </w:trPr>
        <w:tc>
          <w:tcPr>
            <w:tcW w:w="5000" w:type="pct"/>
            <w:tcBorders>
              <w:top w:val="single" w:sz="6" w:space="0" w:color="78A22F"/>
              <w:left w:val="nil"/>
              <w:bottom w:val="nil"/>
              <w:right w:val="nil"/>
            </w:tcBorders>
            <w:shd w:val="clear" w:color="auto" w:fill="auto"/>
          </w:tcPr>
          <w:p w:rsidR="00BB1E4E" w:rsidRPr="00784A05" w:rsidRDefault="00BB1E4E" w:rsidP="00AE5CE2">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1</w:t>
            </w:r>
            <w:r>
              <w:rPr>
                <w:b w:val="0"/>
              </w:rPr>
              <w:fldChar w:fldCharType="end"/>
            </w:r>
            <w:r>
              <w:tab/>
            </w:r>
            <w:r w:rsidRPr="00BE7D03">
              <w:rPr>
                <w:rFonts w:cstheme="minorHAnsi"/>
                <w:sz w:val="24"/>
                <w:szCs w:val="24"/>
              </w:rPr>
              <w:t>Special cases of Mixed Complementarity Problem</w:t>
            </w:r>
          </w:p>
        </w:tc>
      </w:tr>
      <w:tr w:rsidR="00BB1E4E" w:rsidTr="00BB1E4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6"/>
              <w:gridCol w:w="2834"/>
            </w:tblGrid>
            <w:tr w:rsidR="00C31D40" w:rsidTr="00476DFA">
              <w:trPr>
                <w:tblHeader/>
              </w:trPr>
              <w:tc>
                <w:tcPr>
                  <w:tcW w:w="1667" w:type="pct"/>
                  <w:tcBorders>
                    <w:top w:val="single" w:sz="6" w:space="0" w:color="BFBFBF"/>
                    <w:bottom w:val="single" w:sz="6" w:space="0" w:color="BFBFBF"/>
                  </w:tcBorders>
                  <w:shd w:val="clear" w:color="auto" w:fill="auto"/>
                  <w:tcMar>
                    <w:top w:w="28" w:type="dxa"/>
                  </w:tcMar>
                </w:tcPr>
                <w:p w:rsidR="00C31D40" w:rsidRDefault="00C31D40" w:rsidP="00C31D40">
                  <w:pPr>
                    <w:pStyle w:val="TableColumnHeading"/>
                    <w:jc w:val="left"/>
                  </w:pPr>
                  <w:r>
                    <w:t>Special case</w:t>
                  </w:r>
                </w:p>
              </w:tc>
              <w:tc>
                <w:tcPr>
                  <w:tcW w:w="1667" w:type="pct"/>
                  <w:tcBorders>
                    <w:top w:val="single" w:sz="6" w:space="0" w:color="BFBFBF"/>
                    <w:bottom w:val="single" w:sz="6" w:space="0" w:color="BFBFBF"/>
                  </w:tcBorders>
                </w:tcPr>
                <w:p w:rsidR="00C31D40" w:rsidRDefault="00C31D40" w:rsidP="00C31D40">
                  <w:pPr>
                    <w:pStyle w:val="TableColumnHeading"/>
                    <w:jc w:val="left"/>
                  </w:pPr>
                  <w:r>
                    <w:t>Type of PE or CGE model</w:t>
                  </w:r>
                </w:p>
              </w:tc>
              <w:tc>
                <w:tcPr>
                  <w:tcW w:w="1666" w:type="pct"/>
                  <w:tcBorders>
                    <w:top w:val="single" w:sz="6" w:space="0" w:color="BFBFBF"/>
                    <w:bottom w:val="single" w:sz="6" w:space="0" w:color="BFBFBF"/>
                  </w:tcBorders>
                  <w:shd w:val="clear" w:color="auto" w:fill="auto"/>
                  <w:tcMar>
                    <w:top w:w="28" w:type="dxa"/>
                  </w:tcMar>
                </w:tcPr>
                <w:p w:rsidR="00C31D40" w:rsidRDefault="00C31D40" w:rsidP="00C31D40">
                  <w:pPr>
                    <w:pStyle w:val="TableColumnHeading"/>
                    <w:ind w:right="28"/>
                    <w:jc w:val="left"/>
                  </w:pPr>
                  <w:r>
                    <w:t>Examples</w:t>
                  </w:r>
                </w:p>
              </w:tc>
            </w:tr>
            <w:tr w:rsidR="00C31D40" w:rsidTr="00476DFA">
              <w:tc>
                <w:tcPr>
                  <w:tcW w:w="1667" w:type="pct"/>
                  <w:tcBorders>
                    <w:top w:val="single" w:sz="6" w:space="0" w:color="BFBFBF"/>
                  </w:tcBorders>
                </w:tcPr>
                <w:p w:rsidR="00C31D40" w:rsidRDefault="00C31D40" w:rsidP="00C31D40">
                  <w:pPr>
                    <w:pStyle w:val="TableUnitsRow"/>
                    <w:numPr>
                      <w:ilvl w:val="0"/>
                      <w:numId w:val="22"/>
                    </w:numPr>
                    <w:jc w:val="left"/>
                  </w:pPr>
                  <w:r>
                    <w:t>Linear System of Equations</w:t>
                  </w:r>
                </w:p>
              </w:tc>
              <w:tc>
                <w:tcPr>
                  <w:tcW w:w="1667" w:type="pct"/>
                  <w:tcBorders>
                    <w:top w:val="single" w:sz="6" w:space="0" w:color="BFBFBF"/>
                  </w:tcBorders>
                </w:tcPr>
                <w:p w:rsidR="00C31D40" w:rsidRDefault="00C31D40" w:rsidP="00C31D40">
                  <w:pPr>
                    <w:pStyle w:val="TableUnitsRow"/>
                    <w:jc w:val="left"/>
                  </w:pPr>
                  <w:r>
                    <w:t>Linear percentage change CGE models, system of equalities</w:t>
                  </w:r>
                </w:p>
              </w:tc>
              <w:tc>
                <w:tcPr>
                  <w:tcW w:w="1666" w:type="pct"/>
                  <w:tcBorders>
                    <w:top w:val="single" w:sz="6" w:space="0" w:color="BFBFBF"/>
                  </w:tcBorders>
                </w:tcPr>
                <w:p w:rsidR="00C31D40" w:rsidRDefault="00C31D40" w:rsidP="00C31D40">
                  <w:pPr>
                    <w:pStyle w:val="TableUnitsRow"/>
                    <w:ind w:right="28"/>
                    <w:jc w:val="left"/>
                  </w:pPr>
                  <w:r>
                    <w:t>USAGE, Dixon and Rimmer (2002); GTAP, Hertel (1997); VURM, Adams, (2015); TERM, Horridge, Madden and Wittwer (2005).</w:t>
                  </w:r>
                </w:p>
              </w:tc>
            </w:tr>
            <w:tr w:rsidR="00C31D40" w:rsidTr="00476DFA">
              <w:tc>
                <w:tcPr>
                  <w:tcW w:w="1667" w:type="pct"/>
                </w:tcPr>
                <w:p w:rsidR="00C31D40" w:rsidRDefault="00C31D40" w:rsidP="00C31D40">
                  <w:pPr>
                    <w:pStyle w:val="TableBodyText"/>
                    <w:numPr>
                      <w:ilvl w:val="0"/>
                      <w:numId w:val="22"/>
                    </w:numPr>
                    <w:jc w:val="left"/>
                  </w:pPr>
                  <w:r>
                    <w:t>Nonlinear System of Equations</w:t>
                  </w:r>
                </w:p>
              </w:tc>
              <w:tc>
                <w:tcPr>
                  <w:tcW w:w="1667" w:type="pct"/>
                </w:tcPr>
                <w:p w:rsidR="00C31D40" w:rsidRDefault="00C31D40" w:rsidP="00C31D40">
                  <w:pPr>
                    <w:pStyle w:val="TableBodyText"/>
                    <w:jc w:val="left"/>
                  </w:pPr>
                  <w:r>
                    <w:t>Levels CGE model, system of equalities</w:t>
                  </w:r>
                </w:p>
              </w:tc>
              <w:tc>
                <w:tcPr>
                  <w:tcW w:w="1666" w:type="pct"/>
                </w:tcPr>
                <w:p w:rsidR="00C31D40" w:rsidRDefault="00C31D40" w:rsidP="00C31D40">
                  <w:pPr>
                    <w:pStyle w:val="TableBodyText"/>
                    <w:ind w:right="28"/>
                    <w:jc w:val="left"/>
                  </w:pPr>
                  <w:r>
                    <w:t>Robinson (2005), Ballard, Shoven and Whalley (1985), Gilbert and Tower (2013).</w:t>
                  </w:r>
                </w:p>
              </w:tc>
            </w:tr>
            <w:tr w:rsidR="00C31D40" w:rsidTr="00476DFA">
              <w:tc>
                <w:tcPr>
                  <w:tcW w:w="1667" w:type="pct"/>
                </w:tcPr>
                <w:p w:rsidR="00C31D40" w:rsidRDefault="00C31D40" w:rsidP="00C31D40">
                  <w:pPr>
                    <w:pStyle w:val="TableBodyText"/>
                    <w:numPr>
                      <w:ilvl w:val="0"/>
                      <w:numId w:val="22"/>
                    </w:numPr>
                    <w:jc w:val="left"/>
                  </w:pPr>
                  <w:r>
                    <w:t>Linear programming problems</w:t>
                  </w:r>
                </w:p>
              </w:tc>
              <w:tc>
                <w:tcPr>
                  <w:tcW w:w="1667" w:type="pct"/>
                </w:tcPr>
                <w:p w:rsidR="00C31D40" w:rsidRDefault="00C31D40" w:rsidP="00C31D40">
                  <w:pPr>
                    <w:pStyle w:val="TableBodyText"/>
                    <w:jc w:val="left"/>
                  </w:pPr>
                  <w:r>
                    <w:t>Spatial and temporal price allocation PE models in the linear form (objective function and constraints), inequality constraints</w:t>
                  </w:r>
                </w:p>
              </w:tc>
              <w:tc>
                <w:tcPr>
                  <w:tcW w:w="1666" w:type="pct"/>
                </w:tcPr>
                <w:p w:rsidR="00C31D40" w:rsidRDefault="00C31D40" w:rsidP="00C31D40">
                  <w:pPr>
                    <w:pStyle w:val="TableBodyText"/>
                    <w:ind w:right="28"/>
                    <w:jc w:val="left"/>
                  </w:pPr>
                  <w:r>
                    <w:t>Barker, Salerian and Murray (2010), Takayama and Judge (1972).</w:t>
                  </w:r>
                </w:p>
              </w:tc>
            </w:tr>
            <w:tr w:rsidR="00C31D40" w:rsidTr="00476DFA">
              <w:tc>
                <w:tcPr>
                  <w:tcW w:w="1667" w:type="pct"/>
                  <w:shd w:val="clear" w:color="auto" w:fill="auto"/>
                </w:tcPr>
                <w:p w:rsidR="00C31D40" w:rsidRDefault="00C31D40" w:rsidP="00C31D40">
                  <w:pPr>
                    <w:pStyle w:val="TableBodyText"/>
                    <w:numPr>
                      <w:ilvl w:val="0"/>
                      <w:numId w:val="22"/>
                    </w:numPr>
                    <w:jc w:val="left"/>
                  </w:pPr>
                  <w:r>
                    <w:t>Nonlinear programming problems</w:t>
                  </w:r>
                </w:p>
              </w:tc>
              <w:tc>
                <w:tcPr>
                  <w:tcW w:w="1667" w:type="pct"/>
                </w:tcPr>
                <w:p w:rsidR="00C31D40" w:rsidRDefault="00C31D40" w:rsidP="00C31D40">
                  <w:pPr>
                    <w:pStyle w:val="TableBodyText"/>
                    <w:jc w:val="left"/>
                  </w:pPr>
                  <w:r>
                    <w:t>Generalised spatial and temporal price allocation PE models in the nonlinear form, inequality constraints</w:t>
                  </w:r>
                </w:p>
              </w:tc>
              <w:tc>
                <w:tcPr>
                  <w:tcW w:w="1666" w:type="pct"/>
                  <w:shd w:val="clear" w:color="auto" w:fill="auto"/>
                </w:tcPr>
                <w:p w:rsidR="00C31D40" w:rsidRDefault="00C31D40" w:rsidP="00C31D40">
                  <w:pPr>
                    <w:pStyle w:val="TableBodyText"/>
                    <w:ind w:right="28"/>
                    <w:jc w:val="left"/>
                  </w:pPr>
                  <w:r>
                    <w:t>Labys, Takayama and Uri (1989), Takayama and MacAulay (1992), Salerian, Gregan and Stevens (2000).</w:t>
                  </w:r>
                </w:p>
              </w:tc>
            </w:tr>
            <w:tr w:rsidR="00C31D40" w:rsidTr="00476DFA">
              <w:tc>
                <w:tcPr>
                  <w:tcW w:w="5000" w:type="pct"/>
                  <w:gridSpan w:val="3"/>
                  <w:tcBorders>
                    <w:bottom w:val="single" w:sz="6" w:space="0" w:color="BFBFBF"/>
                  </w:tcBorders>
                  <w:shd w:val="clear" w:color="auto" w:fill="auto"/>
                </w:tcPr>
                <w:p w:rsidR="00C31D40" w:rsidRDefault="00C31D40" w:rsidP="00C31D40">
                  <w:pPr>
                    <w:pStyle w:val="TableBodyText"/>
                    <w:numPr>
                      <w:ilvl w:val="0"/>
                      <w:numId w:val="22"/>
                    </w:numPr>
                    <w:ind w:right="28"/>
                    <w:jc w:val="left"/>
                  </w:pPr>
                  <w:r>
                    <w:t>Nonlinear system of equalities and inequalities solved as an MCP (General case).</w:t>
                  </w:r>
                </w:p>
              </w:tc>
            </w:tr>
          </w:tbl>
          <w:p w:rsidR="00BB1E4E" w:rsidRDefault="00BB1E4E" w:rsidP="00BB1E4E">
            <w:pPr>
              <w:pStyle w:val="Box"/>
            </w:pPr>
          </w:p>
        </w:tc>
      </w:tr>
      <w:tr w:rsidR="00BB1E4E" w:rsidTr="00BB1E4E">
        <w:tc>
          <w:tcPr>
            <w:tcW w:w="5000" w:type="pct"/>
            <w:tcBorders>
              <w:top w:val="nil"/>
              <w:left w:val="nil"/>
              <w:bottom w:val="single" w:sz="6" w:space="0" w:color="78A22F"/>
              <w:right w:val="nil"/>
            </w:tcBorders>
            <w:shd w:val="clear" w:color="auto" w:fill="auto"/>
          </w:tcPr>
          <w:p w:rsidR="00BB1E4E" w:rsidRDefault="00BB1E4E" w:rsidP="00BB1E4E">
            <w:pPr>
              <w:pStyle w:val="Box"/>
              <w:spacing w:before="0" w:line="120" w:lineRule="exact"/>
            </w:pPr>
          </w:p>
        </w:tc>
      </w:tr>
      <w:tr w:rsidR="00BB1E4E" w:rsidRPr="000863A5" w:rsidTr="00BB1E4E">
        <w:tc>
          <w:tcPr>
            <w:tcW w:w="5000" w:type="pct"/>
            <w:tcBorders>
              <w:top w:val="single" w:sz="6" w:space="0" w:color="78A22F"/>
              <w:left w:val="nil"/>
              <w:bottom w:val="nil"/>
              <w:right w:val="nil"/>
            </w:tcBorders>
          </w:tcPr>
          <w:p w:rsidR="00BB1E4E" w:rsidRPr="00626D32" w:rsidRDefault="00BB1E4E" w:rsidP="00BB1E4E">
            <w:pPr>
              <w:pStyle w:val="BoxSpaceBelow"/>
            </w:pPr>
          </w:p>
        </w:tc>
      </w:tr>
    </w:tbl>
    <w:p w:rsidR="00965C6A" w:rsidRPr="00B14DDE" w:rsidRDefault="00965C6A" w:rsidP="00C31D40">
      <w:pPr>
        <w:pStyle w:val="BodyText"/>
      </w:pPr>
      <w:r w:rsidRPr="00B14DDE">
        <w:t>Throughout the 1990s and early 2000s, MCP solvers have developed to the stage of being useful for large-scale applied models (Dirkse and Ferris 1995; Billups, Dirkse and Ferris 1997; Dirkse and Ferris 1997; Ferris, Kanzow and Munson 1999; Ferris and Sinapiromsaran 2000).</w:t>
      </w:r>
    </w:p>
    <w:p w:rsidR="00965C6A" w:rsidRPr="00B14DDE" w:rsidRDefault="00965C6A" w:rsidP="00C31D40">
      <w:pPr>
        <w:pStyle w:val="BodyText"/>
      </w:pPr>
      <w:r w:rsidRPr="00B14DDE">
        <w:t>The theoretical structures underlying CGE models are typically derived using classical programming sub-models regarding the behaviour of the various agents represented in the CGE model. Constraints are equations, and the theory of the Lagrangean is used to derive the first order equations for a unique solution (squared system of equality constraints). By contrast, the economic theory underlying PE models is derived using Karush–Kuhn–Tucker conditions because of inequalities associated with non-negativity and inequality constraints (Intrilligator 1971). MCP enables us to include both types of first order conditions (equalities and inequalities) in a single equilibrium model.</w:t>
      </w:r>
    </w:p>
    <w:p w:rsidR="00965C6A" w:rsidRPr="00B14DDE" w:rsidRDefault="00965C6A" w:rsidP="00C31D40">
      <w:pPr>
        <w:pStyle w:val="BodyText"/>
      </w:pPr>
      <w:r w:rsidRPr="00B14DDE">
        <w:t xml:space="preserve">By deriving the first order conditions of a model where behavioural functions have desirable properties </w:t>
      </w:r>
      <w:r>
        <w:t xml:space="preserve">(twice differentiable and convex) </w:t>
      </w:r>
      <w:r w:rsidRPr="00B14DDE">
        <w:t>the structure of the resulting MCP formulation is clear: application of the Karush–Kuhn–Tucker conditions to derive the first order conditions for a solution naturally leads to a squared system of inequality constraints and paired variables, together with associated complementary slackness conditions.</w:t>
      </w:r>
    </w:p>
    <w:p w:rsidR="00965C6A" w:rsidRDefault="00965C6A" w:rsidP="00C31D40">
      <w:pPr>
        <w:pStyle w:val="BodyText"/>
      </w:pPr>
      <w:r w:rsidRPr="00B14DDE">
        <w:lastRenderedPageBreak/>
        <w:t>The MCP framework is already being examined as a solution tool for PE and CGE models. Robinson has documented CGE models formulated as an MCP (see for example Hans and Robinson 1997). This paper takes one st</w:t>
      </w:r>
      <w:r>
        <w:t>ep further by combining two pre-</w:t>
      </w:r>
      <w:r w:rsidRPr="00B14DDE">
        <w:t>existing models (an electricity model with technological and policy-specific relationships outlined below and a CGE model with industry, trade and macroeconomic relationships) of sufficient detail for applied policy analysis. The use of inequality constraints and complementary conditions are particularly useful for modelling real-world technological and policy details. For example, policies that can be binding or non-binding, technologies which can be on or off, and the introduction of new technologies not initially in use but induced by policies.</w:t>
      </w:r>
    </w:p>
    <w:p w:rsidR="00965C6A" w:rsidRPr="002901DB" w:rsidRDefault="00C31D40" w:rsidP="00C31D40">
      <w:pPr>
        <w:pStyle w:val="Heading2"/>
      </w:pPr>
      <w:bookmarkStart w:id="12" w:name="_Toc26780073"/>
      <w:r>
        <w:t>3.</w:t>
      </w:r>
      <w:r>
        <w:tab/>
      </w:r>
      <w:r w:rsidR="00965C6A" w:rsidRPr="002901DB">
        <w:t>Model description</w:t>
      </w:r>
      <w:bookmarkEnd w:id="12"/>
    </w:p>
    <w:p w:rsidR="00965C6A" w:rsidRDefault="00965C6A" w:rsidP="00AA7D5A">
      <w:pPr>
        <w:spacing w:after="0" w:line="240" w:lineRule="atLeast"/>
        <w:jc w:val="both"/>
        <w:rPr>
          <w:rFonts w:ascii="Times New Roman" w:hAnsi="Times New Roman" w:cs="Times New Roman"/>
          <w:sz w:val="24"/>
          <w:szCs w:val="24"/>
        </w:rPr>
      </w:pPr>
      <w:r w:rsidRPr="00B14DDE">
        <w:rPr>
          <w:rFonts w:ascii="Times New Roman" w:hAnsi="Times New Roman" w:cs="Times New Roman"/>
          <w:sz w:val="24"/>
          <w:szCs w:val="24"/>
        </w:rPr>
        <w:t xml:space="preserve">The two pre-existing models are an energy sector PE model including the economics of generation, and engineering detail for transmission (Salerian, Gregan and </w:t>
      </w:r>
      <w:r>
        <w:rPr>
          <w:rFonts w:ascii="Times New Roman" w:hAnsi="Times New Roman" w:cs="Times New Roman"/>
          <w:sz w:val="24"/>
          <w:szCs w:val="24"/>
        </w:rPr>
        <w:t>Stevens</w:t>
      </w:r>
      <w:r w:rsidRPr="00B14DDE">
        <w:rPr>
          <w:rFonts w:ascii="Times New Roman" w:hAnsi="Times New Roman" w:cs="Times New Roman"/>
          <w:sz w:val="24"/>
          <w:szCs w:val="24"/>
        </w:rPr>
        <w:t xml:space="preserve"> 2000), and a national, comparative static CGE model defined in levels (Gilbert and Tower 2013).</w:t>
      </w:r>
    </w:p>
    <w:p w:rsidR="00965C6A" w:rsidRPr="00BE7D03" w:rsidRDefault="00965C6A" w:rsidP="00C31D40">
      <w:pPr>
        <w:pStyle w:val="Heading3"/>
      </w:pPr>
      <w:r w:rsidRPr="00BE7D03">
        <w:t>3.1</w:t>
      </w:r>
      <w:r w:rsidR="00C31D40">
        <w:tab/>
      </w:r>
      <w:r w:rsidRPr="00BE7D03">
        <w:t>PE Model</w:t>
      </w:r>
    </w:p>
    <w:p w:rsidR="00965C6A" w:rsidRPr="00B14DDE" w:rsidRDefault="00965C6A" w:rsidP="00C31D40">
      <w:pPr>
        <w:pStyle w:val="BodyText"/>
      </w:pPr>
      <w:r w:rsidRPr="00B14DDE">
        <w:t>The starting point for developing the integrated MCP model is a PE economic engineering mathematical programming model that captures the underlying economic theory, technology and engineering underpinning the long run equilibrium in an electricity market, such as the model described in Saleria</w:t>
      </w:r>
      <w:r>
        <w:t>n, Gregan and Stevens (2000) (SGS-</w:t>
      </w:r>
      <w:r w:rsidRPr="00B14DDE">
        <w:t xml:space="preserve">PE). The model describes an interconnected electricity generation, transmission and demand system across a number of nodes to simulate a long run market equilibrium by maximising net social welfare (in a quantity, primal formulation). Each generation plant is located at a specific node. The model includes the capital cost of building the plant, maintaining the plant, and a marginal cost of electrical generation by power stations. For electricity to be delivered to final users at the demand node, it is transmitted through the electricity transmission network. Power losses across transmission lines are governed by physical laws (Kirchhoff’s law, using power flow constraints outlined in Chao and Peck 1996), which reflect the distance of transmission, phase angles of power transmitted within the network, as well as the electrical engineering parameters of the lines. </w:t>
      </w:r>
    </w:p>
    <w:p w:rsidR="00965C6A" w:rsidRPr="00B14DDE" w:rsidRDefault="00965C6A" w:rsidP="00C31D40">
      <w:pPr>
        <w:pStyle w:val="BodyText"/>
      </w:pPr>
      <w:r w:rsidRPr="00B14DDE">
        <w:t xml:space="preserve">A load duration curve, used to summarise the demand across the year within the static model — is constructed by ordering all the hourly loads at a node over the course of a year (Turvey and Anderson 1977). This curve is then approximated using load blocks (for the process of this calculation, see Salerian, Gregan and </w:t>
      </w:r>
      <w:r>
        <w:t>Stevens</w:t>
      </w:r>
      <w:r w:rsidRPr="00B14DDE">
        <w:t xml:space="preserve"> 2000). Generation and transmission capacity must be constructed, and all include capacity constraints (in the case of generators, maximum output per plant reflecting plant availability and installed capacity, and in the case of transmission lines the maximum amount of power that can be transmitted). The model incorporates nodal pricing (the way prices at nodal points within a transmission network vary over time) associated with time-of-use, in which marginal transmission losses play a key role. These features of the model provide insights into the economic principles underlying the electricity system and policies that impact the generation and transmission </w:t>
      </w:r>
      <w:r w:rsidRPr="00B14DDE">
        <w:lastRenderedPageBreak/>
        <w:t>sectors. For example, issues such the interaction of policy with merit order dispatch and the efficient procurement of supply sources can be illustrated.</w:t>
      </w:r>
    </w:p>
    <w:p w:rsidR="00965C6A" w:rsidRDefault="00965C6A" w:rsidP="00C31D40">
      <w:pPr>
        <w:pStyle w:val="BodyText"/>
      </w:pPr>
      <w:r w:rsidRPr="00B14DDE">
        <w:t>The demonstration model used has been parameterised for three nodes (two generation nodes, and one demand node), five demand load blocks (with the first block being the peak high demand period, and the fifth block being the low demand off-peak period), five forms of generation (brown coal, black coal, gas combined cycle, gas open cycle and wind), and three fuel types (brown coal, black coal and natural gas). Each generation source also includes carbon emissions which can be calculated as an ex post calculation (in terms of tonnes of CO2 emitted per MWh generated), as well as marginal, operating and capital cost profiles. Optimal mix of installed capacity is based on the trade-off between fixed capital cost, variable operating cost and duration of plant operation — classical power system economics (Munasinghe 1990).</w:t>
      </w:r>
    </w:p>
    <w:p w:rsidR="00965C6A" w:rsidRPr="00BE7D03" w:rsidRDefault="00C31D40" w:rsidP="00C31D40">
      <w:pPr>
        <w:pStyle w:val="Heading3"/>
      </w:pPr>
      <w:r>
        <w:t>3.2</w:t>
      </w:r>
      <w:r>
        <w:tab/>
      </w:r>
      <w:r w:rsidR="00965C6A" w:rsidRPr="00BE7D03">
        <w:t>CGE Model</w:t>
      </w:r>
    </w:p>
    <w:p w:rsidR="00965C6A" w:rsidRPr="00B14DDE" w:rsidRDefault="00965C6A" w:rsidP="00C31D40">
      <w:pPr>
        <w:pStyle w:val="BodyText"/>
      </w:pPr>
      <w:r w:rsidRPr="00B14DDE">
        <w:t>The CGE model used to construct the MCP model was taken from Gilbert and Tower (2013) (GT-CGE model). This comparative static, stylised, national (non-linear) CGE model defined in the levels form, contains a number of the useful features seen in typical small-open-economy CGE models used for applied policy analysis. It includes: constant elasticity relationships governing substitution between import- and domestically sourced goods and services (combined into a composite used as an intermediate input to production); primary factors (which are combined into a composite primary factor); fixed factors (land for agricultural, primary energy and mining resources; and an economy</w:t>
      </w:r>
      <w:r w:rsidR="0006758A">
        <w:t>-</w:t>
      </w:r>
      <w:r w:rsidRPr="00B14DDE">
        <w:t>wide labour endowment); intermediate inputs and the transformation of domestic products between domestic and export markets; market clearing conditions for all markets; zero pure economic profit conditions; downward sloping export demand functions; and horizontal import supply functions. The model also includes a number of macroeconomic identities that are used to define the macroeconomic closure, such as the balance of trade account, relationships for the share of capital owned by foreigners, government balances, and aggregate household disposable income.</w:t>
      </w:r>
    </w:p>
    <w:p w:rsidR="00965C6A" w:rsidRPr="00B14DDE" w:rsidRDefault="00965C6A" w:rsidP="00C31D40">
      <w:pPr>
        <w:pStyle w:val="BodyText"/>
      </w:pPr>
      <w:r w:rsidRPr="00B14DDE">
        <w:t>Minor adaptations were made to marry the long-run</w:t>
      </w:r>
      <w:r>
        <w:t xml:space="preserve"> equilibria described by the GT-</w:t>
      </w:r>
      <w:r w:rsidRPr="00B14DDE">
        <w:t>CGE model and SG</w:t>
      </w:r>
      <w:r>
        <w:t>S</w:t>
      </w:r>
      <w:r w:rsidRPr="00B14DDE">
        <w:t>-PE models. Specifically, an additional aggregate investment and savings relationship was added to the macro identities to produce a long-run steady-state level of new capital creation for all sectors (and not just the investment decisions coming from the sectors determined by the PE equations). This required setting domestic household savings to ensure that the foreign ownership share of capital is maintained constant. This ensures that the final equilibrium is a long run steady state with no implied changing foreign ownership in the final equilibrium result.</w:t>
      </w:r>
    </w:p>
    <w:p w:rsidR="00965C6A" w:rsidRDefault="00965C6A" w:rsidP="00C31D40">
      <w:pPr>
        <w:pStyle w:val="BodyText"/>
      </w:pPr>
      <w:r w:rsidRPr="00B14DDE">
        <w:t xml:space="preserve">The model has been calibrated using a scaled Australian national IO table. It includes three primary factors (labour, land and capital), and nine industries/commodities (agriculture, mining, brown coal production, black coal production, gas production, manufactures, and </w:t>
      </w:r>
      <w:r w:rsidRPr="00B14DDE">
        <w:lastRenderedPageBreak/>
        <w:t>services, as well as two margin services, electricity retail distribution and gas retail distribution), taxes on factor incomes, and four sources of final demands (households, investment, government and exports).</w:t>
      </w:r>
    </w:p>
    <w:p w:rsidR="00965C6A" w:rsidRPr="00BE7D03" w:rsidRDefault="00965C6A" w:rsidP="00C31D40">
      <w:pPr>
        <w:pStyle w:val="Heading3"/>
      </w:pPr>
      <w:r w:rsidRPr="00BE7D03">
        <w:t>3.3</w:t>
      </w:r>
      <w:r w:rsidR="00C31D40">
        <w:tab/>
      </w:r>
      <w:r w:rsidRPr="00BE7D03">
        <w:t>Joined through MCP</w:t>
      </w:r>
    </w:p>
    <w:p w:rsidR="00965C6A" w:rsidRPr="00B14DDE" w:rsidRDefault="00965C6A" w:rsidP="00C31D40">
      <w:pPr>
        <w:pStyle w:val="BodyText"/>
      </w:pPr>
      <w:r w:rsidRPr="00B14DDE">
        <w:t>Both the SG</w:t>
      </w:r>
      <w:r>
        <w:t>S</w:t>
      </w:r>
      <w:r w:rsidRPr="00B14DDE">
        <w:t>-PE and GT-CGE models are in a form amenable to an MCP formulation as they are initially documented. The Karush–Kuhn–Tucker first order conditions and their paired complementary variables (where each first order condition is paired with the variable used to find the derivative of the initial NLP problem) provide all that is necessary to formulate the SG</w:t>
      </w:r>
      <w:r>
        <w:t>S-</w:t>
      </w:r>
      <w:r w:rsidRPr="00B14DDE">
        <w:t xml:space="preserve">PE model as a nonlinear mixed complementarity problem (a squared system of variables, equality and inequality </w:t>
      </w:r>
      <w:r>
        <w:t>constraints, Choi 2014). The GT-</w:t>
      </w:r>
      <w:r w:rsidRPr="00B14DDE">
        <w:t>CGE model is already defined as a constrained nonlinear system (with pairings similarly determined by the theory associated with the Lagrangean first order conditions used to construct the CGE model). By combining paired inequalities and nonnegative variables, and equalities with variables free in sign, both sub models can be formulated and solved as a single MCP.</w:t>
      </w:r>
    </w:p>
    <w:p w:rsidR="00965C6A" w:rsidRPr="00B14DDE" w:rsidRDefault="00965C6A" w:rsidP="00C31D40">
      <w:pPr>
        <w:pStyle w:val="BodyText"/>
      </w:pPr>
      <w:r w:rsidRPr="00B14DDE">
        <w:t>Completely linking the two models requires systematically replacing variables in both the SG</w:t>
      </w:r>
      <w:r>
        <w:t>S-PE and GT-</w:t>
      </w:r>
      <w:r w:rsidRPr="00B14DDE">
        <w:t>CGE inequalities on a case by case basis. In particular, this requires replacing all</w:t>
      </w:r>
      <w:r>
        <w:t xml:space="preserve"> the energy variables in the GT-</w:t>
      </w:r>
      <w:r w:rsidRPr="00B14DDE">
        <w:t>CGE that are included in a typical CGE mo</w:t>
      </w:r>
      <w:r>
        <w:t>del with variables from the SGS-</w:t>
      </w:r>
      <w:r w:rsidRPr="00B14DDE">
        <w:t>PE model: demand prices for fuel inputs (brown coal, black coal, natural gas); the supply price of electricity supplied to the demand node; the demands for inputs used in the creation of generation and transmission capital (labour and services); the demands for intermediate inputs used to generate power (fuels); and the demands for labour and manufactures used to maintain generator and transmission infrastructure (labour and manufactures). Similarly, changes need to be made to the SG</w:t>
      </w:r>
      <w:r>
        <w:t>S</w:t>
      </w:r>
      <w:r w:rsidRPr="00B14DDE">
        <w:t>-PE components. The linear, downward sloping demand for energy needs to be replaced with the aggregated demand quantities by load block taken from the CGE model (demands from households, government and demand from other industries, each having their own load profile such that when aggregated, yield the system load duration curve). The exogenous operating costs of plant (fuel) need to be linked with the fuel supply taken from the GT</w:t>
      </w:r>
      <w:r>
        <w:t>-</w:t>
      </w:r>
      <w:r w:rsidRPr="00B14DDE">
        <w:t>CGE. Parameters associated with the cost of building, maintaining and operating generation and transmission infrastructure have to be replaced with the supply prices taken from the GT</w:t>
      </w:r>
      <w:r>
        <w:t>-</w:t>
      </w:r>
      <w:r w:rsidRPr="00B14DDE">
        <w:t xml:space="preserve">CGE (the price of labour, manufactures, services). </w:t>
      </w:r>
    </w:p>
    <w:p w:rsidR="00965C6A" w:rsidRDefault="00965C6A" w:rsidP="00C31D40">
      <w:pPr>
        <w:pStyle w:val="BodyText"/>
      </w:pPr>
      <w:r w:rsidRPr="00B14DDE">
        <w:t>In CGE models, prices are relative to a numeraire and the choice of numeraire is arbitrary. For ease of exposition in our levels model, the nominal exchange rate is used as the numeraire.</w:t>
      </w:r>
    </w:p>
    <w:p w:rsidR="00965C6A" w:rsidRPr="00BE7D03" w:rsidRDefault="00965C6A" w:rsidP="00C31D40">
      <w:pPr>
        <w:pStyle w:val="Heading3"/>
      </w:pPr>
      <w:r w:rsidRPr="00BE7D03">
        <w:t>3.4</w:t>
      </w:r>
      <w:r w:rsidR="00C31D40">
        <w:tab/>
      </w:r>
      <w:r w:rsidRPr="00BE7D03">
        <w:t>Model data</w:t>
      </w:r>
    </w:p>
    <w:p w:rsidR="00965C6A" w:rsidRPr="00C31D40" w:rsidRDefault="00965C6A" w:rsidP="00C31D40">
      <w:pPr>
        <w:pStyle w:val="BodyText"/>
        <w:rPr>
          <w:spacing w:val="2"/>
        </w:rPr>
      </w:pPr>
      <w:r w:rsidRPr="00C31D40">
        <w:rPr>
          <w:spacing w:val="2"/>
        </w:rPr>
        <w:t>The first step to integrating the models is creating consistent datasets so that the base case solution is in initial equilibrium for all theory and agents represented in the integrated MCP model.</w:t>
      </w:r>
    </w:p>
    <w:p w:rsidR="00965C6A" w:rsidRPr="00B14DDE" w:rsidRDefault="00965C6A" w:rsidP="00C31D40">
      <w:pPr>
        <w:pStyle w:val="BodyText"/>
      </w:pPr>
      <w:r w:rsidRPr="00B14DDE">
        <w:lastRenderedPageBreak/>
        <w:t xml:space="preserve">The aggregated IO table is shown in </w:t>
      </w:r>
      <w:r w:rsidR="00476DFA">
        <w:t>t</w:t>
      </w:r>
      <w:r w:rsidRPr="00B14DDE">
        <w:t xml:space="preserve">able </w:t>
      </w:r>
      <w:r>
        <w:t>2</w:t>
      </w:r>
      <w:r w:rsidRPr="00B14DDE">
        <w:t xml:space="preserve">. This database represents a rebalanced version of an Australian national IO table calibrated to ensure all costs columns and sales rows relevant to the energy sector exactly fit the partial equilibrium energy data, which is shown in a more disaggregated form in </w:t>
      </w:r>
      <w:r w:rsidR="00476DFA">
        <w:t>t</w:t>
      </w:r>
      <w:r w:rsidRPr="00B14DDE">
        <w:t xml:space="preserve">able </w:t>
      </w:r>
      <w:r>
        <w:t>3</w:t>
      </w:r>
      <w:r w:rsidRPr="00B14DDE">
        <w:t>. As the power demand levels data were calibrated on the Australian state of Victoria, the national IO database has been scaled down for the purposes of the illustrative exercise in this paper, so that the relative sizes of the electricity sector and the economy as a whole are reasonable. It is worth noting that for the purposes of the illustrative exercise in this paper, wind does not appear in the initial IO table for the base case — it only becomes economically desirable when the RET policy is operational in the policy simulation.</w:t>
      </w:r>
    </w:p>
    <w:p w:rsidR="00965C6A" w:rsidRDefault="00965C6A" w:rsidP="00C31D40">
      <w:pPr>
        <w:pStyle w:val="BodyText"/>
      </w:pPr>
      <w:r w:rsidRPr="00B14DDE">
        <w:t>The model has 668 constraints and variables with source code written in the General Algebraic Modelling System (GAMS), and is available from the Productivity Commission website ([to be inserted]). The model, being written via the combination of the optimality conditions for both the SG</w:t>
      </w:r>
      <w:r>
        <w:t>S</w:t>
      </w:r>
      <w:r w:rsidRPr="00B14DDE">
        <w:t>-PE and GT-CGE models is fully self-documented in the GAMS code, describing all first order conditions and the economics of both component models, as well as the linking constraints.</w:t>
      </w:r>
    </w:p>
    <w:p w:rsidR="00965C6A" w:rsidRDefault="00965C6A" w:rsidP="00C31D40">
      <w:pPr>
        <w:pStyle w:val="BodyText"/>
        <w:sectPr w:rsidR="00965C6A" w:rsidSect="00965C6A">
          <w:headerReference w:type="even" r:id="rId18"/>
          <w:headerReference w:type="default" r:id="rId19"/>
          <w:footerReference w:type="even" r:id="rId20"/>
          <w:footerReference w:type="default" r:id="rId21"/>
          <w:pgSz w:w="11907" w:h="16840" w:code="9"/>
          <w:pgMar w:top="1985" w:right="1304" w:bottom="1247" w:left="1814" w:header="1701" w:footer="397" w:gutter="0"/>
          <w:pgNumType w:start="1" w:chapSep="period"/>
          <w:cols w:space="720"/>
        </w:sectPr>
      </w:pPr>
    </w:p>
    <w:p w:rsidR="00C31D40" w:rsidRDefault="00C31D40" w:rsidP="00476DF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C31D40" w:rsidTr="00476DFA">
        <w:trPr>
          <w:tblHeader/>
        </w:trPr>
        <w:tc>
          <w:tcPr>
            <w:tcW w:w="5000" w:type="pct"/>
            <w:tcBorders>
              <w:top w:val="single" w:sz="6" w:space="0" w:color="78A22F"/>
              <w:left w:val="nil"/>
              <w:bottom w:val="nil"/>
              <w:right w:val="nil"/>
            </w:tcBorders>
            <w:shd w:val="clear" w:color="auto" w:fill="auto"/>
          </w:tcPr>
          <w:p w:rsidR="00C31D40" w:rsidRPr="00784A05" w:rsidRDefault="00C31D40" w:rsidP="00AE5CE2">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2</w:t>
            </w:r>
            <w:r>
              <w:rPr>
                <w:b w:val="0"/>
              </w:rPr>
              <w:fldChar w:fldCharType="end"/>
            </w:r>
            <w:r>
              <w:tab/>
            </w:r>
            <w:r w:rsidRPr="00C31D40">
              <w:t>Aggregated Input–Output table used for the CGE model ($ million, AUD)</w:t>
            </w:r>
          </w:p>
        </w:tc>
      </w:tr>
      <w:tr w:rsidR="00C31D40" w:rsidTr="00476DF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4A0" w:firstRow="1" w:lastRow="0" w:firstColumn="1" w:lastColumn="0" w:noHBand="0" w:noVBand="1"/>
            </w:tblPr>
            <w:tblGrid>
              <w:gridCol w:w="1471"/>
              <w:gridCol w:w="884"/>
              <w:gridCol w:w="698"/>
              <w:gridCol w:w="1133"/>
              <w:gridCol w:w="713"/>
              <w:gridCol w:w="764"/>
              <w:gridCol w:w="877"/>
              <w:gridCol w:w="1204"/>
              <w:gridCol w:w="1058"/>
              <w:gridCol w:w="1892"/>
              <w:gridCol w:w="1333"/>
              <w:gridCol w:w="1297"/>
            </w:tblGrid>
            <w:tr w:rsidR="00C31D40" w:rsidRPr="00C31D40" w:rsidTr="00C31D40">
              <w:tc>
                <w:tcPr>
                  <w:tcW w:w="552" w:type="pct"/>
                  <w:tcBorders>
                    <w:top w:val="single" w:sz="6" w:space="0" w:color="BFBFBF"/>
                    <w:left w:val="nil"/>
                    <w:bottom w:val="single" w:sz="6" w:space="0" w:color="BFBFBF"/>
                    <w:right w:val="nil"/>
                  </w:tcBorders>
                  <w:vAlign w:val="bottom"/>
                </w:tcPr>
                <w:p w:rsidR="00C31D40" w:rsidRPr="00C31D40" w:rsidRDefault="00C31D40" w:rsidP="00C31D40">
                  <w:pPr>
                    <w:pStyle w:val="TableColumnHeading"/>
                    <w:spacing w:after="0"/>
                    <w:jc w:val="left"/>
                    <w:rPr>
                      <w:rFonts w:cs="Arial"/>
                      <w:szCs w:val="24"/>
                    </w:rPr>
                  </w:pPr>
                </w:p>
              </w:tc>
              <w:tc>
                <w:tcPr>
                  <w:tcW w:w="332" w:type="pct"/>
                  <w:tcBorders>
                    <w:top w:val="single" w:sz="6" w:space="0" w:color="BFBFBF"/>
                    <w:left w:val="nil"/>
                    <w:bottom w:val="single" w:sz="6" w:space="0" w:color="BFBFBF"/>
                    <w:right w:val="nil"/>
                  </w:tcBorders>
                  <w:vAlign w:val="bottom"/>
                  <w:hideMark/>
                </w:tcPr>
                <w:p w:rsidR="00C31D40" w:rsidRPr="00C31D40" w:rsidRDefault="00C31D40" w:rsidP="00C31D40">
                  <w:pPr>
                    <w:pStyle w:val="TableColumnHeading"/>
                    <w:spacing w:after="0"/>
                    <w:rPr>
                      <w:rFonts w:cs="Arial"/>
                    </w:rPr>
                  </w:pPr>
                  <w:r w:rsidRPr="00C31D40">
                    <w:rPr>
                      <w:rFonts w:cs="Arial"/>
                      <w:color w:val="000000"/>
                      <w:sz w:val="16"/>
                      <w:szCs w:val="16"/>
                    </w:rPr>
                    <w:t>Agriculture</w:t>
                  </w:r>
                </w:p>
              </w:tc>
              <w:tc>
                <w:tcPr>
                  <w:tcW w:w="262" w:type="pct"/>
                  <w:tcBorders>
                    <w:top w:val="single" w:sz="6" w:space="0" w:color="BFBFBF"/>
                    <w:left w:val="nil"/>
                    <w:bottom w:val="single" w:sz="6" w:space="0" w:color="BFBFBF"/>
                    <w:right w:val="nil"/>
                  </w:tcBorders>
                  <w:vAlign w:val="bottom"/>
                  <w:hideMark/>
                </w:tcPr>
                <w:p w:rsidR="00C31D40" w:rsidRPr="00C31D40" w:rsidRDefault="00C31D40" w:rsidP="00C31D40">
                  <w:pPr>
                    <w:pStyle w:val="TableColumnHeading"/>
                    <w:spacing w:after="0"/>
                    <w:rPr>
                      <w:rFonts w:cs="Arial"/>
                    </w:rPr>
                  </w:pPr>
                  <w:r w:rsidRPr="00C31D40">
                    <w:rPr>
                      <w:rFonts w:cs="Arial"/>
                      <w:color w:val="000000"/>
                      <w:sz w:val="16"/>
                      <w:szCs w:val="16"/>
                    </w:rPr>
                    <w:t>Mining</w:t>
                  </w:r>
                </w:p>
              </w:tc>
              <w:tc>
                <w:tcPr>
                  <w:tcW w:w="425" w:type="pct"/>
                  <w:tcBorders>
                    <w:top w:val="single" w:sz="6" w:space="0" w:color="BFBFBF"/>
                    <w:left w:val="nil"/>
                    <w:bottom w:val="single" w:sz="6" w:space="0" w:color="BFBFBF"/>
                    <w:right w:val="nil"/>
                  </w:tcBorders>
                  <w:vAlign w:val="bottom"/>
                  <w:hideMark/>
                </w:tcPr>
                <w:p w:rsidR="00C31D40" w:rsidRPr="00C31D40" w:rsidRDefault="00C31D40" w:rsidP="00C31D40">
                  <w:pPr>
                    <w:pStyle w:val="TableColumnHeading"/>
                    <w:spacing w:after="0"/>
                    <w:rPr>
                      <w:rFonts w:cs="Arial"/>
                    </w:rPr>
                  </w:pPr>
                  <w:r w:rsidRPr="00C31D40">
                    <w:rPr>
                      <w:rFonts w:cs="Arial"/>
                      <w:color w:val="000000"/>
                      <w:sz w:val="16"/>
                      <w:szCs w:val="16"/>
                    </w:rPr>
                    <w:t>Manufacturing</w:t>
                  </w:r>
                </w:p>
              </w:tc>
              <w:tc>
                <w:tcPr>
                  <w:tcW w:w="268" w:type="pct"/>
                  <w:tcBorders>
                    <w:top w:val="single" w:sz="6" w:space="0" w:color="BFBFBF"/>
                    <w:left w:val="nil"/>
                    <w:bottom w:val="single" w:sz="6" w:space="0" w:color="BFBFBF"/>
                    <w:right w:val="nil"/>
                  </w:tcBorders>
                  <w:vAlign w:val="bottom"/>
                  <w:hideMark/>
                </w:tcPr>
                <w:p w:rsidR="00C31D40" w:rsidRPr="00C31D40" w:rsidRDefault="00C31D40" w:rsidP="00C31D40">
                  <w:pPr>
                    <w:pStyle w:val="TableColumnHeading"/>
                    <w:spacing w:after="0"/>
                    <w:rPr>
                      <w:rFonts w:cs="Arial"/>
                    </w:rPr>
                  </w:pPr>
                  <w:r w:rsidRPr="00C31D40">
                    <w:rPr>
                      <w:rFonts w:cs="Arial"/>
                      <w:color w:val="000000"/>
                      <w:sz w:val="16"/>
                      <w:szCs w:val="16"/>
                    </w:rPr>
                    <w:t>ElecRet</w:t>
                  </w:r>
                </w:p>
              </w:tc>
              <w:tc>
                <w:tcPr>
                  <w:tcW w:w="287" w:type="pct"/>
                  <w:tcBorders>
                    <w:top w:val="single" w:sz="6" w:space="0" w:color="BFBFBF"/>
                    <w:left w:val="nil"/>
                    <w:bottom w:val="single" w:sz="6" w:space="0" w:color="BFBFBF"/>
                    <w:right w:val="nil"/>
                  </w:tcBorders>
                  <w:vAlign w:val="bottom"/>
                  <w:hideMark/>
                </w:tcPr>
                <w:p w:rsidR="00C31D40" w:rsidRPr="00C31D40" w:rsidRDefault="00C31D40" w:rsidP="00C31D40">
                  <w:pPr>
                    <w:pStyle w:val="TableColumnHeading"/>
                    <w:spacing w:after="0"/>
                    <w:rPr>
                      <w:rFonts w:cs="Arial"/>
                    </w:rPr>
                  </w:pPr>
                  <w:r w:rsidRPr="00C31D40">
                    <w:rPr>
                      <w:rFonts w:cs="Arial"/>
                      <w:color w:val="000000"/>
                      <w:sz w:val="16"/>
                      <w:szCs w:val="16"/>
                    </w:rPr>
                    <w:t>GasRet</w:t>
                  </w:r>
                </w:p>
              </w:tc>
              <w:tc>
                <w:tcPr>
                  <w:tcW w:w="329" w:type="pct"/>
                  <w:tcBorders>
                    <w:top w:val="single" w:sz="6" w:space="0" w:color="BFBFBF"/>
                    <w:left w:val="nil"/>
                    <w:bottom w:val="single" w:sz="6" w:space="0" w:color="BFBFBF"/>
                    <w:right w:val="nil"/>
                  </w:tcBorders>
                  <w:vAlign w:val="bottom"/>
                  <w:hideMark/>
                </w:tcPr>
                <w:p w:rsidR="00C31D40" w:rsidRPr="00C31D40" w:rsidRDefault="00C31D40" w:rsidP="00C31D40">
                  <w:pPr>
                    <w:pStyle w:val="TableColumnHeading"/>
                    <w:spacing w:after="0"/>
                    <w:rPr>
                      <w:rFonts w:cs="Arial"/>
                    </w:rPr>
                  </w:pPr>
                  <w:r w:rsidRPr="00C31D40">
                    <w:rPr>
                      <w:rFonts w:cs="Arial"/>
                      <w:color w:val="000000"/>
                      <w:sz w:val="16"/>
                      <w:szCs w:val="16"/>
                    </w:rPr>
                    <w:t>Serv</w:t>
                  </w:r>
                </w:p>
              </w:tc>
              <w:tc>
                <w:tcPr>
                  <w:tcW w:w="452" w:type="pct"/>
                  <w:tcBorders>
                    <w:top w:val="single" w:sz="6" w:space="0" w:color="BFBFBF"/>
                    <w:left w:val="nil"/>
                    <w:bottom w:val="single" w:sz="6" w:space="0" w:color="BFBFBF"/>
                    <w:right w:val="nil"/>
                  </w:tcBorders>
                  <w:vAlign w:val="bottom"/>
                  <w:hideMark/>
                </w:tcPr>
                <w:p w:rsidR="00C31D40" w:rsidRPr="00C31D40" w:rsidRDefault="00C31D40" w:rsidP="00C31D40">
                  <w:pPr>
                    <w:pStyle w:val="TableColumnHeading"/>
                    <w:spacing w:after="0"/>
                    <w:rPr>
                      <w:rFonts w:cs="Arial"/>
                    </w:rPr>
                  </w:pPr>
                  <w:r w:rsidRPr="00C31D40">
                    <w:rPr>
                      <w:rFonts w:cs="Arial"/>
                      <w:color w:val="000000"/>
                      <w:sz w:val="16"/>
                      <w:szCs w:val="16"/>
                    </w:rPr>
                    <w:t>BrownCoalGen</w:t>
                  </w:r>
                </w:p>
              </w:tc>
              <w:tc>
                <w:tcPr>
                  <w:tcW w:w="397" w:type="pct"/>
                  <w:tcBorders>
                    <w:top w:val="single" w:sz="6" w:space="0" w:color="BFBFBF"/>
                    <w:left w:val="nil"/>
                    <w:bottom w:val="single" w:sz="6" w:space="0" w:color="BFBFBF"/>
                    <w:right w:val="nil"/>
                  </w:tcBorders>
                  <w:vAlign w:val="bottom"/>
                  <w:hideMark/>
                </w:tcPr>
                <w:p w:rsidR="00C31D40" w:rsidRPr="00C31D40" w:rsidRDefault="00C31D40" w:rsidP="00C31D40">
                  <w:pPr>
                    <w:pStyle w:val="TableColumnHeading"/>
                    <w:spacing w:after="0"/>
                    <w:ind w:right="28"/>
                    <w:rPr>
                      <w:rFonts w:cs="Arial"/>
                    </w:rPr>
                  </w:pPr>
                  <w:r w:rsidRPr="00C31D40">
                    <w:rPr>
                      <w:rFonts w:cs="Arial"/>
                      <w:color w:val="000000"/>
                      <w:sz w:val="16"/>
                      <w:szCs w:val="16"/>
                    </w:rPr>
                    <w:t>BlackCoalGen</w:t>
                  </w:r>
                </w:p>
              </w:tc>
              <w:tc>
                <w:tcPr>
                  <w:tcW w:w="710" w:type="pct"/>
                  <w:tcBorders>
                    <w:top w:val="single" w:sz="6" w:space="0" w:color="BFBFBF"/>
                    <w:left w:val="nil"/>
                    <w:bottom w:val="single" w:sz="6" w:space="0" w:color="BFBFBF"/>
                    <w:right w:val="nil"/>
                  </w:tcBorders>
                </w:tcPr>
                <w:p w:rsidR="00C31D40" w:rsidRPr="00C31D40" w:rsidRDefault="00C31D40" w:rsidP="00C31D40">
                  <w:pPr>
                    <w:pStyle w:val="TableColumnHeading"/>
                    <w:spacing w:after="0"/>
                    <w:ind w:right="28"/>
                    <w:rPr>
                      <w:rFonts w:cs="Arial"/>
                      <w:color w:val="000000"/>
                      <w:sz w:val="16"/>
                      <w:szCs w:val="16"/>
                    </w:rPr>
                  </w:pPr>
                  <w:r>
                    <w:rPr>
                      <w:rFonts w:cs="Arial"/>
                      <w:color w:val="000000"/>
                      <w:sz w:val="16"/>
                      <w:szCs w:val="16"/>
                    </w:rPr>
                    <w:t>z</w:t>
                  </w:r>
                </w:p>
              </w:tc>
              <w:tc>
                <w:tcPr>
                  <w:tcW w:w="500" w:type="pct"/>
                  <w:tcBorders>
                    <w:top w:val="single" w:sz="6" w:space="0" w:color="BFBFBF"/>
                    <w:left w:val="nil"/>
                    <w:bottom w:val="single" w:sz="6" w:space="0" w:color="BFBFBF"/>
                    <w:right w:val="nil"/>
                  </w:tcBorders>
                  <w:vAlign w:val="bottom"/>
                </w:tcPr>
                <w:p w:rsidR="00C31D40" w:rsidRPr="00C31D40" w:rsidRDefault="00C31D40" w:rsidP="00C31D40">
                  <w:pPr>
                    <w:pStyle w:val="TableColumnHeading"/>
                    <w:spacing w:after="0"/>
                    <w:ind w:right="28"/>
                    <w:rPr>
                      <w:rFonts w:cs="Arial"/>
                    </w:rPr>
                  </w:pPr>
                  <w:r w:rsidRPr="00C31D40">
                    <w:rPr>
                      <w:rFonts w:cs="Arial"/>
                      <w:color w:val="000000"/>
                      <w:sz w:val="16"/>
                      <w:szCs w:val="16"/>
                    </w:rPr>
                    <w:t>GasCombCycGen</w:t>
                  </w:r>
                </w:p>
              </w:tc>
              <w:tc>
                <w:tcPr>
                  <w:tcW w:w="487" w:type="pct"/>
                  <w:tcBorders>
                    <w:top w:val="single" w:sz="6" w:space="0" w:color="BFBFBF"/>
                    <w:left w:val="nil"/>
                    <w:bottom w:val="single" w:sz="6" w:space="0" w:color="BFBFBF"/>
                    <w:right w:val="nil"/>
                  </w:tcBorders>
                  <w:vAlign w:val="bottom"/>
                </w:tcPr>
                <w:p w:rsidR="00C31D40" w:rsidRPr="00C31D40" w:rsidRDefault="00C31D40" w:rsidP="00C31D40">
                  <w:pPr>
                    <w:pStyle w:val="TableColumnHeading"/>
                    <w:spacing w:after="0"/>
                    <w:ind w:right="28"/>
                    <w:rPr>
                      <w:rFonts w:cs="Arial"/>
                    </w:rPr>
                  </w:pPr>
                  <w:r w:rsidRPr="00C31D40">
                    <w:rPr>
                      <w:rFonts w:cs="Arial"/>
                      <w:color w:val="000000"/>
                      <w:sz w:val="16"/>
                      <w:szCs w:val="16"/>
                    </w:rPr>
                    <w:t>GasOpenCycGen</w:t>
                  </w:r>
                </w:p>
              </w:tc>
            </w:tr>
            <w:tr w:rsidR="00C31D40" w:rsidRPr="00C31D40" w:rsidTr="00C31D40">
              <w:tc>
                <w:tcPr>
                  <w:tcW w:w="552" w:type="pct"/>
                  <w:tcBorders>
                    <w:top w:val="single" w:sz="6" w:space="0" w:color="BFBFBF"/>
                    <w:left w:val="nil"/>
                    <w:bottom w:val="nil"/>
                    <w:right w:val="nil"/>
                  </w:tcBorders>
                  <w:vAlign w:val="bottom"/>
                  <w:hideMark/>
                </w:tcPr>
                <w:p w:rsidR="00C31D40" w:rsidRPr="00C31D40" w:rsidRDefault="00C31D40" w:rsidP="00C31D40">
                  <w:pPr>
                    <w:pStyle w:val="TableUnitsRow"/>
                    <w:spacing w:after="0"/>
                    <w:jc w:val="left"/>
                    <w:rPr>
                      <w:rFonts w:cs="Arial"/>
                    </w:rPr>
                  </w:pPr>
                  <w:r w:rsidRPr="00C31D40">
                    <w:rPr>
                      <w:rFonts w:cs="Arial"/>
                      <w:color w:val="000000"/>
                      <w:sz w:val="16"/>
                      <w:szCs w:val="16"/>
                    </w:rPr>
                    <w:t>Agriculture</w:t>
                  </w:r>
                </w:p>
              </w:tc>
              <w:tc>
                <w:tcPr>
                  <w:tcW w:w="332" w:type="pct"/>
                  <w:tcBorders>
                    <w:top w:val="single" w:sz="6" w:space="0" w:color="BFBFBF"/>
                    <w:left w:val="nil"/>
                    <w:bottom w:val="nil"/>
                    <w:right w:val="nil"/>
                  </w:tcBorders>
                  <w:vAlign w:val="bottom"/>
                  <w:hideMark/>
                </w:tcPr>
                <w:p w:rsidR="00C31D40" w:rsidRPr="00C31D40" w:rsidRDefault="00C31D40" w:rsidP="00C31D40">
                  <w:pPr>
                    <w:pStyle w:val="TableUnitsRow"/>
                    <w:spacing w:after="0"/>
                    <w:rPr>
                      <w:rFonts w:cs="Arial"/>
                      <w:i/>
                    </w:rPr>
                  </w:pPr>
                  <w:r w:rsidRPr="00C31D40">
                    <w:rPr>
                      <w:rFonts w:cs="Arial"/>
                      <w:color w:val="000000"/>
                      <w:sz w:val="16"/>
                      <w:szCs w:val="16"/>
                    </w:rPr>
                    <w:t>1556.47</w:t>
                  </w:r>
                </w:p>
              </w:tc>
              <w:tc>
                <w:tcPr>
                  <w:tcW w:w="262" w:type="pct"/>
                  <w:tcBorders>
                    <w:top w:val="single" w:sz="6" w:space="0" w:color="BFBFBF"/>
                    <w:left w:val="nil"/>
                    <w:bottom w:val="nil"/>
                    <w:right w:val="nil"/>
                  </w:tcBorders>
                  <w:vAlign w:val="bottom"/>
                  <w:hideMark/>
                </w:tcPr>
                <w:p w:rsidR="00C31D40" w:rsidRPr="00C31D40" w:rsidRDefault="00C31D40" w:rsidP="00C31D40">
                  <w:pPr>
                    <w:pStyle w:val="TableUnitsRow"/>
                    <w:spacing w:after="0"/>
                    <w:rPr>
                      <w:rFonts w:cs="Arial"/>
                      <w:i/>
                    </w:rPr>
                  </w:pPr>
                  <w:r w:rsidRPr="00C31D40">
                    <w:rPr>
                      <w:rFonts w:cs="Arial"/>
                      <w:color w:val="000000"/>
                      <w:sz w:val="16"/>
                      <w:szCs w:val="16"/>
                    </w:rPr>
                    <w:t>7.74</w:t>
                  </w:r>
                </w:p>
              </w:tc>
              <w:tc>
                <w:tcPr>
                  <w:tcW w:w="425" w:type="pct"/>
                  <w:tcBorders>
                    <w:top w:val="single" w:sz="6" w:space="0" w:color="BFBFBF"/>
                    <w:left w:val="nil"/>
                    <w:bottom w:val="nil"/>
                    <w:right w:val="nil"/>
                  </w:tcBorders>
                  <w:vAlign w:val="bottom"/>
                  <w:hideMark/>
                </w:tcPr>
                <w:p w:rsidR="00C31D40" w:rsidRPr="00C31D40" w:rsidRDefault="00C31D40" w:rsidP="00C31D40">
                  <w:pPr>
                    <w:pStyle w:val="TableUnitsRow"/>
                    <w:spacing w:after="0"/>
                    <w:rPr>
                      <w:rFonts w:cs="Arial"/>
                      <w:i/>
                    </w:rPr>
                  </w:pPr>
                  <w:r w:rsidRPr="00C31D40">
                    <w:rPr>
                      <w:rFonts w:cs="Arial"/>
                      <w:color w:val="000000"/>
                      <w:sz w:val="16"/>
                      <w:szCs w:val="16"/>
                    </w:rPr>
                    <w:t>5175.36</w:t>
                  </w:r>
                </w:p>
              </w:tc>
              <w:tc>
                <w:tcPr>
                  <w:tcW w:w="268" w:type="pct"/>
                  <w:tcBorders>
                    <w:top w:val="single" w:sz="6" w:space="0" w:color="BFBFBF"/>
                    <w:left w:val="nil"/>
                    <w:bottom w:val="nil"/>
                    <w:right w:val="nil"/>
                  </w:tcBorders>
                  <w:vAlign w:val="bottom"/>
                  <w:hideMark/>
                </w:tcPr>
                <w:p w:rsidR="00C31D40" w:rsidRPr="00C31D40" w:rsidRDefault="00C31D40" w:rsidP="00C31D40">
                  <w:pPr>
                    <w:pStyle w:val="TableUnitsRow"/>
                    <w:spacing w:after="0"/>
                    <w:rPr>
                      <w:rFonts w:cs="Arial"/>
                      <w:i/>
                    </w:rPr>
                  </w:pPr>
                  <w:r w:rsidRPr="00C31D40">
                    <w:rPr>
                      <w:rFonts w:cs="Arial"/>
                      <w:color w:val="000000"/>
                      <w:sz w:val="16"/>
                      <w:szCs w:val="16"/>
                    </w:rPr>
                    <w:t>0.00</w:t>
                  </w:r>
                </w:p>
              </w:tc>
              <w:tc>
                <w:tcPr>
                  <w:tcW w:w="287" w:type="pct"/>
                  <w:tcBorders>
                    <w:top w:val="single" w:sz="6" w:space="0" w:color="BFBFBF"/>
                    <w:left w:val="nil"/>
                    <w:bottom w:val="nil"/>
                    <w:right w:val="nil"/>
                  </w:tcBorders>
                  <w:vAlign w:val="bottom"/>
                  <w:hideMark/>
                </w:tcPr>
                <w:p w:rsidR="00C31D40" w:rsidRPr="00C31D40" w:rsidRDefault="00C31D40" w:rsidP="00C31D40">
                  <w:pPr>
                    <w:pStyle w:val="TableUnitsRow"/>
                    <w:spacing w:after="0"/>
                    <w:rPr>
                      <w:rFonts w:cs="Arial"/>
                      <w:i/>
                    </w:rPr>
                  </w:pPr>
                  <w:r w:rsidRPr="00C31D40">
                    <w:rPr>
                      <w:rFonts w:cs="Arial"/>
                      <w:color w:val="000000"/>
                      <w:sz w:val="16"/>
                      <w:szCs w:val="16"/>
                    </w:rPr>
                    <w:t>0.00</w:t>
                  </w:r>
                </w:p>
              </w:tc>
              <w:tc>
                <w:tcPr>
                  <w:tcW w:w="329" w:type="pct"/>
                  <w:tcBorders>
                    <w:top w:val="single" w:sz="6" w:space="0" w:color="BFBFBF"/>
                    <w:left w:val="nil"/>
                    <w:bottom w:val="nil"/>
                    <w:right w:val="nil"/>
                  </w:tcBorders>
                  <w:vAlign w:val="bottom"/>
                  <w:hideMark/>
                </w:tcPr>
                <w:p w:rsidR="00C31D40" w:rsidRPr="00C31D40" w:rsidRDefault="00C31D40" w:rsidP="00C31D40">
                  <w:pPr>
                    <w:pStyle w:val="TableUnitsRow"/>
                    <w:spacing w:after="0"/>
                    <w:rPr>
                      <w:rFonts w:cs="Arial"/>
                      <w:i/>
                    </w:rPr>
                  </w:pPr>
                  <w:r w:rsidRPr="00C31D40">
                    <w:rPr>
                      <w:rFonts w:cs="Arial"/>
                      <w:color w:val="000000"/>
                      <w:sz w:val="16"/>
                      <w:szCs w:val="16"/>
                    </w:rPr>
                    <w:t>779.40</w:t>
                  </w:r>
                </w:p>
              </w:tc>
              <w:tc>
                <w:tcPr>
                  <w:tcW w:w="452" w:type="pct"/>
                  <w:tcBorders>
                    <w:top w:val="single" w:sz="6" w:space="0" w:color="BFBFBF"/>
                    <w:left w:val="nil"/>
                    <w:bottom w:val="nil"/>
                    <w:right w:val="nil"/>
                  </w:tcBorders>
                  <w:vAlign w:val="bottom"/>
                  <w:hideMark/>
                </w:tcPr>
                <w:p w:rsidR="00C31D40" w:rsidRPr="00C31D40" w:rsidRDefault="00C31D40" w:rsidP="00C31D40">
                  <w:pPr>
                    <w:pStyle w:val="TableUnitsRow"/>
                    <w:spacing w:after="0"/>
                    <w:rPr>
                      <w:rFonts w:cs="Arial"/>
                      <w:i/>
                    </w:rPr>
                  </w:pPr>
                  <w:r w:rsidRPr="00C31D40">
                    <w:rPr>
                      <w:rFonts w:cs="Arial"/>
                      <w:color w:val="000000"/>
                      <w:sz w:val="16"/>
                      <w:szCs w:val="16"/>
                    </w:rPr>
                    <w:t>0.00</w:t>
                  </w:r>
                </w:p>
              </w:tc>
              <w:tc>
                <w:tcPr>
                  <w:tcW w:w="397" w:type="pct"/>
                  <w:tcBorders>
                    <w:top w:val="single" w:sz="6" w:space="0" w:color="BFBFBF"/>
                    <w:left w:val="nil"/>
                    <w:bottom w:val="nil"/>
                    <w:right w:val="nil"/>
                  </w:tcBorders>
                  <w:vAlign w:val="bottom"/>
                  <w:hideMark/>
                </w:tcPr>
                <w:p w:rsidR="00C31D40" w:rsidRPr="00C31D40" w:rsidRDefault="00C31D40" w:rsidP="00C31D40">
                  <w:pPr>
                    <w:pStyle w:val="TableUnitsRow"/>
                    <w:spacing w:after="0"/>
                    <w:ind w:right="28"/>
                    <w:rPr>
                      <w:rFonts w:cs="Arial"/>
                      <w:i/>
                    </w:rPr>
                  </w:pPr>
                  <w:r w:rsidRPr="00C31D40">
                    <w:rPr>
                      <w:rFonts w:cs="Arial"/>
                      <w:color w:val="000000"/>
                      <w:sz w:val="16"/>
                      <w:szCs w:val="16"/>
                    </w:rPr>
                    <w:t>0.00</w:t>
                  </w:r>
                </w:p>
              </w:tc>
              <w:tc>
                <w:tcPr>
                  <w:tcW w:w="710" w:type="pct"/>
                  <w:tcBorders>
                    <w:top w:val="single" w:sz="6" w:space="0" w:color="BFBFBF"/>
                    <w:left w:val="nil"/>
                    <w:bottom w:val="nil"/>
                    <w:right w:val="nil"/>
                  </w:tcBorders>
                </w:tcPr>
                <w:p w:rsidR="00C31D40" w:rsidRPr="00C31D40" w:rsidRDefault="00C31D40" w:rsidP="00C31D40">
                  <w:pPr>
                    <w:pStyle w:val="TableUnitsRow"/>
                    <w:spacing w:after="0"/>
                    <w:ind w:right="28"/>
                    <w:rPr>
                      <w:rFonts w:cs="Arial"/>
                      <w:color w:val="000000"/>
                      <w:sz w:val="16"/>
                      <w:szCs w:val="16"/>
                    </w:rPr>
                  </w:pPr>
                </w:p>
              </w:tc>
              <w:tc>
                <w:tcPr>
                  <w:tcW w:w="500" w:type="pct"/>
                  <w:tcBorders>
                    <w:top w:val="single" w:sz="6" w:space="0" w:color="BFBFBF"/>
                    <w:left w:val="nil"/>
                    <w:bottom w:val="nil"/>
                    <w:right w:val="nil"/>
                  </w:tcBorders>
                  <w:vAlign w:val="bottom"/>
                </w:tcPr>
                <w:p w:rsidR="00C31D40" w:rsidRPr="00C31D40" w:rsidRDefault="00C31D40" w:rsidP="00C31D40">
                  <w:pPr>
                    <w:pStyle w:val="TableUnitsRow"/>
                    <w:spacing w:after="0"/>
                    <w:ind w:right="28"/>
                    <w:rPr>
                      <w:rFonts w:cs="Arial"/>
                      <w:i/>
                    </w:rPr>
                  </w:pPr>
                  <w:r w:rsidRPr="00C31D40">
                    <w:rPr>
                      <w:rFonts w:cs="Arial"/>
                      <w:color w:val="000000"/>
                      <w:sz w:val="16"/>
                      <w:szCs w:val="16"/>
                    </w:rPr>
                    <w:t>0.00</w:t>
                  </w:r>
                </w:p>
              </w:tc>
              <w:tc>
                <w:tcPr>
                  <w:tcW w:w="487" w:type="pct"/>
                  <w:tcBorders>
                    <w:top w:val="single" w:sz="6" w:space="0" w:color="BFBFBF"/>
                    <w:left w:val="nil"/>
                    <w:bottom w:val="nil"/>
                    <w:right w:val="nil"/>
                  </w:tcBorders>
                  <w:vAlign w:val="bottom"/>
                </w:tcPr>
                <w:p w:rsidR="00C31D40" w:rsidRPr="00C31D40" w:rsidRDefault="00C31D40" w:rsidP="00C31D40">
                  <w:pPr>
                    <w:pStyle w:val="TableUnitsRow"/>
                    <w:spacing w:after="0"/>
                    <w:ind w:right="28"/>
                    <w:rPr>
                      <w:rFonts w:cs="Arial"/>
                      <w:i/>
                    </w:rPr>
                  </w:pPr>
                  <w:r w:rsidRPr="00C31D40">
                    <w:rPr>
                      <w:rFonts w:cs="Arial"/>
                      <w:color w:val="000000"/>
                      <w:sz w:val="16"/>
                      <w:szCs w:val="16"/>
                    </w:rPr>
                    <w:t>0.00</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i/>
                    </w:rPr>
                  </w:pPr>
                  <w:r w:rsidRPr="00C31D40">
                    <w:rPr>
                      <w:rFonts w:cs="Arial"/>
                      <w:color w:val="000000"/>
                      <w:sz w:val="16"/>
                      <w:szCs w:val="16"/>
                    </w:rPr>
                    <w:t>Mining</w:t>
                  </w:r>
                </w:p>
              </w:tc>
              <w:tc>
                <w:tcPr>
                  <w:tcW w:w="33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0.51</w:t>
                  </w:r>
                </w:p>
              </w:tc>
              <w:tc>
                <w:tcPr>
                  <w:tcW w:w="26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1848.82</w:t>
                  </w:r>
                </w:p>
              </w:tc>
              <w:tc>
                <w:tcPr>
                  <w:tcW w:w="425"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9742.32</w:t>
                  </w:r>
                </w:p>
              </w:tc>
              <w:tc>
                <w:tcPr>
                  <w:tcW w:w="268"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87"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329"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192.55</w:t>
                  </w:r>
                </w:p>
              </w:tc>
              <w:tc>
                <w:tcPr>
                  <w:tcW w:w="45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397" w:type="pct"/>
                  <w:vAlign w:val="bottom"/>
                  <w:hideMark/>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c>
                <w:tcPr>
                  <w:tcW w:w="710" w:type="pct"/>
                </w:tcPr>
                <w:p w:rsidR="00C31D40" w:rsidRPr="00C31D40" w:rsidRDefault="00C31D40" w:rsidP="00C31D40">
                  <w:pPr>
                    <w:pStyle w:val="TableBodyText"/>
                    <w:spacing w:after="0"/>
                    <w:ind w:right="28"/>
                    <w:rPr>
                      <w:rFonts w:cs="Arial"/>
                      <w:color w:val="000000"/>
                      <w:sz w:val="16"/>
                      <w:szCs w:val="16"/>
                    </w:rPr>
                  </w:pPr>
                </w:p>
              </w:tc>
              <w:tc>
                <w:tcPr>
                  <w:tcW w:w="500" w:type="pct"/>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c>
                <w:tcPr>
                  <w:tcW w:w="487" w:type="pct"/>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i/>
                    </w:rPr>
                  </w:pPr>
                  <w:r w:rsidRPr="00C31D40">
                    <w:rPr>
                      <w:rFonts w:cs="Arial"/>
                      <w:color w:val="000000"/>
                      <w:sz w:val="16"/>
                      <w:szCs w:val="16"/>
                    </w:rPr>
                    <w:t>Manufacture</w:t>
                  </w:r>
                </w:p>
              </w:tc>
              <w:tc>
                <w:tcPr>
                  <w:tcW w:w="33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1630.54</w:t>
                  </w:r>
                </w:p>
              </w:tc>
              <w:tc>
                <w:tcPr>
                  <w:tcW w:w="26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1465.68</w:t>
                  </w:r>
                </w:p>
              </w:tc>
              <w:tc>
                <w:tcPr>
                  <w:tcW w:w="425"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21280.39</w:t>
                  </w:r>
                </w:p>
              </w:tc>
              <w:tc>
                <w:tcPr>
                  <w:tcW w:w="268"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239.48</w:t>
                  </w:r>
                </w:p>
              </w:tc>
              <w:tc>
                <w:tcPr>
                  <w:tcW w:w="287"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26.85</w:t>
                  </w:r>
                </w:p>
              </w:tc>
              <w:tc>
                <w:tcPr>
                  <w:tcW w:w="329"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35042.18</w:t>
                  </w:r>
                </w:p>
              </w:tc>
              <w:tc>
                <w:tcPr>
                  <w:tcW w:w="45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28.00</w:t>
                  </w:r>
                </w:p>
              </w:tc>
              <w:tc>
                <w:tcPr>
                  <w:tcW w:w="397" w:type="pct"/>
                  <w:vAlign w:val="bottom"/>
                  <w:hideMark/>
                </w:tcPr>
                <w:p w:rsidR="00C31D40" w:rsidRPr="00C31D40" w:rsidRDefault="00C31D40" w:rsidP="00C31D40">
                  <w:pPr>
                    <w:pStyle w:val="TableBodyText"/>
                    <w:spacing w:after="0"/>
                    <w:ind w:right="28"/>
                    <w:rPr>
                      <w:rFonts w:cs="Arial"/>
                      <w:i/>
                    </w:rPr>
                  </w:pPr>
                  <w:r w:rsidRPr="00C31D40">
                    <w:rPr>
                      <w:rFonts w:cs="Arial"/>
                      <w:color w:val="000000"/>
                      <w:sz w:val="16"/>
                      <w:szCs w:val="16"/>
                    </w:rPr>
                    <w:t>1.97</w:t>
                  </w:r>
                </w:p>
              </w:tc>
              <w:tc>
                <w:tcPr>
                  <w:tcW w:w="710" w:type="pct"/>
                </w:tcPr>
                <w:p w:rsidR="00C31D40" w:rsidRPr="00C31D40" w:rsidRDefault="00C31D40" w:rsidP="00C31D40">
                  <w:pPr>
                    <w:pStyle w:val="TableBodyText"/>
                    <w:spacing w:after="0"/>
                    <w:ind w:right="28"/>
                    <w:rPr>
                      <w:rFonts w:cs="Arial"/>
                      <w:color w:val="000000"/>
                      <w:sz w:val="16"/>
                      <w:szCs w:val="16"/>
                    </w:rPr>
                  </w:pPr>
                </w:p>
              </w:tc>
              <w:tc>
                <w:tcPr>
                  <w:tcW w:w="500" w:type="pct"/>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2.31</w:t>
                  </w:r>
                </w:p>
              </w:tc>
              <w:tc>
                <w:tcPr>
                  <w:tcW w:w="487" w:type="pct"/>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0.58</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color w:val="000000"/>
                      <w:sz w:val="16"/>
                      <w:szCs w:val="16"/>
                    </w:rPr>
                  </w:pPr>
                  <w:r w:rsidRPr="00C31D40">
                    <w:rPr>
                      <w:rFonts w:cs="Arial"/>
                      <w:color w:val="000000"/>
                      <w:sz w:val="16"/>
                      <w:szCs w:val="16"/>
                    </w:rPr>
                    <w:t>ElecRetailDistn</w:t>
                  </w:r>
                </w:p>
              </w:tc>
              <w:tc>
                <w:tcPr>
                  <w:tcW w:w="33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35.91</w:t>
                  </w:r>
                </w:p>
              </w:tc>
              <w:tc>
                <w:tcPr>
                  <w:tcW w:w="26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188.11</w:t>
                  </w:r>
                </w:p>
              </w:tc>
              <w:tc>
                <w:tcPr>
                  <w:tcW w:w="425"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1211.51</w:t>
                  </w:r>
                </w:p>
              </w:tc>
              <w:tc>
                <w:tcPr>
                  <w:tcW w:w="268"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1035.15</w:t>
                  </w:r>
                </w:p>
              </w:tc>
              <w:tc>
                <w:tcPr>
                  <w:tcW w:w="287"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2.75</w:t>
                  </w:r>
                </w:p>
              </w:tc>
              <w:tc>
                <w:tcPr>
                  <w:tcW w:w="329"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2236.66</w:t>
                  </w:r>
                </w:p>
              </w:tc>
              <w:tc>
                <w:tcPr>
                  <w:tcW w:w="45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397" w:type="pct"/>
                  <w:vAlign w:val="bottom"/>
                  <w:hideMark/>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c>
                <w:tcPr>
                  <w:tcW w:w="710" w:type="pct"/>
                </w:tcPr>
                <w:p w:rsidR="00C31D40" w:rsidRPr="00C31D40" w:rsidRDefault="00C31D40" w:rsidP="00C31D40">
                  <w:pPr>
                    <w:pStyle w:val="TableBodyText"/>
                    <w:spacing w:after="0"/>
                    <w:ind w:right="28"/>
                    <w:rPr>
                      <w:rFonts w:cs="Arial"/>
                      <w:color w:val="000000"/>
                      <w:sz w:val="16"/>
                      <w:szCs w:val="16"/>
                    </w:rPr>
                  </w:pPr>
                </w:p>
              </w:tc>
              <w:tc>
                <w:tcPr>
                  <w:tcW w:w="500" w:type="pct"/>
                  <w:vAlign w:val="bottom"/>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c>
                <w:tcPr>
                  <w:tcW w:w="487" w:type="pct"/>
                  <w:vAlign w:val="bottom"/>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color w:val="000000"/>
                      <w:sz w:val="16"/>
                      <w:szCs w:val="16"/>
                    </w:rPr>
                  </w:pPr>
                  <w:r w:rsidRPr="00C31D40">
                    <w:rPr>
                      <w:rFonts w:cs="Arial"/>
                      <w:color w:val="000000"/>
                      <w:sz w:val="16"/>
                      <w:szCs w:val="16"/>
                    </w:rPr>
                    <w:t>GasRetailDistn</w:t>
                  </w:r>
                </w:p>
              </w:tc>
              <w:tc>
                <w:tcPr>
                  <w:tcW w:w="33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2.12</w:t>
                  </w:r>
                </w:p>
              </w:tc>
              <w:tc>
                <w:tcPr>
                  <w:tcW w:w="26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2.29</w:t>
                  </w:r>
                </w:p>
              </w:tc>
              <w:tc>
                <w:tcPr>
                  <w:tcW w:w="425"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375.60</w:t>
                  </w:r>
                </w:p>
              </w:tc>
              <w:tc>
                <w:tcPr>
                  <w:tcW w:w="268"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287"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0.06</w:t>
                  </w:r>
                </w:p>
              </w:tc>
              <w:tc>
                <w:tcPr>
                  <w:tcW w:w="329"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128.46</w:t>
                  </w:r>
                </w:p>
              </w:tc>
              <w:tc>
                <w:tcPr>
                  <w:tcW w:w="45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397" w:type="pct"/>
                  <w:vAlign w:val="bottom"/>
                  <w:hideMark/>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c>
                <w:tcPr>
                  <w:tcW w:w="710" w:type="pct"/>
                </w:tcPr>
                <w:p w:rsidR="00C31D40" w:rsidRPr="00C31D40" w:rsidRDefault="00C31D40" w:rsidP="00C31D40">
                  <w:pPr>
                    <w:pStyle w:val="TableBodyText"/>
                    <w:spacing w:after="0"/>
                    <w:ind w:right="28"/>
                    <w:rPr>
                      <w:rFonts w:cs="Arial"/>
                      <w:color w:val="000000"/>
                      <w:sz w:val="16"/>
                      <w:szCs w:val="16"/>
                    </w:rPr>
                  </w:pPr>
                </w:p>
              </w:tc>
              <w:tc>
                <w:tcPr>
                  <w:tcW w:w="500" w:type="pct"/>
                  <w:vAlign w:val="bottom"/>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c>
                <w:tcPr>
                  <w:tcW w:w="487" w:type="pct"/>
                  <w:vAlign w:val="bottom"/>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color w:val="000000"/>
                      <w:sz w:val="16"/>
                      <w:szCs w:val="16"/>
                    </w:rPr>
                  </w:pPr>
                  <w:r w:rsidRPr="00C31D40">
                    <w:rPr>
                      <w:rFonts w:cs="Arial"/>
                      <w:color w:val="000000"/>
                      <w:sz w:val="16"/>
                      <w:szCs w:val="16"/>
                    </w:rPr>
                    <w:t>Services</w:t>
                  </w:r>
                </w:p>
              </w:tc>
              <w:tc>
                <w:tcPr>
                  <w:tcW w:w="332" w:type="pct"/>
                  <w:vAlign w:val="bottom"/>
                  <w:hideMark/>
                </w:tcPr>
                <w:p w:rsidR="00C31D40" w:rsidRPr="00C31D40" w:rsidRDefault="00C31D40" w:rsidP="00C31D40">
                  <w:pPr>
                    <w:pStyle w:val="TableBodyText"/>
                    <w:spacing w:before="60" w:after="0"/>
                    <w:rPr>
                      <w:rFonts w:cs="Arial"/>
                      <w:color w:val="000000"/>
                      <w:sz w:val="16"/>
                      <w:szCs w:val="16"/>
                    </w:rPr>
                  </w:pPr>
                  <w:r w:rsidRPr="00C31D40">
                    <w:rPr>
                      <w:rFonts w:cs="Arial"/>
                      <w:color w:val="000000"/>
                      <w:sz w:val="16"/>
                      <w:szCs w:val="16"/>
                    </w:rPr>
                    <w:t>2070.56</w:t>
                  </w:r>
                </w:p>
              </w:tc>
              <w:tc>
                <w:tcPr>
                  <w:tcW w:w="262" w:type="pct"/>
                  <w:vAlign w:val="bottom"/>
                  <w:hideMark/>
                </w:tcPr>
                <w:p w:rsidR="00C31D40" w:rsidRPr="00C31D40" w:rsidRDefault="00C31D40" w:rsidP="00C31D40">
                  <w:pPr>
                    <w:pStyle w:val="TableBodyText"/>
                    <w:spacing w:before="60" w:after="0"/>
                    <w:rPr>
                      <w:rFonts w:cs="Arial"/>
                      <w:color w:val="000000"/>
                      <w:sz w:val="16"/>
                      <w:szCs w:val="16"/>
                    </w:rPr>
                  </w:pPr>
                  <w:r w:rsidRPr="00C31D40">
                    <w:rPr>
                      <w:rFonts w:cs="Arial"/>
                      <w:color w:val="000000"/>
                      <w:sz w:val="16"/>
                      <w:szCs w:val="16"/>
                    </w:rPr>
                    <w:t>3043.54</w:t>
                  </w:r>
                </w:p>
              </w:tc>
              <w:tc>
                <w:tcPr>
                  <w:tcW w:w="425" w:type="pct"/>
                  <w:vAlign w:val="bottom"/>
                  <w:hideMark/>
                </w:tcPr>
                <w:p w:rsidR="00C31D40" w:rsidRPr="00C31D40" w:rsidRDefault="00C31D40" w:rsidP="00C31D40">
                  <w:pPr>
                    <w:pStyle w:val="TableBodyText"/>
                    <w:spacing w:before="60" w:after="0"/>
                    <w:rPr>
                      <w:rFonts w:cs="Arial"/>
                      <w:color w:val="000000"/>
                      <w:sz w:val="16"/>
                      <w:szCs w:val="16"/>
                    </w:rPr>
                  </w:pPr>
                  <w:r w:rsidRPr="00C31D40">
                    <w:rPr>
                      <w:rFonts w:cs="Arial"/>
                      <w:color w:val="000000"/>
                      <w:sz w:val="16"/>
                      <w:szCs w:val="16"/>
                    </w:rPr>
                    <w:t>19711.15</w:t>
                  </w:r>
                </w:p>
              </w:tc>
              <w:tc>
                <w:tcPr>
                  <w:tcW w:w="268" w:type="pct"/>
                  <w:vAlign w:val="bottom"/>
                  <w:hideMark/>
                </w:tcPr>
                <w:p w:rsidR="00C31D40" w:rsidRPr="00C31D40" w:rsidRDefault="00C31D40" w:rsidP="00C31D40">
                  <w:pPr>
                    <w:pStyle w:val="TableBodyText"/>
                    <w:spacing w:before="60" w:after="0"/>
                    <w:rPr>
                      <w:rFonts w:cs="Arial"/>
                      <w:color w:val="000000"/>
                      <w:sz w:val="16"/>
                      <w:szCs w:val="16"/>
                    </w:rPr>
                  </w:pPr>
                  <w:r w:rsidRPr="00C31D40">
                    <w:rPr>
                      <w:rFonts w:cs="Arial"/>
                      <w:color w:val="000000"/>
                      <w:sz w:val="16"/>
                      <w:szCs w:val="16"/>
                    </w:rPr>
                    <w:t>570.84</w:t>
                  </w:r>
                </w:p>
              </w:tc>
              <w:tc>
                <w:tcPr>
                  <w:tcW w:w="287" w:type="pct"/>
                  <w:vAlign w:val="bottom"/>
                  <w:hideMark/>
                </w:tcPr>
                <w:p w:rsidR="00C31D40" w:rsidRPr="00C31D40" w:rsidRDefault="00C31D40" w:rsidP="00C31D40">
                  <w:pPr>
                    <w:pStyle w:val="TableBodyText"/>
                    <w:spacing w:before="60" w:after="0"/>
                    <w:rPr>
                      <w:rFonts w:cs="Arial"/>
                      <w:color w:val="000000"/>
                      <w:sz w:val="16"/>
                      <w:szCs w:val="16"/>
                    </w:rPr>
                  </w:pPr>
                  <w:r w:rsidRPr="00C31D40">
                    <w:rPr>
                      <w:rFonts w:cs="Arial"/>
                      <w:color w:val="000000"/>
                      <w:sz w:val="16"/>
                      <w:szCs w:val="16"/>
                    </w:rPr>
                    <w:t>291.33</w:t>
                  </w:r>
                </w:p>
              </w:tc>
              <w:tc>
                <w:tcPr>
                  <w:tcW w:w="329" w:type="pct"/>
                  <w:vAlign w:val="bottom"/>
                  <w:hideMark/>
                </w:tcPr>
                <w:p w:rsidR="00C31D40" w:rsidRPr="00C31D40" w:rsidRDefault="00C31D40" w:rsidP="00C31D40">
                  <w:pPr>
                    <w:pStyle w:val="TableBodyText"/>
                    <w:spacing w:before="60" w:after="0"/>
                    <w:rPr>
                      <w:rFonts w:cs="Arial"/>
                      <w:color w:val="000000"/>
                      <w:sz w:val="16"/>
                      <w:szCs w:val="16"/>
                    </w:rPr>
                  </w:pPr>
                  <w:r w:rsidRPr="00C31D40">
                    <w:rPr>
                      <w:rFonts w:cs="Arial"/>
                      <w:color w:val="000000"/>
                      <w:sz w:val="16"/>
                      <w:szCs w:val="16"/>
                    </w:rPr>
                    <w:t>126543.92</w:t>
                  </w:r>
                </w:p>
              </w:tc>
              <w:tc>
                <w:tcPr>
                  <w:tcW w:w="452" w:type="pct"/>
                  <w:vAlign w:val="bottom"/>
                  <w:hideMark/>
                </w:tcPr>
                <w:p w:rsidR="00C31D40" w:rsidRPr="00C31D40" w:rsidRDefault="00C31D40" w:rsidP="00C31D40">
                  <w:pPr>
                    <w:pStyle w:val="TableBodyText"/>
                    <w:spacing w:before="60" w:after="0"/>
                    <w:rPr>
                      <w:rFonts w:cs="Arial"/>
                      <w:color w:val="000000"/>
                      <w:sz w:val="16"/>
                      <w:szCs w:val="16"/>
                    </w:rPr>
                  </w:pPr>
                  <w:r w:rsidRPr="00C31D40">
                    <w:rPr>
                      <w:rFonts w:cs="Arial"/>
                      <w:color w:val="000000"/>
                      <w:sz w:val="16"/>
                      <w:szCs w:val="16"/>
                    </w:rPr>
                    <w:t>49.77</w:t>
                  </w:r>
                </w:p>
              </w:tc>
              <w:tc>
                <w:tcPr>
                  <w:tcW w:w="397" w:type="pct"/>
                  <w:vAlign w:val="bottom"/>
                  <w:hideMark/>
                </w:tcPr>
                <w:p w:rsidR="00C31D40" w:rsidRPr="00C31D40" w:rsidRDefault="00C31D40" w:rsidP="00C31D40">
                  <w:pPr>
                    <w:pStyle w:val="TableBodyText"/>
                    <w:spacing w:before="60" w:after="0"/>
                    <w:ind w:right="28"/>
                    <w:rPr>
                      <w:rFonts w:cs="Arial"/>
                      <w:color w:val="000000"/>
                      <w:sz w:val="16"/>
                      <w:szCs w:val="16"/>
                    </w:rPr>
                  </w:pPr>
                  <w:r w:rsidRPr="00C31D40">
                    <w:rPr>
                      <w:rFonts w:cs="Arial"/>
                      <w:color w:val="000000"/>
                      <w:sz w:val="16"/>
                      <w:szCs w:val="16"/>
                    </w:rPr>
                    <w:t>3.51</w:t>
                  </w:r>
                </w:p>
              </w:tc>
              <w:tc>
                <w:tcPr>
                  <w:tcW w:w="710" w:type="pct"/>
                </w:tcPr>
                <w:p w:rsidR="00C31D40" w:rsidRPr="00C31D40" w:rsidRDefault="00C31D40" w:rsidP="00C31D40">
                  <w:pPr>
                    <w:pStyle w:val="TableBodyText"/>
                    <w:spacing w:before="60" w:after="0"/>
                    <w:ind w:right="28"/>
                    <w:rPr>
                      <w:rFonts w:cs="Arial"/>
                      <w:color w:val="000000"/>
                      <w:sz w:val="16"/>
                      <w:szCs w:val="16"/>
                    </w:rPr>
                  </w:pPr>
                </w:p>
              </w:tc>
              <w:tc>
                <w:tcPr>
                  <w:tcW w:w="500" w:type="pct"/>
                  <w:vAlign w:val="bottom"/>
                </w:tcPr>
                <w:p w:rsidR="00C31D40" w:rsidRPr="00C31D40" w:rsidRDefault="00C31D40" w:rsidP="00C31D40">
                  <w:pPr>
                    <w:pStyle w:val="TableBodyText"/>
                    <w:spacing w:before="60" w:after="0"/>
                    <w:ind w:right="28"/>
                    <w:rPr>
                      <w:rFonts w:cs="Arial"/>
                      <w:color w:val="000000"/>
                      <w:sz w:val="16"/>
                      <w:szCs w:val="16"/>
                    </w:rPr>
                  </w:pPr>
                  <w:r w:rsidRPr="00C31D40">
                    <w:rPr>
                      <w:rFonts w:cs="Arial"/>
                      <w:color w:val="000000"/>
                      <w:sz w:val="16"/>
                      <w:szCs w:val="16"/>
                    </w:rPr>
                    <w:t>4.11</w:t>
                  </w:r>
                </w:p>
              </w:tc>
              <w:tc>
                <w:tcPr>
                  <w:tcW w:w="487" w:type="pct"/>
                  <w:vAlign w:val="bottom"/>
                </w:tcPr>
                <w:p w:rsidR="00C31D40" w:rsidRPr="00C31D40" w:rsidRDefault="00C31D40" w:rsidP="00C31D40">
                  <w:pPr>
                    <w:pStyle w:val="TableBodyText"/>
                    <w:spacing w:before="60" w:after="0"/>
                    <w:ind w:right="28"/>
                    <w:rPr>
                      <w:rFonts w:cs="Arial"/>
                      <w:color w:val="000000"/>
                      <w:sz w:val="16"/>
                      <w:szCs w:val="16"/>
                    </w:rPr>
                  </w:pPr>
                  <w:r w:rsidRPr="00C31D40">
                    <w:rPr>
                      <w:rFonts w:cs="Arial"/>
                      <w:color w:val="000000"/>
                      <w:sz w:val="16"/>
                      <w:szCs w:val="16"/>
                    </w:rPr>
                    <w:t>1.03</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color w:val="000000"/>
                      <w:sz w:val="16"/>
                      <w:szCs w:val="16"/>
                    </w:rPr>
                  </w:pPr>
                  <w:r w:rsidRPr="00C31D40">
                    <w:rPr>
                      <w:rFonts w:cs="Arial"/>
                      <w:color w:val="000000"/>
                      <w:sz w:val="16"/>
                      <w:szCs w:val="16"/>
                    </w:rPr>
                    <w:t>BrownCoalGen</w:t>
                  </w:r>
                </w:p>
              </w:tc>
              <w:tc>
                <w:tcPr>
                  <w:tcW w:w="33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26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425"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268"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287"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329"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45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397" w:type="pct"/>
                  <w:vAlign w:val="bottom"/>
                  <w:hideMark/>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c>
                <w:tcPr>
                  <w:tcW w:w="710" w:type="pct"/>
                </w:tcPr>
                <w:p w:rsidR="00C31D40" w:rsidRPr="00C31D40" w:rsidRDefault="00C31D40" w:rsidP="00C31D40">
                  <w:pPr>
                    <w:pStyle w:val="TableBodyText"/>
                    <w:spacing w:after="0"/>
                    <w:ind w:right="28"/>
                    <w:rPr>
                      <w:rFonts w:cs="Arial"/>
                      <w:color w:val="000000"/>
                      <w:sz w:val="16"/>
                      <w:szCs w:val="16"/>
                    </w:rPr>
                  </w:pPr>
                </w:p>
              </w:tc>
              <w:tc>
                <w:tcPr>
                  <w:tcW w:w="500" w:type="pct"/>
                  <w:vAlign w:val="bottom"/>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c>
                <w:tcPr>
                  <w:tcW w:w="487" w:type="pct"/>
                  <w:vAlign w:val="bottom"/>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color w:val="000000"/>
                      <w:sz w:val="16"/>
                      <w:szCs w:val="16"/>
                    </w:rPr>
                  </w:pPr>
                  <w:r w:rsidRPr="00C31D40">
                    <w:rPr>
                      <w:rFonts w:cs="Arial"/>
                      <w:color w:val="000000"/>
                      <w:sz w:val="16"/>
                      <w:szCs w:val="16"/>
                    </w:rPr>
                    <w:t>BlackCoalGen</w:t>
                  </w:r>
                </w:p>
              </w:tc>
              <w:tc>
                <w:tcPr>
                  <w:tcW w:w="33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26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425"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268"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287"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329"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452" w:type="pct"/>
                  <w:vAlign w:val="bottom"/>
                  <w:hideMark/>
                </w:tcPr>
                <w:p w:rsidR="00C31D40" w:rsidRPr="00C31D40" w:rsidRDefault="00C31D40" w:rsidP="00C31D40">
                  <w:pPr>
                    <w:pStyle w:val="TableBodyText"/>
                    <w:spacing w:after="0"/>
                    <w:rPr>
                      <w:rFonts w:cs="Arial"/>
                      <w:color w:val="000000"/>
                      <w:sz w:val="16"/>
                      <w:szCs w:val="16"/>
                    </w:rPr>
                  </w:pPr>
                  <w:r w:rsidRPr="00C31D40">
                    <w:rPr>
                      <w:rFonts w:cs="Arial"/>
                      <w:color w:val="000000"/>
                      <w:sz w:val="16"/>
                      <w:szCs w:val="16"/>
                    </w:rPr>
                    <w:t>0.00</w:t>
                  </w:r>
                </w:p>
              </w:tc>
              <w:tc>
                <w:tcPr>
                  <w:tcW w:w="397" w:type="pct"/>
                  <w:vAlign w:val="bottom"/>
                  <w:hideMark/>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c>
                <w:tcPr>
                  <w:tcW w:w="710" w:type="pct"/>
                </w:tcPr>
                <w:p w:rsidR="00C31D40" w:rsidRPr="00C31D40" w:rsidRDefault="00C31D40" w:rsidP="00C31D40">
                  <w:pPr>
                    <w:pStyle w:val="TableBodyText"/>
                    <w:spacing w:after="0"/>
                    <w:ind w:right="28"/>
                    <w:rPr>
                      <w:rFonts w:cs="Arial"/>
                      <w:color w:val="000000"/>
                      <w:sz w:val="16"/>
                      <w:szCs w:val="16"/>
                    </w:rPr>
                  </w:pPr>
                </w:p>
              </w:tc>
              <w:tc>
                <w:tcPr>
                  <w:tcW w:w="500" w:type="pct"/>
                  <w:vAlign w:val="bottom"/>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c>
                <w:tcPr>
                  <w:tcW w:w="487" w:type="pct"/>
                  <w:vAlign w:val="bottom"/>
                </w:tcPr>
                <w:p w:rsidR="00C31D40" w:rsidRPr="00C31D40" w:rsidRDefault="00C31D40" w:rsidP="00C31D40">
                  <w:pPr>
                    <w:pStyle w:val="TableBodyText"/>
                    <w:spacing w:after="0"/>
                    <w:ind w:right="28"/>
                    <w:rPr>
                      <w:rFonts w:cs="Arial"/>
                      <w:color w:val="000000"/>
                      <w:sz w:val="16"/>
                      <w:szCs w:val="16"/>
                    </w:rPr>
                  </w:pPr>
                  <w:r w:rsidRPr="00C31D40">
                    <w:rPr>
                      <w:rFonts w:cs="Arial"/>
                      <w:color w:val="000000"/>
                      <w:sz w:val="16"/>
                      <w:szCs w:val="16"/>
                    </w:rPr>
                    <w:t>0.00</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i/>
                    </w:rPr>
                  </w:pPr>
                  <w:r w:rsidRPr="00C31D40">
                    <w:rPr>
                      <w:rFonts w:cs="Arial"/>
                      <w:color w:val="000000"/>
                      <w:sz w:val="16"/>
                      <w:szCs w:val="16"/>
                    </w:rPr>
                    <w:t>GasCombCycGen</w:t>
                  </w:r>
                </w:p>
              </w:tc>
              <w:tc>
                <w:tcPr>
                  <w:tcW w:w="33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6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425"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68"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87"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329"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45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397" w:type="pct"/>
                  <w:vAlign w:val="bottom"/>
                  <w:hideMark/>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c>
                <w:tcPr>
                  <w:tcW w:w="710" w:type="pct"/>
                </w:tcPr>
                <w:p w:rsidR="00C31D40" w:rsidRPr="00C31D40" w:rsidRDefault="00C31D40" w:rsidP="00C31D40">
                  <w:pPr>
                    <w:pStyle w:val="TableBodyText"/>
                    <w:spacing w:after="0"/>
                    <w:ind w:right="28"/>
                    <w:rPr>
                      <w:rFonts w:cs="Arial"/>
                      <w:color w:val="000000"/>
                      <w:sz w:val="16"/>
                      <w:szCs w:val="16"/>
                    </w:rPr>
                  </w:pPr>
                </w:p>
              </w:tc>
              <w:tc>
                <w:tcPr>
                  <w:tcW w:w="500" w:type="pct"/>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c>
                <w:tcPr>
                  <w:tcW w:w="487" w:type="pct"/>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r>
            <w:tr w:rsidR="00C31D40" w:rsidRPr="00C31D40" w:rsidTr="00C31D40">
              <w:tc>
                <w:tcPr>
                  <w:tcW w:w="552" w:type="pct"/>
                  <w:vAlign w:val="bottom"/>
                  <w:hideMark/>
                </w:tcPr>
                <w:p w:rsidR="00C31D40" w:rsidRPr="00C31D40" w:rsidRDefault="00C31D40" w:rsidP="00C31D40">
                  <w:pPr>
                    <w:pStyle w:val="TableBodyText"/>
                    <w:spacing w:after="0"/>
                    <w:jc w:val="left"/>
                    <w:rPr>
                      <w:rFonts w:cs="Arial"/>
                      <w:i/>
                    </w:rPr>
                  </w:pPr>
                  <w:r w:rsidRPr="00C31D40">
                    <w:rPr>
                      <w:rFonts w:cs="Arial"/>
                      <w:color w:val="000000"/>
                      <w:sz w:val="16"/>
                      <w:szCs w:val="16"/>
                    </w:rPr>
                    <w:t>GasOpenCycGen</w:t>
                  </w:r>
                </w:p>
              </w:tc>
              <w:tc>
                <w:tcPr>
                  <w:tcW w:w="33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6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425"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68"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87"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329"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452" w:type="pct"/>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397" w:type="pct"/>
                  <w:vAlign w:val="bottom"/>
                  <w:hideMark/>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c>
                <w:tcPr>
                  <w:tcW w:w="710" w:type="pct"/>
                </w:tcPr>
                <w:p w:rsidR="00C31D40" w:rsidRPr="00C31D40" w:rsidRDefault="00C31D40" w:rsidP="00C31D40">
                  <w:pPr>
                    <w:pStyle w:val="TableBodyText"/>
                    <w:spacing w:after="0"/>
                    <w:ind w:right="28"/>
                    <w:rPr>
                      <w:rFonts w:cs="Arial"/>
                      <w:color w:val="000000"/>
                      <w:sz w:val="16"/>
                      <w:szCs w:val="16"/>
                    </w:rPr>
                  </w:pPr>
                </w:p>
              </w:tc>
              <w:tc>
                <w:tcPr>
                  <w:tcW w:w="500" w:type="pct"/>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c>
                <w:tcPr>
                  <w:tcW w:w="487" w:type="pct"/>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hideMark/>
                </w:tcPr>
                <w:p w:rsidR="00C31D40" w:rsidRPr="00C31D40" w:rsidRDefault="00C31D40" w:rsidP="00C31D40">
                  <w:pPr>
                    <w:pStyle w:val="TableBodyText"/>
                    <w:spacing w:after="0"/>
                    <w:jc w:val="left"/>
                    <w:rPr>
                      <w:rFonts w:cs="Arial"/>
                    </w:rPr>
                  </w:pPr>
                  <w:r w:rsidRPr="00C31D40">
                    <w:rPr>
                      <w:rFonts w:cs="Arial"/>
                      <w:color w:val="000000"/>
                      <w:sz w:val="16"/>
                      <w:szCs w:val="16"/>
                    </w:rPr>
                    <w:t>WindGen</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62" w:type="pct"/>
                  <w:tcBorders>
                    <w:top w:val="nil"/>
                    <w:left w:val="nil"/>
                    <w:bottom w:val="nil"/>
                    <w:right w:val="nil"/>
                  </w:tcBorders>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425" w:type="pct"/>
                  <w:tcBorders>
                    <w:top w:val="nil"/>
                    <w:left w:val="nil"/>
                    <w:bottom w:val="nil"/>
                    <w:right w:val="nil"/>
                  </w:tcBorders>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68" w:type="pct"/>
                  <w:tcBorders>
                    <w:top w:val="nil"/>
                    <w:left w:val="nil"/>
                    <w:bottom w:val="nil"/>
                    <w:right w:val="nil"/>
                  </w:tcBorders>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287" w:type="pct"/>
                  <w:tcBorders>
                    <w:top w:val="nil"/>
                    <w:left w:val="nil"/>
                    <w:bottom w:val="nil"/>
                    <w:right w:val="nil"/>
                  </w:tcBorders>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329" w:type="pct"/>
                  <w:tcBorders>
                    <w:top w:val="nil"/>
                    <w:left w:val="nil"/>
                    <w:bottom w:val="nil"/>
                    <w:right w:val="nil"/>
                  </w:tcBorders>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452" w:type="pct"/>
                  <w:tcBorders>
                    <w:top w:val="nil"/>
                    <w:left w:val="nil"/>
                    <w:bottom w:val="nil"/>
                    <w:right w:val="nil"/>
                  </w:tcBorders>
                  <w:vAlign w:val="bottom"/>
                  <w:hideMark/>
                </w:tcPr>
                <w:p w:rsidR="00C31D40" w:rsidRPr="00C31D40" w:rsidRDefault="00C31D40" w:rsidP="00C31D40">
                  <w:pPr>
                    <w:pStyle w:val="TableBodyText"/>
                    <w:spacing w:after="0"/>
                    <w:rPr>
                      <w:rFonts w:cs="Arial"/>
                      <w:i/>
                    </w:rPr>
                  </w:pPr>
                  <w:r w:rsidRPr="00C31D40">
                    <w:rPr>
                      <w:rFonts w:cs="Arial"/>
                      <w:color w:val="000000"/>
                      <w:sz w:val="16"/>
                      <w:szCs w:val="16"/>
                    </w:rPr>
                    <w:t>0.00</w:t>
                  </w:r>
                </w:p>
              </w:tc>
              <w:tc>
                <w:tcPr>
                  <w:tcW w:w="397" w:type="pct"/>
                  <w:tcBorders>
                    <w:top w:val="nil"/>
                    <w:left w:val="nil"/>
                    <w:bottom w:val="nil"/>
                    <w:right w:val="nil"/>
                  </w:tcBorders>
                  <w:vAlign w:val="bottom"/>
                  <w:hideMark/>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i/>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BulkElectSupplyB1</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3.55</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11.74</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79.82</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264.16</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0.18</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176.83</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BulkElectSupplyB2</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1.24</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4.12</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27.99</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92.65</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0.06</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62.02</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BulkElectSupplyB3</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6.03</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25.33</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168.89</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579.04</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0.39</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325.71</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BulkElectSupplyB4</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1.99</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13.27</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86.24</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291.88</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0.20</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145.94</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BulkElectSupplyB5</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0.03</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0.28</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1.74</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5.80</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2.90</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BrownCoalProd</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200.38</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BlackCoalProd</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7.18</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180.39</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1.73</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141.73</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73.28</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GasProd</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5.07</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16.94</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909.10</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0.39</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347.61</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314.72</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33.98</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Labour</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3350.79</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1950.12</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15313.83</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98.86</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24.30</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110842.58</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233.30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16.45</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19.28</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4.81</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Capital</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3276.49</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6000.06</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9855.93</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3418.22</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340.39</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72244.45</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1630.49</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99.39</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147.73</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76.19</w:t>
                  </w:r>
                </w:p>
              </w:tc>
            </w:tr>
            <w:tr w:rsidR="00C31D40" w:rsidRPr="00C31D40" w:rsidTr="00C31D40">
              <w:tc>
                <w:tcPr>
                  <w:tcW w:w="552" w:type="pct"/>
                  <w:tcBorders>
                    <w:top w:val="nil"/>
                    <w:left w:val="nil"/>
                    <w:bottom w:val="nil"/>
                    <w:right w:val="nil"/>
                  </w:tcBorders>
                  <w:vAlign w:val="bottom"/>
                </w:tcPr>
                <w:p w:rsidR="00C31D40" w:rsidRPr="00C31D40" w:rsidRDefault="00C31D40" w:rsidP="00C31D40">
                  <w:pPr>
                    <w:pStyle w:val="TableBodyText"/>
                    <w:spacing w:after="0"/>
                    <w:jc w:val="left"/>
                    <w:rPr>
                      <w:rFonts w:cs="Arial"/>
                    </w:rPr>
                  </w:pPr>
                  <w:r w:rsidRPr="00C31D40">
                    <w:rPr>
                      <w:rFonts w:cs="Arial"/>
                      <w:color w:val="000000"/>
                      <w:sz w:val="16"/>
                      <w:szCs w:val="16"/>
                    </w:rPr>
                    <w:t>Land</w:t>
                  </w:r>
                </w:p>
              </w:tc>
              <w:tc>
                <w:tcPr>
                  <w:tcW w:w="33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1728.24</w:t>
                  </w:r>
                </w:p>
              </w:tc>
              <w:tc>
                <w:tcPr>
                  <w:tcW w:w="26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2426.15</w:t>
                  </w:r>
                </w:p>
              </w:tc>
              <w:tc>
                <w:tcPr>
                  <w:tcW w:w="425"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68"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287"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29"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452" w:type="pct"/>
                  <w:tcBorders>
                    <w:top w:val="nil"/>
                    <w:left w:val="nil"/>
                    <w:bottom w:val="nil"/>
                    <w:right w:val="nil"/>
                  </w:tcBorders>
                  <w:vAlign w:val="bottom"/>
                </w:tcPr>
                <w:p w:rsidR="00C31D40" w:rsidRPr="00C31D40" w:rsidRDefault="00C31D40" w:rsidP="00C31D40">
                  <w:pPr>
                    <w:pStyle w:val="TableBodyText"/>
                    <w:spacing w:after="0"/>
                    <w:rPr>
                      <w:rFonts w:cs="Arial"/>
                    </w:rPr>
                  </w:pPr>
                  <w:r w:rsidRPr="00C31D40">
                    <w:rPr>
                      <w:rFonts w:cs="Arial"/>
                      <w:color w:val="000000"/>
                      <w:sz w:val="16"/>
                      <w:szCs w:val="16"/>
                    </w:rPr>
                    <w:t>0.00</w:t>
                  </w:r>
                </w:p>
              </w:tc>
              <w:tc>
                <w:tcPr>
                  <w:tcW w:w="39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710" w:type="pct"/>
                  <w:tcBorders>
                    <w:top w:val="nil"/>
                    <w:left w:val="nil"/>
                    <w:bottom w:val="nil"/>
                    <w:right w:val="nil"/>
                  </w:tcBorders>
                </w:tcPr>
                <w:p w:rsidR="00C31D40" w:rsidRPr="00C31D40" w:rsidRDefault="00C31D40" w:rsidP="00C31D40">
                  <w:pPr>
                    <w:pStyle w:val="TableBodyText"/>
                    <w:spacing w:after="0"/>
                    <w:ind w:right="28"/>
                    <w:rPr>
                      <w:rFonts w:cs="Arial"/>
                      <w:color w:val="000000"/>
                      <w:sz w:val="16"/>
                      <w:szCs w:val="16"/>
                    </w:rPr>
                  </w:pPr>
                </w:p>
              </w:tc>
              <w:tc>
                <w:tcPr>
                  <w:tcW w:w="500"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c>
                <w:tcPr>
                  <w:tcW w:w="487" w:type="pct"/>
                  <w:tcBorders>
                    <w:top w:val="nil"/>
                    <w:left w:val="nil"/>
                    <w:bottom w:val="nil"/>
                    <w:right w:val="nil"/>
                  </w:tcBorders>
                  <w:vAlign w:val="bottom"/>
                </w:tcPr>
                <w:p w:rsidR="00C31D40" w:rsidRPr="00C31D40" w:rsidRDefault="00C31D40" w:rsidP="00C31D40">
                  <w:pPr>
                    <w:pStyle w:val="TableBodyText"/>
                    <w:spacing w:after="0"/>
                    <w:ind w:right="28"/>
                    <w:rPr>
                      <w:rFonts w:cs="Arial"/>
                    </w:rPr>
                  </w:pPr>
                  <w:r w:rsidRPr="00C31D40">
                    <w:rPr>
                      <w:rFonts w:cs="Arial"/>
                      <w:color w:val="000000"/>
                      <w:sz w:val="16"/>
                      <w:szCs w:val="16"/>
                    </w:rPr>
                    <w:t>0.00</w:t>
                  </w:r>
                </w:p>
              </w:tc>
            </w:tr>
            <w:tr w:rsidR="00C31D40" w:rsidRPr="00C31D40" w:rsidTr="00C31D40">
              <w:tc>
                <w:tcPr>
                  <w:tcW w:w="5000" w:type="pct"/>
                  <w:gridSpan w:val="12"/>
                  <w:tcBorders>
                    <w:top w:val="nil"/>
                    <w:left w:val="nil"/>
                    <w:bottom w:val="single" w:sz="6" w:space="0" w:color="BFBFBF"/>
                    <w:right w:val="nil"/>
                  </w:tcBorders>
                  <w:vAlign w:val="bottom"/>
                </w:tcPr>
                <w:p w:rsidR="00C31D40" w:rsidRPr="00AE5CE2" w:rsidRDefault="00C31D40" w:rsidP="00C31D40">
                  <w:pPr>
                    <w:pStyle w:val="TableBodyText"/>
                    <w:spacing w:before="80"/>
                    <w:ind w:right="28"/>
                    <w:rPr>
                      <w:rFonts w:cs="Arial"/>
                      <w:color w:val="000000"/>
                      <w:szCs w:val="18"/>
                    </w:rPr>
                  </w:pPr>
                  <w:r w:rsidRPr="00AE5CE2">
                    <w:rPr>
                      <w:rFonts w:cs="Arial"/>
                      <w:color w:val="000000"/>
                      <w:szCs w:val="18"/>
                    </w:rPr>
                    <w:t>(continued next page)</w:t>
                  </w:r>
                </w:p>
              </w:tc>
            </w:tr>
          </w:tbl>
          <w:p w:rsidR="00C31D40" w:rsidRDefault="00C31D40" w:rsidP="00476DFA">
            <w:pPr>
              <w:pStyle w:val="Box"/>
            </w:pPr>
          </w:p>
        </w:tc>
      </w:tr>
      <w:tr w:rsidR="00C31D40" w:rsidTr="00476DFA">
        <w:tc>
          <w:tcPr>
            <w:tcW w:w="5000" w:type="pct"/>
            <w:tcBorders>
              <w:top w:val="nil"/>
              <w:left w:val="nil"/>
              <w:bottom w:val="single" w:sz="6" w:space="0" w:color="78A22F"/>
              <w:right w:val="nil"/>
            </w:tcBorders>
            <w:shd w:val="clear" w:color="auto" w:fill="auto"/>
          </w:tcPr>
          <w:p w:rsidR="00C31D40" w:rsidRDefault="00C31D40" w:rsidP="00476DFA">
            <w:pPr>
              <w:pStyle w:val="Box"/>
              <w:spacing w:before="0" w:line="120" w:lineRule="exact"/>
            </w:pPr>
          </w:p>
        </w:tc>
      </w:tr>
      <w:tr w:rsidR="00C31D40" w:rsidRPr="000863A5" w:rsidTr="00476DFA">
        <w:tc>
          <w:tcPr>
            <w:tcW w:w="5000" w:type="pct"/>
            <w:tcBorders>
              <w:top w:val="single" w:sz="6" w:space="0" w:color="78A22F"/>
              <w:left w:val="nil"/>
              <w:bottom w:val="nil"/>
              <w:right w:val="nil"/>
            </w:tcBorders>
          </w:tcPr>
          <w:p w:rsidR="00C31D40" w:rsidRPr="00626D32" w:rsidRDefault="00C31D40" w:rsidP="00476DFA">
            <w:pPr>
              <w:pStyle w:val="BoxSpaceBelow"/>
            </w:pPr>
          </w:p>
        </w:tc>
      </w:tr>
    </w:tbl>
    <w:p w:rsidR="00965C6A" w:rsidRDefault="00965C6A" w:rsidP="00965C6A">
      <w:r>
        <w:br w:type="page"/>
      </w:r>
    </w:p>
    <w:p w:rsidR="00AE5CE2" w:rsidRDefault="00AE5CE2" w:rsidP="00AE5CE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AE5CE2" w:rsidTr="00476DFA">
        <w:trPr>
          <w:tblHeader/>
        </w:trPr>
        <w:tc>
          <w:tcPr>
            <w:tcW w:w="5000" w:type="pct"/>
            <w:tcBorders>
              <w:top w:val="single" w:sz="6" w:space="0" w:color="78A22F"/>
              <w:left w:val="nil"/>
              <w:bottom w:val="nil"/>
              <w:right w:val="nil"/>
            </w:tcBorders>
            <w:shd w:val="clear" w:color="auto" w:fill="auto"/>
          </w:tcPr>
          <w:p w:rsidR="00AE5CE2" w:rsidRPr="00784A05" w:rsidRDefault="00AE5CE2" w:rsidP="00476DFA">
            <w:pPr>
              <w:pStyle w:val="TableTitle"/>
            </w:pPr>
            <w:r>
              <w:rPr>
                <w:b w:val="0"/>
              </w:rPr>
              <w:t>Table 2</w:t>
            </w:r>
            <w:r>
              <w:tab/>
            </w:r>
            <w:r w:rsidRPr="00C31D40">
              <w:rPr>
                <w:b w:val="0"/>
                <w:sz w:val="18"/>
                <w:szCs w:val="18"/>
              </w:rPr>
              <w:t>(continued)</w:t>
            </w:r>
          </w:p>
        </w:tc>
      </w:tr>
      <w:tr w:rsidR="00AE5CE2" w:rsidTr="00476DF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4A0" w:firstRow="1" w:lastRow="0" w:firstColumn="1" w:lastColumn="0" w:noHBand="0" w:noVBand="1"/>
            </w:tblPr>
            <w:tblGrid>
              <w:gridCol w:w="1523"/>
              <w:gridCol w:w="1163"/>
              <w:gridCol w:w="1163"/>
              <w:gridCol w:w="1283"/>
              <w:gridCol w:w="1219"/>
              <w:gridCol w:w="1163"/>
              <w:gridCol w:w="1163"/>
              <w:gridCol w:w="1163"/>
              <w:gridCol w:w="1162"/>
              <w:gridCol w:w="1165"/>
              <w:gridCol w:w="1157"/>
            </w:tblGrid>
            <w:tr w:rsidR="00AE5CE2" w:rsidRPr="00C31D40" w:rsidTr="00476DFA">
              <w:tc>
                <w:tcPr>
                  <w:tcW w:w="571" w:type="pct"/>
                  <w:tcBorders>
                    <w:top w:val="single" w:sz="6" w:space="0" w:color="BFBFBF"/>
                    <w:left w:val="nil"/>
                    <w:bottom w:val="single" w:sz="6" w:space="0" w:color="BFBFBF"/>
                    <w:right w:val="nil"/>
                  </w:tcBorders>
                  <w:vAlign w:val="bottom"/>
                </w:tcPr>
                <w:p w:rsidR="00AE5CE2" w:rsidRPr="00C31D40" w:rsidRDefault="00AE5CE2" w:rsidP="00476DFA">
                  <w:pPr>
                    <w:pStyle w:val="TableColumnHeading"/>
                    <w:spacing w:after="0"/>
                    <w:jc w:val="left"/>
                    <w:rPr>
                      <w:rFonts w:cs="Arial"/>
                      <w:szCs w:val="24"/>
                    </w:rPr>
                  </w:pPr>
                </w:p>
              </w:tc>
              <w:tc>
                <w:tcPr>
                  <w:tcW w:w="436" w:type="pct"/>
                  <w:tcBorders>
                    <w:top w:val="single" w:sz="6" w:space="0" w:color="BFBFBF"/>
                    <w:left w:val="nil"/>
                    <w:bottom w:val="single" w:sz="6" w:space="0" w:color="BFBFBF"/>
                    <w:right w:val="nil"/>
                  </w:tcBorders>
                  <w:vAlign w:val="bottom"/>
                  <w:hideMark/>
                </w:tcPr>
                <w:p w:rsidR="00AE5CE2" w:rsidRPr="00C31D40" w:rsidRDefault="00AE5CE2" w:rsidP="00476DFA">
                  <w:pPr>
                    <w:pStyle w:val="TableColumnHeading"/>
                    <w:spacing w:after="0"/>
                    <w:rPr>
                      <w:rFonts w:cs="Arial"/>
                    </w:rPr>
                  </w:pPr>
                  <w:r w:rsidRPr="00C31D40">
                    <w:rPr>
                      <w:rFonts w:cs="Arial"/>
                      <w:color w:val="000000"/>
                      <w:sz w:val="16"/>
                      <w:szCs w:val="16"/>
                    </w:rPr>
                    <w:t>WindGen</w:t>
                  </w:r>
                </w:p>
              </w:tc>
              <w:tc>
                <w:tcPr>
                  <w:tcW w:w="436" w:type="pct"/>
                  <w:tcBorders>
                    <w:top w:val="single" w:sz="6" w:space="0" w:color="BFBFBF"/>
                    <w:left w:val="nil"/>
                    <w:bottom w:val="single" w:sz="6" w:space="0" w:color="BFBFBF"/>
                    <w:right w:val="nil"/>
                  </w:tcBorders>
                  <w:vAlign w:val="bottom"/>
                  <w:hideMark/>
                </w:tcPr>
                <w:p w:rsidR="00AE5CE2" w:rsidRPr="00C31D40" w:rsidRDefault="00AE5CE2" w:rsidP="00476DFA">
                  <w:pPr>
                    <w:pStyle w:val="TableColumnHeading"/>
                    <w:spacing w:after="0"/>
                    <w:rPr>
                      <w:rFonts w:cs="Arial"/>
                    </w:rPr>
                  </w:pPr>
                  <w:r w:rsidRPr="00C31D40">
                    <w:rPr>
                      <w:rFonts w:cs="Arial"/>
                      <w:color w:val="000000"/>
                      <w:sz w:val="16"/>
                      <w:szCs w:val="16"/>
                    </w:rPr>
                    <w:t>ElecTrans</w:t>
                  </w:r>
                </w:p>
              </w:tc>
              <w:tc>
                <w:tcPr>
                  <w:tcW w:w="481" w:type="pct"/>
                  <w:tcBorders>
                    <w:top w:val="single" w:sz="6" w:space="0" w:color="BFBFBF"/>
                    <w:left w:val="nil"/>
                    <w:bottom w:val="single" w:sz="6" w:space="0" w:color="BFBFBF"/>
                    <w:right w:val="nil"/>
                  </w:tcBorders>
                  <w:vAlign w:val="bottom"/>
                  <w:hideMark/>
                </w:tcPr>
                <w:p w:rsidR="00AE5CE2" w:rsidRPr="00C31D40" w:rsidRDefault="00AE5CE2" w:rsidP="00476DFA">
                  <w:pPr>
                    <w:pStyle w:val="TableColumnHeading"/>
                    <w:spacing w:after="0"/>
                    <w:rPr>
                      <w:rFonts w:cs="Arial"/>
                    </w:rPr>
                  </w:pPr>
                  <w:r w:rsidRPr="00C31D40">
                    <w:rPr>
                      <w:rFonts w:cs="Arial"/>
                      <w:color w:val="000000"/>
                      <w:sz w:val="16"/>
                      <w:szCs w:val="16"/>
                    </w:rPr>
                    <w:t>BrownCoalProd</w:t>
                  </w:r>
                </w:p>
              </w:tc>
              <w:tc>
                <w:tcPr>
                  <w:tcW w:w="457" w:type="pct"/>
                  <w:tcBorders>
                    <w:top w:val="single" w:sz="6" w:space="0" w:color="BFBFBF"/>
                    <w:left w:val="nil"/>
                    <w:bottom w:val="single" w:sz="6" w:space="0" w:color="BFBFBF"/>
                    <w:right w:val="nil"/>
                  </w:tcBorders>
                  <w:vAlign w:val="bottom"/>
                  <w:hideMark/>
                </w:tcPr>
                <w:p w:rsidR="00AE5CE2" w:rsidRPr="00C31D40" w:rsidRDefault="00AE5CE2" w:rsidP="00476DFA">
                  <w:pPr>
                    <w:pStyle w:val="TableColumnHeading"/>
                    <w:spacing w:after="0"/>
                    <w:rPr>
                      <w:rFonts w:cs="Arial"/>
                    </w:rPr>
                  </w:pPr>
                  <w:r w:rsidRPr="00C31D40">
                    <w:rPr>
                      <w:rFonts w:cs="Arial"/>
                      <w:color w:val="000000"/>
                      <w:sz w:val="16"/>
                      <w:szCs w:val="16"/>
                    </w:rPr>
                    <w:t>BlackCoalProd</w:t>
                  </w:r>
                </w:p>
              </w:tc>
              <w:tc>
                <w:tcPr>
                  <w:tcW w:w="436" w:type="pct"/>
                  <w:tcBorders>
                    <w:top w:val="single" w:sz="6" w:space="0" w:color="BFBFBF"/>
                    <w:left w:val="nil"/>
                    <w:bottom w:val="single" w:sz="6" w:space="0" w:color="BFBFBF"/>
                    <w:right w:val="nil"/>
                  </w:tcBorders>
                  <w:vAlign w:val="bottom"/>
                  <w:hideMark/>
                </w:tcPr>
                <w:p w:rsidR="00AE5CE2" w:rsidRPr="00C31D40" w:rsidRDefault="00AE5CE2" w:rsidP="00476DFA">
                  <w:pPr>
                    <w:pStyle w:val="TableColumnHeading"/>
                    <w:spacing w:after="0"/>
                    <w:rPr>
                      <w:rFonts w:cs="Arial"/>
                    </w:rPr>
                  </w:pPr>
                  <w:r w:rsidRPr="00C31D40">
                    <w:rPr>
                      <w:rFonts w:cs="Arial"/>
                      <w:color w:val="000000"/>
                      <w:sz w:val="16"/>
                      <w:szCs w:val="16"/>
                    </w:rPr>
                    <w:t>GasProd</w:t>
                  </w:r>
                </w:p>
              </w:tc>
              <w:tc>
                <w:tcPr>
                  <w:tcW w:w="436" w:type="pct"/>
                  <w:tcBorders>
                    <w:top w:val="single" w:sz="6" w:space="0" w:color="BFBFBF"/>
                    <w:left w:val="nil"/>
                    <w:bottom w:val="single" w:sz="6" w:space="0" w:color="BFBFBF"/>
                    <w:right w:val="nil"/>
                  </w:tcBorders>
                  <w:vAlign w:val="bottom"/>
                  <w:hideMark/>
                </w:tcPr>
                <w:p w:rsidR="00AE5CE2" w:rsidRPr="00C31D40" w:rsidRDefault="00AE5CE2" w:rsidP="00476DFA">
                  <w:pPr>
                    <w:pStyle w:val="TableColumnHeading"/>
                    <w:spacing w:after="0"/>
                    <w:rPr>
                      <w:rFonts w:cs="Arial"/>
                    </w:rPr>
                  </w:pPr>
                  <w:r w:rsidRPr="00C31D40">
                    <w:rPr>
                      <w:rFonts w:cs="Arial"/>
                      <w:color w:val="000000"/>
                      <w:sz w:val="16"/>
                      <w:szCs w:val="16"/>
                    </w:rPr>
                    <w:t>Households</w:t>
                  </w:r>
                </w:p>
              </w:tc>
              <w:tc>
                <w:tcPr>
                  <w:tcW w:w="436" w:type="pct"/>
                  <w:tcBorders>
                    <w:top w:val="single" w:sz="6" w:space="0" w:color="BFBFBF"/>
                    <w:left w:val="nil"/>
                    <w:bottom w:val="single" w:sz="6" w:space="0" w:color="BFBFBF"/>
                    <w:right w:val="nil"/>
                  </w:tcBorders>
                  <w:vAlign w:val="bottom"/>
                  <w:hideMark/>
                </w:tcPr>
                <w:p w:rsidR="00AE5CE2" w:rsidRPr="00C31D40" w:rsidRDefault="00AE5CE2" w:rsidP="00476DFA">
                  <w:pPr>
                    <w:pStyle w:val="TableColumnHeading"/>
                    <w:spacing w:after="0"/>
                    <w:rPr>
                      <w:rFonts w:cs="Arial"/>
                    </w:rPr>
                  </w:pPr>
                  <w:r w:rsidRPr="00C31D40">
                    <w:rPr>
                      <w:rFonts w:cs="Arial"/>
                      <w:color w:val="000000"/>
                      <w:sz w:val="16"/>
                      <w:szCs w:val="16"/>
                    </w:rPr>
                    <w:t>Government</w:t>
                  </w:r>
                </w:p>
              </w:tc>
              <w:tc>
                <w:tcPr>
                  <w:tcW w:w="436" w:type="pct"/>
                  <w:tcBorders>
                    <w:top w:val="single" w:sz="6" w:space="0" w:color="BFBFBF"/>
                    <w:left w:val="nil"/>
                    <w:bottom w:val="single" w:sz="6" w:space="0" w:color="BFBFBF"/>
                    <w:right w:val="nil"/>
                  </w:tcBorders>
                  <w:vAlign w:val="bottom"/>
                  <w:hideMark/>
                </w:tcPr>
                <w:p w:rsidR="00AE5CE2" w:rsidRPr="00C31D40" w:rsidRDefault="00AE5CE2" w:rsidP="00476DFA">
                  <w:pPr>
                    <w:pStyle w:val="TableColumnHeading"/>
                    <w:spacing w:after="0"/>
                    <w:ind w:right="28"/>
                    <w:rPr>
                      <w:rFonts w:cs="Arial"/>
                    </w:rPr>
                  </w:pPr>
                  <w:r w:rsidRPr="00C31D40">
                    <w:rPr>
                      <w:rFonts w:cs="Arial"/>
                      <w:color w:val="000000"/>
                      <w:sz w:val="16"/>
                      <w:szCs w:val="16"/>
                    </w:rPr>
                    <w:t>Investment</w:t>
                  </w:r>
                </w:p>
              </w:tc>
              <w:tc>
                <w:tcPr>
                  <w:tcW w:w="437" w:type="pct"/>
                  <w:tcBorders>
                    <w:top w:val="single" w:sz="6" w:space="0" w:color="BFBFBF"/>
                    <w:left w:val="nil"/>
                    <w:bottom w:val="single" w:sz="6" w:space="0" w:color="BFBFBF"/>
                    <w:right w:val="nil"/>
                  </w:tcBorders>
                  <w:vAlign w:val="bottom"/>
                </w:tcPr>
                <w:p w:rsidR="00AE5CE2" w:rsidRPr="00C31D40" w:rsidRDefault="00AE5CE2" w:rsidP="00476DFA">
                  <w:pPr>
                    <w:pStyle w:val="TableColumnHeading"/>
                    <w:spacing w:after="0"/>
                    <w:ind w:right="28"/>
                    <w:rPr>
                      <w:rFonts w:cs="Arial"/>
                    </w:rPr>
                  </w:pPr>
                  <w:r w:rsidRPr="00C31D40">
                    <w:rPr>
                      <w:rFonts w:cs="Arial"/>
                      <w:color w:val="000000"/>
                      <w:sz w:val="16"/>
                      <w:szCs w:val="16"/>
                    </w:rPr>
                    <w:t>Imports</w:t>
                  </w:r>
                </w:p>
              </w:tc>
              <w:tc>
                <w:tcPr>
                  <w:tcW w:w="434" w:type="pct"/>
                  <w:tcBorders>
                    <w:top w:val="single" w:sz="6" w:space="0" w:color="BFBFBF"/>
                    <w:left w:val="nil"/>
                    <w:bottom w:val="single" w:sz="6" w:space="0" w:color="BFBFBF"/>
                    <w:right w:val="nil"/>
                  </w:tcBorders>
                  <w:vAlign w:val="bottom"/>
                </w:tcPr>
                <w:p w:rsidR="00AE5CE2" w:rsidRPr="00C31D40" w:rsidRDefault="00AE5CE2" w:rsidP="00476DFA">
                  <w:pPr>
                    <w:pStyle w:val="TableColumnHeading"/>
                    <w:spacing w:after="0"/>
                    <w:ind w:right="28"/>
                    <w:rPr>
                      <w:rFonts w:cs="Arial"/>
                    </w:rPr>
                  </w:pPr>
                  <w:r w:rsidRPr="00C31D40">
                    <w:rPr>
                      <w:rFonts w:cs="Arial"/>
                      <w:color w:val="000000"/>
                      <w:sz w:val="16"/>
                      <w:szCs w:val="16"/>
                    </w:rPr>
                    <w:t>Exports</w:t>
                  </w:r>
                </w:p>
              </w:tc>
            </w:tr>
            <w:tr w:rsidR="00AE5CE2" w:rsidRPr="00C31D40" w:rsidTr="00476DFA">
              <w:tc>
                <w:tcPr>
                  <w:tcW w:w="571" w:type="pct"/>
                  <w:tcBorders>
                    <w:top w:val="single" w:sz="6" w:space="0" w:color="BFBFBF"/>
                    <w:left w:val="nil"/>
                    <w:bottom w:val="nil"/>
                    <w:right w:val="nil"/>
                  </w:tcBorders>
                  <w:vAlign w:val="bottom"/>
                  <w:hideMark/>
                </w:tcPr>
                <w:p w:rsidR="00AE5CE2" w:rsidRPr="00C31D40" w:rsidRDefault="00AE5CE2" w:rsidP="00476DFA">
                  <w:pPr>
                    <w:pStyle w:val="TableUnitsRow"/>
                    <w:spacing w:after="0"/>
                    <w:jc w:val="left"/>
                    <w:rPr>
                      <w:rFonts w:cs="Arial"/>
                    </w:rPr>
                  </w:pPr>
                  <w:r w:rsidRPr="00C31D40">
                    <w:rPr>
                      <w:rFonts w:cs="Arial"/>
                      <w:color w:val="000000"/>
                      <w:sz w:val="16"/>
                      <w:szCs w:val="16"/>
                    </w:rPr>
                    <w:t>Agriculture</w:t>
                  </w:r>
                </w:p>
              </w:tc>
              <w:tc>
                <w:tcPr>
                  <w:tcW w:w="436" w:type="pct"/>
                  <w:tcBorders>
                    <w:top w:val="single" w:sz="6" w:space="0" w:color="BFBFBF"/>
                    <w:left w:val="nil"/>
                    <w:bottom w:val="nil"/>
                    <w:right w:val="nil"/>
                  </w:tcBorders>
                  <w:vAlign w:val="bottom"/>
                  <w:hideMark/>
                </w:tcPr>
                <w:p w:rsidR="00AE5CE2" w:rsidRPr="00C31D40" w:rsidRDefault="00AE5CE2" w:rsidP="00476DFA">
                  <w:pPr>
                    <w:pStyle w:val="TableUnitsRow"/>
                    <w:spacing w:after="0"/>
                    <w:rPr>
                      <w:rFonts w:cs="Arial"/>
                      <w:i/>
                    </w:rPr>
                  </w:pPr>
                  <w:r w:rsidRPr="00C31D40">
                    <w:rPr>
                      <w:rFonts w:cs="Arial"/>
                      <w:color w:val="000000"/>
                      <w:sz w:val="16"/>
                      <w:szCs w:val="16"/>
                    </w:rPr>
                    <w:t>0.00</w:t>
                  </w:r>
                </w:p>
              </w:tc>
              <w:tc>
                <w:tcPr>
                  <w:tcW w:w="436" w:type="pct"/>
                  <w:tcBorders>
                    <w:top w:val="single" w:sz="6" w:space="0" w:color="BFBFBF"/>
                    <w:left w:val="nil"/>
                    <w:bottom w:val="nil"/>
                    <w:right w:val="nil"/>
                  </w:tcBorders>
                  <w:vAlign w:val="bottom"/>
                  <w:hideMark/>
                </w:tcPr>
                <w:p w:rsidR="00AE5CE2" w:rsidRPr="00C31D40" w:rsidRDefault="00AE5CE2" w:rsidP="00476DFA">
                  <w:pPr>
                    <w:pStyle w:val="TableUnitsRow"/>
                    <w:spacing w:after="0"/>
                    <w:rPr>
                      <w:rFonts w:cs="Arial"/>
                      <w:i/>
                    </w:rPr>
                  </w:pPr>
                  <w:r w:rsidRPr="00C31D40">
                    <w:rPr>
                      <w:rFonts w:cs="Arial"/>
                      <w:color w:val="000000"/>
                      <w:sz w:val="16"/>
                      <w:szCs w:val="16"/>
                    </w:rPr>
                    <w:t>0.00</w:t>
                  </w:r>
                </w:p>
              </w:tc>
              <w:tc>
                <w:tcPr>
                  <w:tcW w:w="481" w:type="pct"/>
                  <w:tcBorders>
                    <w:top w:val="single" w:sz="6" w:space="0" w:color="BFBFBF"/>
                    <w:left w:val="nil"/>
                    <w:bottom w:val="nil"/>
                    <w:right w:val="nil"/>
                  </w:tcBorders>
                  <w:vAlign w:val="bottom"/>
                  <w:hideMark/>
                </w:tcPr>
                <w:p w:rsidR="00AE5CE2" w:rsidRPr="00C31D40" w:rsidRDefault="00AE5CE2" w:rsidP="00476DFA">
                  <w:pPr>
                    <w:pStyle w:val="TableUnitsRow"/>
                    <w:spacing w:after="0"/>
                    <w:rPr>
                      <w:rFonts w:cs="Arial"/>
                      <w:i/>
                    </w:rPr>
                  </w:pPr>
                  <w:r w:rsidRPr="00C31D40">
                    <w:rPr>
                      <w:rFonts w:cs="Arial"/>
                      <w:color w:val="000000"/>
                      <w:sz w:val="16"/>
                      <w:szCs w:val="16"/>
                    </w:rPr>
                    <w:t>0.00</w:t>
                  </w:r>
                </w:p>
              </w:tc>
              <w:tc>
                <w:tcPr>
                  <w:tcW w:w="457" w:type="pct"/>
                  <w:tcBorders>
                    <w:top w:val="single" w:sz="6" w:space="0" w:color="BFBFBF"/>
                    <w:left w:val="nil"/>
                    <w:bottom w:val="nil"/>
                    <w:right w:val="nil"/>
                  </w:tcBorders>
                  <w:vAlign w:val="bottom"/>
                  <w:hideMark/>
                </w:tcPr>
                <w:p w:rsidR="00AE5CE2" w:rsidRPr="00C31D40" w:rsidRDefault="00AE5CE2" w:rsidP="00476DFA">
                  <w:pPr>
                    <w:pStyle w:val="TableUnitsRow"/>
                    <w:spacing w:after="0"/>
                    <w:rPr>
                      <w:rFonts w:cs="Arial"/>
                      <w:i/>
                    </w:rPr>
                  </w:pPr>
                  <w:r w:rsidRPr="00C31D40">
                    <w:rPr>
                      <w:rFonts w:cs="Arial"/>
                      <w:color w:val="000000"/>
                      <w:sz w:val="16"/>
                      <w:szCs w:val="16"/>
                    </w:rPr>
                    <w:t>0.00</w:t>
                  </w:r>
                </w:p>
              </w:tc>
              <w:tc>
                <w:tcPr>
                  <w:tcW w:w="436" w:type="pct"/>
                  <w:tcBorders>
                    <w:top w:val="single" w:sz="6" w:space="0" w:color="BFBFBF"/>
                    <w:left w:val="nil"/>
                    <w:bottom w:val="nil"/>
                    <w:right w:val="nil"/>
                  </w:tcBorders>
                  <w:vAlign w:val="bottom"/>
                  <w:hideMark/>
                </w:tcPr>
                <w:p w:rsidR="00AE5CE2" w:rsidRPr="00C31D40" w:rsidRDefault="00AE5CE2" w:rsidP="00476DFA">
                  <w:pPr>
                    <w:pStyle w:val="TableUnitsRow"/>
                    <w:spacing w:after="0"/>
                    <w:rPr>
                      <w:rFonts w:cs="Arial"/>
                      <w:i/>
                    </w:rPr>
                  </w:pPr>
                  <w:r w:rsidRPr="00C31D40">
                    <w:rPr>
                      <w:rFonts w:cs="Arial"/>
                      <w:color w:val="000000"/>
                      <w:sz w:val="16"/>
                      <w:szCs w:val="16"/>
                    </w:rPr>
                    <w:t>0.00</w:t>
                  </w:r>
                </w:p>
              </w:tc>
              <w:tc>
                <w:tcPr>
                  <w:tcW w:w="436" w:type="pct"/>
                  <w:tcBorders>
                    <w:top w:val="single" w:sz="6" w:space="0" w:color="BFBFBF"/>
                    <w:left w:val="nil"/>
                    <w:bottom w:val="nil"/>
                    <w:right w:val="nil"/>
                  </w:tcBorders>
                  <w:vAlign w:val="bottom"/>
                  <w:hideMark/>
                </w:tcPr>
                <w:p w:rsidR="00AE5CE2" w:rsidRPr="00C31D40" w:rsidRDefault="00AE5CE2" w:rsidP="00476DFA">
                  <w:pPr>
                    <w:pStyle w:val="TableUnitsRow"/>
                    <w:spacing w:after="0"/>
                    <w:rPr>
                      <w:rFonts w:cs="Arial"/>
                      <w:i/>
                    </w:rPr>
                  </w:pPr>
                  <w:r w:rsidRPr="00C31D40">
                    <w:rPr>
                      <w:rFonts w:cs="Arial"/>
                      <w:color w:val="000000"/>
                      <w:sz w:val="16"/>
                      <w:szCs w:val="16"/>
                    </w:rPr>
                    <w:t>2423.86</w:t>
                  </w:r>
                </w:p>
              </w:tc>
              <w:tc>
                <w:tcPr>
                  <w:tcW w:w="436" w:type="pct"/>
                  <w:tcBorders>
                    <w:top w:val="single" w:sz="6" w:space="0" w:color="BFBFBF"/>
                    <w:left w:val="nil"/>
                    <w:bottom w:val="nil"/>
                    <w:right w:val="nil"/>
                  </w:tcBorders>
                  <w:vAlign w:val="bottom"/>
                  <w:hideMark/>
                </w:tcPr>
                <w:p w:rsidR="00AE5CE2" w:rsidRPr="00C31D40" w:rsidRDefault="00AE5CE2" w:rsidP="00476DFA">
                  <w:pPr>
                    <w:pStyle w:val="TableUnitsRow"/>
                    <w:spacing w:after="0"/>
                    <w:rPr>
                      <w:rFonts w:cs="Arial"/>
                      <w:i/>
                    </w:rPr>
                  </w:pPr>
                  <w:r w:rsidRPr="00C31D40">
                    <w:rPr>
                      <w:rFonts w:cs="Arial"/>
                      <w:color w:val="000000"/>
                      <w:sz w:val="16"/>
                      <w:szCs w:val="16"/>
                    </w:rPr>
                    <w:t>82.14</w:t>
                  </w:r>
                </w:p>
              </w:tc>
              <w:tc>
                <w:tcPr>
                  <w:tcW w:w="436" w:type="pct"/>
                  <w:tcBorders>
                    <w:top w:val="single" w:sz="6" w:space="0" w:color="BFBFBF"/>
                    <w:left w:val="nil"/>
                    <w:bottom w:val="nil"/>
                    <w:right w:val="nil"/>
                  </w:tcBorders>
                  <w:vAlign w:val="bottom"/>
                  <w:hideMark/>
                </w:tcPr>
                <w:p w:rsidR="00AE5CE2" w:rsidRPr="00C31D40" w:rsidRDefault="00AE5CE2" w:rsidP="00476DFA">
                  <w:pPr>
                    <w:pStyle w:val="TableUnitsRow"/>
                    <w:spacing w:after="0"/>
                    <w:ind w:right="28"/>
                    <w:rPr>
                      <w:rFonts w:cs="Arial"/>
                      <w:i/>
                    </w:rPr>
                  </w:pPr>
                  <w:r w:rsidRPr="00C31D40">
                    <w:rPr>
                      <w:rFonts w:cs="Arial"/>
                      <w:color w:val="000000"/>
                      <w:sz w:val="16"/>
                      <w:szCs w:val="16"/>
                    </w:rPr>
                    <w:t>0.00</w:t>
                  </w:r>
                </w:p>
              </w:tc>
              <w:tc>
                <w:tcPr>
                  <w:tcW w:w="437" w:type="pct"/>
                  <w:tcBorders>
                    <w:top w:val="single" w:sz="6" w:space="0" w:color="BFBFBF"/>
                    <w:left w:val="nil"/>
                    <w:bottom w:val="nil"/>
                    <w:right w:val="nil"/>
                  </w:tcBorders>
                  <w:vAlign w:val="bottom"/>
                </w:tcPr>
                <w:p w:rsidR="00AE5CE2" w:rsidRPr="00C31D40" w:rsidRDefault="00AE5CE2" w:rsidP="00476DFA">
                  <w:pPr>
                    <w:pStyle w:val="TableUnitsRow"/>
                    <w:spacing w:after="0"/>
                    <w:ind w:right="28"/>
                    <w:rPr>
                      <w:rFonts w:cs="Arial"/>
                      <w:i/>
                    </w:rPr>
                  </w:pPr>
                  <w:r w:rsidRPr="00C31D40">
                    <w:rPr>
                      <w:rFonts w:cs="Arial"/>
                      <w:color w:val="000000"/>
                      <w:sz w:val="16"/>
                      <w:szCs w:val="16"/>
                    </w:rPr>
                    <w:t>-295.03</w:t>
                  </w:r>
                </w:p>
              </w:tc>
              <w:tc>
                <w:tcPr>
                  <w:tcW w:w="434" w:type="pct"/>
                  <w:tcBorders>
                    <w:top w:val="single" w:sz="6" w:space="0" w:color="BFBFBF"/>
                    <w:left w:val="nil"/>
                    <w:bottom w:val="nil"/>
                    <w:right w:val="nil"/>
                  </w:tcBorders>
                  <w:vAlign w:val="bottom"/>
                </w:tcPr>
                <w:p w:rsidR="00AE5CE2" w:rsidRPr="00C31D40" w:rsidRDefault="00AE5CE2" w:rsidP="00476DFA">
                  <w:pPr>
                    <w:pStyle w:val="TableUnitsRow"/>
                    <w:spacing w:after="0"/>
                    <w:ind w:right="28"/>
                    <w:rPr>
                      <w:rFonts w:cs="Arial"/>
                      <w:i/>
                    </w:rPr>
                  </w:pPr>
                  <w:r w:rsidRPr="00C31D40">
                    <w:rPr>
                      <w:rFonts w:cs="Arial"/>
                      <w:color w:val="000000"/>
                      <w:sz w:val="16"/>
                      <w:szCs w:val="16"/>
                    </w:rPr>
                    <w:t>3939.61</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Mining</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81"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14.72</w:t>
                  </w:r>
                </w:p>
              </w:tc>
              <w:tc>
                <w:tcPr>
                  <w:tcW w:w="457"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449.97</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113.63</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1528.00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26.06</w:t>
                  </w:r>
                </w:p>
              </w:tc>
              <w:tc>
                <w:tcPr>
                  <w:tcW w:w="436" w:type="pct"/>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683.46</w:t>
                  </w:r>
                </w:p>
              </w:tc>
              <w:tc>
                <w:tcPr>
                  <w:tcW w:w="437"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-4119.13</w:t>
                  </w:r>
                </w:p>
              </w:tc>
              <w:tc>
                <w:tcPr>
                  <w:tcW w:w="434"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6530.46</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Manufacture</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16.86</w:t>
                  </w:r>
                </w:p>
              </w:tc>
              <w:tc>
                <w:tcPr>
                  <w:tcW w:w="481"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18.69</w:t>
                  </w:r>
                </w:p>
              </w:tc>
              <w:tc>
                <w:tcPr>
                  <w:tcW w:w="457"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571.42</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114.64</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37330.69</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788.25</w:t>
                  </w:r>
                </w:p>
              </w:tc>
              <w:tc>
                <w:tcPr>
                  <w:tcW w:w="436" w:type="pct"/>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14697.60</w:t>
                  </w:r>
                </w:p>
              </w:tc>
              <w:tc>
                <w:tcPr>
                  <w:tcW w:w="437"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-40507.14</w:t>
                  </w:r>
                </w:p>
              </w:tc>
              <w:tc>
                <w:tcPr>
                  <w:tcW w:w="434"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11371.26</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ElecRetailDistn</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81"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0.67</w:t>
                  </w:r>
                </w:p>
              </w:tc>
              <w:tc>
                <w:tcPr>
                  <w:tcW w:w="457"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20.57</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5.22</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1853.74</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5.80</w:t>
                  </w:r>
                </w:p>
              </w:tc>
              <w:tc>
                <w:tcPr>
                  <w:tcW w:w="436" w:type="pct"/>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7"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4"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GasRetailDistn</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81"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57"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117.69</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7"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4"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62.41</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Services</w:t>
                  </w:r>
                </w:p>
              </w:tc>
              <w:tc>
                <w:tcPr>
                  <w:tcW w:w="436" w:type="pct"/>
                  <w:vAlign w:val="bottom"/>
                  <w:hideMark/>
                </w:tcPr>
                <w:p w:rsidR="00AE5CE2" w:rsidRPr="00C31D40" w:rsidRDefault="00AE5CE2" w:rsidP="00476DFA">
                  <w:pPr>
                    <w:pStyle w:val="TableBodyText"/>
                    <w:spacing w:before="60"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before="60" w:after="0"/>
                    <w:rPr>
                      <w:rFonts w:cs="Arial"/>
                      <w:i/>
                    </w:rPr>
                  </w:pPr>
                  <w:r w:rsidRPr="00C31D40">
                    <w:rPr>
                      <w:rFonts w:cs="Arial"/>
                      <w:color w:val="000000"/>
                      <w:sz w:val="16"/>
                      <w:szCs w:val="16"/>
                    </w:rPr>
                    <w:t>25.29</w:t>
                  </w:r>
                </w:p>
              </w:tc>
              <w:tc>
                <w:tcPr>
                  <w:tcW w:w="481" w:type="pct"/>
                  <w:vAlign w:val="bottom"/>
                  <w:hideMark/>
                </w:tcPr>
                <w:p w:rsidR="00AE5CE2" w:rsidRPr="00C31D40" w:rsidRDefault="00AE5CE2" w:rsidP="00476DFA">
                  <w:pPr>
                    <w:pStyle w:val="TableBodyText"/>
                    <w:spacing w:before="60" w:after="0"/>
                    <w:rPr>
                      <w:rFonts w:cs="Arial"/>
                      <w:i/>
                    </w:rPr>
                  </w:pPr>
                  <w:r w:rsidRPr="00C31D40">
                    <w:rPr>
                      <w:rFonts w:cs="Arial"/>
                      <w:color w:val="000000"/>
                      <w:sz w:val="16"/>
                      <w:szCs w:val="16"/>
                    </w:rPr>
                    <w:t>31.19</w:t>
                  </w:r>
                </w:p>
              </w:tc>
              <w:tc>
                <w:tcPr>
                  <w:tcW w:w="457" w:type="pct"/>
                  <w:vAlign w:val="bottom"/>
                  <w:hideMark/>
                </w:tcPr>
                <w:p w:rsidR="00AE5CE2" w:rsidRPr="00C31D40" w:rsidRDefault="00AE5CE2" w:rsidP="00476DFA">
                  <w:pPr>
                    <w:pStyle w:val="TableBodyText"/>
                    <w:spacing w:before="60" w:after="0"/>
                    <w:rPr>
                      <w:rFonts w:cs="Arial"/>
                      <w:i/>
                    </w:rPr>
                  </w:pPr>
                  <w:r w:rsidRPr="00C31D40">
                    <w:rPr>
                      <w:rFonts w:cs="Arial"/>
                      <w:color w:val="000000"/>
                      <w:sz w:val="16"/>
                      <w:szCs w:val="16"/>
                    </w:rPr>
                    <w:t>953.64</w:t>
                  </w:r>
                </w:p>
              </w:tc>
              <w:tc>
                <w:tcPr>
                  <w:tcW w:w="436" w:type="pct"/>
                  <w:vAlign w:val="bottom"/>
                  <w:hideMark/>
                </w:tcPr>
                <w:p w:rsidR="00AE5CE2" w:rsidRPr="00C31D40" w:rsidRDefault="00AE5CE2" w:rsidP="00476DFA">
                  <w:pPr>
                    <w:pStyle w:val="TableBodyText"/>
                    <w:spacing w:before="60" w:after="0"/>
                    <w:rPr>
                      <w:rFonts w:cs="Arial"/>
                      <w:i/>
                    </w:rPr>
                  </w:pPr>
                  <w:r w:rsidRPr="00C31D40">
                    <w:rPr>
                      <w:rFonts w:cs="Arial"/>
                      <w:color w:val="000000"/>
                      <w:sz w:val="16"/>
                      <w:szCs w:val="16"/>
                    </w:rPr>
                    <w:t>262.83</w:t>
                  </w:r>
                </w:p>
              </w:tc>
              <w:tc>
                <w:tcPr>
                  <w:tcW w:w="436" w:type="pct"/>
                  <w:vAlign w:val="bottom"/>
                  <w:hideMark/>
                </w:tcPr>
                <w:p w:rsidR="00AE5CE2" w:rsidRPr="00C31D40" w:rsidRDefault="00AE5CE2" w:rsidP="00476DFA">
                  <w:pPr>
                    <w:pStyle w:val="TableBodyText"/>
                    <w:spacing w:before="60" w:after="0"/>
                    <w:rPr>
                      <w:rFonts w:cs="Arial"/>
                      <w:i/>
                    </w:rPr>
                  </w:pPr>
                  <w:r w:rsidRPr="00C31D40">
                    <w:rPr>
                      <w:rFonts w:cs="Arial"/>
                      <w:color w:val="000000"/>
                      <w:sz w:val="16"/>
                      <w:szCs w:val="16"/>
                    </w:rPr>
                    <w:t>79879.14</w:t>
                  </w:r>
                </w:p>
              </w:tc>
              <w:tc>
                <w:tcPr>
                  <w:tcW w:w="436" w:type="pct"/>
                  <w:vAlign w:val="bottom"/>
                  <w:hideMark/>
                </w:tcPr>
                <w:p w:rsidR="00AE5CE2" w:rsidRPr="00C31D40" w:rsidRDefault="00AE5CE2" w:rsidP="00476DFA">
                  <w:pPr>
                    <w:pStyle w:val="TableBodyText"/>
                    <w:spacing w:before="60" w:after="0"/>
                    <w:rPr>
                      <w:rFonts w:cs="Arial"/>
                      <w:i/>
                    </w:rPr>
                  </w:pPr>
                  <w:r w:rsidRPr="00C31D40">
                    <w:rPr>
                      <w:rFonts w:cs="Arial"/>
                      <w:color w:val="000000"/>
                      <w:sz w:val="16"/>
                      <w:szCs w:val="16"/>
                    </w:rPr>
                    <w:t>42369.63</w:t>
                  </w:r>
                </w:p>
              </w:tc>
              <w:tc>
                <w:tcPr>
                  <w:tcW w:w="436" w:type="pct"/>
                  <w:vAlign w:val="bottom"/>
                  <w:hideMark/>
                </w:tcPr>
                <w:p w:rsidR="00AE5CE2" w:rsidRPr="00C31D40" w:rsidRDefault="00AE5CE2" w:rsidP="00476DFA">
                  <w:pPr>
                    <w:pStyle w:val="TableBodyText"/>
                    <w:spacing w:before="60" w:after="0"/>
                    <w:ind w:right="28"/>
                    <w:rPr>
                      <w:rFonts w:cs="Arial"/>
                      <w:i/>
                    </w:rPr>
                  </w:pPr>
                  <w:r w:rsidRPr="00C31D40">
                    <w:rPr>
                      <w:rFonts w:cs="Arial"/>
                      <w:color w:val="000000"/>
                      <w:sz w:val="16"/>
                      <w:szCs w:val="16"/>
                    </w:rPr>
                    <w:t>49836.58</w:t>
                  </w:r>
                </w:p>
              </w:tc>
              <w:tc>
                <w:tcPr>
                  <w:tcW w:w="437" w:type="pct"/>
                  <w:vAlign w:val="bottom"/>
                </w:tcPr>
                <w:p w:rsidR="00AE5CE2" w:rsidRPr="00C31D40" w:rsidRDefault="00AE5CE2" w:rsidP="00476DFA">
                  <w:pPr>
                    <w:pStyle w:val="TableBodyText"/>
                    <w:spacing w:before="60" w:after="0"/>
                    <w:ind w:right="28"/>
                    <w:rPr>
                      <w:rFonts w:cs="Arial"/>
                      <w:i/>
                    </w:rPr>
                  </w:pPr>
                  <w:r w:rsidRPr="00C31D40">
                    <w:rPr>
                      <w:rFonts w:cs="Arial"/>
                      <w:color w:val="000000"/>
                      <w:sz w:val="16"/>
                      <w:szCs w:val="16"/>
                    </w:rPr>
                    <w:t>-4447.09</w:t>
                  </w:r>
                </w:p>
              </w:tc>
              <w:tc>
                <w:tcPr>
                  <w:tcW w:w="434" w:type="pct"/>
                  <w:vAlign w:val="bottom"/>
                </w:tcPr>
                <w:p w:rsidR="00AE5CE2" w:rsidRPr="00C31D40" w:rsidRDefault="00AE5CE2" w:rsidP="00476DFA">
                  <w:pPr>
                    <w:pStyle w:val="TableBodyText"/>
                    <w:spacing w:before="60" w:after="0"/>
                    <w:ind w:right="28"/>
                    <w:rPr>
                      <w:rFonts w:cs="Arial"/>
                      <w:i/>
                    </w:rPr>
                  </w:pPr>
                  <w:r w:rsidRPr="00C31D40">
                    <w:rPr>
                      <w:rFonts w:cs="Arial"/>
                      <w:color w:val="000000"/>
                      <w:sz w:val="16"/>
                      <w:szCs w:val="16"/>
                    </w:rPr>
                    <w:t>28011.97</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BrownCoalGen</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81"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57"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7"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4"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BlackCoalGen</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81"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57"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7"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4"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GasCombCycGen</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81"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57"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7"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4"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r>
            <w:tr w:rsidR="00AE5CE2" w:rsidRPr="00C31D40" w:rsidTr="00476DFA">
              <w:tc>
                <w:tcPr>
                  <w:tcW w:w="571" w:type="pct"/>
                  <w:vAlign w:val="bottom"/>
                  <w:hideMark/>
                </w:tcPr>
                <w:p w:rsidR="00AE5CE2" w:rsidRPr="00C31D40" w:rsidRDefault="00AE5CE2" w:rsidP="00476DFA">
                  <w:pPr>
                    <w:pStyle w:val="TableBodyText"/>
                    <w:spacing w:after="0"/>
                    <w:jc w:val="left"/>
                    <w:rPr>
                      <w:rFonts w:cs="Arial"/>
                      <w:i/>
                    </w:rPr>
                  </w:pPr>
                  <w:r w:rsidRPr="00C31D40">
                    <w:rPr>
                      <w:rFonts w:cs="Arial"/>
                      <w:color w:val="000000"/>
                      <w:sz w:val="16"/>
                      <w:szCs w:val="16"/>
                    </w:rPr>
                    <w:t>GasOpenCycGen</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81"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57"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7"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4" w:type="pct"/>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hideMark/>
                </w:tcPr>
                <w:p w:rsidR="00AE5CE2" w:rsidRPr="00C31D40" w:rsidRDefault="00AE5CE2" w:rsidP="00476DFA">
                  <w:pPr>
                    <w:pStyle w:val="TableBodyText"/>
                    <w:spacing w:after="0"/>
                    <w:jc w:val="left"/>
                    <w:rPr>
                      <w:rFonts w:cs="Arial"/>
                    </w:rPr>
                  </w:pPr>
                  <w:r w:rsidRPr="00C31D40">
                    <w:rPr>
                      <w:rFonts w:cs="Arial"/>
                      <w:color w:val="000000"/>
                      <w:sz w:val="16"/>
                      <w:szCs w:val="16"/>
                    </w:rPr>
                    <w:t>WindGen</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81" w:type="pct"/>
                  <w:tcBorders>
                    <w:top w:val="nil"/>
                    <w:left w:val="nil"/>
                    <w:bottom w:val="nil"/>
                    <w:right w:val="nil"/>
                  </w:tcBorders>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57" w:type="pct"/>
                  <w:tcBorders>
                    <w:top w:val="nil"/>
                    <w:left w:val="nil"/>
                    <w:bottom w:val="nil"/>
                    <w:right w:val="nil"/>
                  </w:tcBorders>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tcBorders>
                    <w:top w:val="nil"/>
                    <w:left w:val="nil"/>
                    <w:bottom w:val="nil"/>
                    <w:right w:val="nil"/>
                  </w:tcBorders>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tcBorders>
                    <w:top w:val="nil"/>
                    <w:left w:val="nil"/>
                    <w:bottom w:val="nil"/>
                    <w:right w:val="nil"/>
                  </w:tcBorders>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tcBorders>
                    <w:top w:val="nil"/>
                    <w:left w:val="nil"/>
                    <w:bottom w:val="nil"/>
                    <w:right w:val="nil"/>
                  </w:tcBorders>
                  <w:vAlign w:val="bottom"/>
                  <w:hideMark/>
                </w:tcPr>
                <w:p w:rsidR="00AE5CE2" w:rsidRPr="00C31D40" w:rsidRDefault="00AE5CE2" w:rsidP="00476DFA">
                  <w:pPr>
                    <w:pStyle w:val="TableBodyText"/>
                    <w:spacing w:after="0"/>
                    <w:rPr>
                      <w:rFonts w:cs="Arial"/>
                      <w:i/>
                    </w:rPr>
                  </w:pPr>
                  <w:r w:rsidRPr="00C31D40">
                    <w:rPr>
                      <w:rFonts w:cs="Arial"/>
                      <w:color w:val="000000"/>
                      <w:sz w:val="16"/>
                      <w:szCs w:val="16"/>
                    </w:rPr>
                    <w:t>0.00</w:t>
                  </w:r>
                </w:p>
              </w:tc>
              <w:tc>
                <w:tcPr>
                  <w:tcW w:w="436" w:type="pct"/>
                  <w:tcBorders>
                    <w:top w:val="nil"/>
                    <w:left w:val="nil"/>
                    <w:bottom w:val="nil"/>
                    <w:right w:val="nil"/>
                  </w:tcBorders>
                  <w:vAlign w:val="bottom"/>
                  <w:hideMark/>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i/>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BulkElectSupplyB1</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0.16</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4.97</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1.26</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237.38</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2.42</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BulkElectSupplyB2</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0.06</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1.74</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0.44</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83.26</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0.85</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BulkElectSupplyB3</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0.35</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10.67</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2.73</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329.81</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3.23</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BulkElectSupplyB4</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0.18</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5.59</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1.46</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150.85</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1.51</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BulkElectSupplyB5</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0.12</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0.03</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3.10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0.02</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BrownCoalProd</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BlackCoalProd</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5722.61</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GasProd</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309.63</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371.10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950.71</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Labour</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42.14</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22.80</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697.02</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206.14</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r w:rsidR="00AE5CE2" w:rsidRPr="00C31D40" w:rsidTr="00476DFA">
              <w:tc>
                <w:tcPr>
                  <w:tcW w:w="571" w:type="pct"/>
                  <w:tcBorders>
                    <w:top w:val="nil"/>
                    <w:left w:val="nil"/>
                    <w:bottom w:val="nil"/>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Capital</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196.67</w:t>
                  </w:r>
                </w:p>
              </w:tc>
              <w:tc>
                <w:tcPr>
                  <w:tcW w:w="481"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78.09</w:t>
                  </w:r>
                </w:p>
              </w:tc>
              <w:tc>
                <w:tcPr>
                  <w:tcW w:w="457"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2387.83</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1568.88</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nil"/>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r w:rsidR="00AE5CE2" w:rsidRPr="00C31D40" w:rsidTr="00476DFA">
              <w:tc>
                <w:tcPr>
                  <w:tcW w:w="571" w:type="pct"/>
                  <w:tcBorders>
                    <w:top w:val="nil"/>
                    <w:left w:val="nil"/>
                    <w:bottom w:val="single" w:sz="6" w:space="0" w:color="BFBFBF"/>
                    <w:right w:val="nil"/>
                  </w:tcBorders>
                  <w:vAlign w:val="bottom"/>
                </w:tcPr>
                <w:p w:rsidR="00AE5CE2" w:rsidRPr="00C31D40" w:rsidRDefault="00AE5CE2" w:rsidP="00476DFA">
                  <w:pPr>
                    <w:pStyle w:val="TableBodyText"/>
                    <w:spacing w:after="0"/>
                    <w:jc w:val="left"/>
                    <w:rPr>
                      <w:rFonts w:cs="Arial"/>
                    </w:rPr>
                  </w:pPr>
                  <w:r w:rsidRPr="00C31D40">
                    <w:rPr>
                      <w:rFonts w:cs="Arial"/>
                      <w:color w:val="000000"/>
                      <w:sz w:val="16"/>
                      <w:szCs w:val="16"/>
                    </w:rPr>
                    <w:t>Land</w:t>
                  </w:r>
                </w:p>
              </w:tc>
              <w:tc>
                <w:tcPr>
                  <w:tcW w:w="436" w:type="pct"/>
                  <w:tcBorders>
                    <w:top w:val="nil"/>
                    <w:left w:val="nil"/>
                    <w:bottom w:val="single" w:sz="6" w:space="0" w:color="BFBFBF"/>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single" w:sz="6" w:space="0" w:color="BFBFBF"/>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81" w:type="pct"/>
                  <w:tcBorders>
                    <w:top w:val="nil"/>
                    <w:left w:val="nil"/>
                    <w:bottom w:val="single" w:sz="6" w:space="0" w:color="BFBFBF"/>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33.47</w:t>
                  </w:r>
                </w:p>
              </w:tc>
              <w:tc>
                <w:tcPr>
                  <w:tcW w:w="457" w:type="pct"/>
                  <w:tcBorders>
                    <w:top w:val="nil"/>
                    <w:left w:val="nil"/>
                    <w:bottom w:val="single" w:sz="6" w:space="0" w:color="BFBFBF"/>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1023.36</w:t>
                  </w:r>
                </w:p>
              </w:tc>
              <w:tc>
                <w:tcPr>
                  <w:tcW w:w="436" w:type="pct"/>
                  <w:tcBorders>
                    <w:top w:val="nil"/>
                    <w:left w:val="nil"/>
                    <w:bottom w:val="single" w:sz="6" w:space="0" w:color="BFBFBF"/>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672.38</w:t>
                  </w:r>
                </w:p>
              </w:tc>
              <w:tc>
                <w:tcPr>
                  <w:tcW w:w="436" w:type="pct"/>
                  <w:tcBorders>
                    <w:top w:val="nil"/>
                    <w:left w:val="nil"/>
                    <w:bottom w:val="single" w:sz="6" w:space="0" w:color="BFBFBF"/>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single" w:sz="6" w:space="0" w:color="BFBFBF"/>
                    <w:right w:val="nil"/>
                  </w:tcBorders>
                  <w:vAlign w:val="bottom"/>
                </w:tcPr>
                <w:p w:rsidR="00AE5CE2" w:rsidRPr="00C31D40" w:rsidRDefault="00AE5CE2" w:rsidP="00476DFA">
                  <w:pPr>
                    <w:pStyle w:val="TableBodyText"/>
                    <w:spacing w:after="0"/>
                    <w:rPr>
                      <w:rFonts w:cs="Arial"/>
                    </w:rPr>
                  </w:pPr>
                  <w:r w:rsidRPr="00C31D40">
                    <w:rPr>
                      <w:rFonts w:cs="Arial"/>
                      <w:color w:val="000000"/>
                      <w:sz w:val="16"/>
                      <w:szCs w:val="16"/>
                    </w:rPr>
                    <w:t>0.00</w:t>
                  </w:r>
                </w:p>
              </w:tc>
              <w:tc>
                <w:tcPr>
                  <w:tcW w:w="436" w:type="pct"/>
                  <w:tcBorders>
                    <w:top w:val="nil"/>
                    <w:left w:val="nil"/>
                    <w:bottom w:val="single" w:sz="6" w:space="0" w:color="BFBFBF"/>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7" w:type="pct"/>
                  <w:tcBorders>
                    <w:top w:val="nil"/>
                    <w:left w:val="nil"/>
                    <w:bottom w:val="single" w:sz="6" w:space="0" w:color="BFBFBF"/>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c>
                <w:tcPr>
                  <w:tcW w:w="434" w:type="pct"/>
                  <w:tcBorders>
                    <w:top w:val="nil"/>
                    <w:left w:val="nil"/>
                    <w:bottom w:val="single" w:sz="6" w:space="0" w:color="BFBFBF"/>
                    <w:right w:val="nil"/>
                  </w:tcBorders>
                  <w:vAlign w:val="bottom"/>
                </w:tcPr>
                <w:p w:rsidR="00AE5CE2" w:rsidRPr="00C31D40" w:rsidRDefault="00AE5CE2" w:rsidP="00476DFA">
                  <w:pPr>
                    <w:pStyle w:val="TableBodyText"/>
                    <w:spacing w:after="0"/>
                    <w:ind w:right="28"/>
                    <w:rPr>
                      <w:rFonts w:cs="Arial"/>
                    </w:rPr>
                  </w:pPr>
                  <w:r w:rsidRPr="00C31D40">
                    <w:rPr>
                      <w:rFonts w:cs="Arial"/>
                      <w:color w:val="000000"/>
                      <w:sz w:val="16"/>
                      <w:szCs w:val="16"/>
                    </w:rPr>
                    <w:t>0.00</w:t>
                  </w:r>
                </w:p>
              </w:tc>
            </w:tr>
          </w:tbl>
          <w:p w:rsidR="00AE5CE2" w:rsidRDefault="00AE5CE2" w:rsidP="00476DFA">
            <w:pPr>
              <w:pStyle w:val="Box"/>
            </w:pPr>
          </w:p>
        </w:tc>
      </w:tr>
      <w:tr w:rsidR="00AE5CE2" w:rsidTr="00476DFA">
        <w:tc>
          <w:tcPr>
            <w:tcW w:w="5000" w:type="pct"/>
            <w:tcBorders>
              <w:top w:val="nil"/>
              <w:left w:val="nil"/>
              <w:bottom w:val="single" w:sz="6" w:space="0" w:color="78A22F"/>
              <w:right w:val="nil"/>
            </w:tcBorders>
            <w:shd w:val="clear" w:color="auto" w:fill="auto"/>
          </w:tcPr>
          <w:p w:rsidR="00AE5CE2" w:rsidRDefault="00AE5CE2" w:rsidP="00476DFA">
            <w:pPr>
              <w:pStyle w:val="Box"/>
              <w:spacing w:before="0" w:line="120" w:lineRule="exact"/>
            </w:pPr>
          </w:p>
        </w:tc>
      </w:tr>
      <w:tr w:rsidR="00AE5CE2" w:rsidRPr="000863A5" w:rsidTr="00476DFA">
        <w:tc>
          <w:tcPr>
            <w:tcW w:w="5000" w:type="pct"/>
            <w:tcBorders>
              <w:top w:val="single" w:sz="6" w:space="0" w:color="78A22F"/>
              <w:left w:val="nil"/>
              <w:bottom w:val="nil"/>
              <w:right w:val="nil"/>
            </w:tcBorders>
          </w:tcPr>
          <w:p w:rsidR="00AE5CE2" w:rsidRPr="00626D32" w:rsidRDefault="00AE5CE2" w:rsidP="00476DFA">
            <w:pPr>
              <w:pStyle w:val="BoxSpaceBelow"/>
            </w:pPr>
          </w:p>
        </w:tc>
      </w:tr>
    </w:tbl>
    <w:p w:rsidR="00AE5CE2" w:rsidRDefault="00AE5CE2" w:rsidP="00AE5CE2">
      <w:pPr>
        <w:pStyle w:val="BodyText"/>
      </w:pPr>
      <w:r>
        <w:br w:type="page"/>
      </w:r>
    </w:p>
    <w:p w:rsidR="00AE5CE2" w:rsidRDefault="00AE5CE2" w:rsidP="00476DF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AE5CE2" w:rsidTr="00476DFA">
        <w:trPr>
          <w:tblHeader/>
        </w:trPr>
        <w:tc>
          <w:tcPr>
            <w:tcW w:w="5000" w:type="pct"/>
            <w:tcBorders>
              <w:top w:val="single" w:sz="6" w:space="0" w:color="78A22F"/>
              <w:left w:val="nil"/>
              <w:bottom w:val="nil"/>
              <w:right w:val="nil"/>
            </w:tcBorders>
            <w:shd w:val="clear" w:color="auto" w:fill="auto"/>
          </w:tcPr>
          <w:p w:rsidR="00AE5CE2" w:rsidRPr="00784A05" w:rsidRDefault="00AE5CE2" w:rsidP="00AE5CE2">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tab/>
            </w:r>
            <w:r w:rsidRPr="00AE5CE2">
              <w:t>Aggregated Input–Output table used for the CGE model ($ million, AUD)</w:t>
            </w:r>
            <w:r w:rsidRPr="00AE5CE2">
              <w:rPr>
                <w:rStyle w:val="NoteLabel"/>
                <w:b/>
              </w:rPr>
              <w:t>a</w:t>
            </w:r>
          </w:p>
        </w:tc>
      </w:tr>
      <w:tr w:rsidR="00AE5CE2" w:rsidTr="00476DF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4A0" w:firstRow="1" w:lastRow="0" w:firstColumn="1" w:lastColumn="0" w:noHBand="0" w:noVBand="1"/>
            </w:tblPr>
            <w:tblGrid>
              <w:gridCol w:w="2178"/>
              <w:gridCol w:w="3521"/>
              <w:gridCol w:w="1525"/>
              <w:gridCol w:w="1524"/>
              <w:gridCol w:w="1700"/>
              <w:gridCol w:w="1703"/>
              <w:gridCol w:w="1173"/>
            </w:tblGrid>
            <w:tr w:rsidR="00AE5CE2" w:rsidRPr="00AE5CE2" w:rsidTr="00AE5CE2">
              <w:trPr>
                <w:trHeight w:val="335"/>
              </w:trPr>
              <w:tc>
                <w:tcPr>
                  <w:tcW w:w="817" w:type="pct"/>
                  <w:vMerge w:val="restart"/>
                  <w:tcBorders>
                    <w:top w:val="single" w:sz="6" w:space="0" w:color="BFBFBF"/>
                    <w:left w:val="nil"/>
                    <w:right w:val="nil"/>
                  </w:tcBorders>
                  <w:vAlign w:val="bottom"/>
                </w:tcPr>
                <w:p w:rsidR="00AE5CE2" w:rsidRPr="00AE5CE2" w:rsidRDefault="00AE5CE2" w:rsidP="00AE5CE2">
                  <w:pPr>
                    <w:pStyle w:val="TableColumnHeading"/>
                    <w:spacing w:after="0"/>
                    <w:jc w:val="left"/>
                    <w:rPr>
                      <w:rFonts w:cs="Arial"/>
                      <w:szCs w:val="18"/>
                    </w:rPr>
                  </w:pPr>
                </w:p>
              </w:tc>
              <w:tc>
                <w:tcPr>
                  <w:tcW w:w="1321" w:type="pct"/>
                  <w:vMerge w:val="restart"/>
                  <w:tcBorders>
                    <w:top w:val="single" w:sz="6" w:space="0" w:color="BFBFBF"/>
                    <w:left w:val="nil"/>
                    <w:right w:val="single" w:sz="4" w:space="0" w:color="BFBFBF" w:themeColor="background1" w:themeShade="BF"/>
                  </w:tcBorders>
                  <w:vAlign w:val="bottom"/>
                  <w:hideMark/>
                </w:tcPr>
                <w:p w:rsidR="00AE5CE2" w:rsidRPr="00AE5CE2" w:rsidRDefault="00AE5CE2" w:rsidP="00AE5CE2">
                  <w:pPr>
                    <w:pStyle w:val="TableColumnHeading"/>
                    <w:spacing w:after="0"/>
                    <w:rPr>
                      <w:rFonts w:cs="Arial"/>
                      <w:szCs w:val="18"/>
                    </w:rPr>
                  </w:pPr>
                  <w:r w:rsidRPr="00AE5CE2">
                    <w:rPr>
                      <w:rFonts w:cs="Arial"/>
                      <w:color w:val="000000"/>
                      <w:szCs w:val="18"/>
                    </w:rPr>
                    <w:t>Units</w:t>
                  </w:r>
                </w:p>
              </w:tc>
              <w:tc>
                <w:tcPr>
                  <w:tcW w:w="1144" w:type="pct"/>
                  <w:gridSpan w:val="2"/>
                  <w:tcBorders>
                    <w:top w:val="single" w:sz="6" w:space="0" w:color="BFBF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AE5CE2" w:rsidRPr="00AE5CE2" w:rsidRDefault="00AE5CE2" w:rsidP="00AE5CE2">
                  <w:pPr>
                    <w:pStyle w:val="TableColumnHeading"/>
                    <w:spacing w:after="0"/>
                    <w:jc w:val="center"/>
                    <w:rPr>
                      <w:rFonts w:cs="Arial"/>
                      <w:szCs w:val="18"/>
                    </w:rPr>
                  </w:pPr>
                  <w:r w:rsidRPr="00AE5CE2">
                    <w:rPr>
                      <w:rFonts w:cs="Arial"/>
                      <w:szCs w:val="18"/>
                    </w:rPr>
                    <w:t>Coal generation</w:t>
                  </w:r>
                </w:p>
              </w:tc>
              <w:tc>
                <w:tcPr>
                  <w:tcW w:w="1277" w:type="pct"/>
                  <w:gridSpan w:val="2"/>
                  <w:tcBorders>
                    <w:top w:val="single" w:sz="6" w:space="0" w:color="BFBFBF"/>
                    <w:left w:val="single" w:sz="4" w:space="0" w:color="BFBFBF" w:themeColor="background1" w:themeShade="BF"/>
                    <w:bottom w:val="single" w:sz="6" w:space="0" w:color="BFBFBF"/>
                    <w:right w:val="single" w:sz="4" w:space="0" w:color="BFBFBF" w:themeColor="background1" w:themeShade="BF"/>
                  </w:tcBorders>
                  <w:vAlign w:val="bottom"/>
                  <w:hideMark/>
                </w:tcPr>
                <w:p w:rsidR="00AE5CE2" w:rsidRPr="00AE5CE2" w:rsidRDefault="00AE5CE2" w:rsidP="00AE5CE2">
                  <w:pPr>
                    <w:pStyle w:val="TableColumnHeading"/>
                    <w:spacing w:after="0"/>
                    <w:jc w:val="center"/>
                    <w:rPr>
                      <w:rFonts w:cs="Arial"/>
                      <w:color w:val="000000"/>
                      <w:szCs w:val="18"/>
                    </w:rPr>
                  </w:pPr>
                  <w:r w:rsidRPr="00AE5CE2">
                    <w:rPr>
                      <w:rFonts w:cs="Arial"/>
                      <w:color w:val="000000"/>
                      <w:szCs w:val="18"/>
                    </w:rPr>
                    <w:t>Gas generation</w:t>
                  </w:r>
                </w:p>
              </w:tc>
              <w:tc>
                <w:tcPr>
                  <w:tcW w:w="440" w:type="pct"/>
                  <w:vMerge w:val="restart"/>
                  <w:tcBorders>
                    <w:top w:val="single" w:sz="6" w:space="0" w:color="BFBFBF"/>
                    <w:left w:val="single" w:sz="4" w:space="0" w:color="BFBFBF" w:themeColor="background1" w:themeShade="BF"/>
                    <w:right w:val="nil"/>
                  </w:tcBorders>
                  <w:vAlign w:val="bottom"/>
                  <w:hideMark/>
                </w:tcPr>
                <w:p w:rsidR="00AE5CE2" w:rsidRPr="00AE5CE2" w:rsidRDefault="00AE5CE2" w:rsidP="00AE5CE2">
                  <w:pPr>
                    <w:pStyle w:val="TableColumnHeading"/>
                    <w:spacing w:after="0"/>
                    <w:ind w:right="28"/>
                    <w:rPr>
                      <w:rFonts w:cs="Arial"/>
                      <w:szCs w:val="18"/>
                    </w:rPr>
                  </w:pPr>
                  <w:r w:rsidRPr="00AE5CE2">
                    <w:rPr>
                      <w:rFonts w:cs="Arial"/>
                      <w:color w:val="000000"/>
                      <w:szCs w:val="18"/>
                    </w:rPr>
                    <w:t>Wind</w:t>
                  </w:r>
                </w:p>
              </w:tc>
            </w:tr>
            <w:tr w:rsidR="00AE5CE2" w:rsidRPr="00AE5CE2" w:rsidTr="00AE5CE2">
              <w:trPr>
                <w:trHeight w:val="335"/>
              </w:trPr>
              <w:tc>
                <w:tcPr>
                  <w:tcW w:w="817" w:type="pct"/>
                  <w:vMerge/>
                  <w:tcBorders>
                    <w:left w:val="nil"/>
                    <w:bottom w:val="single" w:sz="6" w:space="0" w:color="BFBFBF"/>
                    <w:right w:val="nil"/>
                  </w:tcBorders>
                  <w:vAlign w:val="bottom"/>
                </w:tcPr>
                <w:p w:rsidR="00AE5CE2" w:rsidRPr="00AE5CE2" w:rsidRDefault="00AE5CE2" w:rsidP="00AE5CE2">
                  <w:pPr>
                    <w:pStyle w:val="TableColumnHeading"/>
                    <w:spacing w:after="0"/>
                    <w:jc w:val="left"/>
                    <w:rPr>
                      <w:rFonts w:cs="Arial"/>
                      <w:szCs w:val="18"/>
                    </w:rPr>
                  </w:pPr>
                </w:p>
              </w:tc>
              <w:tc>
                <w:tcPr>
                  <w:tcW w:w="1321" w:type="pct"/>
                  <w:vMerge/>
                  <w:tcBorders>
                    <w:left w:val="nil"/>
                    <w:bottom w:val="single" w:sz="6" w:space="0" w:color="BFBFBF"/>
                    <w:right w:val="single" w:sz="4" w:space="0" w:color="BFBFBF" w:themeColor="background1" w:themeShade="BF"/>
                  </w:tcBorders>
                  <w:vAlign w:val="bottom"/>
                </w:tcPr>
                <w:p w:rsidR="00AE5CE2" w:rsidRPr="00AE5CE2" w:rsidRDefault="00AE5CE2" w:rsidP="00AE5CE2">
                  <w:pPr>
                    <w:pStyle w:val="TableColumnHeading"/>
                    <w:spacing w:after="0"/>
                    <w:rPr>
                      <w:rFonts w:cs="Arial"/>
                      <w:color w:val="000000"/>
                      <w:szCs w:val="18"/>
                    </w:rPr>
                  </w:pPr>
                </w:p>
              </w:tc>
              <w:tc>
                <w:tcPr>
                  <w:tcW w:w="572" w:type="pct"/>
                  <w:tcBorders>
                    <w:top w:val="single" w:sz="4" w:space="0" w:color="BFBFBF" w:themeColor="background1" w:themeShade="BF"/>
                    <w:left w:val="single" w:sz="4" w:space="0" w:color="BFBFBF" w:themeColor="background1" w:themeShade="BF"/>
                    <w:bottom w:val="single" w:sz="6" w:space="0" w:color="BFBFBF"/>
                    <w:right w:val="nil"/>
                  </w:tcBorders>
                  <w:vAlign w:val="bottom"/>
                </w:tcPr>
                <w:p w:rsidR="00AE5CE2" w:rsidRPr="00AE5CE2" w:rsidRDefault="00AE5CE2" w:rsidP="00AE5CE2">
                  <w:pPr>
                    <w:pStyle w:val="TableColumnHeading"/>
                    <w:spacing w:after="0"/>
                    <w:rPr>
                      <w:rFonts w:cs="Arial"/>
                      <w:color w:val="000000"/>
                      <w:szCs w:val="18"/>
                    </w:rPr>
                  </w:pPr>
                  <w:r w:rsidRPr="00AE5CE2">
                    <w:rPr>
                      <w:rFonts w:cs="Arial"/>
                      <w:color w:val="000000"/>
                      <w:szCs w:val="18"/>
                    </w:rPr>
                    <w:t>Brown</w:t>
                  </w:r>
                </w:p>
              </w:tc>
              <w:tc>
                <w:tcPr>
                  <w:tcW w:w="572" w:type="pct"/>
                  <w:tcBorders>
                    <w:top w:val="single" w:sz="4" w:space="0" w:color="BFBFBF" w:themeColor="background1" w:themeShade="BF"/>
                    <w:left w:val="nil"/>
                    <w:bottom w:val="single" w:sz="6" w:space="0" w:color="BFBFBF"/>
                    <w:right w:val="single" w:sz="4" w:space="0" w:color="BFBFBF" w:themeColor="background1" w:themeShade="BF"/>
                  </w:tcBorders>
                  <w:vAlign w:val="bottom"/>
                </w:tcPr>
                <w:p w:rsidR="00AE5CE2" w:rsidRPr="00AE5CE2" w:rsidRDefault="00AE5CE2" w:rsidP="00AE5CE2">
                  <w:pPr>
                    <w:pStyle w:val="TableColumnHeading"/>
                    <w:spacing w:after="0"/>
                    <w:rPr>
                      <w:rFonts w:cs="Arial"/>
                      <w:color w:val="000000"/>
                      <w:szCs w:val="18"/>
                    </w:rPr>
                  </w:pPr>
                  <w:r w:rsidRPr="00AE5CE2">
                    <w:rPr>
                      <w:rFonts w:cs="Arial"/>
                      <w:color w:val="000000"/>
                      <w:szCs w:val="18"/>
                    </w:rPr>
                    <w:t>Black</w:t>
                  </w:r>
                </w:p>
              </w:tc>
              <w:tc>
                <w:tcPr>
                  <w:tcW w:w="638" w:type="pct"/>
                  <w:tcBorders>
                    <w:top w:val="single" w:sz="6" w:space="0" w:color="BFBFBF"/>
                    <w:left w:val="single" w:sz="4" w:space="0" w:color="BFBFBF" w:themeColor="background1" w:themeShade="BF"/>
                    <w:bottom w:val="single" w:sz="6" w:space="0" w:color="BFBFBF"/>
                    <w:right w:val="nil"/>
                  </w:tcBorders>
                  <w:vAlign w:val="bottom"/>
                </w:tcPr>
                <w:p w:rsidR="00AE5CE2" w:rsidRPr="00AE5CE2" w:rsidRDefault="00AE5CE2" w:rsidP="00AE5CE2">
                  <w:pPr>
                    <w:pStyle w:val="TableColumnHeading"/>
                    <w:spacing w:after="0"/>
                    <w:rPr>
                      <w:rFonts w:cs="Arial"/>
                      <w:color w:val="000000"/>
                      <w:szCs w:val="18"/>
                    </w:rPr>
                  </w:pPr>
                  <w:r w:rsidRPr="00AE5CE2">
                    <w:rPr>
                      <w:rFonts w:cs="Arial"/>
                      <w:color w:val="000000"/>
                      <w:szCs w:val="18"/>
                    </w:rPr>
                    <w:t>Combined cycle</w:t>
                  </w:r>
                </w:p>
              </w:tc>
              <w:tc>
                <w:tcPr>
                  <w:tcW w:w="639" w:type="pct"/>
                  <w:tcBorders>
                    <w:top w:val="single" w:sz="4" w:space="0" w:color="BFBFBF" w:themeColor="background1" w:themeShade="BF"/>
                    <w:left w:val="nil"/>
                    <w:bottom w:val="single" w:sz="6" w:space="0" w:color="BFBFBF"/>
                    <w:right w:val="single" w:sz="4" w:space="0" w:color="BFBFBF" w:themeColor="background1" w:themeShade="BF"/>
                  </w:tcBorders>
                  <w:vAlign w:val="bottom"/>
                </w:tcPr>
                <w:p w:rsidR="00AE5CE2" w:rsidRPr="00AE5CE2" w:rsidRDefault="00AE5CE2" w:rsidP="00AE5CE2">
                  <w:pPr>
                    <w:pStyle w:val="TableColumnHeading"/>
                    <w:spacing w:after="0"/>
                    <w:rPr>
                      <w:rFonts w:cs="Arial"/>
                      <w:color w:val="000000"/>
                      <w:szCs w:val="18"/>
                    </w:rPr>
                  </w:pPr>
                  <w:r w:rsidRPr="00AE5CE2">
                    <w:rPr>
                      <w:rFonts w:cs="Arial"/>
                      <w:color w:val="000000"/>
                      <w:szCs w:val="18"/>
                    </w:rPr>
                    <w:t>Open cycle</w:t>
                  </w:r>
                </w:p>
              </w:tc>
              <w:tc>
                <w:tcPr>
                  <w:tcW w:w="440" w:type="pct"/>
                  <w:vMerge/>
                  <w:tcBorders>
                    <w:left w:val="single" w:sz="4" w:space="0" w:color="BFBFBF" w:themeColor="background1" w:themeShade="BF"/>
                    <w:bottom w:val="single" w:sz="6" w:space="0" w:color="BFBFBF"/>
                    <w:right w:val="nil"/>
                  </w:tcBorders>
                  <w:vAlign w:val="bottom"/>
                </w:tcPr>
                <w:p w:rsidR="00AE5CE2" w:rsidRPr="00AE5CE2" w:rsidRDefault="00AE5CE2" w:rsidP="00AE5CE2">
                  <w:pPr>
                    <w:pStyle w:val="TableColumnHeading"/>
                    <w:spacing w:after="0"/>
                    <w:ind w:right="28"/>
                    <w:rPr>
                      <w:rFonts w:cs="Arial"/>
                      <w:color w:val="000000"/>
                      <w:szCs w:val="18"/>
                    </w:rPr>
                  </w:pPr>
                </w:p>
              </w:tc>
            </w:tr>
            <w:tr w:rsidR="00AE5CE2" w:rsidRPr="00AE5CE2" w:rsidTr="00AE5CE2">
              <w:tc>
                <w:tcPr>
                  <w:tcW w:w="817" w:type="pct"/>
                  <w:tcBorders>
                    <w:top w:val="single" w:sz="6" w:space="0" w:color="BFBFBF"/>
                    <w:left w:val="nil"/>
                    <w:bottom w:val="nil"/>
                    <w:right w:val="nil"/>
                  </w:tcBorders>
                  <w:vAlign w:val="bottom"/>
                </w:tcPr>
                <w:p w:rsidR="00AE5CE2" w:rsidRPr="00AE5CE2" w:rsidRDefault="00AE5CE2" w:rsidP="00AE5CE2">
                  <w:pPr>
                    <w:pStyle w:val="TableUnitsRow"/>
                    <w:spacing w:after="0"/>
                    <w:jc w:val="left"/>
                    <w:rPr>
                      <w:rFonts w:cs="Arial"/>
                      <w:szCs w:val="18"/>
                    </w:rPr>
                  </w:pPr>
                  <w:r w:rsidRPr="00AE5CE2">
                    <w:rPr>
                      <w:rFonts w:cs="Arial"/>
                      <w:szCs w:val="18"/>
                    </w:rPr>
                    <w:t>Capital Cost</w:t>
                  </w:r>
                </w:p>
              </w:tc>
              <w:tc>
                <w:tcPr>
                  <w:tcW w:w="1321" w:type="pct"/>
                  <w:tcBorders>
                    <w:top w:val="single" w:sz="6" w:space="0" w:color="BFBFBF"/>
                    <w:left w:val="nil"/>
                    <w:bottom w:val="nil"/>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$m/MW</w:t>
                  </w:r>
                </w:p>
              </w:tc>
              <w:tc>
                <w:tcPr>
                  <w:tcW w:w="572" w:type="pct"/>
                  <w:tcBorders>
                    <w:top w:val="single" w:sz="6" w:space="0" w:color="BFBFBF"/>
                    <w:left w:val="single" w:sz="4" w:space="0" w:color="BFBFBF" w:themeColor="background1" w:themeShade="BF"/>
                    <w:bottom w:val="nil"/>
                    <w:right w:val="nil"/>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4.2</w:t>
                  </w:r>
                </w:p>
              </w:tc>
              <w:tc>
                <w:tcPr>
                  <w:tcW w:w="572" w:type="pct"/>
                  <w:tcBorders>
                    <w:top w:val="single" w:sz="6" w:space="0" w:color="BFBFBF"/>
                    <w:left w:val="nil"/>
                    <w:bottom w:val="nil"/>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2.8</w:t>
                  </w:r>
                </w:p>
              </w:tc>
              <w:tc>
                <w:tcPr>
                  <w:tcW w:w="638" w:type="pct"/>
                  <w:tcBorders>
                    <w:top w:val="single" w:sz="6" w:space="0" w:color="BFBFBF"/>
                    <w:left w:val="single" w:sz="4" w:space="0" w:color="BFBFBF" w:themeColor="background1" w:themeShade="BF"/>
                    <w:bottom w:val="nil"/>
                    <w:right w:val="nil"/>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1.1</w:t>
                  </w:r>
                </w:p>
              </w:tc>
              <w:tc>
                <w:tcPr>
                  <w:tcW w:w="639" w:type="pct"/>
                  <w:tcBorders>
                    <w:top w:val="single" w:sz="6" w:space="0" w:color="BFBFBF"/>
                    <w:left w:val="nil"/>
                    <w:bottom w:val="nil"/>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0.85</w:t>
                  </w:r>
                </w:p>
              </w:tc>
              <w:tc>
                <w:tcPr>
                  <w:tcW w:w="440" w:type="pct"/>
                  <w:tcBorders>
                    <w:top w:val="single" w:sz="6" w:space="0" w:color="BFBFBF"/>
                    <w:left w:val="single" w:sz="4" w:space="0" w:color="BFBFBF" w:themeColor="background1" w:themeShade="BF"/>
                    <w:bottom w:val="nil"/>
                    <w:right w:val="nil"/>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2.4</w:t>
                  </w:r>
                </w:p>
              </w:tc>
            </w:tr>
            <w:tr w:rsidR="00AE5CE2" w:rsidRPr="00AE5CE2" w:rsidTr="00AE5CE2">
              <w:tc>
                <w:tcPr>
                  <w:tcW w:w="817" w:type="pct"/>
                  <w:vAlign w:val="bottom"/>
                </w:tcPr>
                <w:p w:rsidR="00AE5CE2" w:rsidRPr="00AE5CE2" w:rsidRDefault="00AE5CE2" w:rsidP="00AE5CE2">
                  <w:pPr>
                    <w:pStyle w:val="TableBodyText"/>
                    <w:spacing w:after="0"/>
                    <w:jc w:val="left"/>
                    <w:rPr>
                      <w:rFonts w:cs="Arial"/>
                      <w:szCs w:val="18"/>
                    </w:rPr>
                  </w:pPr>
                  <w:r w:rsidRPr="00AE5CE2">
                    <w:rPr>
                      <w:rFonts w:cs="Arial"/>
                      <w:szCs w:val="18"/>
                    </w:rPr>
                    <w:t>Fuel Cost</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$/GJ</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0.4</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2.25</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7</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7</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r>
            <w:tr w:rsidR="00AE5CE2" w:rsidRPr="00AE5CE2" w:rsidTr="00AE5CE2">
              <w:tc>
                <w:tcPr>
                  <w:tcW w:w="817" w:type="pct"/>
                  <w:vAlign w:val="bottom"/>
                </w:tcPr>
                <w:p w:rsidR="00AE5CE2" w:rsidRPr="00AE5CE2" w:rsidRDefault="00AE5CE2" w:rsidP="00AE5CE2">
                  <w:pPr>
                    <w:pStyle w:val="TableUnitsRow"/>
                    <w:spacing w:after="0"/>
                    <w:jc w:val="left"/>
                    <w:rPr>
                      <w:rFonts w:cs="Arial"/>
                      <w:szCs w:val="18"/>
                    </w:rPr>
                  </w:pPr>
                  <w:r w:rsidRPr="00AE5CE2">
                    <w:rPr>
                      <w:rFonts w:cs="Arial"/>
                      <w:szCs w:val="18"/>
                    </w:rPr>
                    <w:t>Fixed Operating Costs</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$/MW</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65500</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50500</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17000</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6000</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45000</w:t>
                  </w:r>
                </w:p>
              </w:tc>
            </w:tr>
            <w:tr w:rsidR="00AE5CE2" w:rsidRPr="00AE5CE2" w:rsidTr="00AE5CE2">
              <w:tc>
                <w:tcPr>
                  <w:tcW w:w="817" w:type="pct"/>
                  <w:vAlign w:val="bottom"/>
                </w:tcPr>
                <w:p w:rsidR="00AE5CE2" w:rsidRPr="00AE5CE2" w:rsidRDefault="00AE5CE2" w:rsidP="00AE479D">
                  <w:pPr>
                    <w:pStyle w:val="TableUnitsRow"/>
                    <w:spacing w:after="0"/>
                    <w:ind w:left="170"/>
                    <w:jc w:val="left"/>
                    <w:rPr>
                      <w:rFonts w:cs="Arial"/>
                      <w:i/>
                      <w:szCs w:val="18"/>
                    </w:rPr>
                  </w:pPr>
                  <w:r w:rsidRPr="00AE5CE2">
                    <w:rPr>
                      <w:rFonts w:cs="Arial"/>
                      <w:i/>
                      <w:szCs w:val="18"/>
                    </w:rPr>
                    <w:t>of which</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r>
            <w:tr w:rsidR="00AE5CE2" w:rsidRPr="00AE5CE2" w:rsidTr="00AE5CE2">
              <w:tc>
                <w:tcPr>
                  <w:tcW w:w="817" w:type="pct"/>
                  <w:vAlign w:val="bottom"/>
                </w:tcPr>
                <w:p w:rsidR="00AE5CE2" w:rsidRPr="00AE5CE2" w:rsidRDefault="00AE5CE2" w:rsidP="00AE479D">
                  <w:pPr>
                    <w:pStyle w:val="TableUnitsRow"/>
                    <w:spacing w:after="0"/>
                    <w:ind w:left="283"/>
                    <w:jc w:val="left"/>
                    <w:rPr>
                      <w:rFonts w:cs="Arial"/>
                      <w:szCs w:val="18"/>
                    </w:rPr>
                  </w:pPr>
                  <w:r w:rsidRPr="00AE5CE2">
                    <w:rPr>
                      <w:rFonts w:cs="Arial"/>
                      <w:szCs w:val="18"/>
                    </w:rPr>
                    <w:t xml:space="preserve">Labour </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szCs w:val="18"/>
                    </w:rPr>
                    <w:t>share</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0.75</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0.75</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0.75</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0.75</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0.75</w:t>
                  </w:r>
                </w:p>
              </w:tc>
            </w:tr>
            <w:tr w:rsidR="00AE5CE2" w:rsidRPr="00AE5CE2" w:rsidTr="00AE5CE2">
              <w:tc>
                <w:tcPr>
                  <w:tcW w:w="817" w:type="pct"/>
                  <w:vAlign w:val="bottom"/>
                </w:tcPr>
                <w:p w:rsidR="00AE5CE2" w:rsidRPr="00AE5CE2" w:rsidRDefault="00AE5CE2" w:rsidP="00AE479D">
                  <w:pPr>
                    <w:pStyle w:val="TableUnitsRow"/>
                    <w:spacing w:after="0"/>
                    <w:ind w:left="283"/>
                    <w:jc w:val="left"/>
                    <w:rPr>
                      <w:rFonts w:cs="Arial"/>
                      <w:szCs w:val="18"/>
                    </w:rPr>
                  </w:pPr>
                  <w:r w:rsidRPr="00AE5CE2">
                    <w:rPr>
                      <w:rFonts w:cs="Arial"/>
                      <w:szCs w:val="18"/>
                    </w:rPr>
                    <w:t xml:space="preserve">Manufacturing </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share</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0.09</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0.09</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0.09</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0.09</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0.09</w:t>
                  </w:r>
                </w:p>
              </w:tc>
            </w:tr>
            <w:tr w:rsidR="00AE5CE2" w:rsidRPr="00AE5CE2" w:rsidTr="00AE5CE2">
              <w:tc>
                <w:tcPr>
                  <w:tcW w:w="817" w:type="pct"/>
                  <w:vAlign w:val="bottom"/>
                </w:tcPr>
                <w:p w:rsidR="00AE5CE2" w:rsidRPr="00AE5CE2" w:rsidRDefault="00AE5CE2" w:rsidP="00AE479D">
                  <w:pPr>
                    <w:pStyle w:val="TableUnitsRow"/>
                    <w:spacing w:after="0"/>
                    <w:ind w:left="283"/>
                    <w:jc w:val="left"/>
                    <w:rPr>
                      <w:rFonts w:cs="Arial"/>
                      <w:szCs w:val="18"/>
                    </w:rPr>
                  </w:pPr>
                  <w:r w:rsidRPr="00AE5CE2">
                    <w:rPr>
                      <w:rFonts w:cs="Arial"/>
                      <w:szCs w:val="18"/>
                    </w:rPr>
                    <w:t xml:space="preserve">Services </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share</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0.16</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0.16</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0.16</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0.16</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0.16</w:t>
                  </w:r>
                </w:p>
              </w:tc>
            </w:tr>
            <w:tr w:rsidR="00AE5CE2" w:rsidRPr="00AE5CE2" w:rsidTr="00AE5CE2">
              <w:tc>
                <w:tcPr>
                  <w:tcW w:w="817" w:type="pct"/>
                  <w:vAlign w:val="bottom"/>
                </w:tcPr>
                <w:p w:rsidR="00AE5CE2" w:rsidRPr="00AE5CE2" w:rsidRDefault="00AE5CE2" w:rsidP="00AE5CE2">
                  <w:pPr>
                    <w:pStyle w:val="TableUnitsRow"/>
                    <w:spacing w:after="0"/>
                    <w:jc w:val="left"/>
                    <w:rPr>
                      <w:rFonts w:cs="Arial"/>
                      <w:szCs w:val="18"/>
                    </w:rPr>
                  </w:pPr>
                  <w:r w:rsidRPr="00AE5CE2">
                    <w:rPr>
                      <w:rFonts w:cs="Arial"/>
                      <w:szCs w:val="18"/>
                    </w:rPr>
                    <w:t>Plant Availability</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 of time</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97</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97</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99</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99</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25</w:t>
                  </w:r>
                </w:p>
              </w:tc>
            </w:tr>
            <w:tr w:rsidR="00AE5CE2" w:rsidRPr="00AE5CE2" w:rsidTr="00AE5CE2">
              <w:tc>
                <w:tcPr>
                  <w:tcW w:w="817" w:type="pct"/>
                  <w:vAlign w:val="bottom"/>
                </w:tcPr>
                <w:p w:rsidR="00AE5CE2" w:rsidRPr="00AE5CE2" w:rsidRDefault="00AE5CE2" w:rsidP="00AE5CE2">
                  <w:pPr>
                    <w:pStyle w:val="TableUnitsRow"/>
                    <w:spacing w:after="0"/>
                    <w:jc w:val="left"/>
                    <w:rPr>
                      <w:rFonts w:cs="Arial"/>
                      <w:szCs w:val="18"/>
                    </w:rPr>
                  </w:pPr>
                  <w:r w:rsidRPr="00AE5CE2">
                    <w:rPr>
                      <w:rFonts w:cs="Arial"/>
                      <w:szCs w:val="18"/>
                    </w:rPr>
                    <w:t>Minimum Plant Size</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MW</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300</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300</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p>
              </w:tc>
            </w:tr>
            <w:tr w:rsidR="00AE5CE2" w:rsidRPr="00AE5CE2" w:rsidTr="00AE5CE2">
              <w:tc>
                <w:tcPr>
                  <w:tcW w:w="817" w:type="pct"/>
                  <w:vAlign w:val="bottom"/>
                </w:tcPr>
                <w:p w:rsidR="00AE5CE2" w:rsidRPr="00AE5CE2" w:rsidRDefault="00AE5CE2" w:rsidP="00AE5CE2">
                  <w:pPr>
                    <w:pStyle w:val="TableUnitsRow"/>
                    <w:spacing w:after="0"/>
                    <w:jc w:val="left"/>
                    <w:rPr>
                      <w:rFonts w:cs="Arial"/>
                      <w:szCs w:val="18"/>
                    </w:rPr>
                  </w:pPr>
                  <w:r w:rsidRPr="00AE5CE2">
                    <w:rPr>
                      <w:rFonts w:cs="Arial"/>
                      <w:szCs w:val="18"/>
                    </w:rPr>
                    <w:t>Maximum Plant Size</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MW</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750</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750</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349</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530</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100</w:t>
                  </w:r>
                </w:p>
              </w:tc>
            </w:tr>
            <w:tr w:rsidR="00AE5CE2" w:rsidRPr="00AE5CE2" w:rsidTr="00AE5CE2">
              <w:tc>
                <w:tcPr>
                  <w:tcW w:w="817" w:type="pct"/>
                  <w:vAlign w:val="bottom"/>
                </w:tcPr>
                <w:p w:rsidR="00AE5CE2" w:rsidRPr="00AE5CE2" w:rsidRDefault="00AE5CE2" w:rsidP="00AE5CE2">
                  <w:pPr>
                    <w:pStyle w:val="TableUnitsRow"/>
                    <w:spacing w:after="0"/>
                    <w:jc w:val="left"/>
                    <w:rPr>
                      <w:rFonts w:cs="Arial"/>
                      <w:szCs w:val="18"/>
                    </w:rPr>
                  </w:pPr>
                  <w:r w:rsidRPr="00AE5CE2">
                    <w:rPr>
                      <w:rFonts w:cs="Arial"/>
                      <w:szCs w:val="18"/>
                    </w:rPr>
                    <w:t>Life of Plant</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Years</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50</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50</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30</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40</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25</w:t>
                  </w:r>
                </w:p>
              </w:tc>
            </w:tr>
            <w:tr w:rsidR="00AE5CE2" w:rsidRPr="00AE5CE2" w:rsidTr="00AE5CE2">
              <w:tc>
                <w:tcPr>
                  <w:tcW w:w="817" w:type="pct"/>
                  <w:vAlign w:val="bottom"/>
                </w:tcPr>
                <w:p w:rsidR="00AE5CE2" w:rsidRPr="00AE5CE2" w:rsidRDefault="00AE5CE2" w:rsidP="00AE5CE2">
                  <w:pPr>
                    <w:pStyle w:val="TableUnitsRow"/>
                    <w:spacing w:after="0"/>
                    <w:jc w:val="left"/>
                    <w:rPr>
                      <w:rFonts w:cs="Arial"/>
                      <w:szCs w:val="18"/>
                    </w:rPr>
                  </w:pPr>
                  <w:r w:rsidRPr="00AE5CE2">
                    <w:rPr>
                      <w:rFonts w:cs="Arial"/>
                      <w:szCs w:val="18"/>
                    </w:rPr>
                    <w:t>Thermal Efficiency</w:t>
                  </w:r>
                </w:p>
              </w:tc>
              <w:tc>
                <w:tcPr>
                  <w:tcW w:w="1321"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GJ electricity generated per GJ fuel</w:t>
                  </w:r>
                </w:p>
              </w:tc>
              <w:tc>
                <w:tcPr>
                  <w:tcW w:w="572"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0.29</w:t>
                  </w:r>
                </w:p>
              </w:tc>
              <w:tc>
                <w:tcPr>
                  <w:tcW w:w="572"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0.39</w:t>
                  </w:r>
                </w:p>
              </w:tc>
              <w:tc>
                <w:tcPr>
                  <w:tcW w:w="638"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0.50</w:t>
                  </w:r>
                </w:p>
              </w:tc>
              <w:tc>
                <w:tcPr>
                  <w:tcW w:w="639" w:type="pct"/>
                  <w:tcBorders>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0.35</w:t>
                  </w:r>
                </w:p>
              </w:tc>
              <w:tc>
                <w:tcPr>
                  <w:tcW w:w="440" w:type="pct"/>
                  <w:tcBorders>
                    <w:lef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1.00</w:t>
                  </w:r>
                </w:p>
              </w:tc>
            </w:tr>
            <w:tr w:rsidR="00AE5CE2" w:rsidRPr="00AE5CE2" w:rsidTr="00AE5CE2">
              <w:tc>
                <w:tcPr>
                  <w:tcW w:w="817" w:type="pct"/>
                  <w:tcBorders>
                    <w:top w:val="nil"/>
                    <w:left w:val="nil"/>
                    <w:bottom w:val="single" w:sz="6" w:space="0" w:color="BFBFBF"/>
                    <w:right w:val="nil"/>
                  </w:tcBorders>
                  <w:vAlign w:val="bottom"/>
                </w:tcPr>
                <w:p w:rsidR="00AE5CE2" w:rsidRPr="00AE5CE2" w:rsidRDefault="00AE5CE2" w:rsidP="00AE5CE2">
                  <w:pPr>
                    <w:pStyle w:val="TableUnitsRow"/>
                    <w:spacing w:after="0"/>
                    <w:jc w:val="left"/>
                    <w:rPr>
                      <w:rFonts w:cs="Arial"/>
                      <w:szCs w:val="18"/>
                    </w:rPr>
                  </w:pPr>
                  <w:r w:rsidRPr="00AE5CE2">
                    <w:rPr>
                      <w:rFonts w:cs="Arial"/>
                      <w:szCs w:val="18"/>
                    </w:rPr>
                    <w:t>Carbon Emissions</w:t>
                  </w:r>
                </w:p>
              </w:tc>
              <w:tc>
                <w:tcPr>
                  <w:tcW w:w="1321" w:type="pct"/>
                  <w:tcBorders>
                    <w:top w:val="nil"/>
                    <w:left w:val="nil"/>
                    <w:bottom w:val="single" w:sz="6" w:space="0" w:color="BFBFBF"/>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tCO2e/MWh</w:t>
                  </w:r>
                </w:p>
              </w:tc>
              <w:tc>
                <w:tcPr>
                  <w:tcW w:w="572" w:type="pct"/>
                  <w:tcBorders>
                    <w:top w:val="nil"/>
                    <w:left w:val="single" w:sz="4" w:space="0" w:color="BFBFBF" w:themeColor="background1" w:themeShade="BF"/>
                    <w:bottom w:val="single" w:sz="6" w:space="0" w:color="BFBFBF"/>
                    <w:right w:val="nil"/>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1.126</w:t>
                  </w:r>
                </w:p>
              </w:tc>
              <w:tc>
                <w:tcPr>
                  <w:tcW w:w="572" w:type="pct"/>
                  <w:tcBorders>
                    <w:top w:val="nil"/>
                    <w:left w:val="nil"/>
                    <w:bottom w:val="single" w:sz="6" w:space="0" w:color="BFBFBF"/>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0.743</w:t>
                  </w:r>
                </w:p>
              </w:tc>
              <w:tc>
                <w:tcPr>
                  <w:tcW w:w="638" w:type="pct"/>
                  <w:tcBorders>
                    <w:top w:val="nil"/>
                    <w:left w:val="single" w:sz="4" w:space="0" w:color="BFBFBF" w:themeColor="background1" w:themeShade="BF"/>
                    <w:bottom w:val="single" w:sz="6" w:space="0" w:color="BFBFBF"/>
                    <w:right w:val="nil"/>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0.349</w:t>
                  </w:r>
                </w:p>
              </w:tc>
              <w:tc>
                <w:tcPr>
                  <w:tcW w:w="639" w:type="pct"/>
                  <w:tcBorders>
                    <w:top w:val="nil"/>
                    <w:left w:val="nil"/>
                    <w:bottom w:val="single" w:sz="6" w:space="0" w:color="BFBFBF"/>
                    <w:right w:val="single" w:sz="4" w:space="0" w:color="BFBFBF" w:themeColor="background1" w:themeShade="BF"/>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0.515</w:t>
                  </w:r>
                </w:p>
              </w:tc>
              <w:tc>
                <w:tcPr>
                  <w:tcW w:w="440" w:type="pct"/>
                  <w:tcBorders>
                    <w:top w:val="nil"/>
                    <w:left w:val="single" w:sz="4" w:space="0" w:color="BFBFBF" w:themeColor="background1" w:themeShade="BF"/>
                    <w:bottom w:val="single" w:sz="6" w:space="0" w:color="BFBFBF"/>
                    <w:right w:val="nil"/>
                  </w:tcBorders>
                  <w:vAlign w:val="bottom"/>
                </w:tcPr>
                <w:p w:rsidR="00AE5CE2" w:rsidRPr="00AE5CE2" w:rsidRDefault="00AE5CE2" w:rsidP="00AE5CE2">
                  <w:pPr>
                    <w:pStyle w:val="TableUnitsRow"/>
                    <w:spacing w:after="0"/>
                    <w:rPr>
                      <w:rFonts w:cs="Arial"/>
                      <w:color w:val="000000"/>
                      <w:szCs w:val="18"/>
                    </w:rPr>
                  </w:pPr>
                  <w:r w:rsidRPr="00AE5CE2">
                    <w:rPr>
                      <w:rFonts w:cs="Arial"/>
                      <w:color w:val="000000"/>
                      <w:szCs w:val="18"/>
                    </w:rPr>
                    <w:t>0.000</w:t>
                  </w:r>
                </w:p>
              </w:tc>
            </w:tr>
          </w:tbl>
          <w:p w:rsidR="00AE5CE2" w:rsidRDefault="00AE5CE2" w:rsidP="00476DFA">
            <w:pPr>
              <w:pStyle w:val="Box"/>
            </w:pPr>
          </w:p>
        </w:tc>
      </w:tr>
      <w:tr w:rsidR="00AE5CE2" w:rsidTr="00476DFA">
        <w:tc>
          <w:tcPr>
            <w:tcW w:w="5000" w:type="pct"/>
            <w:tcBorders>
              <w:top w:val="nil"/>
              <w:left w:val="nil"/>
              <w:bottom w:val="nil"/>
              <w:right w:val="nil"/>
            </w:tcBorders>
            <w:shd w:val="clear" w:color="auto" w:fill="auto"/>
          </w:tcPr>
          <w:p w:rsidR="00AE5CE2" w:rsidRDefault="00AE5CE2" w:rsidP="00AE5CE2">
            <w:pPr>
              <w:pStyle w:val="Note"/>
              <w:rPr>
                <w:i/>
              </w:rPr>
            </w:pPr>
            <w:r w:rsidRPr="008E77FE">
              <w:rPr>
                <w:rStyle w:val="NoteLabel"/>
              </w:rPr>
              <w:t>a</w:t>
            </w:r>
            <w:r>
              <w:t xml:space="preserve"> </w:t>
            </w:r>
            <w:r w:rsidRPr="00AE5CE2">
              <w:t>In the combined model, the capital cost, fuel cost, and fixed operating cost are endogenously linked to the CGE result, and so change with the economy-wide impact of the policy simulation.</w:t>
            </w:r>
          </w:p>
        </w:tc>
      </w:tr>
      <w:tr w:rsidR="00AE5CE2" w:rsidTr="00476DFA">
        <w:tc>
          <w:tcPr>
            <w:tcW w:w="5000" w:type="pct"/>
            <w:tcBorders>
              <w:top w:val="nil"/>
              <w:left w:val="nil"/>
              <w:bottom w:val="single" w:sz="6" w:space="0" w:color="78A22F"/>
              <w:right w:val="nil"/>
            </w:tcBorders>
            <w:shd w:val="clear" w:color="auto" w:fill="auto"/>
          </w:tcPr>
          <w:p w:rsidR="00AE5CE2" w:rsidRDefault="00AE5CE2" w:rsidP="00476DFA">
            <w:pPr>
              <w:pStyle w:val="Box"/>
              <w:spacing w:before="0" w:line="120" w:lineRule="exact"/>
            </w:pPr>
          </w:p>
        </w:tc>
      </w:tr>
      <w:tr w:rsidR="00AE5CE2" w:rsidRPr="000863A5" w:rsidTr="00476DFA">
        <w:tc>
          <w:tcPr>
            <w:tcW w:w="5000" w:type="pct"/>
            <w:tcBorders>
              <w:top w:val="single" w:sz="6" w:space="0" w:color="78A22F"/>
              <w:left w:val="nil"/>
              <w:bottom w:val="nil"/>
              <w:right w:val="nil"/>
            </w:tcBorders>
          </w:tcPr>
          <w:p w:rsidR="00AE5CE2" w:rsidRPr="00626D32" w:rsidRDefault="00AE5CE2" w:rsidP="00476DFA">
            <w:pPr>
              <w:pStyle w:val="BoxSpaceBelow"/>
            </w:pPr>
          </w:p>
        </w:tc>
      </w:tr>
    </w:tbl>
    <w:p w:rsidR="00965C6A" w:rsidRDefault="00965C6A" w:rsidP="00965C6A">
      <w:pPr>
        <w:rPr>
          <w:szCs w:val="20"/>
        </w:rPr>
      </w:pPr>
    </w:p>
    <w:p w:rsidR="00965C6A" w:rsidRDefault="00965C6A" w:rsidP="00965C6A">
      <w:pPr>
        <w:pStyle w:val="BodyText"/>
        <w:sectPr w:rsidR="00965C6A" w:rsidSect="00C31D40">
          <w:headerReference w:type="even" r:id="rId22"/>
          <w:headerReference w:type="default" r:id="rId23"/>
          <w:footerReference w:type="even" r:id="rId24"/>
          <w:footerReference w:type="default" r:id="rId25"/>
          <w:pgSz w:w="16840" w:h="11907" w:orient="landscape" w:code="9"/>
          <w:pgMar w:top="1304" w:right="1247" w:bottom="1814" w:left="1985" w:header="1701" w:footer="397" w:gutter="0"/>
          <w:pgNumType w:chapSep="period"/>
          <w:cols w:space="720"/>
          <w:docGrid w:linePitch="326"/>
        </w:sectPr>
      </w:pPr>
    </w:p>
    <w:p w:rsidR="00965C6A" w:rsidRPr="00A2483E" w:rsidRDefault="00965C6A" w:rsidP="00AE5CE2">
      <w:pPr>
        <w:pStyle w:val="Heading2"/>
      </w:pPr>
      <w:bookmarkStart w:id="13" w:name="_Toc26780074"/>
      <w:r w:rsidRPr="00A2483E">
        <w:lastRenderedPageBreak/>
        <w:t>4.</w:t>
      </w:r>
      <w:r w:rsidR="00AE5CE2">
        <w:tab/>
      </w:r>
      <w:r w:rsidRPr="00A2483E">
        <w:t>Illustrative policy application: Renewable Energy Target</w:t>
      </w:r>
      <w:bookmarkEnd w:id="13"/>
    </w:p>
    <w:p w:rsidR="00965C6A" w:rsidRPr="00A2483E" w:rsidRDefault="00965C6A" w:rsidP="00AE5CE2">
      <w:pPr>
        <w:pStyle w:val="Heading3"/>
      </w:pPr>
      <w:r w:rsidRPr="00A2483E">
        <w:t>4.1</w:t>
      </w:r>
      <w:r w:rsidR="00AE5CE2">
        <w:tab/>
      </w:r>
      <w:r w:rsidRPr="00A2483E">
        <w:t>Operation of the RET</w:t>
      </w:r>
    </w:p>
    <w:p w:rsidR="00965C6A" w:rsidRPr="00B14DDE" w:rsidRDefault="00965C6A" w:rsidP="00AE5CE2">
      <w:pPr>
        <w:pStyle w:val="BodyText"/>
      </w:pPr>
      <w:r w:rsidRPr="00B14DDE">
        <w:t>For a decade and a half Australia has had a renewable energy target of some form (Department of the Environment and Energy, 2016). The current version of the scheme, the Large-Scale Renewable Energy Target (RET), last adjusted in 2015, sets a target such that in the year 2020, 33 000 GWh of Australia’s generated electricity will come from renewable supply sources. Renewables include supply sources such as wind, hydroelectric, solar and geothermal generation, among others, which is projected to account for over 20% of Australia’s generated electricity.</w:t>
      </w:r>
    </w:p>
    <w:p w:rsidR="00965C6A" w:rsidRDefault="00965C6A" w:rsidP="00AE5CE2">
      <w:pPr>
        <w:pStyle w:val="BodyText"/>
      </w:pPr>
      <w:r w:rsidRPr="00B14DDE">
        <w:t>The RET facilitates the production of renewable energy by creating a market for Large scale Generation Certificates (LGCs). For each megawatt-hour of energy generated from a renewable supply source, one tradeable LGC is assigned to that generator. LGCs can then be sold to electricity retailers, who surrender them to the government (through the Clean Energy Regulator). Retailers recover the cost of purchasing LGCs by applying a uniform surcharge on sales of electricity to their consumers, which is on top of the price that customers pay for electricity purchased through the electricity market. The revenue from the sale of the LGCs accrues to the owner of the renewable generator, which is in addition to the revenue they gain from the sale of the electricity into Australia’s NEM. In this way, electricity users subsidise renewable electricity supplies.</w:t>
      </w:r>
    </w:p>
    <w:p w:rsidR="00965C6A" w:rsidRPr="00AE5CE2" w:rsidRDefault="00965C6A" w:rsidP="00AE5CE2">
      <w:pPr>
        <w:pStyle w:val="Heading3"/>
      </w:pPr>
      <w:r w:rsidRPr="00AE5CE2">
        <w:t>4.2</w:t>
      </w:r>
      <w:r w:rsidR="00AE5CE2">
        <w:tab/>
      </w:r>
      <w:r w:rsidRPr="00AE5CE2">
        <w:t>RET implementation in the model</w:t>
      </w:r>
    </w:p>
    <w:p w:rsidR="00965C6A" w:rsidRPr="00783128" w:rsidRDefault="00965C6A" w:rsidP="00AE5CE2">
      <w:pPr>
        <w:pStyle w:val="BodyText"/>
      </w:pPr>
      <w:r w:rsidRPr="00783128">
        <w:t xml:space="preserve">The RET is implemented in the MCP model by the creation of two new inequality constraints and their associated complementary (price) variables. </w:t>
      </w:r>
    </w:p>
    <w:p w:rsidR="00965C6A" w:rsidRDefault="00965C6A" w:rsidP="00AE5CE2">
      <w:pPr>
        <w:pStyle w:val="BodyText"/>
      </w:pPr>
      <w:r w:rsidRPr="00783128">
        <w:t>The first constraint (equation 1) specifies that GWh generated by wind generators (renewables) must be greater than or equal to the RET. The associated complementary variable is the price of the tradeable LGC (the price of renewable energy certificates PREC in the model). The target GWh in the policy model is set to be 20% of the total GWh generated in the base case model.</w:t>
      </w:r>
      <w:r>
        <w:rPr>
          <w:rStyle w:val="FootnoteReference"/>
          <w:sz w:val="24"/>
          <w:szCs w:val="24"/>
        </w:rPr>
        <w:footnoteReference w:id="3"/>
      </w:r>
    </w:p>
    <w:p w:rsidR="00965C6A" w:rsidRPr="00A62773" w:rsidRDefault="00965C6A" w:rsidP="00965C6A">
      <w:pPr>
        <w:pStyle w:val="BodyText"/>
        <w:spacing w:line="480" w:lineRule="auto"/>
      </w:pPr>
      <m:oMath>
        <m:r>
          <w:rPr>
            <w:rFonts w:ascii="Cambria Math" w:hAnsi="Cambria Math"/>
          </w:rPr>
          <w:lastRenderedPageBreak/>
          <m:t>PREC≥0⊥</m:t>
        </m:r>
        <m:nary>
          <m:naryPr>
            <m:chr m:val="∑"/>
            <m:limLoc m:val="undOvr"/>
            <m:supHide m:val="1"/>
            <m:ctrlPr>
              <w:rPr>
                <w:rFonts w:ascii="Cambria Math" w:hAnsi="Cambria Math"/>
                <w:i/>
              </w:rPr>
            </m:ctrlPr>
          </m:naryPr>
          <m:sub>
            <m:r>
              <w:rPr>
                <w:rFonts w:ascii="Cambria Math" w:hAnsi="Cambria Math"/>
              </w:rPr>
              <m:t>b,reps</m:t>
            </m:r>
          </m:sub>
          <m:sup/>
          <m:e>
            <m:r>
              <w:rPr>
                <w:rFonts w:ascii="Cambria Math" w:hAnsi="Cambria Math"/>
              </w:rPr>
              <m:t>AggDuration</m:t>
            </m:r>
            <m:d>
              <m:dPr>
                <m:ctrlPr>
                  <w:rPr>
                    <w:rFonts w:ascii="Cambria Math" w:hAnsi="Cambria Math"/>
                    <w:i/>
                  </w:rPr>
                </m:ctrlPr>
              </m:dPr>
              <m:e>
                <m:r>
                  <w:rPr>
                    <w:rFonts w:ascii="Cambria Math" w:hAnsi="Cambria Math"/>
                  </w:rPr>
                  <m:t>b</m:t>
                </m:r>
              </m:e>
            </m:d>
            <m:r>
              <w:rPr>
                <w:rFonts w:ascii="Cambria Math" w:hAnsi="Cambria Math"/>
              </w:rPr>
              <m:t>*QGO</m:t>
            </m:r>
            <m:d>
              <m:dPr>
                <m:ctrlPr>
                  <w:rPr>
                    <w:rFonts w:ascii="Cambria Math" w:hAnsi="Cambria Math"/>
                    <w:i/>
                  </w:rPr>
                </m:ctrlPr>
              </m:dPr>
              <m:e>
                <m:r>
                  <w:rPr>
                    <w:rFonts w:ascii="Cambria Math" w:hAnsi="Cambria Math"/>
                  </w:rPr>
                  <m:t>b,reps</m:t>
                </m:r>
              </m:e>
            </m:d>
          </m:e>
        </m:nary>
        <m:r>
          <w:rPr>
            <w:rFonts w:ascii="Cambria Math" w:hAnsi="Cambria Math"/>
          </w:rPr>
          <m:t>-RetTargetBar≥0</m:t>
        </m:r>
      </m:oMath>
      <w:r>
        <w:rPr>
          <w:rFonts w:eastAsiaTheme="minorEastAsia"/>
        </w:rPr>
        <w:t xml:space="preserve"> </w:t>
      </w:r>
      <w:r>
        <w:rPr>
          <w:rFonts w:eastAsiaTheme="minorEastAsia"/>
        </w:rPr>
        <w:tab/>
        <w:t>(1)</w:t>
      </w:r>
    </w:p>
    <w:p w:rsidR="00965C6A" w:rsidRDefault="00965C6A" w:rsidP="00AE5CE2">
      <w:pPr>
        <w:pStyle w:val="BodyText"/>
      </w:pPr>
      <w:r w:rsidRPr="00783128">
        <w:t>The second constraint requires that retailers recover the cost of purchasing renewable energy certificates by imposing a unit surcharge (PRESUR) on their electricity sales. The surcharge revenue raised by retailers from sales to end users (i.e. the surcharge PRESUR multiplied by total final sales) must be greater than or equal to the cost to retailers for purchasing LGCs from renewable electricity generators (i.e. PREC multiplied by the RET).</w:t>
      </w:r>
      <w:r>
        <w:rPr>
          <w:rStyle w:val="FootnoteReference"/>
          <w:sz w:val="24"/>
          <w:szCs w:val="24"/>
        </w:rPr>
        <w:footnoteReference w:id="4"/>
      </w:r>
    </w:p>
    <w:p w:rsidR="00965C6A" w:rsidRDefault="00965C6A" w:rsidP="00965C6A">
      <w:pPr>
        <w:pStyle w:val="BodyText"/>
        <w:spacing w:line="480" w:lineRule="auto"/>
      </w:pPr>
      <m:oMath>
        <m:r>
          <w:rPr>
            <w:rFonts w:ascii="Cambria Math" w:hAnsi="Cambria Math" w:cs="Arial"/>
          </w:rPr>
          <m:t>PRESUR≥0⊥PRESUR*</m:t>
        </m:r>
        <m:nary>
          <m:naryPr>
            <m:chr m:val="∑"/>
            <m:limLoc m:val="undOvr"/>
            <m:supHide m:val="1"/>
            <m:ctrlPr>
              <w:rPr>
                <w:rFonts w:ascii="Cambria Math" w:hAnsi="Cambria Math" w:cs="Arial"/>
                <w:i/>
              </w:rPr>
            </m:ctrlPr>
          </m:naryPr>
          <m:sub>
            <m:r>
              <w:rPr>
                <w:rFonts w:ascii="Cambria Math" w:hAnsi="Cambria Math" w:cs="Arial"/>
              </w:rPr>
              <m:t>b</m:t>
            </m:r>
          </m:sub>
          <m:sup/>
          <m:e>
            <m:r>
              <w:rPr>
                <w:rFonts w:ascii="Cambria Math" w:hAnsi="Cambria Math" w:cs="Arial"/>
              </w:rPr>
              <m:t>AggDuration</m:t>
            </m:r>
            <m:d>
              <m:dPr>
                <m:ctrlPr>
                  <w:rPr>
                    <w:rFonts w:ascii="Cambria Math" w:hAnsi="Cambria Math" w:cs="Arial"/>
                    <w:i/>
                  </w:rPr>
                </m:ctrlPr>
              </m:dPr>
              <m:e>
                <m:r>
                  <w:rPr>
                    <w:rFonts w:ascii="Cambria Math" w:hAnsi="Cambria Math" w:cs="Arial"/>
                  </w:rPr>
                  <m:t>b</m:t>
                </m:r>
              </m:e>
            </m:d>
            <m:r>
              <w:rPr>
                <w:rFonts w:ascii="Cambria Math" w:hAnsi="Cambria Math" w:cs="Arial"/>
              </w:rPr>
              <m:t>*QD</m:t>
            </m:r>
            <m:d>
              <m:dPr>
                <m:ctrlPr>
                  <w:rPr>
                    <w:rFonts w:ascii="Cambria Math" w:hAnsi="Cambria Math" w:cs="Arial"/>
                    <w:i/>
                  </w:rPr>
                </m:ctrlPr>
              </m:dPr>
              <m:e>
                <m:r>
                  <w:rPr>
                    <w:rFonts w:ascii="Cambria Math" w:hAnsi="Cambria Math" w:cs="Arial"/>
                  </w:rPr>
                  <m:t>b</m:t>
                </m:r>
                <m:sSup>
                  <m:sSupPr>
                    <m:ctrlPr>
                      <w:rPr>
                        <w:rFonts w:ascii="Cambria Math" w:hAnsi="Cambria Math" w:cs="Arial"/>
                        <w:i/>
                      </w:rPr>
                    </m:ctrlPr>
                  </m:sSupPr>
                  <m:e>
                    <m:r>
                      <w:rPr>
                        <w:rFonts w:ascii="Cambria Math" w:hAnsi="Cambria Math" w:cs="Arial"/>
                      </w:rPr>
                      <m:t>,</m:t>
                    </m:r>
                  </m:e>
                  <m:sup>
                    <m:r>
                      <w:rPr>
                        <w:rFonts w:ascii="Cambria Math" w:hAnsi="Cambria Math" w:cs="Arial"/>
                      </w:rPr>
                      <m:t>'</m:t>
                    </m:r>
                  </m:sup>
                </m:sSup>
                <m:r>
                  <w:rPr>
                    <w:rFonts w:ascii="Cambria Math" w:hAnsi="Cambria Math" w:cs="Arial"/>
                  </w:rPr>
                  <m:t>n</m:t>
                </m:r>
                <m:sSup>
                  <m:sSupPr>
                    <m:ctrlPr>
                      <w:rPr>
                        <w:rFonts w:ascii="Cambria Math" w:hAnsi="Cambria Math" w:cs="Arial"/>
                        <w:i/>
                      </w:rPr>
                    </m:ctrlPr>
                  </m:sSupPr>
                  <m:e>
                    <m:r>
                      <w:rPr>
                        <w:rFonts w:ascii="Cambria Math" w:hAnsi="Cambria Math" w:cs="Arial"/>
                      </w:rPr>
                      <m:t>2</m:t>
                    </m:r>
                  </m:e>
                  <m:sup>
                    <m:r>
                      <w:rPr>
                        <w:rFonts w:ascii="Cambria Math" w:hAnsi="Cambria Math" w:cs="Arial"/>
                      </w:rPr>
                      <m:t>'</m:t>
                    </m:r>
                  </m:sup>
                </m:sSup>
              </m:e>
            </m:d>
          </m:e>
        </m:nary>
        <m:r>
          <w:rPr>
            <w:rFonts w:ascii="Cambria Math" w:hAnsi="Cambria Math" w:cs="Arial"/>
          </w:rPr>
          <m:t>-PREC*RetTargetBar≥0</m:t>
        </m:r>
      </m:oMath>
      <w:r>
        <w:rPr>
          <w:rFonts w:eastAsiaTheme="minorEastAsia"/>
        </w:rPr>
        <w:tab/>
        <w:t>(2)</w:t>
      </w:r>
    </w:p>
    <w:p w:rsidR="00965C6A" w:rsidRDefault="00965C6A" w:rsidP="00AE5CE2">
      <w:pPr>
        <w:pStyle w:val="BodyText"/>
      </w:pPr>
      <w:r w:rsidRPr="00783128">
        <w:t>The introduction of the two new constraints and associated complementary price variables also requires adjustments to other first order conditions in the base case model to incorporate the flow on consequences. The surcharge PRESUR is required in all constraints which determine the price of electricity, the zero pure profit inequalities, such that it forms a wedge between the supply price (cost of production from the national electricity market) and demand price faced by wind generators. The price of certificates PREC is a source of unit revenue for renewable generators in addition to the revenue from sales of generated electricity. PREC is added as a wedge between the cost of generating power (the cost inputs plus a return on capital) and the price of power supplied to the electricity retail industry via the national electricity market.</w:t>
      </w:r>
    </w:p>
    <w:p w:rsidR="00965C6A" w:rsidRDefault="00965C6A" w:rsidP="00AE5CE2">
      <w:pPr>
        <w:pStyle w:val="BodyText"/>
      </w:pPr>
      <w:r w:rsidRPr="00783128">
        <w:t>Both models (base case and policy simulation) meet all the requirements to be valid CGE models (Dixon and Rimmer 2015). The models are homogeneous of degree zero with respect to price and the input–ou</w:t>
      </w:r>
      <w:r>
        <w:t>t</w:t>
      </w:r>
      <w:r w:rsidRPr="00783128">
        <w:t>put structures balance in equilibrium.</w:t>
      </w:r>
    </w:p>
    <w:p w:rsidR="00965C6A" w:rsidRPr="002C7272" w:rsidRDefault="00965C6A" w:rsidP="00AE5CE2">
      <w:pPr>
        <w:pStyle w:val="Heading2"/>
      </w:pPr>
      <w:bookmarkStart w:id="14" w:name="_Toc26780075"/>
      <w:r w:rsidRPr="002C7272">
        <w:t>5.</w:t>
      </w:r>
      <w:r w:rsidR="00AE5CE2">
        <w:tab/>
      </w:r>
      <w:r w:rsidRPr="002C7272">
        <w:t>Simulation results</w:t>
      </w:r>
      <w:bookmarkEnd w:id="14"/>
    </w:p>
    <w:p w:rsidR="00965C6A" w:rsidRDefault="00965C6A" w:rsidP="00AE5CE2">
      <w:pPr>
        <w:pStyle w:val="BodyText"/>
      </w:pPr>
      <w:r w:rsidRPr="00783128">
        <w:t>This section outlines some key results, showing both the consequences of the policy, as well as the economy</w:t>
      </w:r>
      <w:r w:rsidR="0006758A">
        <w:t>-</w:t>
      </w:r>
      <w:r w:rsidRPr="00783128">
        <w:t>wide CGE interactions.</w:t>
      </w:r>
    </w:p>
    <w:p w:rsidR="00965C6A" w:rsidRPr="00A2483E" w:rsidRDefault="00965C6A" w:rsidP="00AE5CE2">
      <w:pPr>
        <w:pStyle w:val="Heading3"/>
      </w:pPr>
      <w:r w:rsidRPr="00A2483E">
        <w:t>5.1</w:t>
      </w:r>
      <w:r w:rsidR="00AE5CE2">
        <w:tab/>
      </w:r>
      <w:r w:rsidRPr="00A2483E">
        <w:t>Generation mix and total electricity supply</w:t>
      </w:r>
    </w:p>
    <w:p w:rsidR="00965C6A" w:rsidRPr="00783128" w:rsidRDefault="00965C6A" w:rsidP="00AE5CE2">
      <w:pPr>
        <w:pStyle w:val="BodyText"/>
      </w:pPr>
      <w:r w:rsidRPr="00783128">
        <w:t xml:space="preserve">The optimal generation mix (installed capacity for all five generator types), as well as their level of supply in each load-block, for both the base case and the RET policy simulation is shown in </w:t>
      </w:r>
      <w:r w:rsidR="004D363A">
        <w:t>figure</w:t>
      </w:r>
      <w:r>
        <w:t xml:space="preserve"> 1</w:t>
      </w:r>
      <w:r w:rsidRPr="00783128">
        <w:t xml:space="preserve">. The results are intuitive. There is an overall reduction in electricity consumption and generation due to the increased price of electricity and reduced demand by </w:t>
      </w:r>
      <w:r w:rsidRPr="00783128">
        <w:lastRenderedPageBreak/>
        <w:t xml:space="preserve">end users as a result of more expensive generation to meet the RET. In the base case brown coal is the marginal source of electricity generation for base load as it has the lowest marginal cost. However, wind has an even lower marginal cost, even though the capital cost (and availability factor) mean it is not built in the absence of a RET. With the imposition of the RET and given its low operating cost, wind displaces some brown coal. However, the installed capacity of wind is insufficient to displace brown coal entirely. Consequently, brown coal remains the marginal generation source during the base load period. As brown coal is only used for domestic electricity generation, the reduction in demand reduces the price of brown coal. So the price of generation is lower in block 5 under the RET. </w:t>
      </w:r>
    </w:p>
    <w:p w:rsidR="00965C6A" w:rsidRDefault="00965C6A" w:rsidP="00AE5CE2">
      <w:pPr>
        <w:pStyle w:val="BodyText"/>
      </w:pPr>
      <w:r w:rsidRPr="00783128">
        <w:t>It is also interesting to note that there is an increase in open-cycle gas turbine generation in the blocks in which it supplies (blocks 1 and 2) despite its higher marginal supply cost than in the basecase (gas prices rise). With the removal of baseload coal and its supplementation with wind (with its low availability factor) it is most economical to meet peak and intermediate load using generation from additional gas turbines.</w:t>
      </w:r>
    </w:p>
    <w:p w:rsidR="004D363A" w:rsidRDefault="004D363A" w:rsidP="00476DF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363A" w:rsidTr="00476DFA">
        <w:trPr>
          <w:tblHeader/>
        </w:trPr>
        <w:tc>
          <w:tcPr>
            <w:tcW w:w="5000" w:type="pct"/>
            <w:tcBorders>
              <w:top w:val="single" w:sz="6" w:space="0" w:color="78A22F"/>
              <w:left w:val="nil"/>
              <w:bottom w:val="nil"/>
              <w:right w:val="nil"/>
            </w:tcBorders>
            <w:shd w:val="clear" w:color="auto" w:fill="auto"/>
          </w:tcPr>
          <w:p w:rsidR="004D363A" w:rsidRPr="00176D3F" w:rsidRDefault="004D363A" w:rsidP="004D363A">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r>
            <w:r w:rsidRPr="004D363A">
              <w:t>Power station generation by load block (GW)</w:t>
            </w:r>
          </w:p>
        </w:tc>
      </w:tr>
      <w:tr w:rsidR="004D363A" w:rsidTr="00476DF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D363A" w:rsidRPr="00B1465D" w:rsidTr="00476DFA">
              <w:trPr>
                <w:tblHeader/>
                <w:jc w:val="center"/>
              </w:trPr>
              <w:tc>
                <w:tcPr>
                  <w:tcW w:w="5000" w:type="pct"/>
                  <w:tcBorders>
                    <w:top w:val="nil"/>
                    <w:bottom w:val="nil"/>
                  </w:tcBorders>
                </w:tcPr>
                <w:p w:rsidR="004D363A" w:rsidRPr="00B1465D" w:rsidRDefault="00544D0B" w:rsidP="00BA7772">
                  <w:pPr>
                    <w:pStyle w:val="Figure"/>
                    <w:spacing w:before="0" w:after="0"/>
                    <w:rPr>
                      <w:rFonts w:ascii="Arial" w:hAnsi="Arial" w:cs="Arial"/>
                      <w:sz w:val="18"/>
                      <w:szCs w:val="18"/>
                    </w:rPr>
                  </w:pPr>
                  <w:r w:rsidRPr="00544D0B">
                    <w:rPr>
                      <w:rFonts w:ascii="Arial" w:hAnsi="Arial" w:cs="Arial"/>
                      <w:noProof/>
                      <w:sz w:val="18"/>
                      <w:szCs w:val="18"/>
                    </w:rPr>
                    <w:drawing>
                      <wp:inline distT="0" distB="0" distL="0" distR="0">
                        <wp:extent cx="5262880" cy="2655570"/>
                        <wp:effectExtent l="0" t="0" r="0" b="0"/>
                        <wp:docPr id="13" name="Picture 13" descr="Figure 1 shows the optimal level of generation in each load block for each power station for  the base case and the RET policy simulation. Under the RET, there is reduction in generation by brown coal and an increase in generation by wind gerators in all load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2880" cy="2655570"/>
                                </a:xfrm>
                                <a:prstGeom prst="rect">
                                  <a:avLst/>
                                </a:prstGeom>
                                <a:noFill/>
                                <a:ln>
                                  <a:noFill/>
                                </a:ln>
                              </pic:spPr>
                            </pic:pic>
                          </a:graphicData>
                        </a:graphic>
                      </wp:inline>
                    </w:drawing>
                  </w:r>
                </w:p>
              </w:tc>
            </w:tr>
          </w:tbl>
          <w:p w:rsidR="004D363A" w:rsidRDefault="004D363A" w:rsidP="00476DFA">
            <w:pPr>
              <w:pStyle w:val="Figure"/>
            </w:pPr>
          </w:p>
        </w:tc>
      </w:tr>
      <w:tr w:rsidR="004D363A" w:rsidTr="00476DFA">
        <w:tc>
          <w:tcPr>
            <w:tcW w:w="5000" w:type="pct"/>
            <w:tcBorders>
              <w:top w:val="nil"/>
              <w:left w:val="nil"/>
              <w:bottom w:val="single" w:sz="6" w:space="0" w:color="78A22F"/>
              <w:right w:val="nil"/>
            </w:tcBorders>
            <w:shd w:val="clear" w:color="auto" w:fill="auto"/>
          </w:tcPr>
          <w:p w:rsidR="004D363A" w:rsidRDefault="004D363A" w:rsidP="00476DFA">
            <w:pPr>
              <w:pStyle w:val="Figurespace"/>
            </w:pPr>
          </w:p>
        </w:tc>
      </w:tr>
      <w:tr w:rsidR="004D363A" w:rsidRPr="000863A5" w:rsidTr="00476DFA">
        <w:tc>
          <w:tcPr>
            <w:tcW w:w="5000" w:type="pct"/>
            <w:tcBorders>
              <w:top w:val="single" w:sz="6" w:space="0" w:color="78A22F"/>
              <w:left w:val="nil"/>
              <w:bottom w:val="nil"/>
              <w:right w:val="nil"/>
            </w:tcBorders>
          </w:tcPr>
          <w:p w:rsidR="004D363A" w:rsidRPr="00626D32" w:rsidRDefault="004D363A" w:rsidP="00476DFA">
            <w:pPr>
              <w:pStyle w:val="BoxSpaceBelow"/>
            </w:pPr>
          </w:p>
        </w:tc>
      </w:tr>
    </w:tbl>
    <w:p w:rsidR="00965C6A" w:rsidRDefault="004D363A" w:rsidP="00AE5CE2">
      <w:pPr>
        <w:pStyle w:val="BodyText"/>
      </w:pPr>
      <w:r>
        <w:t>Figure</w:t>
      </w:r>
      <w:r w:rsidR="00965C6A">
        <w:t xml:space="preserve"> </w:t>
      </w:r>
      <w:r w:rsidR="00965C6A" w:rsidRPr="00F75D9E">
        <w:t>2 shows the total installed capacity of each generation type under the basecase and RET scenarios. Due to the lower availability factor of wind generation, the increase in wind capacity is much larger than the reduction in brown coal capacity that it is displacing.</w:t>
      </w:r>
    </w:p>
    <w:p w:rsidR="004D363A" w:rsidRDefault="004D363A" w:rsidP="00476DF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363A" w:rsidTr="00476DFA">
        <w:trPr>
          <w:tblHeader/>
        </w:trPr>
        <w:tc>
          <w:tcPr>
            <w:tcW w:w="5000" w:type="pct"/>
            <w:tcBorders>
              <w:top w:val="single" w:sz="6" w:space="0" w:color="78A22F"/>
              <w:left w:val="nil"/>
              <w:bottom w:val="nil"/>
              <w:right w:val="nil"/>
            </w:tcBorders>
            <w:shd w:val="clear" w:color="auto" w:fill="auto"/>
          </w:tcPr>
          <w:p w:rsidR="004D363A" w:rsidRPr="00176D3F" w:rsidRDefault="004D363A" w:rsidP="004D363A">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Pr>
                <w:b w:val="0"/>
                <w:noProof/>
              </w:rPr>
              <w:t>2</w:t>
            </w:r>
            <w:r w:rsidRPr="00784A05">
              <w:rPr>
                <w:b w:val="0"/>
              </w:rPr>
              <w:fldChar w:fldCharType="end"/>
            </w:r>
            <w:r>
              <w:tab/>
            </w:r>
            <w:r w:rsidRPr="004D363A">
              <w:t>Total installed generation capacity (GW)</w:t>
            </w:r>
          </w:p>
        </w:tc>
      </w:tr>
      <w:tr w:rsidR="004D363A" w:rsidTr="00476DFA">
        <w:tc>
          <w:tcPr>
            <w:tcW w:w="5000" w:type="pct"/>
            <w:tcBorders>
              <w:top w:val="nil"/>
              <w:left w:val="nil"/>
              <w:bottom w:val="nil"/>
              <w:right w:val="nil"/>
            </w:tcBorders>
            <w:shd w:val="clear" w:color="auto" w:fill="auto"/>
            <w:tcMar>
              <w:top w:w="28" w:type="dxa"/>
              <w:bottom w:w="28" w:type="dxa"/>
            </w:tcMar>
          </w:tcPr>
          <w:p w:rsidR="004D363A" w:rsidRDefault="00C54243" w:rsidP="00476DFA">
            <w:pPr>
              <w:pStyle w:val="Figure"/>
            </w:pPr>
            <w:r w:rsidRPr="004D363A">
              <w:rPr>
                <w:rFonts w:ascii="Arial" w:hAnsi="Arial" w:cs="Arial"/>
                <w:noProof/>
                <w:sz w:val="18"/>
                <w:szCs w:val="18"/>
              </w:rPr>
              <w:drawing>
                <wp:anchor distT="0" distB="0" distL="114300" distR="114300" simplePos="0" relativeHeight="251663360" behindDoc="1" locked="0" layoutInCell="1" allowOverlap="1" wp14:anchorId="41F89654" wp14:editId="78ABFF23">
                  <wp:simplePos x="0" y="0"/>
                  <wp:positionH relativeFrom="column">
                    <wp:posOffset>-3810</wp:posOffset>
                  </wp:positionH>
                  <wp:positionV relativeFrom="paragraph">
                    <wp:posOffset>3175</wp:posOffset>
                  </wp:positionV>
                  <wp:extent cx="5076000" cy="2582136"/>
                  <wp:effectExtent l="0" t="0" r="0" b="8890"/>
                  <wp:wrapTight wrapText="bothSides">
                    <wp:wrapPolygon edited="0">
                      <wp:start x="0" y="0"/>
                      <wp:lineTo x="0" y="21515"/>
                      <wp:lineTo x="21484" y="21515"/>
                      <wp:lineTo x="21484" y="0"/>
                      <wp:lineTo x="0" y="0"/>
                    </wp:wrapPolygon>
                  </wp:wrapTight>
                  <wp:docPr id="10" name="Picture 10" descr="Figure 2 shows the total installed capacity of each generation type under the basecase and RET scenarios. Due to the lower availability factor of wind generation, the increase in wind capacity is much larger than the reduction in brown coal capacity that it is displ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6000" cy="258213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363A" w:rsidTr="00476DFA">
        <w:tc>
          <w:tcPr>
            <w:tcW w:w="5000" w:type="pct"/>
            <w:tcBorders>
              <w:top w:val="nil"/>
              <w:left w:val="nil"/>
              <w:bottom w:val="single" w:sz="6" w:space="0" w:color="78A22F"/>
              <w:right w:val="nil"/>
            </w:tcBorders>
            <w:shd w:val="clear" w:color="auto" w:fill="auto"/>
          </w:tcPr>
          <w:p w:rsidR="004D363A" w:rsidRDefault="004D363A" w:rsidP="00476DFA">
            <w:pPr>
              <w:pStyle w:val="Figurespace"/>
            </w:pPr>
          </w:p>
        </w:tc>
      </w:tr>
      <w:tr w:rsidR="004D363A" w:rsidRPr="000863A5" w:rsidTr="00476DFA">
        <w:tc>
          <w:tcPr>
            <w:tcW w:w="5000" w:type="pct"/>
            <w:tcBorders>
              <w:top w:val="single" w:sz="6" w:space="0" w:color="78A22F"/>
              <w:left w:val="nil"/>
              <w:bottom w:val="nil"/>
              <w:right w:val="nil"/>
            </w:tcBorders>
          </w:tcPr>
          <w:p w:rsidR="004D363A" w:rsidRPr="00626D32" w:rsidRDefault="004D363A" w:rsidP="00476DFA">
            <w:pPr>
              <w:pStyle w:val="BoxSpaceBelow"/>
            </w:pPr>
          </w:p>
        </w:tc>
      </w:tr>
    </w:tbl>
    <w:p w:rsidR="00965C6A" w:rsidRPr="00A2483E" w:rsidRDefault="00965C6A" w:rsidP="00AE5CE2">
      <w:pPr>
        <w:pStyle w:val="Heading3"/>
      </w:pPr>
      <w:r w:rsidRPr="00A2483E">
        <w:t>5.2</w:t>
      </w:r>
      <w:r w:rsidR="00AE5CE2">
        <w:tab/>
      </w:r>
      <w:r w:rsidRPr="00A2483E">
        <w:t>Time-of-use and nodal pricing</w:t>
      </w:r>
    </w:p>
    <w:p w:rsidR="00965C6A" w:rsidRPr="00F75D9E" w:rsidRDefault="00965C6A" w:rsidP="00AE5CE2">
      <w:pPr>
        <w:pStyle w:val="BodyText"/>
      </w:pPr>
      <w:r w:rsidRPr="00F75D9E">
        <w:t xml:space="preserve">Table </w:t>
      </w:r>
      <w:r>
        <w:t>4</w:t>
      </w:r>
      <w:r w:rsidRPr="00F75D9E">
        <w:t xml:space="preserve"> shows the time-of-use and nodal prices at the bulk or wholesale (NEM) level for both the base case and RET policy scenarios. The net impact on the nodal price of power in each block varies in sign and magnitude. In some blocks the price increases (peak, block 1). In others there is a marginal decrease in the supply price (blocks 2 through 5). Note from </w:t>
      </w:r>
      <w:r w:rsidR="004D363A">
        <w:t>figure</w:t>
      </w:r>
      <w:r>
        <w:t xml:space="preserve"> 1</w:t>
      </w:r>
      <w:r w:rsidRPr="00F75D9E">
        <w:t xml:space="preserve"> that although wind displaces some brown coal in the baseload, the marginal generation source remains the same in each block (brown coal in b5; black coal in b4, combined-cycle gas in b3, open-cycle gas in b1-b2). Thus, the changes in price in each block reflect changes in the cost of production of the marginal source, due to general equilibrium impacts on the costs of fuels. Where the price decreases (b1 b4) this is because the operating cost of the marginal plant has declined due to the decreased demand for fuels. This is why the largest price reduction is in b5. The marginal plant is brown coal, and brown coal prices are most severely impacted (as brown coal has no export market, see below). On the other hand, the price has increased (by a small degree) in b1, due to the increased operating cost of open-cycle gas turbines resulting from the increase in demand for gas as well as the capital cost associated with open-cycle gas turbines.</w:t>
      </w:r>
    </w:p>
    <w:p w:rsidR="00965C6A" w:rsidRDefault="00965C6A" w:rsidP="00AE5CE2">
      <w:pPr>
        <w:pStyle w:val="BodyText"/>
      </w:pPr>
      <w:r w:rsidRPr="00F75D9E">
        <w:t>Note that final user demand for power is all located in node 2. The non-renewable generation is at node 1, and wind generation is at node 3. Th</w:t>
      </w:r>
      <w:r>
        <w:t xml:space="preserve">e end user prices are shown in </w:t>
      </w:r>
      <w:r w:rsidR="00476DFA">
        <w:t>t</w:t>
      </w:r>
      <w:r w:rsidRPr="00F75D9E">
        <w:t xml:space="preserve">able </w:t>
      </w:r>
      <w:r>
        <w:t>5</w:t>
      </w:r>
      <w:r w:rsidRPr="00F75D9E">
        <w:t>, as well as the endogenous renewable energy surcharge paid by end users. There is a price decrease in some nodes and time blocks. However, with the inclusion of the surcharge, the final demand nodal time-of-use price increases under the RET policy for all load blocks.</w:t>
      </w:r>
    </w:p>
    <w:p w:rsidR="00965C6A" w:rsidRDefault="00965C6A" w:rsidP="00AE5CE2">
      <w:pPr>
        <w:pStyle w:val="BodyText"/>
      </w:pPr>
      <w:r>
        <w:br w:type="page"/>
      </w:r>
    </w:p>
    <w:p w:rsidR="004D363A" w:rsidRDefault="004D363A" w:rsidP="00476DF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D363A" w:rsidTr="00476DFA">
        <w:trPr>
          <w:tblHeader/>
        </w:trPr>
        <w:tc>
          <w:tcPr>
            <w:tcW w:w="5000" w:type="pct"/>
            <w:tcBorders>
              <w:top w:val="single" w:sz="6" w:space="0" w:color="78A22F"/>
              <w:left w:val="nil"/>
              <w:bottom w:val="nil"/>
              <w:right w:val="nil"/>
            </w:tcBorders>
            <w:shd w:val="clear" w:color="auto" w:fill="auto"/>
          </w:tcPr>
          <w:p w:rsidR="004D363A" w:rsidRPr="00784A05" w:rsidRDefault="004D363A" w:rsidP="004D363A">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4</w:t>
            </w:r>
            <w:r>
              <w:rPr>
                <w:b w:val="0"/>
              </w:rPr>
              <w:fldChar w:fldCharType="end"/>
            </w:r>
            <w:r>
              <w:tab/>
            </w:r>
            <w:r w:rsidRPr="004D363A">
              <w:t>Time-of-use and nodal price of transmitted electricity by load block and simulation ($/MWh)</w:t>
            </w:r>
          </w:p>
        </w:tc>
      </w:tr>
      <w:tr w:rsidR="004D363A" w:rsidTr="00476DF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49"/>
              <w:gridCol w:w="1325"/>
              <w:gridCol w:w="1327"/>
              <w:gridCol w:w="1325"/>
              <w:gridCol w:w="1327"/>
              <w:gridCol w:w="1325"/>
              <w:gridCol w:w="1327"/>
            </w:tblGrid>
            <w:tr w:rsidR="004D363A" w:rsidRPr="004D363A" w:rsidTr="004D363A">
              <w:trPr>
                <w:tblHeader/>
              </w:trPr>
              <w:tc>
                <w:tcPr>
                  <w:tcW w:w="323" w:type="pct"/>
                  <w:tcBorders>
                    <w:top w:val="single" w:sz="6" w:space="0" w:color="BFBFBF"/>
                    <w:bottom w:val="single" w:sz="6" w:space="0" w:color="BFBFBF"/>
                  </w:tcBorders>
                  <w:shd w:val="clear" w:color="auto" w:fill="auto"/>
                  <w:tcMar>
                    <w:top w:w="28" w:type="dxa"/>
                  </w:tcMar>
                  <w:vAlign w:val="center"/>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2338" w:type="pct"/>
                  <w:gridSpan w:val="3"/>
                  <w:tcBorders>
                    <w:top w:val="single" w:sz="6" w:space="0" w:color="BFBFBF"/>
                    <w:bottom w:val="single" w:sz="6" w:space="0" w:color="BFBFBF"/>
                    <w:right w:val="single" w:sz="4" w:space="0" w:color="BFBFBF" w:themeColor="background1" w:themeShade="BF"/>
                  </w:tcBorders>
                  <w:vAlign w:val="center"/>
                </w:tcPr>
                <w:p w:rsidR="004D363A" w:rsidRPr="004D363A" w:rsidRDefault="004D363A" w:rsidP="004D363A">
                  <w:pPr>
                    <w:spacing w:after="0"/>
                    <w:jc w:val="center"/>
                    <w:rPr>
                      <w:rFonts w:ascii="Arial" w:hAnsi="Arial" w:cs="Arial"/>
                      <w:color w:val="000000"/>
                      <w:sz w:val="18"/>
                      <w:szCs w:val="18"/>
                    </w:rPr>
                  </w:pPr>
                  <w:r w:rsidRPr="004D363A">
                    <w:rPr>
                      <w:rFonts w:ascii="Arial" w:hAnsi="Arial" w:cs="Arial"/>
                      <w:color w:val="000000"/>
                      <w:sz w:val="18"/>
                      <w:szCs w:val="18"/>
                    </w:rPr>
                    <w:t>Basecase</w:t>
                  </w:r>
                </w:p>
              </w:tc>
              <w:tc>
                <w:tcPr>
                  <w:tcW w:w="2339" w:type="pct"/>
                  <w:gridSpan w:val="3"/>
                  <w:tcBorders>
                    <w:top w:val="single" w:sz="6" w:space="0" w:color="BFBFBF"/>
                    <w:left w:val="single" w:sz="4" w:space="0" w:color="BFBFBF" w:themeColor="background1" w:themeShade="BF"/>
                    <w:bottom w:val="single" w:sz="6" w:space="0" w:color="BFBFBF"/>
                  </w:tcBorders>
                  <w:vAlign w:val="center"/>
                </w:tcPr>
                <w:p w:rsidR="004D363A" w:rsidRPr="004D363A" w:rsidRDefault="004D363A" w:rsidP="004D363A">
                  <w:pPr>
                    <w:spacing w:after="0"/>
                    <w:jc w:val="center"/>
                    <w:rPr>
                      <w:rFonts w:ascii="Arial" w:hAnsi="Arial" w:cs="Arial"/>
                      <w:color w:val="000000"/>
                      <w:sz w:val="18"/>
                      <w:szCs w:val="18"/>
                    </w:rPr>
                  </w:pPr>
                  <w:r w:rsidRPr="004D363A">
                    <w:rPr>
                      <w:rFonts w:ascii="Arial" w:hAnsi="Arial" w:cs="Arial"/>
                      <w:color w:val="000000"/>
                      <w:sz w:val="18"/>
                      <w:szCs w:val="18"/>
                    </w:rPr>
                    <w:t>Renewable Energy Target</w:t>
                  </w:r>
                </w:p>
              </w:tc>
            </w:tr>
            <w:tr w:rsidR="004D363A" w:rsidRPr="004D363A" w:rsidTr="004D363A">
              <w:tc>
                <w:tcPr>
                  <w:tcW w:w="323" w:type="pct"/>
                  <w:tcBorders>
                    <w:top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779" w:type="pct"/>
                  <w:tcBorders>
                    <w:top w:val="single" w:sz="6" w:space="0" w:color="BFBFBF"/>
                    <w:bottom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n1</w:t>
                  </w:r>
                </w:p>
              </w:tc>
              <w:tc>
                <w:tcPr>
                  <w:tcW w:w="780" w:type="pct"/>
                  <w:tcBorders>
                    <w:top w:val="single" w:sz="6" w:space="0" w:color="BFBFBF"/>
                    <w:bottom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n2</w:t>
                  </w:r>
                </w:p>
              </w:tc>
              <w:tc>
                <w:tcPr>
                  <w:tcW w:w="779" w:type="pct"/>
                  <w:tcBorders>
                    <w:top w:val="single" w:sz="6" w:space="0" w:color="BFBFBF"/>
                    <w:bottom w:val="single" w:sz="6" w:space="0" w:color="BFBFBF"/>
                    <w:right w:val="single" w:sz="4" w:space="0" w:color="BFBFBF" w:themeColor="background1" w:themeShade="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n3</w:t>
                  </w:r>
                </w:p>
              </w:tc>
              <w:tc>
                <w:tcPr>
                  <w:tcW w:w="780" w:type="pct"/>
                  <w:tcBorders>
                    <w:top w:val="single" w:sz="6" w:space="0" w:color="BFBFBF"/>
                    <w:left w:val="single" w:sz="4" w:space="0" w:color="BFBFBF" w:themeColor="background1" w:themeShade="BF"/>
                    <w:bottom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n1</w:t>
                  </w:r>
                </w:p>
              </w:tc>
              <w:tc>
                <w:tcPr>
                  <w:tcW w:w="779" w:type="pct"/>
                  <w:tcBorders>
                    <w:top w:val="single" w:sz="6" w:space="0" w:color="BFBFBF"/>
                    <w:bottom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n2</w:t>
                  </w:r>
                </w:p>
              </w:tc>
              <w:tc>
                <w:tcPr>
                  <w:tcW w:w="780" w:type="pct"/>
                  <w:tcBorders>
                    <w:top w:val="single" w:sz="6" w:space="0" w:color="BFBFBF"/>
                    <w:bottom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n3</w:t>
                  </w:r>
                </w:p>
              </w:tc>
            </w:tr>
            <w:tr w:rsidR="004D363A" w:rsidRPr="004D363A" w:rsidTr="004D363A">
              <w:tc>
                <w:tcPr>
                  <w:tcW w:w="323" w:type="pct"/>
                  <w:tcBorders>
                    <w:top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p>
              </w:tc>
              <w:tc>
                <w:tcPr>
                  <w:tcW w:w="779" w:type="pct"/>
                  <w:tcBorders>
                    <w:top w:val="single" w:sz="6" w:space="0" w:color="BFBFBF"/>
                    <w:left w:val="single" w:sz="6" w:space="0" w:color="BFBFBF"/>
                    <w:right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Generation</w:t>
                  </w:r>
                </w:p>
              </w:tc>
              <w:tc>
                <w:tcPr>
                  <w:tcW w:w="780" w:type="pct"/>
                  <w:tcBorders>
                    <w:top w:val="single" w:sz="6" w:space="0" w:color="BFBFBF"/>
                    <w:left w:val="single" w:sz="6" w:space="0" w:color="BFBFBF"/>
                    <w:right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Demand</w:t>
                  </w:r>
                </w:p>
              </w:tc>
              <w:tc>
                <w:tcPr>
                  <w:tcW w:w="779" w:type="pct"/>
                  <w:tcBorders>
                    <w:top w:val="single" w:sz="6" w:space="0" w:color="BFBFBF"/>
                    <w:left w:val="single" w:sz="6" w:space="0" w:color="BFBFBF"/>
                    <w:right w:val="single" w:sz="4" w:space="0" w:color="BFBFBF" w:themeColor="background1" w:themeShade="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Wind</w:t>
                  </w:r>
                </w:p>
              </w:tc>
              <w:tc>
                <w:tcPr>
                  <w:tcW w:w="780" w:type="pct"/>
                  <w:tcBorders>
                    <w:top w:val="single" w:sz="6" w:space="0" w:color="BFBFBF"/>
                    <w:left w:val="single" w:sz="4" w:space="0" w:color="BFBFBF" w:themeColor="background1" w:themeShade="BF"/>
                    <w:right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Generation</w:t>
                  </w:r>
                </w:p>
              </w:tc>
              <w:tc>
                <w:tcPr>
                  <w:tcW w:w="779" w:type="pct"/>
                  <w:tcBorders>
                    <w:top w:val="single" w:sz="6" w:space="0" w:color="BFBFBF"/>
                    <w:left w:val="single" w:sz="6" w:space="0" w:color="BFBFBF"/>
                    <w:right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Demand</w:t>
                  </w:r>
                </w:p>
              </w:tc>
              <w:tc>
                <w:tcPr>
                  <w:tcW w:w="780" w:type="pct"/>
                  <w:tcBorders>
                    <w:top w:val="single" w:sz="6" w:space="0" w:color="BFBFBF"/>
                    <w:left w:val="single" w:sz="6" w:space="0" w:color="BFBFBF"/>
                    <w:right w:val="single" w:sz="6" w:space="0" w:color="BFBFBF"/>
                  </w:tcBorders>
                  <w:vAlign w:val="bottom"/>
                </w:tcPr>
                <w:p w:rsidR="004D363A" w:rsidRPr="004D363A" w:rsidRDefault="004D363A" w:rsidP="004D363A">
                  <w:pPr>
                    <w:spacing w:after="0"/>
                    <w:jc w:val="right"/>
                    <w:rPr>
                      <w:rFonts w:ascii="Arial" w:hAnsi="Arial" w:cs="Arial"/>
                      <w:i/>
                      <w:iCs/>
                      <w:color w:val="000000"/>
                      <w:sz w:val="18"/>
                      <w:szCs w:val="18"/>
                    </w:rPr>
                  </w:pPr>
                  <w:r w:rsidRPr="004D363A">
                    <w:rPr>
                      <w:rFonts w:ascii="Arial" w:hAnsi="Arial" w:cs="Arial"/>
                      <w:i/>
                      <w:iCs/>
                      <w:color w:val="000000"/>
                      <w:sz w:val="18"/>
                      <w:szCs w:val="18"/>
                    </w:rPr>
                    <w:t>Wind</w:t>
                  </w:r>
                </w:p>
              </w:tc>
            </w:tr>
            <w:tr w:rsidR="004D363A" w:rsidRPr="004D363A" w:rsidTr="004D363A">
              <w:tc>
                <w:tcPr>
                  <w:tcW w:w="323" w:type="pct"/>
                  <w:tcBorders>
                    <w:right w:val="single" w:sz="6" w:space="0" w:color="BFBFBF"/>
                  </w:tcBorders>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b1</w:t>
                  </w:r>
                </w:p>
              </w:tc>
              <w:tc>
                <w:tcPr>
                  <w:tcW w:w="779"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5648</w:t>
                  </w:r>
                </w:p>
              </w:tc>
              <w:tc>
                <w:tcPr>
                  <w:tcW w:w="780"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7633</w:t>
                  </w:r>
                </w:p>
              </w:tc>
              <w:tc>
                <w:tcPr>
                  <w:tcW w:w="779" w:type="pct"/>
                  <w:tcBorders>
                    <w:left w:val="single" w:sz="6" w:space="0" w:color="BFBFBF"/>
                    <w:right w:val="single" w:sz="4" w:space="0" w:color="BFBFBF" w:themeColor="background1" w:themeShade="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780" w:type="pct"/>
                  <w:tcBorders>
                    <w:left w:val="single" w:sz="4" w:space="0" w:color="BFBFBF" w:themeColor="background1" w:themeShade="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5649</w:t>
                  </w:r>
                </w:p>
              </w:tc>
              <w:tc>
                <w:tcPr>
                  <w:tcW w:w="779"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8030</w:t>
                  </w:r>
                </w:p>
              </w:tc>
              <w:tc>
                <w:tcPr>
                  <w:tcW w:w="780"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7775</w:t>
                  </w:r>
                </w:p>
              </w:tc>
            </w:tr>
            <w:tr w:rsidR="004D363A" w:rsidRPr="004D363A" w:rsidTr="004D363A">
              <w:tc>
                <w:tcPr>
                  <w:tcW w:w="323" w:type="pct"/>
                  <w:tcBorders>
                    <w:right w:val="single" w:sz="6" w:space="0" w:color="BFBFBF"/>
                  </w:tcBorders>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b2</w:t>
                  </w:r>
                </w:p>
              </w:tc>
              <w:tc>
                <w:tcPr>
                  <w:tcW w:w="779"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72</w:t>
                  </w:r>
                </w:p>
              </w:tc>
              <w:tc>
                <w:tcPr>
                  <w:tcW w:w="780"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87</w:t>
                  </w:r>
                </w:p>
              </w:tc>
              <w:tc>
                <w:tcPr>
                  <w:tcW w:w="779" w:type="pct"/>
                  <w:tcBorders>
                    <w:left w:val="single" w:sz="6" w:space="0" w:color="BFBFBF"/>
                    <w:right w:val="single" w:sz="4" w:space="0" w:color="BFBFBF" w:themeColor="background1" w:themeShade="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780" w:type="pct"/>
                  <w:tcBorders>
                    <w:left w:val="single" w:sz="4" w:space="0" w:color="BFBFBF" w:themeColor="background1" w:themeShade="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72</w:t>
                  </w:r>
                </w:p>
              </w:tc>
              <w:tc>
                <w:tcPr>
                  <w:tcW w:w="779" w:type="pct"/>
                  <w:tcBorders>
                    <w:left w:val="single" w:sz="6" w:space="0" w:color="BFBFBF"/>
                    <w:right w:val="single" w:sz="6" w:space="0" w:color="BFBFBF"/>
                  </w:tcBorders>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77</w:t>
                  </w:r>
                </w:p>
              </w:tc>
              <w:tc>
                <w:tcPr>
                  <w:tcW w:w="780" w:type="pct"/>
                  <w:tcBorders>
                    <w:left w:val="single" w:sz="6" w:space="0" w:color="BFBFBF"/>
                    <w:right w:val="single" w:sz="6" w:space="0" w:color="BFBFBF"/>
                  </w:tcBorders>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75</w:t>
                  </w:r>
                </w:p>
              </w:tc>
            </w:tr>
            <w:tr w:rsidR="004D363A" w:rsidRPr="004D363A" w:rsidTr="004D363A">
              <w:tc>
                <w:tcPr>
                  <w:tcW w:w="323" w:type="pct"/>
                  <w:tcBorders>
                    <w:right w:val="single" w:sz="6" w:space="0" w:color="BFBFBF"/>
                  </w:tcBorders>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b3</w:t>
                  </w:r>
                </w:p>
              </w:tc>
              <w:tc>
                <w:tcPr>
                  <w:tcW w:w="779"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58</w:t>
                  </w:r>
                </w:p>
              </w:tc>
              <w:tc>
                <w:tcPr>
                  <w:tcW w:w="780"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62</w:t>
                  </w:r>
                </w:p>
              </w:tc>
              <w:tc>
                <w:tcPr>
                  <w:tcW w:w="779" w:type="pct"/>
                  <w:tcBorders>
                    <w:left w:val="single" w:sz="6" w:space="0" w:color="BFBFBF"/>
                    <w:right w:val="single" w:sz="4" w:space="0" w:color="BFBFBF" w:themeColor="background1" w:themeShade="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780" w:type="pct"/>
                  <w:tcBorders>
                    <w:left w:val="single" w:sz="4" w:space="0" w:color="BFBFBF" w:themeColor="background1" w:themeShade="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58</w:t>
                  </w:r>
                </w:p>
              </w:tc>
              <w:tc>
                <w:tcPr>
                  <w:tcW w:w="779" w:type="pct"/>
                  <w:tcBorders>
                    <w:left w:val="single" w:sz="6" w:space="0" w:color="BFBFBF"/>
                    <w:right w:val="single" w:sz="6" w:space="0" w:color="BFBFBF"/>
                  </w:tcBorders>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61</w:t>
                  </w:r>
                </w:p>
              </w:tc>
              <w:tc>
                <w:tcPr>
                  <w:tcW w:w="780" w:type="pct"/>
                  <w:tcBorders>
                    <w:left w:val="single" w:sz="6" w:space="0" w:color="BFBFBF"/>
                    <w:right w:val="single" w:sz="6" w:space="0" w:color="BFBFBF"/>
                  </w:tcBorders>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59</w:t>
                  </w:r>
                </w:p>
              </w:tc>
            </w:tr>
            <w:tr w:rsidR="004D363A" w:rsidRPr="004D363A" w:rsidTr="004D363A">
              <w:tc>
                <w:tcPr>
                  <w:tcW w:w="323" w:type="pct"/>
                  <w:tcBorders>
                    <w:right w:val="single" w:sz="6" w:space="0" w:color="BFBFBF"/>
                  </w:tcBorders>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b4</w:t>
                  </w:r>
                </w:p>
              </w:tc>
              <w:tc>
                <w:tcPr>
                  <w:tcW w:w="779"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32</w:t>
                  </w:r>
                </w:p>
              </w:tc>
              <w:tc>
                <w:tcPr>
                  <w:tcW w:w="780" w:type="pct"/>
                  <w:tcBorders>
                    <w:left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34</w:t>
                  </w:r>
                </w:p>
              </w:tc>
              <w:tc>
                <w:tcPr>
                  <w:tcW w:w="779" w:type="pct"/>
                  <w:tcBorders>
                    <w:left w:val="single" w:sz="6" w:space="0" w:color="BFBFBF"/>
                    <w:right w:val="single" w:sz="4" w:space="0" w:color="BFBFBF" w:themeColor="background1" w:themeShade="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780" w:type="pct"/>
                  <w:tcBorders>
                    <w:left w:val="single" w:sz="4" w:space="0" w:color="BFBFBF" w:themeColor="background1" w:themeShade="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32</w:t>
                  </w:r>
                </w:p>
              </w:tc>
              <w:tc>
                <w:tcPr>
                  <w:tcW w:w="779" w:type="pct"/>
                  <w:tcBorders>
                    <w:left w:val="single" w:sz="6" w:space="0" w:color="BFBFBF"/>
                    <w:right w:val="single" w:sz="6" w:space="0" w:color="BFBFBF"/>
                  </w:tcBorders>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33</w:t>
                  </w:r>
                </w:p>
              </w:tc>
              <w:tc>
                <w:tcPr>
                  <w:tcW w:w="780" w:type="pct"/>
                  <w:tcBorders>
                    <w:left w:val="single" w:sz="6" w:space="0" w:color="BFBFBF"/>
                    <w:right w:val="single" w:sz="6" w:space="0" w:color="BFBFBF"/>
                  </w:tcBorders>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32</w:t>
                  </w:r>
                </w:p>
              </w:tc>
            </w:tr>
            <w:tr w:rsidR="004D363A" w:rsidRPr="004D363A" w:rsidTr="004D363A">
              <w:tc>
                <w:tcPr>
                  <w:tcW w:w="323" w:type="pct"/>
                  <w:tcBorders>
                    <w:bottom w:val="single" w:sz="6" w:space="0" w:color="BFBFBF"/>
                    <w:right w:val="single" w:sz="6" w:space="0" w:color="BFBFBF"/>
                  </w:tcBorders>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b5</w:t>
                  </w:r>
                </w:p>
              </w:tc>
              <w:tc>
                <w:tcPr>
                  <w:tcW w:w="779" w:type="pct"/>
                  <w:tcBorders>
                    <w:left w:val="single" w:sz="6" w:space="0" w:color="BFBFBF"/>
                    <w:bottom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8</w:t>
                  </w:r>
                </w:p>
              </w:tc>
              <w:tc>
                <w:tcPr>
                  <w:tcW w:w="780" w:type="pct"/>
                  <w:tcBorders>
                    <w:left w:val="single" w:sz="6" w:space="0" w:color="BFBFBF"/>
                    <w:bottom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9</w:t>
                  </w:r>
                </w:p>
              </w:tc>
              <w:tc>
                <w:tcPr>
                  <w:tcW w:w="779" w:type="pct"/>
                  <w:tcBorders>
                    <w:left w:val="single" w:sz="6" w:space="0" w:color="BFBFBF"/>
                    <w:bottom w:val="single" w:sz="6" w:space="0" w:color="BFBFBF"/>
                    <w:right w:val="single" w:sz="4" w:space="0" w:color="BFBFBF" w:themeColor="background1" w:themeShade="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780" w:type="pct"/>
                  <w:tcBorders>
                    <w:left w:val="single" w:sz="4" w:space="0" w:color="BFBFBF" w:themeColor="background1" w:themeShade="BF"/>
                    <w:bottom w:val="single" w:sz="6" w:space="0" w:color="BFBFBF"/>
                    <w:right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w:t>
                  </w:r>
                </w:p>
              </w:tc>
              <w:tc>
                <w:tcPr>
                  <w:tcW w:w="779" w:type="pct"/>
                  <w:tcBorders>
                    <w:left w:val="single" w:sz="6" w:space="0" w:color="BFBFBF"/>
                    <w:bottom w:val="single" w:sz="6" w:space="0" w:color="BFBFBF"/>
                    <w:right w:val="single" w:sz="6" w:space="0" w:color="BFBFBF"/>
                  </w:tcBorders>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w:t>
                  </w:r>
                </w:p>
              </w:tc>
              <w:tc>
                <w:tcPr>
                  <w:tcW w:w="780" w:type="pct"/>
                  <w:tcBorders>
                    <w:left w:val="single" w:sz="6" w:space="0" w:color="BFBFBF"/>
                    <w:bottom w:val="single" w:sz="6" w:space="0" w:color="BFBFBF"/>
                    <w:right w:val="single" w:sz="6" w:space="0" w:color="BFBFBF"/>
                  </w:tcBorders>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w:t>
                  </w:r>
                </w:p>
              </w:tc>
            </w:tr>
          </w:tbl>
          <w:p w:rsidR="004D363A" w:rsidRDefault="004D363A" w:rsidP="00476DFA">
            <w:pPr>
              <w:pStyle w:val="Box"/>
            </w:pPr>
          </w:p>
        </w:tc>
      </w:tr>
      <w:tr w:rsidR="004D363A" w:rsidTr="00476DFA">
        <w:tc>
          <w:tcPr>
            <w:tcW w:w="5000" w:type="pct"/>
            <w:tcBorders>
              <w:top w:val="nil"/>
              <w:left w:val="nil"/>
              <w:bottom w:val="single" w:sz="6" w:space="0" w:color="78A22F"/>
              <w:right w:val="nil"/>
            </w:tcBorders>
            <w:shd w:val="clear" w:color="auto" w:fill="auto"/>
          </w:tcPr>
          <w:p w:rsidR="004D363A" w:rsidRDefault="004D363A" w:rsidP="00476DFA">
            <w:pPr>
              <w:pStyle w:val="Box"/>
              <w:spacing w:before="0" w:line="120" w:lineRule="exact"/>
            </w:pPr>
          </w:p>
        </w:tc>
      </w:tr>
      <w:tr w:rsidR="004D363A" w:rsidRPr="000863A5" w:rsidTr="00476DFA">
        <w:tc>
          <w:tcPr>
            <w:tcW w:w="5000" w:type="pct"/>
            <w:tcBorders>
              <w:top w:val="single" w:sz="6" w:space="0" w:color="78A22F"/>
              <w:left w:val="nil"/>
              <w:bottom w:val="nil"/>
              <w:right w:val="nil"/>
            </w:tcBorders>
          </w:tcPr>
          <w:p w:rsidR="004D363A" w:rsidRPr="00626D32" w:rsidRDefault="004D363A" w:rsidP="00476DFA">
            <w:pPr>
              <w:pStyle w:val="BoxSpaceBelow"/>
            </w:pPr>
          </w:p>
        </w:tc>
      </w:tr>
    </w:tbl>
    <w:p w:rsidR="004D363A" w:rsidRDefault="004D363A" w:rsidP="00476DF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D363A" w:rsidTr="00476DFA">
        <w:trPr>
          <w:tblHeader/>
        </w:trPr>
        <w:tc>
          <w:tcPr>
            <w:tcW w:w="5000" w:type="pct"/>
            <w:tcBorders>
              <w:top w:val="single" w:sz="6" w:space="0" w:color="78A22F"/>
              <w:left w:val="nil"/>
              <w:bottom w:val="nil"/>
              <w:right w:val="nil"/>
            </w:tcBorders>
            <w:shd w:val="clear" w:color="auto" w:fill="auto"/>
          </w:tcPr>
          <w:p w:rsidR="004D363A" w:rsidRPr="00784A05" w:rsidRDefault="004D363A" w:rsidP="004D363A">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5</w:t>
            </w:r>
            <w:r>
              <w:rPr>
                <w:b w:val="0"/>
              </w:rPr>
              <w:fldChar w:fldCharType="end"/>
            </w:r>
            <w:r>
              <w:tab/>
            </w:r>
            <w:r w:rsidRPr="004D363A">
              <w:t>End-user (n2) electricity prices by load block and simulation ($ per MWh)</w:t>
            </w:r>
          </w:p>
        </w:tc>
      </w:tr>
      <w:tr w:rsidR="004D363A" w:rsidTr="00476DF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30"/>
              <w:gridCol w:w="3050"/>
              <w:gridCol w:w="1735"/>
              <w:gridCol w:w="2890"/>
            </w:tblGrid>
            <w:tr w:rsidR="004D363A" w:rsidRPr="004D363A" w:rsidTr="004D363A">
              <w:trPr>
                <w:tblHeader/>
              </w:trPr>
              <w:tc>
                <w:tcPr>
                  <w:tcW w:w="488" w:type="pct"/>
                  <w:tcBorders>
                    <w:top w:val="single" w:sz="6" w:space="0" w:color="BFBFBF"/>
                    <w:bottom w:val="single" w:sz="6" w:space="0" w:color="BFBFBF"/>
                  </w:tcBorders>
                  <w:shd w:val="clear" w:color="auto" w:fill="auto"/>
                  <w:tcMar>
                    <w:top w:w="28" w:type="dxa"/>
                  </w:tcMar>
                  <w:vAlign w:val="center"/>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 </w:t>
                  </w:r>
                </w:p>
              </w:tc>
              <w:tc>
                <w:tcPr>
                  <w:tcW w:w="1793" w:type="pct"/>
                  <w:tcBorders>
                    <w:top w:val="single" w:sz="6" w:space="0" w:color="BFBFBF"/>
                    <w:bottom w:val="single" w:sz="6" w:space="0" w:color="BFBFBF"/>
                  </w:tcBorders>
                  <w:vAlign w:val="center"/>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1020" w:type="pct"/>
                  <w:tcBorders>
                    <w:top w:val="single" w:sz="6" w:space="0" w:color="BFBFBF"/>
                    <w:bottom w:val="single" w:sz="6" w:space="0" w:color="BFBFBF"/>
                  </w:tcBorders>
                  <w:shd w:val="clear" w:color="auto" w:fill="auto"/>
                  <w:tcMar>
                    <w:top w:w="28" w:type="dxa"/>
                  </w:tcMar>
                  <w:vAlign w:val="center"/>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Basecase</w:t>
                  </w:r>
                </w:p>
              </w:tc>
              <w:tc>
                <w:tcPr>
                  <w:tcW w:w="1699" w:type="pct"/>
                  <w:tcBorders>
                    <w:top w:val="single" w:sz="6" w:space="0" w:color="BFBFBF"/>
                    <w:bottom w:val="single" w:sz="6" w:space="0" w:color="BFBFBF"/>
                  </w:tcBorders>
                  <w:shd w:val="clear" w:color="auto" w:fill="auto"/>
                  <w:tcMar>
                    <w:top w:w="28" w:type="dxa"/>
                  </w:tcMar>
                  <w:vAlign w:val="center"/>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Renewable Energy Target </w:t>
                  </w:r>
                </w:p>
              </w:tc>
            </w:tr>
            <w:tr w:rsidR="004D363A" w:rsidRPr="004D363A" w:rsidTr="004D363A">
              <w:tc>
                <w:tcPr>
                  <w:tcW w:w="488" w:type="pct"/>
                  <w:tcBorders>
                    <w:top w:val="single" w:sz="6" w:space="0" w:color="BFBFBF"/>
                  </w:tcBorders>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b1</w:t>
                  </w:r>
                </w:p>
              </w:tc>
              <w:tc>
                <w:tcPr>
                  <w:tcW w:w="1793" w:type="pct"/>
                  <w:tcBorders>
                    <w:top w:val="single" w:sz="6" w:space="0" w:color="BFBFBF"/>
                  </w:tcBorders>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Electricity Market Price</w:t>
                  </w:r>
                </w:p>
              </w:tc>
              <w:tc>
                <w:tcPr>
                  <w:tcW w:w="1020" w:type="pct"/>
                  <w:tcBorders>
                    <w:top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7633</w:t>
                  </w:r>
                </w:p>
              </w:tc>
              <w:tc>
                <w:tcPr>
                  <w:tcW w:w="1699" w:type="pct"/>
                  <w:tcBorders>
                    <w:top w:val="single" w:sz="6" w:space="0" w:color="BFBFBF"/>
                  </w:tcBorders>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8030</w:t>
                  </w:r>
                </w:p>
              </w:tc>
            </w:tr>
            <w:tr w:rsidR="004D363A" w:rsidRPr="004D363A" w:rsidTr="004D363A">
              <w:tc>
                <w:tcPr>
                  <w:tcW w:w="488"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b1</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Renewable Energy Surcharge</w:t>
                  </w:r>
                </w:p>
              </w:tc>
              <w:tc>
                <w:tcPr>
                  <w:tcW w:w="1020" w:type="pct"/>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1699" w:type="pct"/>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15</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b1</w:t>
                  </w:r>
                </w:p>
              </w:tc>
              <w:tc>
                <w:tcPr>
                  <w:tcW w:w="1793" w:type="pct"/>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Total</w:t>
                  </w:r>
                </w:p>
              </w:tc>
              <w:tc>
                <w:tcPr>
                  <w:tcW w:w="1020"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7633</w:t>
                  </w:r>
                </w:p>
              </w:tc>
              <w:tc>
                <w:tcPr>
                  <w:tcW w:w="1699"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8044</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b/>
                      <w:color w:val="000000"/>
                      <w:sz w:val="18"/>
                      <w:szCs w:val="18"/>
                    </w:rPr>
                  </w:pPr>
                </w:p>
              </w:tc>
              <w:tc>
                <w:tcPr>
                  <w:tcW w:w="1793" w:type="pct"/>
                  <w:vAlign w:val="bottom"/>
                </w:tcPr>
                <w:p w:rsidR="004D363A" w:rsidRPr="004D363A" w:rsidRDefault="004D363A" w:rsidP="004D363A">
                  <w:pPr>
                    <w:spacing w:after="0"/>
                    <w:rPr>
                      <w:rFonts w:ascii="Arial" w:hAnsi="Arial" w:cs="Arial"/>
                      <w:b/>
                      <w:color w:val="000000"/>
                      <w:sz w:val="18"/>
                      <w:szCs w:val="18"/>
                    </w:rPr>
                  </w:pPr>
                </w:p>
              </w:tc>
              <w:tc>
                <w:tcPr>
                  <w:tcW w:w="1020"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p>
              </w:tc>
              <w:tc>
                <w:tcPr>
                  <w:tcW w:w="1699"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b2</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Electricity Market Price</w:t>
                  </w:r>
                </w:p>
              </w:tc>
              <w:tc>
                <w:tcPr>
                  <w:tcW w:w="1020"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87</w:t>
                  </w:r>
                </w:p>
              </w:tc>
              <w:tc>
                <w:tcPr>
                  <w:tcW w:w="1699"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77</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b2</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Renewable Energy Surcharge</w:t>
                  </w:r>
                </w:p>
              </w:tc>
              <w:tc>
                <w:tcPr>
                  <w:tcW w:w="1020" w:type="pct"/>
                  <w:shd w:val="clear" w:color="auto" w:fill="auto"/>
                  <w:vAlign w:val="bottom"/>
                </w:tcPr>
                <w:p w:rsidR="004D363A" w:rsidRPr="004D363A" w:rsidRDefault="004D363A" w:rsidP="004D363A">
                  <w:pPr>
                    <w:spacing w:after="0"/>
                    <w:jc w:val="right"/>
                    <w:rPr>
                      <w:rFonts w:ascii="Arial" w:hAnsi="Arial" w:cs="Arial"/>
                      <w:color w:val="000000"/>
                      <w:sz w:val="18"/>
                      <w:szCs w:val="18"/>
                    </w:rPr>
                  </w:pPr>
                </w:p>
              </w:tc>
              <w:tc>
                <w:tcPr>
                  <w:tcW w:w="1699"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15</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b2</w:t>
                  </w:r>
                </w:p>
              </w:tc>
              <w:tc>
                <w:tcPr>
                  <w:tcW w:w="1793" w:type="pct"/>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Total</w:t>
                  </w:r>
                </w:p>
              </w:tc>
              <w:tc>
                <w:tcPr>
                  <w:tcW w:w="1020"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87</w:t>
                  </w:r>
                </w:p>
              </w:tc>
              <w:tc>
                <w:tcPr>
                  <w:tcW w:w="1699"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92</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b/>
                      <w:color w:val="000000"/>
                      <w:sz w:val="18"/>
                      <w:szCs w:val="18"/>
                    </w:rPr>
                  </w:pPr>
                </w:p>
              </w:tc>
              <w:tc>
                <w:tcPr>
                  <w:tcW w:w="1793" w:type="pct"/>
                  <w:vAlign w:val="bottom"/>
                </w:tcPr>
                <w:p w:rsidR="004D363A" w:rsidRPr="004D363A" w:rsidRDefault="004D363A" w:rsidP="004D363A">
                  <w:pPr>
                    <w:spacing w:after="0"/>
                    <w:rPr>
                      <w:rFonts w:ascii="Arial" w:hAnsi="Arial" w:cs="Arial"/>
                      <w:b/>
                      <w:color w:val="000000"/>
                      <w:sz w:val="18"/>
                      <w:szCs w:val="18"/>
                    </w:rPr>
                  </w:pPr>
                </w:p>
              </w:tc>
              <w:tc>
                <w:tcPr>
                  <w:tcW w:w="1020"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p>
              </w:tc>
              <w:tc>
                <w:tcPr>
                  <w:tcW w:w="1699"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b3</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Electricity Market Price</w:t>
                  </w:r>
                </w:p>
              </w:tc>
              <w:tc>
                <w:tcPr>
                  <w:tcW w:w="1020"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62</w:t>
                  </w:r>
                </w:p>
              </w:tc>
              <w:tc>
                <w:tcPr>
                  <w:tcW w:w="1699"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61</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b3</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Renewable Energy Surcharge</w:t>
                  </w:r>
                </w:p>
              </w:tc>
              <w:tc>
                <w:tcPr>
                  <w:tcW w:w="1020"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1699"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15</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b3</w:t>
                  </w:r>
                </w:p>
              </w:tc>
              <w:tc>
                <w:tcPr>
                  <w:tcW w:w="1793" w:type="pct"/>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Total</w:t>
                  </w:r>
                </w:p>
              </w:tc>
              <w:tc>
                <w:tcPr>
                  <w:tcW w:w="1020"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62</w:t>
                  </w:r>
                </w:p>
              </w:tc>
              <w:tc>
                <w:tcPr>
                  <w:tcW w:w="1699"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76</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b/>
                      <w:color w:val="000000"/>
                      <w:sz w:val="18"/>
                      <w:szCs w:val="18"/>
                    </w:rPr>
                  </w:pPr>
                </w:p>
              </w:tc>
              <w:tc>
                <w:tcPr>
                  <w:tcW w:w="1793" w:type="pct"/>
                  <w:vAlign w:val="bottom"/>
                </w:tcPr>
                <w:p w:rsidR="004D363A" w:rsidRPr="004D363A" w:rsidRDefault="004D363A" w:rsidP="004D363A">
                  <w:pPr>
                    <w:spacing w:after="0"/>
                    <w:rPr>
                      <w:rFonts w:ascii="Arial" w:hAnsi="Arial" w:cs="Arial"/>
                      <w:b/>
                      <w:color w:val="000000"/>
                      <w:sz w:val="18"/>
                      <w:szCs w:val="18"/>
                    </w:rPr>
                  </w:pPr>
                </w:p>
              </w:tc>
              <w:tc>
                <w:tcPr>
                  <w:tcW w:w="1020"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p>
              </w:tc>
              <w:tc>
                <w:tcPr>
                  <w:tcW w:w="1699"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b4</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Electricity Market Price</w:t>
                  </w:r>
                </w:p>
              </w:tc>
              <w:tc>
                <w:tcPr>
                  <w:tcW w:w="1020"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34</w:t>
                  </w:r>
                </w:p>
              </w:tc>
              <w:tc>
                <w:tcPr>
                  <w:tcW w:w="1699"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33</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b4</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Renewable Energy Surcharge</w:t>
                  </w:r>
                </w:p>
              </w:tc>
              <w:tc>
                <w:tcPr>
                  <w:tcW w:w="1020" w:type="pct"/>
                  <w:shd w:val="clear" w:color="auto" w:fill="auto"/>
                  <w:vAlign w:val="bottom"/>
                </w:tcPr>
                <w:p w:rsidR="004D363A" w:rsidRPr="004D363A" w:rsidRDefault="004D363A" w:rsidP="004D363A">
                  <w:pPr>
                    <w:spacing w:after="0"/>
                    <w:jc w:val="right"/>
                    <w:rPr>
                      <w:rFonts w:ascii="Arial" w:hAnsi="Arial" w:cs="Arial"/>
                      <w:color w:val="000000"/>
                      <w:sz w:val="18"/>
                      <w:szCs w:val="18"/>
                    </w:rPr>
                  </w:pPr>
                </w:p>
              </w:tc>
              <w:tc>
                <w:tcPr>
                  <w:tcW w:w="1699"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15</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b4</w:t>
                  </w:r>
                </w:p>
              </w:tc>
              <w:tc>
                <w:tcPr>
                  <w:tcW w:w="1793" w:type="pct"/>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Total</w:t>
                  </w:r>
                </w:p>
              </w:tc>
              <w:tc>
                <w:tcPr>
                  <w:tcW w:w="1020"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34</w:t>
                  </w:r>
                </w:p>
              </w:tc>
              <w:tc>
                <w:tcPr>
                  <w:tcW w:w="1699"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48</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b/>
                      <w:color w:val="000000"/>
                      <w:sz w:val="18"/>
                      <w:szCs w:val="18"/>
                    </w:rPr>
                  </w:pPr>
                </w:p>
              </w:tc>
              <w:tc>
                <w:tcPr>
                  <w:tcW w:w="1793" w:type="pct"/>
                  <w:vAlign w:val="bottom"/>
                </w:tcPr>
                <w:p w:rsidR="004D363A" w:rsidRPr="004D363A" w:rsidRDefault="004D363A" w:rsidP="004D363A">
                  <w:pPr>
                    <w:spacing w:after="0"/>
                    <w:rPr>
                      <w:rFonts w:ascii="Arial" w:hAnsi="Arial" w:cs="Arial"/>
                      <w:b/>
                      <w:color w:val="000000"/>
                      <w:sz w:val="18"/>
                      <w:szCs w:val="18"/>
                    </w:rPr>
                  </w:pPr>
                </w:p>
              </w:tc>
              <w:tc>
                <w:tcPr>
                  <w:tcW w:w="1020"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p>
              </w:tc>
              <w:tc>
                <w:tcPr>
                  <w:tcW w:w="1699" w:type="pct"/>
                  <w:shd w:val="clear" w:color="auto" w:fill="auto"/>
                  <w:vAlign w:val="bottom"/>
                </w:tcPr>
                <w:p w:rsidR="004D363A" w:rsidRPr="004D363A" w:rsidRDefault="004D363A" w:rsidP="004D363A">
                  <w:pPr>
                    <w:spacing w:after="0"/>
                    <w:jc w:val="right"/>
                    <w:rPr>
                      <w:rFonts w:ascii="Arial" w:hAnsi="Arial" w:cs="Arial"/>
                      <w:b/>
                      <w:color w:val="000000"/>
                      <w:sz w:val="18"/>
                      <w:szCs w:val="18"/>
                    </w:rPr>
                  </w:pP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b5</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Electricity Market Price</w:t>
                  </w:r>
                </w:p>
              </w:tc>
              <w:tc>
                <w:tcPr>
                  <w:tcW w:w="1020"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8</w:t>
                  </w:r>
                </w:p>
              </w:tc>
              <w:tc>
                <w:tcPr>
                  <w:tcW w:w="1699"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5</w:t>
                  </w:r>
                </w:p>
              </w:tc>
            </w:tr>
            <w:tr w:rsidR="004D363A" w:rsidRPr="004D363A" w:rsidTr="004D363A">
              <w:tc>
                <w:tcPr>
                  <w:tcW w:w="488" w:type="pct"/>
                  <w:shd w:val="clear" w:color="auto" w:fill="auto"/>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b5</w:t>
                  </w:r>
                </w:p>
              </w:tc>
              <w:tc>
                <w:tcPr>
                  <w:tcW w:w="1793" w:type="pct"/>
                  <w:vAlign w:val="bottom"/>
                </w:tcPr>
                <w:p w:rsidR="004D363A" w:rsidRPr="004D363A" w:rsidRDefault="004D363A" w:rsidP="004D363A">
                  <w:pPr>
                    <w:spacing w:after="0"/>
                    <w:rPr>
                      <w:rFonts w:ascii="Arial" w:hAnsi="Arial" w:cs="Arial"/>
                      <w:color w:val="000000"/>
                      <w:sz w:val="18"/>
                      <w:szCs w:val="18"/>
                    </w:rPr>
                  </w:pPr>
                  <w:r w:rsidRPr="004D363A">
                    <w:rPr>
                      <w:rFonts w:ascii="Arial" w:hAnsi="Arial" w:cs="Arial"/>
                      <w:color w:val="000000"/>
                      <w:sz w:val="18"/>
                      <w:szCs w:val="18"/>
                    </w:rPr>
                    <w:t>Renewable Energy Surcharge</w:t>
                  </w:r>
                </w:p>
              </w:tc>
              <w:tc>
                <w:tcPr>
                  <w:tcW w:w="1020"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 </w:t>
                  </w:r>
                </w:p>
              </w:tc>
              <w:tc>
                <w:tcPr>
                  <w:tcW w:w="1699" w:type="pct"/>
                  <w:shd w:val="clear" w:color="auto" w:fill="auto"/>
                  <w:vAlign w:val="bottom"/>
                </w:tcPr>
                <w:p w:rsidR="004D363A" w:rsidRPr="004D363A" w:rsidRDefault="004D363A" w:rsidP="004D363A">
                  <w:pPr>
                    <w:spacing w:after="0"/>
                    <w:jc w:val="right"/>
                    <w:rPr>
                      <w:rFonts w:ascii="Arial" w:hAnsi="Arial" w:cs="Arial"/>
                      <w:color w:val="000000"/>
                      <w:sz w:val="18"/>
                      <w:szCs w:val="18"/>
                    </w:rPr>
                  </w:pPr>
                  <w:r w:rsidRPr="004D363A">
                    <w:rPr>
                      <w:rFonts w:ascii="Arial" w:hAnsi="Arial" w:cs="Arial"/>
                      <w:color w:val="000000"/>
                      <w:sz w:val="18"/>
                      <w:szCs w:val="18"/>
                    </w:rPr>
                    <w:t>15</w:t>
                  </w:r>
                </w:p>
              </w:tc>
            </w:tr>
            <w:tr w:rsidR="004D363A" w:rsidRPr="004D363A" w:rsidTr="004D363A">
              <w:tc>
                <w:tcPr>
                  <w:tcW w:w="488" w:type="pct"/>
                  <w:tcBorders>
                    <w:bottom w:val="single" w:sz="6" w:space="0" w:color="BFBFBF"/>
                  </w:tcBorders>
                  <w:shd w:val="clear" w:color="auto" w:fill="auto"/>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b5</w:t>
                  </w:r>
                </w:p>
              </w:tc>
              <w:tc>
                <w:tcPr>
                  <w:tcW w:w="1793" w:type="pct"/>
                  <w:tcBorders>
                    <w:bottom w:val="single" w:sz="6" w:space="0" w:color="BFBFBF"/>
                  </w:tcBorders>
                  <w:vAlign w:val="bottom"/>
                </w:tcPr>
                <w:p w:rsidR="004D363A" w:rsidRPr="004D363A" w:rsidRDefault="004D363A" w:rsidP="004D363A">
                  <w:pPr>
                    <w:spacing w:after="0"/>
                    <w:rPr>
                      <w:rFonts w:ascii="Arial" w:hAnsi="Arial" w:cs="Arial"/>
                      <w:b/>
                      <w:color w:val="000000"/>
                      <w:sz w:val="18"/>
                      <w:szCs w:val="18"/>
                    </w:rPr>
                  </w:pPr>
                  <w:r w:rsidRPr="004D363A">
                    <w:rPr>
                      <w:rFonts w:ascii="Arial" w:hAnsi="Arial" w:cs="Arial"/>
                      <w:b/>
                      <w:color w:val="000000"/>
                      <w:sz w:val="18"/>
                      <w:szCs w:val="18"/>
                    </w:rPr>
                    <w:t>Total</w:t>
                  </w:r>
                </w:p>
              </w:tc>
              <w:tc>
                <w:tcPr>
                  <w:tcW w:w="1020" w:type="pct"/>
                  <w:tcBorders>
                    <w:bottom w:val="single" w:sz="6" w:space="0" w:color="BFBFBF"/>
                  </w:tcBorders>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8</w:t>
                  </w:r>
                </w:p>
              </w:tc>
              <w:tc>
                <w:tcPr>
                  <w:tcW w:w="1699" w:type="pct"/>
                  <w:tcBorders>
                    <w:bottom w:val="single" w:sz="6" w:space="0" w:color="BFBFBF"/>
                  </w:tcBorders>
                  <w:shd w:val="clear" w:color="auto" w:fill="auto"/>
                  <w:vAlign w:val="bottom"/>
                </w:tcPr>
                <w:p w:rsidR="004D363A" w:rsidRPr="004D363A" w:rsidRDefault="004D363A" w:rsidP="004D363A">
                  <w:pPr>
                    <w:spacing w:after="0"/>
                    <w:jc w:val="right"/>
                    <w:rPr>
                      <w:rFonts w:ascii="Arial" w:hAnsi="Arial" w:cs="Arial"/>
                      <w:b/>
                      <w:color w:val="000000"/>
                      <w:sz w:val="18"/>
                      <w:szCs w:val="18"/>
                    </w:rPr>
                  </w:pPr>
                  <w:r w:rsidRPr="004D363A">
                    <w:rPr>
                      <w:rFonts w:ascii="Arial" w:hAnsi="Arial" w:cs="Arial"/>
                      <w:b/>
                      <w:color w:val="000000"/>
                      <w:sz w:val="18"/>
                      <w:szCs w:val="18"/>
                    </w:rPr>
                    <w:t>19</w:t>
                  </w:r>
                </w:p>
              </w:tc>
            </w:tr>
          </w:tbl>
          <w:p w:rsidR="004D363A" w:rsidRDefault="004D363A" w:rsidP="00476DFA">
            <w:pPr>
              <w:pStyle w:val="Box"/>
            </w:pPr>
          </w:p>
        </w:tc>
      </w:tr>
      <w:tr w:rsidR="004D363A" w:rsidTr="00476DFA">
        <w:tc>
          <w:tcPr>
            <w:tcW w:w="5000" w:type="pct"/>
            <w:tcBorders>
              <w:top w:val="nil"/>
              <w:left w:val="nil"/>
              <w:bottom w:val="single" w:sz="6" w:space="0" w:color="78A22F"/>
              <w:right w:val="nil"/>
            </w:tcBorders>
            <w:shd w:val="clear" w:color="auto" w:fill="auto"/>
          </w:tcPr>
          <w:p w:rsidR="004D363A" w:rsidRDefault="004D363A" w:rsidP="00476DFA">
            <w:pPr>
              <w:pStyle w:val="Box"/>
              <w:spacing w:before="0" w:line="120" w:lineRule="exact"/>
            </w:pPr>
          </w:p>
        </w:tc>
      </w:tr>
      <w:tr w:rsidR="004D363A" w:rsidRPr="000863A5" w:rsidTr="00476DFA">
        <w:tc>
          <w:tcPr>
            <w:tcW w:w="5000" w:type="pct"/>
            <w:tcBorders>
              <w:top w:val="single" w:sz="6" w:space="0" w:color="78A22F"/>
              <w:left w:val="nil"/>
              <w:bottom w:val="nil"/>
              <w:right w:val="nil"/>
            </w:tcBorders>
          </w:tcPr>
          <w:p w:rsidR="004D363A" w:rsidRPr="00626D32" w:rsidRDefault="004D363A" w:rsidP="00476DFA">
            <w:pPr>
              <w:pStyle w:val="BoxSpaceBelow"/>
            </w:pPr>
          </w:p>
        </w:tc>
      </w:tr>
    </w:tbl>
    <w:p w:rsidR="00965C6A" w:rsidRPr="00A2483E" w:rsidRDefault="00965C6A" w:rsidP="00AE5CE2">
      <w:pPr>
        <w:pStyle w:val="Heading3"/>
      </w:pPr>
      <w:r w:rsidRPr="00A2483E">
        <w:t>5.3</w:t>
      </w:r>
      <w:r w:rsidR="00AE5CE2">
        <w:tab/>
      </w:r>
      <w:r w:rsidRPr="00A2483E">
        <w:t>Sales revenue, costs and net returns to generators</w:t>
      </w:r>
    </w:p>
    <w:p w:rsidR="00965C6A" w:rsidRPr="002204AE" w:rsidRDefault="00965C6A" w:rsidP="00AE5CE2">
      <w:pPr>
        <w:pStyle w:val="BodyText"/>
      </w:pPr>
      <w:r w:rsidRPr="002204AE">
        <w:t xml:space="preserve">Total annual revenue and costs, as well as gross operating surplus (GOS), for each power station are shown in </w:t>
      </w:r>
      <w:r w:rsidR="004D363A">
        <w:t>figure</w:t>
      </w:r>
      <w:r>
        <w:t xml:space="preserve"> </w:t>
      </w:r>
      <w:r w:rsidRPr="002204AE">
        <w:t>3. Non-renewable generating technologies have a decrease in revenues and costs. This is driven by the reduction in installed capacity and production, with further cost reductions brought about by the reduction in the price of fuel due to decreased demand (see next section). Under the RET, wind generation has NEM revenue, as well as revenues from renewable energy certificates, which sum to GOS (given zero fuel costs for wind generation).</w:t>
      </w:r>
    </w:p>
    <w:p w:rsidR="00BE530F" w:rsidRDefault="00BE530F" w:rsidP="00476DF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E530F" w:rsidTr="00476DFA">
        <w:trPr>
          <w:tblHeader/>
        </w:trPr>
        <w:tc>
          <w:tcPr>
            <w:tcW w:w="5000" w:type="pct"/>
            <w:tcBorders>
              <w:top w:val="single" w:sz="6" w:space="0" w:color="78A22F"/>
              <w:left w:val="nil"/>
              <w:bottom w:val="nil"/>
              <w:right w:val="nil"/>
            </w:tcBorders>
            <w:shd w:val="clear" w:color="auto" w:fill="auto"/>
          </w:tcPr>
          <w:p w:rsidR="00BE530F" w:rsidRPr="00176D3F" w:rsidRDefault="00BE530F" w:rsidP="00BE530F">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Pr>
                <w:b w:val="0"/>
                <w:noProof/>
              </w:rPr>
              <w:t>3</w:t>
            </w:r>
            <w:r w:rsidRPr="00784A05">
              <w:rPr>
                <w:b w:val="0"/>
              </w:rPr>
              <w:fldChar w:fldCharType="end"/>
            </w:r>
            <w:r>
              <w:tab/>
            </w:r>
            <w:r w:rsidRPr="00BE530F">
              <w:t>Power station revenue and costs ($m)</w:t>
            </w:r>
          </w:p>
        </w:tc>
      </w:tr>
      <w:tr w:rsidR="00BE530F" w:rsidTr="00476DF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BE530F" w:rsidRPr="00B1465D" w:rsidTr="00476DFA">
              <w:trPr>
                <w:tblHeader/>
                <w:jc w:val="center"/>
              </w:trPr>
              <w:tc>
                <w:tcPr>
                  <w:tcW w:w="5000" w:type="pct"/>
                  <w:tcBorders>
                    <w:top w:val="nil"/>
                    <w:bottom w:val="nil"/>
                  </w:tcBorders>
                </w:tcPr>
                <w:p w:rsidR="00BE530F" w:rsidRPr="00B1465D" w:rsidRDefault="00BE530F" w:rsidP="00476DFA">
                  <w:pPr>
                    <w:pStyle w:val="Figure"/>
                    <w:spacing w:before="60" w:after="60"/>
                    <w:rPr>
                      <w:rFonts w:ascii="Arial" w:hAnsi="Arial" w:cs="Arial"/>
                      <w:sz w:val="18"/>
                      <w:szCs w:val="18"/>
                    </w:rPr>
                  </w:pPr>
                  <w:r w:rsidRPr="00BE530F">
                    <w:rPr>
                      <w:rFonts w:ascii="Arial" w:hAnsi="Arial" w:cs="Arial"/>
                      <w:noProof/>
                      <w:sz w:val="18"/>
                      <w:szCs w:val="18"/>
                    </w:rPr>
                    <w:drawing>
                      <wp:anchor distT="0" distB="0" distL="114300" distR="114300" simplePos="0" relativeHeight="251665408" behindDoc="1" locked="0" layoutInCell="1" allowOverlap="1">
                        <wp:simplePos x="0" y="0"/>
                        <wp:positionH relativeFrom="column">
                          <wp:posOffset>0</wp:posOffset>
                        </wp:positionH>
                        <wp:positionV relativeFrom="paragraph">
                          <wp:posOffset>0</wp:posOffset>
                        </wp:positionV>
                        <wp:extent cx="5076000" cy="2447112"/>
                        <wp:effectExtent l="0" t="0" r="0" b="0"/>
                        <wp:wrapTight wrapText="bothSides">
                          <wp:wrapPolygon edited="0">
                            <wp:start x="0" y="0"/>
                            <wp:lineTo x="0" y="21359"/>
                            <wp:lineTo x="21484" y="21359"/>
                            <wp:lineTo x="21484" y="0"/>
                            <wp:lineTo x="0" y="0"/>
                          </wp:wrapPolygon>
                        </wp:wrapTight>
                        <wp:docPr id="11" name="Picture 11" descr="Figure 3 shows the total annual revenue and costs, as well as gross operating surplus (GOS), for each power station. Renewable wind generation has two revenue streams that pay for the installed, which are, the National Electricity makeket and the Renewable Energy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76000" cy="244711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E530F" w:rsidRDefault="00BE530F" w:rsidP="00476DFA">
            <w:pPr>
              <w:pStyle w:val="Figure"/>
            </w:pPr>
          </w:p>
        </w:tc>
      </w:tr>
      <w:tr w:rsidR="00BE530F" w:rsidTr="00476DFA">
        <w:tc>
          <w:tcPr>
            <w:tcW w:w="5000" w:type="pct"/>
            <w:tcBorders>
              <w:top w:val="nil"/>
              <w:left w:val="nil"/>
              <w:bottom w:val="single" w:sz="6" w:space="0" w:color="78A22F"/>
              <w:right w:val="nil"/>
            </w:tcBorders>
            <w:shd w:val="clear" w:color="auto" w:fill="auto"/>
          </w:tcPr>
          <w:p w:rsidR="00BE530F" w:rsidRDefault="00BE530F" w:rsidP="00476DFA">
            <w:pPr>
              <w:pStyle w:val="Figurespace"/>
            </w:pPr>
          </w:p>
        </w:tc>
      </w:tr>
      <w:tr w:rsidR="00BE530F" w:rsidRPr="000863A5" w:rsidTr="00476DFA">
        <w:tc>
          <w:tcPr>
            <w:tcW w:w="5000" w:type="pct"/>
            <w:tcBorders>
              <w:top w:val="single" w:sz="6" w:space="0" w:color="78A22F"/>
              <w:left w:val="nil"/>
              <w:bottom w:val="nil"/>
              <w:right w:val="nil"/>
            </w:tcBorders>
          </w:tcPr>
          <w:p w:rsidR="00BE530F" w:rsidRPr="00626D32" w:rsidRDefault="00BE530F" w:rsidP="00476DFA">
            <w:pPr>
              <w:pStyle w:val="BoxSpaceBelow"/>
            </w:pPr>
          </w:p>
        </w:tc>
      </w:tr>
    </w:tbl>
    <w:p w:rsidR="00965C6A" w:rsidRPr="00A2483E" w:rsidRDefault="00965C6A" w:rsidP="00AE5CE2">
      <w:pPr>
        <w:pStyle w:val="Heading3"/>
      </w:pPr>
      <w:r w:rsidRPr="00A2483E">
        <w:t>5.4</w:t>
      </w:r>
      <w:r w:rsidR="00AE5CE2">
        <w:tab/>
      </w:r>
      <w:r w:rsidRPr="00A2483E">
        <w:t>Impacts on fuel producing industries</w:t>
      </w:r>
    </w:p>
    <w:p w:rsidR="00965C6A" w:rsidRDefault="00965C6A" w:rsidP="00AE5CE2">
      <w:pPr>
        <w:pStyle w:val="BodyText"/>
      </w:pPr>
      <w:r w:rsidRPr="002204AE">
        <w:t xml:space="preserve">Changes in the generation mix also impacts the CGE industries, most immediately and directly the fuel extraction industries: black coal, brown coal, black coal, and natural gas. Coal is most strongly impacted, due to the large decrease in demand from generators. Table </w:t>
      </w:r>
      <w:r>
        <w:t>6</w:t>
      </w:r>
      <w:r w:rsidRPr="002204AE">
        <w:t xml:space="preserve"> shows the price and output impacts on the fuel industries. Brown coal has the largest output (-31%) and price (-7%) reduction relative to the base case, as brown coal is used exclusively for domestic electricity generation with no alternative market. Although the black coal industry has a significant reduction in production (-25%), its price adjustment is more muted (-1%), because its price is linked to export markets. Reduced domestic use lowers the domestic supply price of black coal, but the price decrease is conditioned by the opportunity to export. Doing so has a small impact on the world price. Finally, natural gas production experiences a small increase in both output and price, and benefits from the labour, capital and land shed by the contracting fuel industries.</w:t>
      </w:r>
      <w:r>
        <w:br w:type="page"/>
      </w:r>
    </w:p>
    <w:p w:rsidR="00BE530F" w:rsidRDefault="00BE530F" w:rsidP="00476DF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E530F" w:rsidTr="00476DFA">
        <w:trPr>
          <w:tblHeader/>
        </w:trPr>
        <w:tc>
          <w:tcPr>
            <w:tcW w:w="5000" w:type="pct"/>
            <w:tcBorders>
              <w:top w:val="single" w:sz="6" w:space="0" w:color="78A22F"/>
              <w:left w:val="nil"/>
              <w:bottom w:val="nil"/>
              <w:right w:val="nil"/>
            </w:tcBorders>
            <w:shd w:val="clear" w:color="auto" w:fill="auto"/>
          </w:tcPr>
          <w:p w:rsidR="00BE530F" w:rsidRPr="00784A05" w:rsidRDefault="00BE530F" w:rsidP="00BE530F">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6</w:t>
            </w:r>
            <w:r>
              <w:rPr>
                <w:b w:val="0"/>
              </w:rPr>
              <w:fldChar w:fldCharType="end"/>
            </w:r>
            <w:r>
              <w:tab/>
            </w:r>
            <w:r w:rsidRPr="00BE530F">
              <w:t>Price and quantity of fuels ($ per GJ, and PJ)</w:t>
            </w:r>
          </w:p>
        </w:tc>
      </w:tr>
      <w:tr w:rsidR="00BE530F" w:rsidTr="00476DF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1"/>
              <w:gridCol w:w="1701"/>
              <w:gridCol w:w="1701"/>
              <w:gridCol w:w="1701"/>
              <w:gridCol w:w="1701"/>
            </w:tblGrid>
            <w:tr w:rsidR="00BE530F" w:rsidRPr="00BE530F" w:rsidTr="00BE530F">
              <w:trPr>
                <w:tblHeader/>
              </w:trPr>
              <w:tc>
                <w:tcPr>
                  <w:tcW w:w="1000" w:type="pct"/>
                  <w:tcBorders>
                    <w:top w:val="single" w:sz="6" w:space="0" w:color="BFBFBF"/>
                    <w:bottom w:val="single" w:sz="6" w:space="0" w:color="BFBFBF"/>
                  </w:tcBorders>
                  <w:shd w:val="clear" w:color="auto" w:fill="auto"/>
                  <w:tcMar>
                    <w:top w:w="28" w:type="dxa"/>
                  </w:tcMar>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 </w:t>
                  </w:r>
                </w:p>
              </w:tc>
              <w:tc>
                <w:tcPr>
                  <w:tcW w:w="1000" w:type="pct"/>
                  <w:tcBorders>
                    <w:top w:val="single" w:sz="6" w:space="0" w:color="BFBFBF"/>
                    <w:bottom w:val="single" w:sz="6" w:space="0" w:color="BFBFBF"/>
                  </w:tcBorders>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 </w:t>
                  </w:r>
                </w:p>
              </w:tc>
              <w:tc>
                <w:tcPr>
                  <w:tcW w:w="1000" w:type="pct"/>
                  <w:tcBorders>
                    <w:top w:val="single" w:sz="6" w:space="0" w:color="BFBFBF"/>
                    <w:bottom w:val="single" w:sz="6" w:space="0" w:color="BFBFBF"/>
                  </w:tcBorders>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 </w:t>
                  </w:r>
                </w:p>
              </w:tc>
              <w:tc>
                <w:tcPr>
                  <w:tcW w:w="1000" w:type="pct"/>
                  <w:tcBorders>
                    <w:top w:val="single" w:sz="6" w:space="0" w:color="BFBFBF"/>
                    <w:bottom w:val="single" w:sz="6" w:space="0" w:color="BFBFBF"/>
                  </w:tcBorders>
                  <w:shd w:val="clear" w:color="auto" w:fill="auto"/>
                  <w:tcMar>
                    <w:top w:w="28" w:type="dxa"/>
                  </w:tcMar>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Basecase</w:t>
                  </w:r>
                </w:p>
              </w:tc>
              <w:tc>
                <w:tcPr>
                  <w:tcW w:w="1000" w:type="pct"/>
                  <w:tcBorders>
                    <w:top w:val="single" w:sz="6" w:space="0" w:color="BFBFBF"/>
                    <w:bottom w:val="single" w:sz="6" w:space="0" w:color="BFBFBF"/>
                  </w:tcBorders>
                  <w:shd w:val="clear" w:color="auto" w:fill="auto"/>
                  <w:tcMar>
                    <w:top w:w="28" w:type="dxa"/>
                  </w:tcMar>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Renewable</w:t>
                  </w:r>
                  <w:r w:rsidRPr="00BE530F">
                    <w:rPr>
                      <w:rFonts w:ascii="Arial" w:hAnsi="Arial" w:cs="Arial"/>
                      <w:color w:val="000000"/>
                      <w:sz w:val="18"/>
                      <w:szCs w:val="18"/>
                    </w:rPr>
                    <w:br/>
                    <w:t>Energy Target</w:t>
                  </w:r>
                </w:p>
              </w:tc>
            </w:tr>
            <w:tr w:rsidR="00BE530F" w:rsidRPr="00BE530F" w:rsidTr="00476DFA">
              <w:tc>
                <w:tcPr>
                  <w:tcW w:w="1000" w:type="pct"/>
                  <w:tcBorders>
                    <w:top w:val="single" w:sz="6" w:space="0" w:color="BFBFBF"/>
                  </w:tcBorders>
                  <w:vAlign w:val="bottom"/>
                </w:tcPr>
                <w:p w:rsidR="00BE530F" w:rsidRPr="00BE530F" w:rsidRDefault="00BE530F" w:rsidP="00BE530F">
                  <w:pPr>
                    <w:spacing w:after="0"/>
                    <w:rPr>
                      <w:rFonts w:ascii="Arial" w:hAnsi="Arial" w:cs="Arial"/>
                      <w:i/>
                      <w:color w:val="000000"/>
                      <w:sz w:val="18"/>
                      <w:szCs w:val="18"/>
                    </w:rPr>
                  </w:pPr>
                  <w:r w:rsidRPr="00BE530F">
                    <w:rPr>
                      <w:rFonts w:ascii="Arial" w:hAnsi="Arial" w:cs="Arial"/>
                      <w:i/>
                      <w:color w:val="000000"/>
                      <w:sz w:val="18"/>
                      <w:szCs w:val="18"/>
                    </w:rPr>
                    <w:t>Domestic supply</w:t>
                  </w:r>
                </w:p>
              </w:tc>
              <w:tc>
                <w:tcPr>
                  <w:tcW w:w="1000" w:type="pct"/>
                  <w:tcBorders>
                    <w:top w:val="single" w:sz="6" w:space="0" w:color="BFBFBF"/>
                  </w:tcBorders>
                  <w:vAlign w:val="bottom"/>
                </w:tcPr>
                <w:p w:rsidR="00BE530F" w:rsidRPr="00BE530F" w:rsidRDefault="00BE530F" w:rsidP="00BE530F">
                  <w:pPr>
                    <w:spacing w:after="0"/>
                    <w:rPr>
                      <w:rFonts w:ascii="Arial" w:hAnsi="Arial" w:cs="Arial"/>
                      <w:color w:val="000000"/>
                      <w:sz w:val="18"/>
                      <w:szCs w:val="18"/>
                    </w:rPr>
                  </w:pPr>
                </w:p>
              </w:tc>
              <w:tc>
                <w:tcPr>
                  <w:tcW w:w="1000" w:type="pct"/>
                  <w:tcBorders>
                    <w:top w:val="single" w:sz="6" w:space="0" w:color="BFBFBF"/>
                  </w:tcBorders>
                  <w:vAlign w:val="bottom"/>
                </w:tcPr>
                <w:p w:rsidR="00BE530F" w:rsidRPr="00BE530F" w:rsidRDefault="00BE530F" w:rsidP="00BE530F">
                  <w:pPr>
                    <w:spacing w:after="0"/>
                    <w:rPr>
                      <w:rFonts w:ascii="Arial" w:hAnsi="Arial" w:cs="Arial"/>
                      <w:color w:val="000000"/>
                      <w:sz w:val="18"/>
                      <w:szCs w:val="18"/>
                    </w:rPr>
                  </w:pPr>
                </w:p>
              </w:tc>
              <w:tc>
                <w:tcPr>
                  <w:tcW w:w="1000" w:type="pct"/>
                  <w:tcBorders>
                    <w:top w:val="single" w:sz="6" w:space="0" w:color="BFBFBF"/>
                  </w:tcBorders>
                  <w:vAlign w:val="bottom"/>
                </w:tcPr>
                <w:p w:rsidR="00BE530F" w:rsidRPr="00BE530F" w:rsidRDefault="00BE530F" w:rsidP="00BE530F">
                  <w:pPr>
                    <w:spacing w:after="0"/>
                    <w:jc w:val="right"/>
                    <w:rPr>
                      <w:rFonts w:ascii="Arial" w:hAnsi="Arial" w:cs="Arial"/>
                      <w:color w:val="000000"/>
                      <w:sz w:val="18"/>
                      <w:szCs w:val="18"/>
                    </w:rPr>
                  </w:pPr>
                </w:p>
              </w:tc>
              <w:tc>
                <w:tcPr>
                  <w:tcW w:w="1000" w:type="pct"/>
                  <w:tcBorders>
                    <w:top w:val="single" w:sz="6" w:space="0" w:color="BFBFBF"/>
                  </w:tcBorders>
                  <w:vAlign w:val="bottom"/>
                </w:tcPr>
                <w:p w:rsidR="00BE530F" w:rsidRPr="00BE530F" w:rsidRDefault="00BE530F" w:rsidP="00BE530F">
                  <w:pPr>
                    <w:spacing w:after="0"/>
                    <w:jc w:val="right"/>
                    <w:rPr>
                      <w:rFonts w:ascii="Arial" w:hAnsi="Arial" w:cs="Arial"/>
                      <w:color w:val="000000"/>
                      <w:sz w:val="18"/>
                      <w:szCs w:val="18"/>
                    </w:rPr>
                  </w:pPr>
                </w:p>
              </w:tc>
            </w:tr>
            <w:tr w:rsidR="00BE530F" w:rsidRPr="00BE530F" w:rsidTr="00476DFA">
              <w:tc>
                <w:tcPr>
                  <w:tcW w:w="1000" w:type="pct"/>
                  <w:vAlign w:val="bottom"/>
                </w:tcPr>
                <w:p w:rsidR="00BE530F" w:rsidRPr="00BE530F" w:rsidRDefault="00BE530F" w:rsidP="00BE530F">
                  <w:pPr>
                    <w:spacing w:after="0"/>
                    <w:ind w:left="170"/>
                    <w:rPr>
                      <w:rFonts w:ascii="Arial" w:hAnsi="Arial" w:cs="Arial"/>
                      <w:color w:val="000000"/>
                      <w:sz w:val="18"/>
                      <w:szCs w:val="18"/>
                    </w:rPr>
                  </w:pPr>
                  <w:r w:rsidRPr="00BE530F">
                    <w:rPr>
                      <w:rFonts w:ascii="Arial" w:hAnsi="Arial" w:cs="Arial"/>
                      <w:color w:val="000000"/>
                      <w:sz w:val="18"/>
                      <w:szCs w:val="18"/>
                    </w:rPr>
                    <w:t>Price</w:t>
                  </w: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 per GJ</w:t>
                  </w: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Brown Coal</w:t>
                  </w:r>
                </w:p>
              </w:tc>
              <w:tc>
                <w:tcPr>
                  <w:tcW w:w="1000" w:type="pct"/>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0.4000</w:t>
                  </w:r>
                </w:p>
              </w:tc>
              <w:tc>
                <w:tcPr>
                  <w:tcW w:w="1000" w:type="pct"/>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0.3713</w:t>
                  </w:r>
                </w:p>
              </w:tc>
            </w:tr>
            <w:tr w:rsidR="00BE530F" w:rsidRPr="00BE530F" w:rsidTr="00476DFA">
              <w:tc>
                <w:tcPr>
                  <w:tcW w:w="1000" w:type="pct"/>
                  <w:vAlign w:val="bottom"/>
                </w:tcPr>
                <w:p w:rsidR="00BE530F" w:rsidRPr="00BE530F" w:rsidRDefault="00BE530F" w:rsidP="00BE530F">
                  <w:pPr>
                    <w:spacing w:after="0"/>
                    <w:rPr>
                      <w:rFonts w:ascii="Arial" w:hAnsi="Arial" w:cs="Arial"/>
                      <w:color w:val="000000"/>
                      <w:sz w:val="18"/>
                      <w:szCs w:val="18"/>
                    </w:rPr>
                  </w:pPr>
                </w:p>
              </w:tc>
              <w:tc>
                <w:tcPr>
                  <w:tcW w:w="1000" w:type="pct"/>
                  <w:vAlign w:val="bottom"/>
                </w:tcPr>
                <w:p w:rsidR="00BE530F" w:rsidRPr="00BE530F" w:rsidRDefault="00BE530F" w:rsidP="00BE530F">
                  <w:pPr>
                    <w:spacing w:after="0"/>
                    <w:rPr>
                      <w:rFonts w:ascii="Arial" w:hAnsi="Arial" w:cs="Arial"/>
                      <w:color w:val="000000"/>
                      <w:sz w:val="18"/>
                      <w:szCs w:val="18"/>
                    </w:rPr>
                  </w:pP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Black Coal</w:t>
                  </w:r>
                </w:p>
              </w:tc>
              <w:tc>
                <w:tcPr>
                  <w:tcW w:w="1000" w:type="pct"/>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2.2500</w:t>
                  </w:r>
                </w:p>
              </w:tc>
              <w:tc>
                <w:tcPr>
                  <w:tcW w:w="1000" w:type="pct"/>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2.2254</w:t>
                  </w:r>
                </w:p>
              </w:tc>
            </w:tr>
            <w:tr w:rsidR="00BE530F" w:rsidRPr="00BE530F" w:rsidTr="00476DFA">
              <w:tc>
                <w:tcPr>
                  <w:tcW w:w="1000" w:type="pct"/>
                  <w:shd w:val="clear" w:color="auto" w:fill="auto"/>
                  <w:vAlign w:val="bottom"/>
                </w:tcPr>
                <w:p w:rsidR="00BE530F" w:rsidRPr="00BE530F" w:rsidRDefault="00BE530F" w:rsidP="00BE530F">
                  <w:pPr>
                    <w:spacing w:after="0"/>
                    <w:rPr>
                      <w:rFonts w:ascii="Arial" w:hAnsi="Arial" w:cs="Arial"/>
                      <w:color w:val="000000"/>
                      <w:sz w:val="18"/>
                      <w:szCs w:val="18"/>
                    </w:rPr>
                  </w:pPr>
                </w:p>
              </w:tc>
              <w:tc>
                <w:tcPr>
                  <w:tcW w:w="1000" w:type="pct"/>
                  <w:vAlign w:val="bottom"/>
                </w:tcPr>
                <w:p w:rsidR="00BE530F" w:rsidRPr="00BE530F" w:rsidRDefault="00BE530F" w:rsidP="00BE530F">
                  <w:pPr>
                    <w:spacing w:after="0"/>
                    <w:rPr>
                      <w:rFonts w:ascii="Arial" w:hAnsi="Arial" w:cs="Arial"/>
                      <w:color w:val="000000"/>
                      <w:sz w:val="18"/>
                      <w:szCs w:val="18"/>
                    </w:rPr>
                  </w:pP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Natural Gas</w:t>
                  </w:r>
                </w:p>
              </w:tc>
              <w:tc>
                <w:tcPr>
                  <w:tcW w:w="1000"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7.0000</w:t>
                  </w:r>
                </w:p>
              </w:tc>
              <w:tc>
                <w:tcPr>
                  <w:tcW w:w="1000"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7.0082</w:t>
                  </w:r>
                </w:p>
              </w:tc>
            </w:tr>
            <w:tr w:rsidR="00BE530F" w:rsidRPr="00BE530F" w:rsidTr="00476DFA">
              <w:tc>
                <w:tcPr>
                  <w:tcW w:w="1000" w:type="pct"/>
                  <w:shd w:val="clear" w:color="auto" w:fill="auto"/>
                  <w:vAlign w:val="bottom"/>
                </w:tcPr>
                <w:p w:rsidR="00BE530F" w:rsidRPr="00BE530F" w:rsidRDefault="00BE530F" w:rsidP="00BE530F">
                  <w:pPr>
                    <w:spacing w:after="0"/>
                    <w:ind w:left="170"/>
                    <w:rPr>
                      <w:rFonts w:ascii="Arial" w:hAnsi="Arial" w:cs="Arial"/>
                      <w:color w:val="000000"/>
                      <w:sz w:val="18"/>
                      <w:szCs w:val="18"/>
                    </w:rPr>
                  </w:pPr>
                  <w:r w:rsidRPr="00BE530F">
                    <w:rPr>
                      <w:rFonts w:ascii="Arial" w:hAnsi="Arial" w:cs="Arial"/>
                      <w:color w:val="000000"/>
                      <w:sz w:val="18"/>
                      <w:szCs w:val="18"/>
                    </w:rPr>
                    <w:t>Quantity</w:t>
                  </w: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PJ</w:t>
                  </w: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Brown Coal</w:t>
                  </w:r>
                </w:p>
              </w:tc>
              <w:tc>
                <w:tcPr>
                  <w:tcW w:w="1000"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501</w:t>
                  </w:r>
                </w:p>
              </w:tc>
              <w:tc>
                <w:tcPr>
                  <w:tcW w:w="1000"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344</w:t>
                  </w:r>
                </w:p>
              </w:tc>
            </w:tr>
            <w:tr w:rsidR="00BE530F" w:rsidRPr="00BE530F" w:rsidTr="00476DFA">
              <w:tc>
                <w:tcPr>
                  <w:tcW w:w="1000" w:type="pct"/>
                  <w:shd w:val="clear" w:color="auto" w:fill="auto"/>
                  <w:vAlign w:val="bottom"/>
                </w:tcPr>
                <w:p w:rsidR="00BE530F" w:rsidRPr="00BE530F" w:rsidRDefault="00BE530F" w:rsidP="00BE530F">
                  <w:pPr>
                    <w:spacing w:after="0"/>
                    <w:rPr>
                      <w:rFonts w:ascii="Arial" w:hAnsi="Arial" w:cs="Arial"/>
                      <w:color w:val="000000"/>
                      <w:sz w:val="18"/>
                      <w:szCs w:val="18"/>
                    </w:rPr>
                  </w:pPr>
                </w:p>
              </w:tc>
              <w:tc>
                <w:tcPr>
                  <w:tcW w:w="1000" w:type="pct"/>
                  <w:vAlign w:val="bottom"/>
                </w:tcPr>
                <w:p w:rsidR="00BE530F" w:rsidRPr="00BE530F" w:rsidRDefault="00BE530F" w:rsidP="00BE530F">
                  <w:pPr>
                    <w:spacing w:after="0"/>
                    <w:rPr>
                      <w:rFonts w:ascii="Arial" w:hAnsi="Arial" w:cs="Arial"/>
                      <w:color w:val="000000"/>
                      <w:sz w:val="18"/>
                      <w:szCs w:val="18"/>
                    </w:rPr>
                  </w:pP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Black Coal</w:t>
                  </w:r>
                </w:p>
              </w:tc>
              <w:tc>
                <w:tcPr>
                  <w:tcW w:w="1000"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33</w:t>
                  </w:r>
                </w:p>
              </w:tc>
              <w:tc>
                <w:tcPr>
                  <w:tcW w:w="1000"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24</w:t>
                  </w:r>
                </w:p>
              </w:tc>
            </w:tr>
            <w:tr w:rsidR="00BE530F" w:rsidRPr="00BE530F" w:rsidTr="00476DFA">
              <w:tc>
                <w:tcPr>
                  <w:tcW w:w="1000" w:type="pct"/>
                  <w:shd w:val="clear" w:color="auto" w:fill="auto"/>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 </w:t>
                  </w: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 </w:t>
                  </w:r>
                </w:p>
              </w:tc>
              <w:tc>
                <w:tcPr>
                  <w:tcW w:w="1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Natural Gas</w:t>
                  </w:r>
                </w:p>
              </w:tc>
              <w:tc>
                <w:tcPr>
                  <w:tcW w:w="1000"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50</w:t>
                  </w:r>
                </w:p>
              </w:tc>
              <w:tc>
                <w:tcPr>
                  <w:tcW w:w="1000"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51</w:t>
                  </w:r>
                </w:p>
              </w:tc>
            </w:tr>
            <w:tr w:rsidR="00BE530F" w:rsidRPr="00BE530F" w:rsidTr="00476DFA">
              <w:tc>
                <w:tcPr>
                  <w:tcW w:w="1000" w:type="pct"/>
                  <w:shd w:val="clear" w:color="auto" w:fill="auto"/>
                </w:tcPr>
                <w:p w:rsidR="00BE530F" w:rsidRPr="00BE530F" w:rsidRDefault="00BE530F" w:rsidP="00BE530F">
                  <w:pPr>
                    <w:spacing w:after="0"/>
                    <w:rPr>
                      <w:rFonts w:ascii="Arial" w:hAnsi="Arial" w:cs="Arial"/>
                      <w:i/>
                      <w:color w:val="000000"/>
                      <w:sz w:val="18"/>
                      <w:szCs w:val="18"/>
                    </w:rPr>
                  </w:pPr>
                  <w:r w:rsidRPr="00BE530F">
                    <w:rPr>
                      <w:rFonts w:ascii="Arial" w:hAnsi="Arial" w:cs="Arial"/>
                      <w:i/>
                      <w:color w:val="000000"/>
                      <w:sz w:val="18"/>
                      <w:szCs w:val="18"/>
                    </w:rPr>
                    <w:t>Export supply</w:t>
                  </w:r>
                </w:p>
              </w:tc>
              <w:tc>
                <w:tcPr>
                  <w:tcW w:w="1000" w:type="pct"/>
                </w:tcPr>
                <w:p w:rsidR="00BE530F" w:rsidRPr="00BE530F" w:rsidRDefault="00BE530F" w:rsidP="00BE530F">
                  <w:pPr>
                    <w:spacing w:after="0"/>
                    <w:rPr>
                      <w:rFonts w:ascii="Arial" w:hAnsi="Arial" w:cs="Arial"/>
                      <w:color w:val="000000"/>
                      <w:sz w:val="18"/>
                      <w:szCs w:val="18"/>
                    </w:rPr>
                  </w:pPr>
                </w:p>
              </w:tc>
              <w:tc>
                <w:tcPr>
                  <w:tcW w:w="1000" w:type="pct"/>
                </w:tcPr>
                <w:p w:rsidR="00BE530F" w:rsidRPr="00BE530F" w:rsidRDefault="00BE530F" w:rsidP="00BE530F">
                  <w:pPr>
                    <w:spacing w:after="0"/>
                    <w:rPr>
                      <w:rFonts w:ascii="Arial" w:hAnsi="Arial" w:cs="Arial"/>
                      <w:color w:val="000000"/>
                      <w:sz w:val="18"/>
                      <w:szCs w:val="18"/>
                    </w:rPr>
                  </w:pPr>
                </w:p>
              </w:tc>
              <w:tc>
                <w:tcPr>
                  <w:tcW w:w="1000" w:type="pct"/>
                  <w:shd w:val="clear" w:color="auto" w:fill="auto"/>
                </w:tcPr>
                <w:p w:rsidR="00BE530F" w:rsidRPr="00BE530F" w:rsidRDefault="00BE530F" w:rsidP="00BE530F">
                  <w:pPr>
                    <w:spacing w:after="0"/>
                    <w:rPr>
                      <w:rFonts w:ascii="Arial" w:hAnsi="Arial" w:cs="Arial"/>
                      <w:color w:val="000000"/>
                      <w:sz w:val="18"/>
                      <w:szCs w:val="18"/>
                    </w:rPr>
                  </w:pPr>
                </w:p>
              </w:tc>
              <w:tc>
                <w:tcPr>
                  <w:tcW w:w="1000" w:type="pct"/>
                  <w:shd w:val="clear" w:color="auto" w:fill="auto"/>
                </w:tcPr>
                <w:p w:rsidR="00BE530F" w:rsidRPr="00BE530F" w:rsidRDefault="00BE530F" w:rsidP="00BE530F">
                  <w:pPr>
                    <w:spacing w:after="0"/>
                    <w:rPr>
                      <w:rFonts w:ascii="Arial" w:hAnsi="Arial" w:cs="Arial"/>
                      <w:color w:val="000000"/>
                      <w:sz w:val="18"/>
                      <w:szCs w:val="18"/>
                    </w:rPr>
                  </w:pPr>
                </w:p>
              </w:tc>
            </w:tr>
            <w:tr w:rsidR="00BE530F" w:rsidRPr="00BE530F" w:rsidTr="00476DFA">
              <w:tc>
                <w:tcPr>
                  <w:tcW w:w="1000" w:type="pct"/>
                  <w:shd w:val="clear" w:color="auto" w:fill="auto"/>
                </w:tcPr>
                <w:p w:rsidR="00BE530F" w:rsidRPr="00BE530F" w:rsidRDefault="00BE530F" w:rsidP="00BE530F">
                  <w:pPr>
                    <w:spacing w:after="0"/>
                    <w:ind w:left="170"/>
                    <w:rPr>
                      <w:rFonts w:ascii="Arial" w:hAnsi="Arial" w:cs="Arial"/>
                      <w:color w:val="000000"/>
                      <w:sz w:val="18"/>
                      <w:szCs w:val="18"/>
                    </w:rPr>
                  </w:pPr>
                  <w:r w:rsidRPr="00BE530F">
                    <w:rPr>
                      <w:rFonts w:ascii="Arial" w:hAnsi="Arial" w:cs="Arial"/>
                      <w:color w:val="000000"/>
                      <w:sz w:val="18"/>
                      <w:szCs w:val="18"/>
                    </w:rPr>
                    <w:t>Price</w:t>
                  </w:r>
                </w:p>
              </w:tc>
              <w:tc>
                <w:tcPr>
                  <w:tcW w:w="1000" w:type="pct"/>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 per GJ</w:t>
                  </w:r>
                </w:p>
              </w:tc>
              <w:tc>
                <w:tcPr>
                  <w:tcW w:w="1000" w:type="pct"/>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Black Coal</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2.2500</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2.2414</w:t>
                  </w:r>
                </w:p>
              </w:tc>
            </w:tr>
            <w:tr w:rsidR="00BE530F" w:rsidRPr="00BE530F" w:rsidTr="00476DFA">
              <w:tc>
                <w:tcPr>
                  <w:tcW w:w="1000" w:type="pct"/>
                  <w:shd w:val="clear" w:color="auto" w:fill="auto"/>
                </w:tcPr>
                <w:p w:rsidR="00BE530F" w:rsidRPr="00BE530F" w:rsidRDefault="00BE530F" w:rsidP="00BE530F">
                  <w:pPr>
                    <w:spacing w:after="0"/>
                    <w:rPr>
                      <w:rFonts w:ascii="Arial" w:hAnsi="Arial" w:cs="Arial"/>
                      <w:color w:val="000000"/>
                      <w:sz w:val="18"/>
                      <w:szCs w:val="18"/>
                    </w:rPr>
                  </w:pPr>
                </w:p>
              </w:tc>
              <w:tc>
                <w:tcPr>
                  <w:tcW w:w="1000" w:type="pct"/>
                </w:tcPr>
                <w:p w:rsidR="00BE530F" w:rsidRPr="00BE530F" w:rsidRDefault="00BE530F" w:rsidP="00BE530F">
                  <w:pPr>
                    <w:spacing w:after="0"/>
                    <w:rPr>
                      <w:rFonts w:ascii="Arial" w:hAnsi="Arial" w:cs="Arial"/>
                      <w:color w:val="000000"/>
                      <w:sz w:val="18"/>
                      <w:szCs w:val="18"/>
                    </w:rPr>
                  </w:pPr>
                </w:p>
              </w:tc>
              <w:tc>
                <w:tcPr>
                  <w:tcW w:w="1000" w:type="pct"/>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Natural Gas</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7.0000</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7.0025</w:t>
                  </w:r>
                </w:p>
              </w:tc>
            </w:tr>
            <w:tr w:rsidR="00BE530F" w:rsidRPr="00BE530F" w:rsidTr="00BE530F">
              <w:tc>
                <w:tcPr>
                  <w:tcW w:w="1000" w:type="pct"/>
                  <w:shd w:val="clear" w:color="auto" w:fill="auto"/>
                </w:tcPr>
                <w:p w:rsidR="00BE530F" w:rsidRPr="00BE530F" w:rsidRDefault="00BE530F" w:rsidP="00BE530F">
                  <w:pPr>
                    <w:spacing w:after="0"/>
                    <w:ind w:left="170"/>
                    <w:rPr>
                      <w:rFonts w:ascii="Arial" w:hAnsi="Arial" w:cs="Arial"/>
                      <w:color w:val="000000"/>
                      <w:sz w:val="18"/>
                      <w:szCs w:val="18"/>
                    </w:rPr>
                  </w:pPr>
                  <w:r w:rsidRPr="00BE530F">
                    <w:rPr>
                      <w:rFonts w:ascii="Arial" w:hAnsi="Arial" w:cs="Arial"/>
                      <w:color w:val="000000"/>
                      <w:sz w:val="18"/>
                      <w:szCs w:val="18"/>
                    </w:rPr>
                    <w:t>Quantity</w:t>
                  </w:r>
                </w:p>
              </w:tc>
              <w:tc>
                <w:tcPr>
                  <w:tcW w:w="1000" w:type="pct"/>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PJ</w:t>
                  </w:r>
                </w:p>
              </w:tc>
              <w:tc>
                <w:tcPr>
                  <w:tcW w:w="1000" w:type="pct"/>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Black Coal</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2543</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2545</w:t>
                  </w:r>
                </w:p>
              </w:tc>
            </w:tr>
            <w:tr w:rsidR="00BE530F" w:rsidRPr="00BE530F" w:rsidTr="00BE530F">
              <w:tc>
                <w:tcPr>
                  <w:tcW w:w="1000" w:type="pct"/>
                  <w:tcBorders>
                    <w:bottom w:val="single" w:sz="4" w:space="0" w:color="BFBFBF"/>
                  </w:tcBorders>
                  <w:shd w:val="clear" w:color="auto" w:fill="auto"/>
                </w:tcPr>
                <w:p w:rsidR="00BE530F" w:rsidRPr="00BE530F" w:rsidRDefault="00BE530F" w:rsidP="00BE530F">
                  <w:pPr>
                    <w:spacing w:after="0"/>
                    <w:rPr>
                      <w:rFonts w:ascii="Arial" w:hAnsi="Arial" w:cs="Arial"/>
                      <w:color w:val="000000"/>
                      <w:sz w:val="18"/>
                      <w:szCs w:val="18"/>
                    </w:rPr>
                  </w:pPr>
                </w:p>
              </w:tc>
              <w:tc>
                <w:tcPr>
                  <w:tcW w:w="1000" w:type="pct"/>
                  <w:tcBorders>
                    <w:bottom w:val="single" w:sz="4" w:space="0" w:color="BFBFBF"/>
                  </w:tcBorders>
                </w:tcPr>
                <w:p w:rsidR="00BE530F" w:rsidRPr="00BE530F" w:rsidRDefault="00BE530F" w:rsidP="00BE530F">
                  <w:pPr>
                    <w:spacing w:after="0"/>
                    <w:rPr>
                      <w:rFonts w:ascii="Arial" w:hAnsi="Arial" w:cs="Arial"/>
                      <w:color w:val="000000"/>
                      <w:sz w:val="18"/>
                      <w:szCs w:val="18"/>
                    </w:rPr>
                  </w:pPr>
                </w:p>
              </w:tc>
              <w:tc>
                <w:tcPr>
                  <w:tcW w:w="1000" w:type="pct"/>
                  <w:tcBorders>
                    <w:bottom w:val="single" w:sz="4" w:space="0" w:color="BFBFBF"/>
                  </w:tcBorders>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Natural Gas</w:t>
                  </w:r>
                </w:p>
              </w:tc>
              <w:tc>
                <w:tcPr>
                  <w:tcW w:w="1000" w:type="pct"/>
                  <w:tcBorders>
                    <w:bottom w:val="single" w:sz="4" w:space="0" w:color="BFBFBF"/>
                  </w:tcBorders>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136</w:t>
                  </w:r>
                </w:p>
              </w:tc>
              <w:tc>
                <w:tcPr>
                  <w:tcW w:w="1000" w:type="pct"/>
                  <w:tcBorders>
                    <w:bottom w:val="single" w:sz="4" w:space="0" w:color="BFBFBF"/>
                  </w:tcBorders>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136</w:t>
                  </w:r>
                </w:p>
              </w:tc>
            </w:tr>
          </w:tbl>
          <w:p w:rsidR="00BE530F" w:rsidRDefault="00BE530F" w:rsidP="00476DFA">
            <w:pPr>
              <w:pStyle w:val="Box"/>
            </w:pPr>
          </w:p>
        </w:tc>
      </w:tr>
      <w:tr w:rsidR="00BE530F" w:rsidTr="00476DFA">
        <w:tc>
          <w:tcPr>
            <w:tcW w:w="5000" w:type="pct"/>
            <w:tcBorders>
              <w:top w:val="nil"/>
              <w:left w:val="nil"/>
              <w:bottom w:val="single" w:sz="6" w:space="0" w:color="78A22F"/>
              <w:right w:val="nil"/>
            </w:tcBorders>
            <w:shd w:val="clear" w:color="auto" w:fill="auto"/>
          </w:tcPr>
          <w:p w:rsidR="00BE530F" w:rsidRDefault="00BE530F" w:rsidP="00476DFA">
            <w:pPr>
              <w:pStyle w:val="Box"/>
              <w:spacing w:before="0" w:line="120" w:lineRule="exact"/>
            </w:pPr>
          </w:p>
        </w:tc>
      </w:tr>
      <w:tr w:rsidR="00BE530F" w:rsidRPr="000863A5" w:rsidTr="00476DFA">
        <w:tc>
          <w:tcPr>
            <w:tcW w:w="5000" w:type="pct"/>
            <w:tcBorders>
              <w:top w:val="single" w:sz="6" w:space="0" w:color="78A22F"/>
              <w:left w:val="nil"/>
              <w:bottom w:val="nil"/>
              <w:right w:val="nil"/>
            </w:tcBorders>
          </w:tcPr>
          <w:p w:rsidR="00BE530F" w:rsidRPr="00626D32" w:rsidRDefault="00BE530F" w:rsidP="00476DFA">
            <w:pPr>
              <w:pStyle w:val="BoxSpaceBelow"/>
            </w:pPr>
          </w:p>
        </w:tc>
      </w:tr>
    </w:tbl>
    <w:p w:rsidR="00965C6A" w:rsidRPr="00A2483E" w:rsidRDefault="00965C6A" w:rsidP="00AE5CE2">
      <w:pPr>
        <w:pStyle w:val="Heading3"/>
        <w:ind w:left="720" w:hanging="720"/>
      </w:pPr>
      <w:r w:rsidRPr="00A2483E">
        <w:t>5.5</w:t>
      </w:r>
      <w:r w:rsidR="00AE5CE2">
        <w:tab/>
      </w:r>
      <w:r w:rsidRPr="00A2483E">
        <w:t>Economy</w:t>
      </w:r>
      <w:r w:rsidR="00BE7D03">
        <w:t>-</w:t>
      </w:r>
      <w:r w:rsidRPr="00A2483E">
        <w:t>wide impacts, interindustry impacts and impacts on emissions</w:t>
      </w:r>
    </w:p>
    <w:p w:rsidR="00965C6A" w:rsidRPr="002204AE" w:rsidRDefault="00965C6A" w:rsidP="00AE5CE2">
      <w:pPr>
        <w:pStyle w:val="BodyText"/>
      </w:pPr>
      <w:r w:rsidRPr="002204AE">
        <w:t xml:space="preserve">As discussed above, the introduction of the RET causes a reduction in aggregate energy sector activity (despite an increase in renewable energy activity), and an increase in the end user price of power. This increase in the cost of power impacts most industries throughout the economy, increasing the cost of production. </w:t>
      </w:r>
      <w:r w:rsidR="004D363A">
        <w:t>Figure</w:t>
      </w:r>
      <w:r w:rsidRPr="002204AE">
        <w:t xml:space="preserve"> 4 shows that employment contracts in most industries, with (aside from in the coal generation sector) the strongest decreases in manufacturing, services and mining, all industries that are relatively energy intensive and trade exposed (either through exports in the case of mining and services, and import competition in the case of manufacturing). The services contraction is tempered by the fact that it supplies services used for the construction and maintenance of wind generation and energy transmission between nodes 3 and 2.</w:t>
      </w:r>
    </w:p>
    <w:p w:rsidR="00965C6A" w:rsidRDefault="00965C6A" w:rsidP="00AE5CE2">
      <w:pPr>
        <w:pStyle w:val="BodyText"/>
      </w:pPr>
      <w:r w:rsidRPr="002204AE">
        <w:t>Almost all of the labour shed by other industries is absorbed by the newly created wind generation sector. In part, this is driven by the CGE closure: being a long-run comparative static steady state, the employment level is fixed. It is worth noting though, that the increase in wind generation employment is larger than the reduction in coal generation employment. This is because (as discussed earlier), a much greater capacity of wind generation has to be installed than the brown coal generation it displaces, due to the lower availability factor of wind generation.</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E530F" w:rsidTr="00476DFA">
        <w:trPr>
          <w:tblHeader/>
        </w:trPr>
        <w:tc>
          <w:tcPr>
            <w:tcW w:w="5000" w:type="pct"/>
            <w:tcBorders>
              <w:top w:val="single" w:sz="6" w:space="0" w:color="78A22F"/>
              <w:left w:val="nil"/>
              <w:bottom w:val="nil"/>
              <w:right w:val="nil"/>
            </w:tcBorders>
            <w:shd w:val="clear" w:color="auto" w:fill="auto"/>
          </w:tcPr>
          <w:p w:rsidR="00BE530F" w:rsidRPr="00176D3F" w:rsidRDefault="00BE530F" w:rsidP="00BE530F">
            <w:pPr>
              <w:pStyle w:val="FigureTitle"/>
            </w:pPr>
            <w:r w:rsidRPr="00784A05">
              <w:rPr>
                <w:b w:val="0"/>
              </w:rPr>
              <w:lastRenderedPageBreak/>
              <w:t xml:space="preserve">Figure </w:t>
            </w:r>
            <w:r w:rsidRPr="00784A05">
              <w:rPr>
                <w:b w:val="0"/>
              </w:rPr>
              <w:fldChar w:fldCharType="begin"/>
            </w:r>
            <w:r w:rsidRPr="00784A05">
              <w:rPr>
                <w:b w:val="0"/>
              </w:rPr>
              <w:instrText xml:space="preserve"> SEQ Figure \* ARABIC </w:instrText>
            </w:r>
            <w:r w:rsidRPr="00784A05">
              <w:rPr>
                <w:b w:val="0"/>
              </w:rPr>
              <w:fldChar w:fldCharType="separate"/>
            </w:r>
            <w:r>
              <w:rPr>
                <w:b w:val="0"/>
                <w:noProof/>
              </w:rPr>
              <w:t>4</w:t>
            </w:r>
            <w:r w:rsidRPr="00784A05">
              <w:rPr>
                <w:b w:val="0"/>
              </w:rPr>
              <w:fldChar w:fldCharType="end"/>
            </w:r>
            <w:r>
              <w:tab/>
            </w:r>
            <w:r w:rsidRPr="00BE530F">
              <w:t>Change in industry employment (persons, ‘000s), base case to RET policy scenario</w:t>
            </w:r>
          </w:p>
        </w:tc>
      </w:tr>
      <w:tr w:rsidR="00BE530F" w:rsidTr="00476DF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BE530F" w:rsidRPr="00B1465D" w:rsidTr="00476DFA">
              <w:trPr>
                <w:tblHeader/>
                <w:jc w:val="center"/>
              </w:trPr>
              <w:tc>
                <w:tcPr>
                  <w:tcW w:w="5000" w:type="pct"/>
                  <w:tcBorders>
                    <w:top w:val="nil"/>
                    <w:bottom w:val="nil"/>
                  </w:tcBorders>
                </w:tcPr>
                <w:p w:rsidR="00BE530F" w:rsidRPr="00B1465D" w:rsidRDefault="00BE530F" w:rsidP="00476DFA">
                  <w:pPr>
                    <w:pStyle w:val="Figure"/>
                    <w:spacing w:before="60" w:after="60"/>
                    <w:rPr>
                      <w:rFonts w:ascii="Arial" w:hAnsi="Arial" w:cs="Arial"/>
                      <w:sz w:val="18"/>
                      <w:szCs w:val="18"/>
                    </w:rPr>
                  </w:pPr>
                  <w:r w:rsidRPr="00BE530F">
                    <w:rPr>
                      <w:rFonts w:ascii="Arial" w:hAnsi="Arial" w:cs="Arial"/>
                      <w:noProof/>
                      <w:sz w:val="18"/>
                      <w:szCs w:val="18"/>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5076000" cy="3290281"/>
                        <wp:effectExtent l="0" t="0" r="0" b="5715"/>
                        <wp:wrapTight wrapText="bothSides">
                          <wp:wrapPolygon edited="0">
                            <wp:start x="0" y="0"/>
                            <wp:lineTo x="0" y="21512"/>
                            <wp:lineTo x="21484" y="21512"/>
                            <wp:lineTo x="21484" y="0"/>
                            <wp:lineTo x="0" y="0"/>
                          </wp:wrapPolygon>
                        </wp:wrapTight>
                        <wp:docPr id="12" name="Picture 12" descr="Figure 4 shows that employment contracts in most industries are relatively energy intensive and trade exposed, either through exports in the case of mining and services, and import competition in the case of manufacturing. Employment in coal generation also decreases and employment in renewable generation in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76000" cy="329028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E530F" w:rsidRDefault="00BE530F" w:rsidP="00476DFA">
            <w:pPr>
              <w:pStyle w:val="Figure"/>
            </w:pPr>
          </w:p>
        </w:tc>
      </w:tr>
      <w:tr w:rsidR="00BE530F" w:rsidTr="00476DFA">
        <w:tc>
          <w:tcPr>
            <w:tcW w:w="5000" w:type="pct"/>
            <w:tcBorders>
              <w:top w:val="nil"/>
              <w:left w:val="nil"/>
              <w:bottom w:val="single" w:sz="6" w:space="0" w:color="78A22F"/>
              <w:right w:val="nil"/>
            </w:tcBorders>
            <w:shd w:val="clear" w:color="auto" w:fill="auto"/>
          </w:tcPr>
          <w:p w:rsidR="00BE530F" w:rsidRDefault="00BE530F" w:rsidP="00476DFA">
            <w:pPr>
              <w:pStyle w:val="Figurespace"/>
            </w:pPr>
          </w:p>
        </w:tc>
      </w:tr>
      <w:tr w:rsidR="00BE530F" w:rsidRPr="000863A5" w:rsidTr="00476DFA">
        <w:tc>
          <w:tcPr>
            <w:tcW w:w="5000" w:type="pct"/>
            <w:tcBorders>
              <w:top w:val="single" w:sz="6" w:space="0" w:color="78A22F"/>
              <w:left w:val="nil"/>
              <w:bottom w:val="nil"/>
              <w:right w:val="nil"/>
            </w:tcBorders>
          </w:tcPr>
          <w:p w:rsidR="00BE530F" w:rsidRPr="00626D32" w:rsidRDefault="00BE530F" w:rsidP="00476DFA">
            <w:pPr>
              <w:pStyle w:val="BoxSpaceBelow"/>
            </w:pPr>
          </w:p>
        </w:tc>
      </w:tr>
    </w:tbl>
    <w:p w:rsidR="00965C6A" w:rsidRPr="002204AE" w:rsidRDefault="00965C6A" w:rsidP="00AE5CE2">
      <w:pPr>
        <w:pStyle w:val="BodyText"/>
      </w:pPr>
      <w:r w:rsidRPr="002204AE">
        <w:t xml:space="preserve">The increase in the cost of power drives a CPI increase (0.24%) and a nominal wage decrease (-0.25%) resulting in a net fall in the real wage. Real household income is reduced by $743 million. The fall in real household income causes a significant reduction in real household consumption of $652 million which is also a primary driver of the reduction in imports of $94 million. Increased production costs also reduce exports, down $149 million. Aggregate investment experiences a small real increase of $10 million, where the increase is driven almost exclusively by installation of wind generation capacity (as well as new transmission line infrastructure, and a small increase in gas extraction investment). There is an overall GDP contraction of $885 million, summarised in </w:t>
      </w:r>
      <w:r w:rsidR="00476DFA">
        <w:t>t</w:t>
      </w:r>
      <w:r w:rsidRPr="002204AE">
        <w:t xml:space="preserve">able </w:t>
      </w:r>
      <w:r>
        <w:t>7</w:t>
      </w:r>
      <w:r w:rsidRPr="002204AE">
        <w:t xml:space="preserve">. </w:t>
      </w:r>
    </w:p>
    <w:p w:rsidR="00965C6A" w:rsidRDefault="00965C6A" w:rsidP="00AE5CE2">
      <w:pPr>
        <w:pStyle w:val="BodyText"/>
      </w:pPr>
      <w:r w:rsidRPr="002204AE">
        <w:t>The contraction in imports in particular requires further explanation, but is intuitive. The import demand reduction is proportionately much smaller than the total consumption demand reduction. This is because there are two effects pulling imports in opposite directions. The household income effect would (on first glance, in the absence of price effects) be expected to reduce import demand by approximately $200 million. However, due to the domestic price increase there is a corresponding substitution in favour of imports, increasing imports by just over $106 million. The net reduction in imports of $94 million mentioned above reflects the net effect of these two influences.</w:t>
      </w:r>
    </w:p>
    <w:p w:rsidR="00A2483E" w:rsidRDefault="00A2483E" w:rsidP="00AE5CE2">
      <w:pPr>
        <w:pStyle w:val="BodyText"/>
      </w:pPr>
      <w:r>
        <w:br w:type="page"/>
      </w:r>
    </w:p>
    <w:p w:rsidR="00BE530F" w:rsidRDefault="00BE530F" w:rsidP="00476DF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E530F" w:rsidTr="00476DFA">
        <w:trPr>
          <w:tblHeader/>
        </w:trPr>
        <w:tc>
          <w:tcPr>
            <w:tcW w:w="5000" w:type="pct"/>
            <w:tcBorders>
              <w:top w:val="single" w:sz="6" w:space="0" w:color="78A22F"/>
              <w:left w:val="nil"/>
              <w:bottom w:val="nil"/>
              <w:right w:val="nil"/>
            </w:tcBorders>
            <w:shd w:val="clear" w:color="auto" w:fill="auto"/>
          </w:tcPr>
          <w:p w:rsidR="00BE530F" w:rsidRPr="00784A05" w:rsidRDefault="00BE530F" w:rsidP="00BE530F">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Pr>
                <w:b w:val="0"/>
              </w:rPr>
              <w:t>1.</w:t>
            </w:r>
            <w:r>
              <w:rPr>
                <w:b w:val="0"/>
              </w:rPr>
              <w:fldChar w:fldCharType="end"/>
            </w:r>
            <w:r>
              <w:rPr>
                <w:b w:val="0"/>
              </w:rPr>
              <w:fldChar w:fldCharType="begin"/>
            </w:r>
            <w:r>
              <w:rPr>
                <w:b w:val="0"/>
              </w:rPr>
              <w:instrText xml:space="preserve"> SEQ Table \* ARABIC </w:instrText>
            </w:r>
            <w:r>
              <w:rPr>
                <w:b w:val="0"/>
              </w:rPr>
              <w:fldChar w:fldCharType="separate"/>
            </w:r>
            <w:r>
              <w:rPr>
                <w:b w:val="0"/>
                <w:noProof/>
              </w:rPr>
              <w:t>7</w:t>
            </w:r>
            <w:r>
              <w:rPr>
                <w:b w:val="0"/>
              </w:rPr>
              <w:fldChar w:fldCharType="end"/>
            </w:r>
            <w:r>
              <w:tab/>
            </w:r>
            <w:r w:rsidRPr="00BE530F">
              <w:t>Real GDP summary ($m)</w:t>
            </w:r>
          </w:p>
        </w:tc>
      </w:tr>
      <w:tr w:rsidR="00BE530F" w:rsidTr="00476DF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103"/>
              <w:gridCol w:w="1701"/>
              <w:gridCol w:w="1701"/>
            </w:tblGrid>
            <w:tr w:rsidR="00BE530F" w:rsidRPr="00BE530F" w:rsidTr="00476DFA">
              <w:trPr>
                <w:tblHeader/>
              </w:trPr>
              <w:tc>
                <w:tcPr>
                  <w:tcW w:w="3000" w:type="pct"/>
                  <w:tcBorders>
                    <w:top w:val="single" w:sz="6" w:space="0" w:color="BFBFBF"/>
                    <w:bottom w:val="single" w:sz="6" w:space="0" w:color="BFBFBF"/>
                  </w:tcBorders>
                  <w:shd w:val="clear" w:color="auto" w:fill="auto"/>
                  <w:tcMar>
                    <w:top w:w="28" w:type="dxa"/>
                  </w:tcMar>
                  <w:vAlign w:val="center"/>
                </w:tcPr>
                <w:p w:rsidR="00BE530F" w:rsidRPr="00BE530F" w:rsidRDefault="00BE530F" w:rsidP="00BE530F">
                  <w:pPr>
                    <w:spacing w:after="0"/>
                    <w:rPr>
                      <w:rFonts w:ascii="Arial" w:hAnsi="Arial" w:cs="Arial"/>
                      <w:color w:val="000000"/>
                      <w:sz w:val="18"/>
                      <w:szCs w:val="18"/>
                    </w:rPr>
                  </w:pPr>
                </w:p>
              </w:tc>
              <w:tc>
                <w:tcPr>
                  <w:tcW w:w="1000" w:type="pct"/>
                  <w:tcBorders>
                    <w:top w:val="single" w:sz="6" w:space="0" w:color="BFBFBF"/>
                    <w:bottom w:val="single" w:sz="6" w:space="0" w:color="BFBFBF"/>
                  </w:tcBorders>
                  <w:shd w:val="clear" w:color="auto" w:fill="auto"/>
                  <w:tcMar>
                    <w:top w:w="28" w:type="dxa"/>
                  </w:tcMar>
                  <w:vAlign w:val="center"/>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Deviation</w:t>
                  </w:r>
                </w:p>
              </w:tc>
              <w:tc>
                <w:tcPr>
                  <w:tcW w:w="1000" w:type="pct"/>
                  <w:tcBorders>
                    <w:top w:val="single" w:sz="6" w:space="0" w:color="BFBFBF"/>
                    <w:bottom w:val="single" w:sz="6" w:space="0" w:color="BFBFBF"/>
                  </w:tcBorders>
                  <w:shd w:val="clear" w:color="auto" w:fill="auto"/>
                  <w:tcMar>
                    <w:top w:w="28" w:type="dxa"/>
                  </w:tcMar>
                  <w:vAlign w:val="center"/>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Percentage change</w:t>
                  </w:r>
                </w:p>
              </w:tc>
            </w:tr>
            <w:tr w:rsidR="00BE530F" w:rsidRPr="00BE530F" w:rsidTr="00476DFA">
              <w:tc>
                <w:tcPr>
                  <w:tcW w:w="3000" w:type="pct"/>
                  <w:tcBorders>
                    <w:top w:val="single" w:sz="6" w:space="0" w:color="BFBFBF"/>
                  </w:tcBorders>
                  <w:vAlign w:val="bottom"/>
                </w:tcPr>
                <w:p w:rsidR="00BE530F" w:rsidRPr="00BE530F" w:rsidRDefault="00BE530F" w:rsidP="00BE530F">
                  <w:pPr>
                    <w:spacing w:after="0"/>
                    <w:rPr>
                      <w:rFonts w:ascii="Arial" w:hAnsi="Arial" w:cs="Arial"/>
                      <w:color w:val="000000"/>
                      <w:sz w:val="18"/>
                      <w:szCs w:val="18"/>
                    </w:rPr>
                  </w:pPr>
                </w:p>
              </w:tc>
              <w:tc>
                <w:tcPr>
                  <w:tcW w:w="1000" w:type="pct"/>
                  <w:tcBorders>
                    <w:top w:val="single" w:sz="6" w:space="0" w:color="BFBFBF"/>
                  </w:tcBorders>
                  <w:vAlign w:val="bottom"/>
                </w:tcPr>
                <w:p w:rsidR="00BE530F" w:rsidRPr="00BE530F" w:rsidRDefault="00BE530F" w:rsidP="00BE530F">
                  <w:pPr>
                    <w:spacing w:after="0"/>
                    <w:jc w:val="right"/>
                    <w:rPr>
                      <w:rFonts w:ascii="Arial" w:hAnsi="Arial" w:cs="Arial"/>
                      <w:color w:val="000000"/>
                      <w:sz w:val="18"/>
                      <w:szCs w:val="18"/>
                    </w:rPr>
                  </w:pPr>
                </w:p>
              </w:tc>
              <w:tc>
                <w:tcPr>
                  <w:tcW w:w="1000" w:type="pct"/>
                  <w:tcBorders>
                    <w:top w:val="single" w:sz="6" w:space="0" w:color="BFBFBF"/>
                  </w:tcBorders>
                  <w:vAlign w:val="bottom"/>
                </w:tcPr>
                <w:p w:rsidR="00BE530F" w:rsidRPr="00BE530F" w:rsidRDefault="00BE530F" w:rsidP="00BE530F">
                  <w:pPr>
                    <w:spacing w:after="0"/>
                    <w:jc w:val="right"/>
                    <w:rPr>
                      <w:rFonts w:ascii="Arial" w:hAnsi="Arial" w:cs="Arial"/>
                      <w:color w:val="000000"/>
                      <w:sz w:val="18"/>
                      <w:szCs w:val="18"/>
                    </w:rPr>
                  </w:pPr>
                </w:p>
              </w:tc>
            </w:tr>
            <w:tr w:rsidR="00BE530F" w:rsidRPr="00BE530F" w:rsidTr="00476DFA">
              <w:tc>
                <w:tcPr>
                  <w:tcW w:w="3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Consumption</w:t>
                  </w:r>
                </w:p>
              </w:tc>
              <w:tc>
                <w:tcPr>
                  <w:tcW w:w="1000" w:type="pct"/>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-652</w:t>
                  </w:r>
                </w:p>
              </w:tc>
              <w:tc>
                <w:tcPr>
                  <w:tcW w:w="1000" w:type="pct"/>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-0.52</w:t>
                  </w:r>
                </w:p>
              </w:tc>
            </w:tr>
            <w:tr w:rsidR="00BE530F" w:rsidRPr="00BE530F" w:rsidTr="00476DFA">
              <w:tc>
                <w:tcPr>
                  <w:tcW w:w="3000"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Investment</w:t>
                  </w:r>
                </w:p>
              </w:tc>
              <w:tc>
                <w:tcPr>
                  <w:tcW w:w="1000" w:type="pct"/>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10</w:t>
                  </w:r>
                </w:p>
              </w:tc>
              <w:tc>
                <w:tcPr>
                  <w:tcW w:w="1000" w:type="pct"/>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0.02</w:t>
                  </w:r>
                </w:p>
              </w:tc>
            </w:tr>
            <w:tr w:rsidR="00BE530F" w:rsidRPr="00BE530F" w:rsidTr="00476DFA">
              <w:tc>
                <w:tcPr>
                  <w:tcW w:w="3000" w:type="pct"/>
                  <w:shd w:val="clear" w:color="auto" w:fill="auto"/>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Government</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0.00</w:t>
                  </w:r>
                </w:p>
              </w:tc>
            </w:tr>
            <w:tr w:rsidR="00BE530F" w:rsidRPr="00BE530F" w:rsidTr="00476DFA">
              <w:tc>
                <w:tcPr>
                  <w:tcW w:w="3000" w:type="pct"/>
                  <w:shd w:val="clear" w:color="auto" w:fill="auto"/>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Exports</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-149</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-0.26</w:t>
                  </w:r>
                </w:p>
              </w:tc>
            </w:tr>
            <w:tr w:rsidR="00BE530F" w:rsidRPr="00BE530F" w:rsidTr="00BE530F">
              <w:tc>
                <w:tcPr>
                  <w:tcW w:w="3000" w:type="pct"/>
                  <w:shd w:val="clear" w:color="auto" w:fill="auto"/>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Imports</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-94</w:t>
                  </w:r>
                </w:p>
              </w:tc>
              <w:tc>
                <w:tcPr>
                  <w:tcW w:w="1000" w:type="pct"/>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-0.25</w:t>
                  </w:r>
                </w:p>
              </w:tc>
            </w:tr>
            <w:tr w:rsidR="00BE530F" w:rsidRPr="00BE530F" w:rsidTr="00BE530F">
              <w:tc>
                <w:tcPr>
                  <w:tcW w:w="3000" w:type="pct"/>
                  <w:tcBorders>
                    <w:bottom w:val="single" w:sz="4" w:space="0" w:color="BFBFBF"/>
                  </w:tcBorders>
                  <w:shd w:val="clear" w:color="auto" w:fill="auto"/>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GDP</w:t>
                  </w:r>
                </w:p>
              </w:tc>
              <w:tc>
                <w:tcPr>
                  <w:tcW w:w="1000" w:type="pct"/>
                  <w:tcBorders>
                    <w:bottom w:val="single" w:sz="4" w:space="0" w:color="BFBFBF"/>
                  </w:tcBorders>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-885</w:t>
                  </w:r>
                </w:p>
              </w:tc>
              <w:tc>
                <w:tcPr>
                  <w:tcW w:w="1000" w:type="pct"/>
                  <w:tcBorders>
                    <w:bottom w:val="single" w:sz="4" w:space="0" w:color="BFBFBF"/>
                  </w:tcBorders>
                  <w:shd w:val="clear" w:color="auto" w:fill="auto"/>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-0.27</w:t>
                  </w:r>
                </w:p>
              </w:tc>
            </w:tr>
          </w:tbl>
          <w:p w:rsidR="00BE530F" w:rsidRDefault="00BE530F" w:rsidP="00476DFA">
            <w:pPr>
              <w:pStyle w:val="Box"/>
            </w:pPr>
          </w:p>
        </w:tc>
      </w:tr>
      <w:tr w:rsidR="00BE530F" w:rsidTr="00476DFA">
        <w:tc>
          <w:tcPr>
            <w:tcW w:w="5000" w:type="pct"/>
            <w:tcBorders>
              <w:top w:val="nil"/>
              <w:left w:val="nil"/>
              <w:bottom w:val="single" w:sz="6" w:space="0" w:color="78A22F"/>
              <w:right w:val="nil"/>
            </w:tcBorders>
            <w:shd w:val="clear" w:color="auto" w:fill="auto"/>
          </w:tcPr>
          <w:p w:rsidR="00BE530F" w:rsidRDefault="00BE530F" w:rsidP="00476DFA">
            <w:pPr>
              <w:pStyle w:val="Box"/>
              <w:spacing w:before="0" w:line="120" w:lineRule="exact"/>
            </w:pPr>
          </w:p>
        </w:tc>
      </w:tr>
      <w:tr w:rsidR="00BE530F" w:rsidRPr="000863A5" w:rsidTr="00476DFA">
        <w:tc>
          <w:tcPr>
            <w:tcW w:w="5000" w:type="pct"/>
            <w:tcBorders>
              <w:top w:val="single" w:sz="6" w:space="0" w:color="78A22F"/>
              <w:left w:val="nil"/>
              <w:bottom w:val="nil"/>
              <w:right w:val="nil"/>
            </w:tcBorders>
          </w:tcPr>
          <w:p w:rsidR="00BE530F" w:rsidRPr="00626D32" w:rsidRDefault="00BE530F" w:rsidP="00476DFA">
            <w:pPr>
              <w:pStyle w:val="BoxSpaceBelow"/>
            </w:pPr>
          </w:p>
        </w:tc>
      </w:tr>
    </w:tbl>
    <w:p w:rsidR="00BE530F" w:rsidRDefault="00BE530F" w:rsidP="00476DF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E530F" w:rsidTr="00476DFA">
        <w:trPr>
          <w:tblHeader/>
        </w:trPr>
        <w:tc>
          <w:tcPr>
            <w:tcW w:w="5000" w:type="pct"/>
            <w:tcBorders>
              <w:top w:val="single" w:sz="6" w:space="0" w:color="78A22F"/>
              <w:left w:val="nil"/>
              <w:bottom w:val="nil"/>
              <w:right w:val="nil"/>
            </w:tcBorders>
            <w:shd w:val="clear" w:color="auto" w:fill="auto"/>
          </w:tcPr>
          <w:p w:rsidR="00BE530F" w:rsidRPr="00784A05" w:rsidRDefault="00BE530F" w:rsidP="004E3319">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8</w:t>
            </w:r>
            <w:r>
              <w:rPr>
                <w:b w:val="0"/>
              </w:rPr>
              <w:fldChar w:fldCharType="end"/>
            </w:r>
            <w:r>
              <w:tab/>
            </w:r>
            <w:r w:rsidRPr="00BE530F">
              <w:t>Carbon emissions from power stations by simulation (Mt CO2 equivalent)</w:t>
            </w:r>
          </w:p>
        </w:tc>
      </w:tr>
      <w:tr w:rsidR="00BE530F" w:rsidTr="00476DF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6"/>
              <w:gridCol w:w="2834"/>
            </w:tblGrid>
            <w:tr w:rsidR="00BE530F" w:rsidRPr="00BE530F" w:rsidTr="00BE530F">
              <w:trPr>
                <w:tblHeader/>
              </w:trPr>
              <w:tc>
                <w:tcPr>
                  <w:tcW w:w="1667" w:type="pct"/>
                  <w:tcBorders>
                    <w:top w:val="single" w:sz="6" w:space="0" w:color="BFBFBF"/>
                    <w:bottom w:val="single" w:sz="6" w:space="0" w:color="BFBFBF"/>
                  </w:tcBorders>
                  <w:shd w:val="clear" w:color="auto" w:fill="auto"/>
                  <w:tcMar>
                    <w:top w:w="28" w:type="dxa"/>
                  </w:tcMar>
                </w:tcPr>
                <w:p w:rsidR="00BE530F" w:rsidRPr="00BE530F" w:rsidRDefault="00BE530F" w:rsidP="00BE530F">
                  <w:pPr>
                    <w:pStyle w:val="TableColumnHeading"/>
                    <w:spacing w:after="0"/>
                    <w:rPr>
                      <w:rFonts w:cs="Arial"/>
                      <w:szCs w:val="18"/>
                    </w:rPr>
                  </w:pPr>
                </w:p>
              </w:tc>
              <w:tc>
                <w:tcPr>
                  <w:tcW w:w="1667" w:type="pct"/>
                  <w:tcBorders>
                    <w:top w:val="single" w:sz="6" w:space="0" w:color="BFBFBF"/>
                    <w:bottom w:val="single" w:sz="6" w:space="0" w:color="BFBFBF"/>
                  </w:tcBorders>
                  <w:shd w:val="clear" w:color="auto" w:fill="auto"/>
                  <w:tcMar>
                    <w:top w:w="28" w:type="dxa"/>
                  </w:tcMar>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Basecase</w:t>
                  </w:r>
                </w:p>
              </w:tc>
              <w:tc>
                <w:tcPr>
                  <w:tcW w:w="1667" w:type="pct"/>
                  <w:tcBorders>
                    <w:top w:val="single" w:sz="6" w:space="0" w:color="BFBFBF"/>
                    <w:bottom w:val="single" w:sz="6" w:space="0" w:color="BFBFBF"/>
                  </w:tcBorders>
                  <w:shd w:val="clear" w:color="auto" w:fill="auto"/>
                  <w:tcMar>
                    <w:top w:w="28" w:type="dxa"/>
                  </w:tcMar>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Renewable</w:t>
                  </w:r>
                  <w:r w:rsidRPr="00BE530F">
                    <w:rPr>
                      <w:rFonts w:ascii="Arial" w:hAnsi="Arial" w:cs="Arial"/>
                      <w:color w:val="000000"/>
                      <w:sz w:val="18"/>
                      <w:szCs w:val="18"/>
                    </w:rPr>
                    <w:br/>
                    <w:t>Energy Target</w:t>
                  </w:r>
                </w:p>
              </w:tc>
            </w:tr>
            <w:tr w:rsidR="00BE530F" w:rsidRPr="00BE530F" w:rsidTr="00476DFA">
              <w:tc>
                <w:tcPr>
                  <w:tcW w:w="1667" w:type="pct"/>
                  <w:tcBorders>
                    <w:top w:val="single" w:sz="6" w:space="0" w:color="BFBFBF"/>
                  </w:tcBorders>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Brown Coal</w:t>
                  </w:r>
                </w:p>
              </w:tc>
              <w:tc>
                <w:tcPr>
                  <w:tcW w:w="1667" w:type="pct"/>
                  <w:tcBorders>
                    <w:top w:val="single" w:sz="6" w:space="0" w:color="BFBFBF"/>
                  </w:tcBorders>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45.4</w:t>
                  </w:r>
                </w:p>
              </w:tc>
              <w:tc>
                <w:tcPr>
                  <w:tcW w:w="1667" w:type="pct"/>
                  <w:tcBorders>
                    <w:top w:val="single" w:sz="6" w:space="0" w:color="BFBFBF"/>
                  </w:tcBorders>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31.2</w:t>
                  </w:r>
                </w:p>
              </w:tc>
            </w:tr>
            <w:tr w:rsidR="00BE530F" w:rsidRPr="00BE530F" w:rsidTr="00476DFA">
              <w:tc>
                <w:tcPr>
                  <w:tcW w:w="1667" w:type="pct"/>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Black Coal</w:t>
                  </w:r>
                </w:p>
              </w:tc>
              <w:tc>
                <w:tcPr>
                  <w:tcW w:w="1667" w:type="pct"/>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2.6</w:t>
                  </w:r>
                </w:p>
              </w:tc>
              <w:tc>
                <w:tcPr>
                  <w:tcW w:w="1667" w:type="pct"/>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2.0</w:t>
                  </w:r>
                </w:p>
              </w:tc>
            </w:tr>
            <w:tr w:rsidR="00BE530F" w:rsidRPr="00BE530F" w:rsidTr="00476DFA">
              <w:tc>
                <w:tcPr>
                  <w:tcW w:w="1667" w:type="pct"/>
                  <w:shd w:val="clear" w:color="auto" w:fill="auto"/>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Gas Combined Cycle</w:t>
                  </w:r>
                </w:p>
              </w:tc>
              <w:tc>
                <w:tcPr>
                  <w:tcW w:w="1667"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2.2</w:t>
                  </w:r>
                </w:p>
              </w:tc>
              <w:tc>
                <w:tcPr>
                  <w:tcW w:w="1667"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2.2</w:t>
                  </w:r>
                </w:p>
              </w:tc>
            </w:tr>
            <w:tr w:rsidR="00BE530F" w:rsidRPr="00BE530F" w:rsidTr="00476DFA">
              <w:tc>
                <w:tcPr>
                  <w:tcW w:w="1667" w:type="pct"/>
                  <w:shd w:val="clear" w:color="auto" w:fill="auto"/>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Gas Open Cycle</w:t>
                  </w:r>
                </w:p>
              </w:tc>
              <w:tc>
                <w:tcPr>
                  <w:tcW w:w="1667"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0.2</w:t>
                  </w:r>
                </w:p>
              </w:tc>
              <w:tc>
                <w:tcPr>
                  <w:tcW w:w="1667" w:type="pct"/>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0.3</w:t>
                  </w:r>
                </w:p>
              </w:tc>
            </w:tr>
            <w:tr w:rsidR="00BE530F" w:rsidRPr="00BE530F" w:rsidTr="00476DFA">
              <w:tc>
                <w:tcPr>
                  <w:tcW w:w="1667" w:type="pct"/>
                  <w:tcBorders>
                    <w:bottom w:val="single" w:sz="6" w:space="0" w:color="BFBFBF"/>
                  </w:tcBorders>
                  <w:shd w:val="clear" w:color="auto" w:fill="auto"/>
                  <w:vAlign w:val="bottom"/>
                </w:tcPr>
                <w:p w:rsidR="00BE530F" w:rsidRPr="00BE530F" w:rsidRDefault="00BE530F" w:rsidP="00BE530F">
                  <w:pPr>
                    <w:spacing w:after="0"/>
                    <w:rPr>
                      <w:rFonts w:ascii="Arial" w:hAnsi="Arial" w:cs="Arial"/>
                      <w:color w:val="000000"/>
                      <w:sz w:val="18"/>
                      <w:szCs w:val="18"/>
                    </w:rPr>
                  </w:pPr>
                  <w:r w:rsidRPr="00BE530F">
                    <w:rPr>
                      <w:rFonts w:ascii="Arial" w:hAnsi="Arial" w:cs="Arial"/>
                      <w:color w:val="000000"/>
                      <w:sz w:val="18"/>
                      <w:szCs w:val="18"/>
                    </w:rPr>
                    <w:t>Total</w:t>
                  </w:r>
                </w:p>
              </w:tc>
              <w:tc>
                <w:tcPr>
                  <w:tcW w:w="1667" w:type="pct"/>
                  <w:tcBorders>
                    <w:bottom w:val="single" w:sz="6" w:space="0" w:color="BFBFBF"/>
                  </w:tcBorders>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50.5</w:t>
                  </w:r>
                </w:p>
              </w:tc>
              <w:tc>
                <w:tcPr>
                  <w:tcW w:w="1667" w:type="pct"/>
                  <w:tcBorders>
                    <w:bottom w:val="single" w:sz="6" w:space="0" w:color="BFBFBF"/>
                  </w:tcBorders>
                  <w:shd w:val="clear" w:color="auto" w:fill="auto"/>
                  <w:vAlign w:val="bottom"/>
                </w:tcPr>
                <w:p w:rsidR="00BE530F" w:rsidRPr="00BE530F" w:rsidRDefault="00BE530F" w:rsidP="00BE530F">
                  <w:pPr>
                    <w:spacing w:after="0"/>
                    <w:jc w:val="right"/>
                    <w:rPr>
                      <w:rFonts w:ascii="Arial" w:hAnsi="Arial" w:cs="Arial"/>
                      <w:color w:val="000000"/>
                      <w:sz w:val="18"/>
                      <w:szCs w:val="18"/>
                    </w:rPr>
                  </w:pPr>
                  <w:r w:rsidRPr="00BE530F">
                    <w:rPr>
                      <w:rFonts w:ascii="Arial" w:hAnsi="Arial" w:cs="Arial"/>
                      <w:color w:val="000000"/>
                      <w:sz w:val="18"/>
                      <w:szCs w:val="18"/>
                    </w:rPr>
                    <w:t>35.6</w:t>
                  </w:r>
                </w:p>
              </w:tc>
            </w:tr>
          </w:tbl>
          <w:p w:rsidR="00BE530F" w:rsidRDefault="00BE530F" w:rsidP="00476DFA">
            <w:pPr>
              <w:pStyle w:val="Box"/>
            </w:pPr>
          </w:p>
        </w:tc>
      </w:tr>
      <w:tr w:rsidR="00BE530F" w:rsidTr="00476DFA">
        <w:tc>
          <w:tcPr>
            <w:tcW w:w="5000" w:type="pct"/>
            <w:tcBorders>
              <w:top w:val="nil"/>
              <w:left w:val="nil"/>
              <w:bottom w:val="single" w:sz="6" w:space="0" w:color="78A22F"/>
              <w:right w:val="nil"/>
            </w:tcBorders>
            <w:shd w:val="clear" w:color="auto" w:fill="auto"/>
          </w:tcPr>
          <w:p w:rsidR="00BE530F" w:rsidRDefault="00BE530F" w:rsidP="00476DFA">
            <w:pPr>
              <w:pStyle w:val="Box"/>
              <w:spacing w:before="0" w:line="120" w:lineRule="exact"/>
            </w:pPr>
          </w:p>
        </w:tc>
      </w:tr>
      <w:tr w:rsidR="00BE530F" w:rsidRPr="000863A5" w:rsidTr="00476DFA">
        <w:tc>
          <w:tcPr>
            <w:tcW w:w="5000" w:type="pct"/>
            <w:tcBorders>
              <w:top w:val="single" w:sz="6" w:space="0" w:color="78A22F"/>
              <w:left w:val="nil"/>
              <w:bottom w:val="nil"/>
              <w:right w:val="nil"/>
            </w:tcBorders>
          </w:tcPr>
          <w:p w:rsidR="00BE530F" w:rsidRPr="00626D32" w:rsidRDefault="00BE530F" w:rsidP="00476DFA">
            <w:pPr>
              <w:pStyle w:val="BoxSpaceBelow"/>
            </w:pPr>
          </w:p>
        </w:tc>
      </w:tr>
    </w:tbl>
    <w:p w:rsidR="00965C6A" w:rsidRPr="002C7272" w:rsidRDefault="00965C6A" w:rsidP="00AE5CE2">
      <w:pPr>
        <w:pStyle w:val="Heading2"/>
      </w:pPr>
      <w:bookmarkStart w:id="15" w:name="_Toc26780076"/>
      <w:r w:rsidRPr="002C7272">
        <w:t>6.</w:t>
      </w:r>
      <w:r w:rsidR="00AE5CE2">
        <w:tab/>
      </w:r>
      <w:r w:rsidRPr="002C7272">
        <w:t>Conclusions</w:t>
      </w:r>
      <w:bookmarkEnd w:id="15"/>
    </w:p>
    <w:p w:rsidR="00965C6A" w:rsidRPr="002204AE" w:rsidRDefault="00965C6A" w:rsidP="00AE5CE2">
      <w:pPr>
        <w:pStyle w:val="BodyText"/>
      </w:pPr>
      <w:r w:rsidRPr="002204AE">
        <w:t xml:space="preserve">This paper presents an illustration of the opportunities created by MCP for merging PE models with applied CGE models. Specifically, the integrated MCP model is able to illustrate the impacts on merit order dispatch, capacity mix, time-of-use prices and nodal supply prices — insights typically drawn from PE models, while at the same time providing insights into the extent and distribution of impacts on other industries in the economy, as well as aggregate impacts on Australian households and trade (insights typically drawn from CGE models). </w:t>
      </w:r>
    </w:p>
    <w:p w:rsidR="00965C6A" w:rsidRPr="002204AE" w:rsidRDefault="00965C6A" w:rsidP="00AE5CE2">
      <w:pPr>
        <w:pStyle w:val="BodyText"/>
      </w:pPr>
      <w:r w:rsidRPr="002204AE">
        <w:t>The model also provides important CGE insights which could not be obtained from the PE model in isolation. Income effects could not be included endogenously in a PE model, except through exogenous parameterisation. The important CGE insight that the black coal extraction industry — through its exposure to export markets — does not proportionately contract as much as the non-traded brown coal extraction industry, is an insight that would not necessarily be immediately obvious prior to the simulation.</w:t>
      </w:r>
    </w:p>
    <w:p w:rsidR="00965C6A" w:rsidRPr="002204AE" w:rsidRDefault="00965C6A" w:rsidP="00AE5CE2">
      <w:pPr>
        <w:pStyle w:val="BodyText"/>
      </w:pPr>
      <w:r w:rsidRPr="002204AE">
        <w:t xml:space="preserve">The approach of embedded PE and CGE models into a single modelling framework opens the door to richer applied analysis in the future, particularly in areas where exposition of the economic impacts at the micro-level are important at the same time as macroeconomic flow-on effects, or where micro-level or technical policy details need to be represented in a precise way to capture the underlying economic principles relevant to policy analysis. This approach </w:t>
      </w:r>
      <w:r w:rsidRPr="002204AE">
        <w:lastRenderedPageBreak/>
        <w:t>will not be appropriate for every exercise. For some analyses, the cost of the additional efforts and time required to build a complete, integrated model can exceed the benefits gained from the additional insights. In those situations, it is likely that a single PE or CGE model would provide a large share of the necessary insights. However, there are likely to be some policy issues where the unified PE-GE approach presents valuable opportunities to contribute to the policy debate in ways that were not previously possible.</w:t>
      </w:r>
    </w:p>
    <w:p w:rsidR="00965C6A" w:rsidRDefault="00965C6A" w:rsidP="00AE5CE2">
      <w:pPr>
        <w:pStyle w:val="BodyText"/>
      </w:pPr>
      <w:r w:rsidRPr="002204AE">
        <w:t>Further work could explore the extent to which fully integrated models formulated as MCPs produce different results to models solved iteratively and separately. It would also be useful to see if simply expanding the detail for the industries of interest in the CGE model (i.e. take the initial IO table for the PE-CGE MCP model and use it to generate a standard CGE model used for the policy experiment where all industries including generation and transmission have the usual stylised CGE representation) implies different results. The MCP model approach applied also has potential limitations on model size. These might be able to be overcome if the model can be decomposed and solved efficiently. This could provide insights into the situations where it would be justified incurring the additional time costs required to construct a full MCP model.</w:t>
      </w:r>
    </w:p>
    <w:p w:rsidR="00965C6A" w:rsidRPr="002C7272" w:rsidRDefault="00965C6A" w:rsidP="00AE5CE2">
      <w:pPr>
        <w:pStyle w:val="Heading2"/>
      </w:pPr>
      <w:bookmarkStart w:id="16" w:name="_Toc26780077"/>
      <w:r w:rsidRPr="002C7272">
        <w:t>References</w:t>
      </w:r>
      <w:bookmarkEnd w:id="16"/>
    </w:p>
    <w:p w:rsidR="00965C6A" w:rsidRPr="004C2486" w:rsidRDefault="00965C6A" w:rsidP="00AE5CE2">
      <w:pPr>
        <w:pStyle w:val="Reference"/>
      </w:pPr>
      <w:r w:rsidRPr="004C2486">
        <w:t xml:space="preserve">ABC (2016) </w:t>
      </w:r>
      <w:r w:rsidR="00AE5CE2">
        <w:t>‘</w:t>
      </w:r>
      <w:r w:rsidRPr="004C2486">
        <w:t>SA Power Outage: How Did it Happen?</w:t>
      </w:r>
      <w:r w:rsidR="00AE5CE2">
        <w:t>’</w:t>
      </w:r>
      <w:r w:rsidRPr="004C2486">
        <w:t>, ABC News, Accessed Online: http://www.abc.net.au/news/2016-09-28/sa-power-outage-explainer/7886090</w:t>
      </w:r>
      <w:r w:rsidR="00E455AB">
        <w:t>.</w:t>
      </w:r>
    </w:p>
    <w:p w:rsidR="00965C6A" w:rsidRPr="004C2486" w:rsidRDefault="00965C6A" w:rsidP="00AE5CE2">
      <w:pPr>
        <w:pStyle w:val="Reference"/>
      </w:pPr>
      <w:r w:rsidRPr="004C2486">
        <w:t xml:space="preserve">Adams, P., (2015) </w:t>
      </w:r>
      <w:r w:rsidRPr="00AE5CE2">
        <w:rPr>
          <w:i/>
        </w:rPr>
        <w:t>The Victoria University Regional Model (VURM): Technical Documentation</w:t>
      </w:r>
      <w:r w:rsidRPr="004C2486">
        <w:t>, Melbourne: Victoria Univsersity, Accessed Online: http://www.copsmodels.com/ftp/workpapr/g-254.pdf</w:t>
      </w:r>
      <w:r w:rsidR="00E455AB">
        <w:t>.</w:t>
      </w:r>
    </w:p>
    <w:p w:rsidR="00965C6A" w:rsidRPr="004C2486" w:rsidRDefault="00965C6A" w:rsidP="00AE5CE2">
      <w:pPr>
        <w:pStyle w:val="Reference"/>
      </w:pPr>
      <w:r w:rsidRPr="004C2486">
        <w:t xml:space="preserve">Adams, P., Horridge, M., and Parmenter, B. (2000) </w:t>
      </w:r>
      <w:r w:rsidRPr="00AE5CE2">
        <w:rPr>
          <w:i/>
        </w:rPr>
        <w:t>MMRF-GREEN: A Dynamic, Multi-Sectoral, Multi-Regional Model of Australia</w:t>
      </w:r>
      <w:r w:rsidRPr="004C2486">
        <w:t>, Centre of Policy Studies/IMPACT Centre Working Papers op-94, Victoria University, Centre of Policy Studies/IMPACT Centre.</w:t>
      </w:r>
    </w:p>
    <w:p w:rsidR="00965C6A" w:rsidRPr="004C2486" w:rsidRDefault="00965C6A" w:rsidP="00AE5CE2">
      <w:pPr>
        <w:pStyle w:val="Reference"/>
      </w:pPr>
      <w:r w:rsidRPr="004C2486">
        <w:t xml:space="preserve">Ballard, C., Shoven, J., and Whalley, J. (1985) </w:t>
      </w:r>
      <w:r w:rsidR="00AE5CE2">
        <w:t>‘</w:t>
      </w:r>
      <w:r w:rsidRPr="004C2486">
        <w:t>General equilibrium computations of the marginal welfare costs oftaxation in the United States</w:t>
      </w:r>
      <w:r w:rsidR="00AE5CE2">
        <w:t>’,</w:t>
      </w:r>
      <w:r w:rsidRPr="004C2486">
        <w:t xml:space="preserve"> </w:t>
      </w:r>
      <w:r w:rsidRPr="00AE5CE2">
        <w:rPr>
          <w:i/>
        </w:rPr>
        <w:t>American Economic Review</w:t>
      </w:r>
      <w:r w:rsidRPr="004C2486">
        <w:t xml:space="preserve">, 75, </w:t>
      </w:r>
      <w:r w:rsidR="00E455AB">
        <w:t>pp. </w:t>
      </w:r>
      <w:r w:rsidRPr="004C2486">
        <w:t>128–138.</w:t>
      </w:r>
    </w:p>
    <w:p w:rsidR="00965C6A" w:rsidRPr="004C2486" w:rsidRDefault="00965C6A" w:rsidP="00AE5CE2">
      <w:pPr>
        <w:pStyle w:val="Reference"/>
      </w:pPr>
      <w:r w:rsidRPr="004C2486">
        <w:t xml:space="preserve">Barker, A., Murray, T. and Salerian, J. </w:t>
      </w:r>
      <w:r w:rsidR="002B4B0A">
        <w:t>(</w:t>
      </w:r>
      <w:r w:rsidRPr="004C2486">
        <w:t>2010</w:t>
      </w:r>
      <w:r w:rsidR="002B4B0A">
        <w:t>)</w:t>
      </w:r>
      <w:r w:rsidRPr="004C2486">
        <w:t xml:space="preserve">, </w:t>
      </w:r>
      <w:r w:rsidRPr="002B4B0A">
        <w:rPr>
          <w:i/>
        </w:rPr>
        <w:t>Developing a Partial Equilibrium Model of an Urban Water System</w:t>
      </w:r>
      <w:r w:rsidRPr="004C2486">
        <w:t xml:space="preserve">, </w:t>
      </w:r>
      <w:r w:rsidR="002B4B0A">
        <w:t xml:space="preserve">Productivity Commission </w:t>
      </w:r>
      <w:r w:rsidRPr="004C2486">
        <w:t>Staff Working Paper, Melbourne, March.</w:t>
      </w:r>
    </w:p>
    <w:p w:rsidR="00965C6A" w:rsidRPr="004C2486" w:rsidRDefault="00965C6A" w:rsidP="00AE5CE2">
      <w:pPr>
        <w:pStyle w:val="Reference"/>
      </w:pPr>
      <w:r w:rsidRPr="004C2486">
        <w:t xml:space="preserve">Billups, S., Dirkse, S., and Ferris M. (1997) </w:t>
      </w:r>
      <w:r w:rsidR="002B4B0A">
        <w:t>‘</w:t>
      </w:r>
      <w:r w:rsidRPr="004C2486">
        <w:t>A Comparison of Large Scale Mixed Complementarity Problem Solvers</w:t>
      </w:r>
      <w:r w:rsidR="002B4B0A">
        <w:t>’</w:t>
      </w:r>
      <w:r w:rsidRPr="004C2486">
        <w:t xml:space="preserve">, </w:t>
      </w:r>
      <w:r w:rsidRPr="002B4B0A">
        <w:rPr>
          <w:i/>
        </w:rPr>
        <w:t>Computational Optimization and Applications</w:t>
      </w:r>
      <w:r w:rsidR="002B4B0A">
        <w:t>,</w:t>
      </w:r>
      <w:r w:rsidRPr="004C2486">
        <w:t xml:space="preserve"> 7, </w:t>
      </w:r>
      <w:r w:rsidR="00E455AB">
        <w:t>pp.  </w:t>
      </w:r>
      <w:r w:rsidRPr="004C2486">
        <w:t>3</w:t>
      </w:r>
      <w:r w:rsidR="00E455AB" w:rsidRPr="004C2486">
        <w:t>–</w:t>
      </w:r>
      <w:r w:rsidRPr="004C2486">
        <w:t>25</w:t>
      </w:r>
      <w:r w:rsidR="00E455AB">
        <w:t>.</w:t>
      </w:r>
    </w:p>
    <w:p w:rsidR="00965C6A" w:rsidRPr="004C2486" w:rsidRDefault="00965C6A" w:rsidP="00AE5CE2">
      <w:pPr>
        <w:pStyle w:val="Reference"/>
      </w:pPr>
      <w:r w:rsidRPr="004C2486">
        <w:t xml:space="preserve">Bohringer, C., and Rutherford, T. (2008) </w:t>
      </w:r>
      <w:r w:rsidR="002B4B0A">
        <w:t>‘</w:t>
      </w:r>
      <w:r w:rsidRPr="004C2486">
        <w:t>Combining Bottom-Up and Top-Down</w:t>
      </w:r>
      <w:r w:rsidR="002B4B0A">
        <w:t>’</w:t>
      </w:r>
      <w:r w:rsidRPr="004C2486">
        <w:t xml:space="preserve">, </w:t>
      </w:r>
      <w:r w:rsidRPr="002B4B0A">
        <w:rPr>
          <w:i/>
        </w:rPr>
        <w:t>Energy Economics</w:t>
      </w:r>
      <w:r w:rsidRPr="004C2486">
        <w:t xml:space="preserve">, 30, </w:t>
      </w:r>
      <w:r w:rsidR="00E455AB">
        <w:t xml:space="preserve">pp. </w:t>
      </w:r>
      <w:r w:rsidRPr="004C2486">
        <w:t>574</w:t>
      </w:r>
      <w:r w:rsidR="00E455AB" w:rsidRPr="004C2486">
        <w:t>–</w:t>
      </w:r>
      <w:r w:rsidRPr="004C2486">
        <w:t>596</w:t>
      </w:r>
      <w:r w:rsidR="00E455AB">
        <w:t>.</w:t>
      </w:r>
    </w:p>
    <w:p w:rsidR="00965C6A" w:rsidRPr="004C2486" w:rsidRDefault="00965C6A" w:rsidP="00AE5CE2">
      <w:pPr>
        <w:pStyle w:val="Reference"/>
      </w:pPr>
      <w:r w:rsidRPr="004C2486">
        <w:t xml:space="preserve">Chao, H., and Peck, S. (1996) </w:t>
      </w:r>
      <w:r w:rsidR="002B4B0A">
        <w:t>‘</w:t>
      </w:r>
      <w:r w:rsidRPr="004C2486">
        <w:t>A Market Mechanism For Electric Power Transmission</w:t>
      </w:r>
      <w:r w:rsidR="002B4B0A">
        <w:t>’</w:t>
      </w:r>
      <w:r w:rsidRPr="004C2486">
        <w:t xml:space="preserve">, </w:t>
      </w:r>
      <w:r w:rsidRPr="002B4B0A">
        <w:rPr>
          <w:i/>
        </w:rPr>
        <w:t>Journal of Regulatory Economics</w:t>
      </w:r>
      <w:r w:rsidRPr="004C2486">
        <w:t xml:space="preserve">, 10, </w:t>
      </w:r>
      <w:r w:rsidR="00E455AB">
        <w:t xml:space="preserve">pp. </w:t>
      </w:r>
      <w:r w:rsidRPr="004C2486">
        <w:t>25–59.</w:t>
      </w:r>
    </w:p>
    <w:p w:rsidR="00965C6A" w:rsidRPr="004C2486" w:rsidRDefault="00965C6A" w:rsidP="00AE5CE2">
      <w:pPr>
        <w:pStyle w:val="Reference"/>
      </w:pPr>
      <w:r w:rsidRPr="004C2486">
        <w:lastRenderedPageBreak/>
        <w:t xml:space="preserve">Choi, S. C. (2015) </w:t>
      </w:r>
      <w:r w:rsidR="002B4B0A">
        <w:t>‘</w:t>
      </w:r>
      <w:r w:rsidRPr="004C2486">
        <w:t>A Complementarity Approach to Solving Computable General Equilibrium Models</w:t>
      </w:r>
      <w:r w:rsidR="002B4B0A">
        <w:t>’</w:t>
      </w:r>
      <w:r w:rsidRPr="004C2486">
        <w:t xml:space="preserve">, </w:t>
      </w:r>
      <w:r w:rsidR="002B4B0A" w:rsidRPr="002B4B0A">
        <w:rPr>
          <w:i/>
        </w:rPr>
        <w:t>Computational Economics</w:t>
      </w:r>
      <w:r w:rsidR="002B4B0A">
        <w:t xml:space="preserve">, </w:t>
      </w:r>
      <w:r w:rsidRPr="004C2486">
        <w:t xml:space="preserve">46(2), </w:t>
      </w:r>
      <w:r w:rsidR="00E455AB">
        <w:t xml:space="preserve">pp. </w:t>
      </w:r>
      <w:r w:rsidRPr="004C2486">
        <w:t>305</w:t>
      </w:r>
      <w:r w:rsidR="00E455AB" w:rsidRPr="004C2486">
        <w:t>–</w:t>
      </w:r>
      <w:r w:rsidRPr="004C2486">
        <w:t>323</w:t>
      </w:r>
      <w:r w:rsidR="00E455AB">
        <w:t>.</w:t>
      </w:r>
    </w:p>
    <w:p w:rsidR="00965C6A" w:rsidRPr="004C2486" w:rsidRDefault="00965C6A" w:rsidP="00AE5CE2">
      <w:pPr>
        <w:pStyle w:val="Reference"/>
      </w:pPr>
      <w:r w:rsidRPr="004C2486">
        <w:t xml:space="preserve">Department of the Environment and Energy (2016) </w:t>
      </w:r>
      <w:r w:rsidRPr="002B4B0A">
        <w:rPr>
          <w:i/>
        </w:rPr>
        <w:t>The Renewable Energy Target (RET) Scheme</w:t>
      </w:r>
      <w:r w:rsidRPr="004C2486">
        <w:t>, Accessed Online: https://www.environment.gov.au/climate-change/renewable-energy-target-scheme</w:t>
      </w:r>
      <w:r w:rsidR="00E455AB">
        <w:t>.</w:t>
      </w:r>
    </w:p>
    <w:p w:rsidR="00965C6A" w:rsidRPr="004C2486" w:rsidRDefault="00965C6A" w:rsidP="00AE5CE2">
      <w:pPr>
        <w:pStyle w:val="Reference"/>
      </w:pPr>
      <w:r w:rsidRPr="004C2486">
        <w:t xml:space="preserve">Devarajan, S., Lewis, J., and Robinson, S. (1990) </w:t>
      </w:r>
      <w:r w:rsidR="002B4B0A">
        <w:t>‘</w:t>
      </w:r>
      <w:r w:rsidRPr="004C2486">
        <w:t>Policy Lessons from Trade Focused, Two-Sector Models</w:t>
      </w:r>
      <w:r w:rsidR="002B4B0A">
        <w:t>’</w:t>
      </w:r>
      <w:r w:rsidRPr="004C2486">
        <w:t xml:space="preserve">, </w:t>
      </w:r>
      <w:r w:rsidRPr="002B4B0A">
        <w:rPr>
          <w:i/>
        </w:rPr>
        <w:t>Journal of Policy Modeling</w:t>
      </w:r>
      <w:r w:rsidRPr="004C2486">
        <w:t xml:space="preserve">, 12, </w:t>
      </w:r>
      <w:r w:rsidR="00E455AB">
        <w:t xml:space="preserve">pp. </w:t>
      </w:r>
      <w:r w:rsidRPr="004C2486">
        <w:t>625</w:t>
      </w:r>
      <w:r w:rsidR="00E455AB" w:rsidRPr="004C2486">
        <w:t>–</w:t>
      </w:r>
      <w:r w:rsidRPr="004C2486">
        <w:t>657</w:t>
      </w:r>
      <w:r w:rsidR="00E455AB">
        <w:t>.</w:t>
      </w:r>
    </w:p>
    <w:p w:rsidR="00965C6A" w:rsidRPr="004C2486" w:rsidRDefault="00965C6A" w:rsidP="00AE5CE2">
      <w:pPr>
        <w:pStyle w:val="Reference"/>
      </w:pPr>
      <w:r w:rsidRPr="004C2486">
        <w:t>Dirk</w:t>
      </w:r>
      <w:r w:rsidR="002B4B0A">
        <w:t>se, S., and Ferris, M. (1995), ‘</w:t>
      </w:r>
      <w:r w:rsidRPr="004C2486">
        <w:t>The PATH Solver: A Non-Monotone Stabilization Scheme for Mixed Complementarity Problems</w:t>
      </w:r>
      <w:r w:rsidR="002B4B0A">
        <w:t>’</w:t>
      </w:r>
      <w:r w:rsidRPr="004C2486">
        <w:t xml:space="preserve">, </w:t>
      </w:r>
      <w:r w:rsidRPr="002B4B0A">
        <w:rPr>
          <w:i/>
        </w:rPr>
        <w:t>Optimization Methods and Software</w:t>
      </w:r>
      <w:r w:rsidRPr="004C2486">
        <w:t xml:space="preserve">, 5, </w:t>
      </w:r>
      <w:r w:rsidR="00E455AB">
        <w:t>pp. </w:t>
      </w:r>
      <w:r w:rsidRPr="004C2486">
        <w:t>123</w:t>
      </w:r>
      <w:r w:rsidR="00E455AB" w:rsidRPr="004C2486">
        <w:t>–</w:t>
      </w:r>
      <w:r w:rsidRPr="004C2486">
        <w:t>156.</w:t>
      </w:r>
    </w:p>
    <w:p w:rsidR="00965C6A" w:rsidRPr="004C2486" w:rsidRDefault="00965C6A" w:rsidP="00AE5CE2">
      <w:pPr>
        <w:pStyle w:val="Reference"/>
      </w:pPr>
      <w:r w:rsidRPr="004C2486">
        <w:t xml:space="preserve">Dirkse, S., and Ferris, M. (1997) </w:t>
      </w:r>
      <w:r w:rsidR="002B4B0A">
        <w:t>‘</w:t>
      </w:r>
      <w:r w:rsidRPr="004C2486">
        <w:t>Crash Techniques for Large-Scale Complementarity Problems</w:t>
      </w:r>
      <w:r w:rsidR="002B4B0A">
        <w:t>’</w:t>
      </w:r>
      <w:r w:rsidRPr="004C2486">
        <w:t xml:space="preserve">, </w:t>
      </w:r>
      <w:r w:rsidR="002B4B0A">
        <w:t>i</w:t>
      </w:r>
      <w:r w:rsidRPr="004C2486">
        <w:t xml:space="preserve">n </w:t>
      </w:r>
      <w:r w:rsidRPr="002B4B0A">
        <w:rPr>
          <w:i/>
        </w:rPr>
        <w:t>Complementarity and Variational Problems: State of the Art</w:t>
      </w:r>
      <w:r w:rsidR="002B4B0A">
        <w:t>,</w:t>
      </w:r>
      <w:r w:rsidRPr="004C2486">
        <w:t xml:space="preserve"> Philadelphia, Pennsylvania: SIAM Publications, pp. 40</w:t>
      </w:r>
      <w:r w:rsidR="00E455AB" w:rsidRPr="004C2486">
        <w:t>–</w:t>
      </w:r>
      <w:r w:rsidRPr="004C2486">
        <w:t xml:space="preserve">61. </w:t>
      </w:r>
    </w:p>
    <w:p w:rsidR="00965C6A" w:rsidRPr="004C2486" w:rsidRDefault="00965C6A" w:rsidP="00AE5CE2">
      <w:pPr>
        <w:pStyle w:val="Reference"/>
      </w:pPr>
      <w:r w:rsidRPr="004C2486">
        <w:t xml:space="preserve">Dixon, P., and Jorgenson, D. (2013), </w:t>
      </w:r>
      <w:r w:rsidRPr="002B4B0A">
        <w:rPr>
          <w:i/>
        </w:rPr>
        <w:t>Handbook of Computable General Equilibrium Modeling</w:t>
      </w:r>
      <w:r w:rsidRPr="004C2486">
        <w:t>, 2 volumes, Amsterdam: Elsevier</w:t>
      </w:r>
      <w:r w:rsidR="00E455AB">
        <w:t>.</w:t>
      </w:r>
    </w:p>
    <w:p w:rsidR="00965C6A" w:rsidRPr="004C2486" w:rsidRDefault="00965C6A" w:rsidP="00AE5CE2">
      <w:pPr>
        <w:pStyle w:val="Reference"/>
      </w:pPr>
      <w:r w:rsidRPr="004C2486">
        <w:t xml:space="preserve">Dixon, P., and Rimmer, M. (2002) USAGE-ITC: Theoretical Structure, Centre of Policy Studies, Victoria: Monash </w:t>
      </w:r>
      <w:r w:rsidR="00106912">
        <w:t>University.</w:t>
      </w:r>
    </w:p>
    <w:p w:rsidR="00965C6A" w:rsidRPr="004C2486" w:rsidRDefault="00965C6A" w:rsidP="00AE5CE2">
      <w:pPr>
        <w:pStyle w:val="Reference"/>
      </w:pPr>
      <w:r w:rsidRPr="004C2486">
        <w:t xml:space="preserve">Ferris, M., and Munson, T. (2000) </w:t>
      </w:r>
      <w:r w:rsidR="002B4B0A">
        <w:t>‘</w:t>
      </w:r>
      <w:r w:rsidRPr="004C2486">
        <w:t>Complementarity Problems in GAMS and the PATH Solver</w:t>
      </w:r>
      <w:r w:rsidR="002B4B0A">
        <w:t>’</w:t>
      </w:r>
      <w:r w:rsidRPr="004C2486">
        <w:t xml:space="preserve">, </w:t>
      </w:r>
      <w:r w:rsidRPr="002B4B0A">
        <w:rPr>
          <w:i/>
        </w:rPr>
        <w:t>Journal of Economic Dynamics and Control</w:t>
      </w:r>
      <w:r w:rsidRPr="004C2486">
        <w:t xml:space="preserve">, 24, </w:t>
      </w:r>
      <w:r w:rsidR="00E455AB">
        <w:t xml:space="preserve">pp. </w:t>
      </w:r>
      <w:r w:rsidRPr="004C2486">
        <w:t>165</w:t>
      </w:r>
      <w:r w:rsidR="00E455AB" w:rsidRPr="004C2486">
        <w:t>–</w:t>
      </w:r>
      <w:r w:rsidRPr="004C2486">
        <w:t>188.</w:t>
      </w:r>
    </w:p>
    <w:p w:rsidR="00965C6A" w:rsidRPr="004C2486" w:rsidRDefault="00965C6A" w:rsidP="00AE5CE2">
      <w:pPr>
        <w:pStyle w:val="Reference"/>
      </w:pPr>
      <w:r w:rsidRPr="004C2486">
        <w:t xml:space="preserve">Ferris, M., and Sinapiromsaran, K. (2000), </w:t>
      </w:r>
      <w:r w:rsidR="002B4B0A">
        <w:t>‘</w:t>
      </w:r>
      <w:r w:rsidRPr="004C2486">
        <w:t>Formulating and Solving Nonlinear Programs as Mixed Complementarity Problems</w:t>
      </w:r>
      <w:r w:rsidR="002B4B0A">
        <w:t>’</w:t>
      </w:r>
      <w:r w:rsidRPr="004C2486">
        <w:t xml:space="preserve">, </w:t>
      </w:r>
      <w:r w:rsidR="002B4B0A">
        <w:t>i</w:t>
      </w:r>
      <w:r w:rsidRPr="004C2486">
        <w:t xml:space="preserve">n </w:t>
      </w:r>
      <w:r w:rsidRPr="002B4B0A">
        <w:rPr>
          <w:i/>
        </w:rPr>
        <w:t>Optimization</w:t>
      </w:r>
      <w:r w:rsidR="002B4B0A">
        <w:t>,</w:t>
      </w:r>
      <w:r w:rsidRPr="004C2486">
        <w:t xml:space="preserve"> Vol. 481 Springer-Verlag.</w:t>
      </w:r>
    </w:p>
    <w:p w:rsidR="00965C6A" w:rsidRPr="004C2486" w:rsidRDefault="00965C6A" w:rsidP="00AE5CE2">
      <w:pPr>
        <w:pStyle w:val="Reference"/>
      </w:pPr>
      <w:r w:rsidRPr="004C2486">
        <w:t xml:space="preserve">Ferris, M., Kanzow, C., and Munson, T. (1999) </w:t>
      </w:r>
      <w:r w:rsidR="002B4B0A">
        <w:t>‘</w:t>
      </w:r>
      <w:r w:rsidRPr="004C2486">
        <w:t>Feasible Descent Algorithms for Mixed Complementarity Problems</w:t>
      </w:r>
      <w:r w:rsidR="002B4B0A">
        <w:t>’</w:t>
      </w:r>
      <w:r w:rsidRPr="004C2486">
        <w:t xml:space="preserve">, </w:t>
      </w:r>
      <w:r w:rsidRPr="002B4B0A">
        <w:rPr>
          <w:i/>
        </w:rPr>
        <w:t>Mathematical Programming</w:t>
      </w:r>
      <w:r w:rsidR="002B4B0A">
        <w:t>,</w:t>
      </w:r>
      <w:r w:rsidRPr="004C2486">
        <w:t xml:space="preserve"> 86, </w:t>
      </w:r>
      <w:r w:rsidR="00E455AB">
        <w:t xml:space="preserve">pp. </w:t>
      </w:r>
      <w:r w:rsidRPr="004C2486">
        <w:t>475</w:t>
      </w:r>
      <w:r w:rsidR="00E455AB" w:rsidRPr="004C2486">
        <w:t>–</w:t>
      </w:r>
      <w:r w:rsidRPr="004C2486">
        <w:t>497.</w:t>
      </w:r>
    </w:p>
    <w:p w:rsidR="00965C6A" w:rsidRPr="004C2486" w:rsidRDefault="00965C6A" w:rsidP="00AE5CE2">
      <w:pPr>
        <w:pStyle w:val="Reference"/>
      </w:pPr>
      <w:r w:rsidRPr="004C2486">
        <w:t xml:space="preserve">Garnaut, R. (2008) </w:t>
      </w:r>
      <w:r w:rsidRPr="002B4B0A">
        <w:rPr>
          <w:i/>
        </w:rPr>
        <w:t>The Garnaut Climate Change Review</w:t>
      </w:r>
      <w:r w:rsidRPr="004C2486">
        <w:t>, Port Melbourne: Cambridge University Press</w:t>
      </w:r>
      <w:r w:rsidR="00E455AB">
        <w:t>.</w:t>
      </w:r>
    </w:p>
    <w:p w:rsidR="00965C6A" w:rsidRPr="004C2486" w:rsidRDefault="00965C6A" w:rsidP="00AE5CE2">
      <w:pPr>
        <w:pStyle w:val="Reference"/>
      </w:pPr>
      <w:r w:rsidRPr="004C2486">
        <w:t xml:space="preserve">Gilbert, J., and Tower, E. (2013) </w:t>
      </w:r>
      <w:r w:rsidRPr="002B4B0A">
        <w:rPr>
          <w:i/>
        </w:rPr>
        <w:t>Introduction to Numerical Simulation for Trade Theory and Policy</w:t>
      </w:r>
      <w:r w:rsidRPr="004C2486">
        <w:t>, Utah: World Scientific</w:t>
      </w:r>
      <w:r w:rsidR="00E455AB">
        <w:t>.</w:t>
      </w:r>
    </w:p>
    <w:p w:rsidR="00965C6A" w:rsidRPr="004C2486" w:rsidRDefault="00965C6A" w:rsidP="00AE5CE2">
      <w:pPr>
        <w:pStyle w:val="Reference"/>
      </w:pPr>
      <w:r w:rsidRPr="004C2486">
        <w:t xml:space="preserve">Grant, J., Hertel, T., and Rutherford, T., (2009) </w:t>
      </w:r>
      <w:r w:rsidR="002B4B0A">
        <w:t>‘</w:t>
      </w:r>
      <w:r w:rsidRPr="004C2486">
        <w:t>Dairy Tariff-Quota Liberalization: Contrasting Bilateral and Most Favoured Nation Reform Options</w:t>
      </w:r>
      <w:r w:rsidR="002B4B0A">
        <w:t>’</w:t>
      </w:r>
      <w:r w:rsidRPr="004C2486">
        <w:t xml:space="preserve">, </w:t>
      </w:r>
      <w:r w:rsidRPr="002B4B0A">
        <w:rPr>
          <w:i/>
        </w:rPr>
        <w:t>American Journal of Agricultural Economics</w:t>
      </w:r>
      <w:r w:rsidRPr="004C2486">
        <w:t xml:space="preserve">, 91(3), </w:t>
      </w:r>
      <w:r w:rsidR="00E455AB">
        <w:t xml:space="preserve">pp. </w:t>
      </w:r>
      <w:r w:rsidRPr="004C2486">
        <w:t>673</w:t>
      </w:r>
      <w:r w:rsidR="00E455AB" w:rsidRPr="004C2486">
        <w:t>–</w:t>
      </w:r>
      <w:r w:rsidRPr="004C2486">
        <w:t>684</w:t>
      </w:r>
      <w:r w:rsidR="00E455AB">
        <w:t>.</w:t>
      </w:r>
    </w:p>
    <w:p w:rsidR="00965C6A" w:rsidRPr="004C2486" w:rsidRDefault="00965C6A" w:rsidP="00AE5CE2">
      <w:pPr>
        <w:pStyle w:val="Reference"/>
      </w:pPr>
      <w:r w:rsidRPr="004C2486">
        <w:t xml:space="preserve">Hans. L., and Robinson, S. (1997) </w:t>
      </w:r>
      <w:r w:rsidRPr="002B4B0A">
        <w:rPr>
          <w:i/>
        </w:rPr>
        <w:t>The Mixed-Complementary Approach to Specifying Agricultural Supply in Computable General Equilibrium Models</w:t>
      </w:r>
      <w:r w:rsidRPr="004C2486">
        <w:t>, TMD discussion papers 20, International Food Policy Research Institute (IFPRI).</w:t>
      </w:r>
    </w:p>
    <w:p w:rsidR="00965C6A" w:rsidRPr="004C2486" w:rsidRDefault="00965C6A" w:rsidP="00AE5CE2">
      <w:pPr>
        <w:pStyle w:val="Reference"/>
      </w:pPr>
      <w:r w:rsidRPr="004C2486">
        <w:t>Hazell, P and Norton R (19</w:t>
      </w:r>
      <w:r w:rsidR="00E455AB">
        <w:t xml:space="preserve">86). </w:t>
      </w:r>
      <w:r w:rsidR="00E455AB" w:rsidRPr="002B4B0A">
        <w:rPr>
          <w:i/>
        </w:rPr>
        <w:t>Mathematical Programming f</w:t>
      </w:r>
      <w:r w:rsidRPr="002B4B0A">
        <w:rPr>
          <w:i/>
        </w:rPr>
        <w:t>or Economic Analysis in Agriculture</w:t>
      </w:r>
      <w:r w:rsidR="002B4B0A">
        <w:t>,</w:t>
      </w:r>
      <w:r w:rsidRPr="004C2486">
        <w:t xml:space="preserve"> New York, NY: MacMillan</w:t>
      </w:r>
      <w:r w:rsidR="00E455AB">
        <w:t>.</w:t>
      </w:r>
    </w:p>
    <w:p w:rsidR="00965C6A" w:rsidRPr="004C2486" w:rsidRDefault="00965C6A" w:rsidP="00AE5CE2">
      <w:pPr>
        <w:pStyle w:val="Reference"/>
      </w:pPr>
      <w:r w:rsidRPr="004C2486">
        <w:t xml:space="preserve">Heady, E., and Vocke, G. (eds) 1992, </w:t>
      </w:r>
      <w:r w:rsidRPr="002B4B0A">
        <w:rPr>
          <w:i/>
        </w:rPr>
        <w:t>Economic Models of Agricultural Land Conservation and Environmental Improvement</w:t>
      </w:r>
      <w:r w:rsidRPr="004C2486">
        <w:t>, Ames, USA: Iowa State University Press</w:t>
      </w:r>
      <w:r>
        <w:t>.</w:t>
      </w:r>
    </w:p>
    <w:p w:rsidR="00965C6A" w:rsidRPr="004C2486" w:rsidRDefault="00965C6A" w:rsidP="00AE5CE2">
      <w:pPr>
        <w:pStyle w:val="Reference"/>
      </w:pPr>
      <w:r w:rsidRPr="004C2486">
        <w:lastRenderedPageBreak/>
        <w:t>Heady</w:t>
      </w:r>
      <w:r w:rsidR="00106912">
        <w:t xml:space="preserve">, E., Srivastava, U. (1975) </w:t>
      </w:r>
      <w:r w:rsidR="00106912" w:rsidRPr="002B4B0A">
        <w:rPr>
          <w:i/>
        </w:rPr>
        <w:t>Spa</w:t>
      </w:r>
      <w:r w:rsidRPr="002B4B0A">
        <w:rPr>
          <w:i/>
        </w:rPr>
        <w:t>tial Sector Programming Models in Agriculture</w:t>
      </w:r>
      <w:r w:rsidRPr="004C2486">
        <w:t>, Ames, USA: Iowa State University Press</w:t>
      </w:r>
      <w:r>
        <w:t>.</w:t>
      </w:r>
    </w:p>
    <w:p w:rsidR="00965C6A" w:rsidRPr="004C2486" w:rsidRDefault="00965C6A" w:rsidP="00AE5CE2">
      <w:pPr>
        <w:pStyle w:val="Reference"/>
      </w:pPr>
      <w:r w:rsidRPr="004C2486">
        <w:t xml:space="preserve">Hertel, T. (1997) </w:t>
      </w:r>
      <w:r w:rsidRPr="002B4B0A">
        <w:rPr>
          <w:i/>
        </w:rPr>
        <w:t>Global Trade Analysis: Modeling and Applications</w:t>
      </w:r>
      <w:r w:rsidRPr="004C2486">
        <w:t>, London: Cambridge University Press</w:t>
      </w:r>
      <w:r>
        <w:t>.</w:t>
      </w:r>
    </w:p>
    <w:p w:rsidR="00965C6A" w:rsidRPr="004C2486" w:rsidRDefault="00965C6A" w:rsidP="00AE5CE2">
      <w:pPr>
        <w:pStyle w:val="Reference"/>
      </w:pPr>
      <w:r w:rsidRPr="004C2486">
        <w:t xml:space="preserve">Hertel, T., (1990) </w:t>
      </w:r>
      <w:r w:rsidR="002B4B0A">
        <w:t>‘</w:t>
      </w:r>
      <w:r w:rsidRPr="004C2486">
        <w:t>General Equilibrium Analysis of U.S. Agriculture: What Does It Contribute</w:t>
      </w:r>
      <w:r w:rsidR="002B4B0A">
        <w:t>’</w:t>
      </w:r>
      <w:r w:rsidRPr="004C2486">
        <w:t xml:space="preserve">, </w:t>
      </w:r>
      <w:r w:rsidRPr="002B4B0A">
        <w:rPr>
          <w:i/>
        </w:rPr>
        <w:t>The Journal of Agricultural Economics Research</w:t>
      </w:r>
      <w:r w:rsidRPr="004C2486">
        <w:t xml:space="preserve">, 42(3), </w:t>
      </w:r>
      <w:r w:rsidR="00E455AB">
        <w:t xml:space="preserve">pp. </w:t>
      </w:r>
      <w:r w:rsidRPr="004C2486">
        <w:t>3</w:t>
      </w:r>
      <w:r w:rsidR="00E455AB" w:rsidRPr="004C2486">
        <w:t>–</w:t>
      </w:r>
      <w:r w:rsidRPr="004C2486">
        <w:t>9</w:t>
      </w:r>
      <w:r>
        <w:t>.</w:t>
      </w:r>
    </w:p>
    <w:p w:rsidR="00965C6A" w:rsidRPr="004C2486" w:rsidRDefault="00965C6A" w:rsidP="00AE5CE2">
      <w:pPr>
        <w:pStyle w:val="Reference"/>
      </w:pPr>
      <w:r w:rsidRPr="004C2486">
        <w:t xml:space="preserve">Horridge, M., Madden, J., and Wittwer, G., (2005) </w:t>
      </w:r>
      <w:r w:rsidR="002B4B0A">
        <w:t>‘</w:t>
      </w:r>
      <w:r w:rsidRPr="004C2486">
        <w:t>The impact of the 2002-03 drought on Australia</w:t>
      </w:r>
      <w:r w:rsidR="002B4B0A">
        <w:t>’</w:t>
      </w:r>
      <w:r w:rsidRPr="004C2486">
        <w:t xml:space="preserve">, </w:t>
      </w:r>
      <w:r w:rsidRPr="002B4B0A">
        <w:rPr>
          <w:i/>
        </w:rPr>
        <w:t>Journal of Policy Modeling</w:t>
      </w:r>
      <w:r w:rsidRPr="004C2486">
        <w:t xml:space="preserve">, 27(3), </w:t>
      </w:r>
      <w:r w:rsidR="00E455AB">
        <w:t xml:space="preserve">pp. </w:t>
      </w:r>
      <w:r w:rsidRPr="004C2486">
        <w:t>285</w:t>
      </w:r>
      <w:r w:rsidR="00E455AB" w:rsidRPr="004C2486">
        <w:t>–</w:t>
      </w:r>
      <w:r w:rsidRPr="004C2486">
        <w:t>308.</w:t>
      </w:r>
    </w:p>
    <w:p w:rsidR="00965C6A" w:rsidRPr="004C2486" w:rsidRDefault="00965C6A" w:rsidP="00AE5CE2">
      <w:pPr>
        <w:pStyle w:val="Reference"/>
      </w:pPr>
      <w:r w:rsidRPr="004C2486">
        <w:t xml:space="preserve">Intriligator M. (1971) </w:t>
      </w:r>
      <w:r w:rsidRPr="002B4B0A">
        <w:rPr>
          <w:i/>
        </w:rPr>
        <w:t>Mathematical Optimization and Economic Theory</w:t>
      </w:r>
      <w:r w:rsidRPr="004C2486">
        <w:t>, New Jersey: Prentice-Hall</w:t>
      </w:r>
      <w:r>
        <w:t>.</w:t>
      </w:r>
    </w:p>
    <w:p w:rsidR="00965C6A" w:rsidRPr="004C2486" w:rsidRDefault="00965C6A" w:rsidP="00AE5CE2">
      <w:pPr>
        <w:pStyle w:val="Reference"/>
      </w:pPr>
      <w:r w:rsidRPr="004C2486">
        <w:t xml:space="preserve">Labys, W., Takayama, T. and Uri, N. (1989) </w:t>
      </w:r>
      <w:r w:rsidRPr="002B4B0A">
        <w:rPr>
          <w:i/>
        </w:rPr>
        <w:t>Quantitative Methods for Market Oriented Economic Analysis Over Space and Time</w:t>
      </w:r>
      <w:r w:rsidRPr="004C2486">
        <w:t>, London: Gower Publishing Company</w:t>
      </w:r>
      <w:r>
        <w:t>.</w:t>
      </w:r>
    </w:p>
    <w:p w:rsidR="00965C6A" w:rsidRPr="004C2486" w:rsidRDefault="00965C6A" w:rsidP="00AE5CE2">
      <w:pPr>
        <w:pStyle w:val="Reference"/>
      </w:pPr>
      <w:r w:rsidRPr="004C2486">
        <w:t xml:space="preserve">MacAulay, G. (1992) </w:t>
      </w:r>
      <w:r w:rsidR="002B4B0A">
        <w:t>‘</w:t>
      </w:r>
      <w:r w:rsidRPr="004C2486">
        <w:t>Alternative Spatial Equilibrium Formulations: A Synthesis</w:t>
      </w:r>
      <w:r w:rsidR="002B4B0A">
        <w:t>’</w:t>
      </w:r>
      <w:r w:rsidRPr="004C2486">
        <w:t xml:space="preserve">, in Griffiths, W., Lutkepohl, H., and Bock, M. (1992) </w:t>
      </w:r>
      <w:r w:rsidRPr="002B4B0A">
        <w:rPr>
          <w:i/>
        </w:rPr>
        <w:t>Readings in Economic Theory and Practice</w:t>
      </w:r>
      <w:r w:rsidRPr="004C2486">
        <w:t xml:space="preserve">, </w:t>
      </w:r>
      <w:r w:rsidR="002B4B0A">
        <w:t>c</w:t>
      </w:r>
      <w:r w:rsidRPr="004C2486">
        <w:t xml:space="preserve">hapter 13, Amsterdam: North-Holland, </w:t>
      </w:r>
      <w:r w:rsidR="00E455AB">
        <w:t xml:space="preserve">pp. </w:t>
      </w:r>
      <w:r w:rsidRPr="004C2486">
        <w:t>297</w:t>
      </w:r>
      <w:r w:rsidR="00E455AB" w:rsidRPr="004C2486">
        <w:t>–</w:t>
      </w:r>
      <w:r w:rsidRPr="004C2486">
        <w:t>326</w:t>
      </w:r>
      <w:r>
        <w:t>.</w:t>
      </w:r>
    </w:p>
    <w:p w:rsidR="00965C6A" w:rsidRPr="002B4B0A" w:rsidRDefault="00965C6A" w:rsidP="00AE5CE2">
      <w:pPr>
        <w:pStyle w:val="Reference"/>
        <w:rPr>
          <w:spacing w:val="-2"/>
        </w:rPr>
      </w:pPr>
      <w:r w:rsidRPr="002B4B0A">
        <w:rPr>
          <w:spacing w:val="-2"/>
        </w:rPr>
        <w:t xml:space="preserve">McCarl, B. and Spreen, T.H. (1980) </w:t>
      </w:r>
      <w:r w:rsidR="002B4B0A" w:rsidRPr="002B4B0A">
        <w:rPr>
          <w:spacing w:val="-2"/>
        </w:rPr>
        <w:t>‘</w:t>
      </w:r>
      <w:r w:rsidRPr="002B4B0A">
        <w:rPr>
          <w:spacing w:val="-2"/>
        </w:rPr>
        <w:t xml:space="preserve">Price Endogenous Mathematical Programming as a Tool for Sector Analysis’, </w:t>
      </w:r>
      <w:r w:rsidRPr="002B4B0A">
        <w:rPr>
          <w:i/>
          <w:spacing w:val="-2"/>
        </w:rPr>
        <w:t>American Journal of Agricultural Economics</w:t>
      </w:r>
      <w:r w:rsidRPr="002B4B0A">
        <w:rPr>
          <w:spacing w:val="-2"/>
        </w:rPr>
        <w:t xml:space="preserve">, 62(1), </w:t>
      </w:r>
      <w:r w:rsidR="00E455AB" w:rsidRPr="002B4B0A">
        <w:rPr>
          <w:spacing w:val="-2"/>
        </w:rPr>
        <w:t xml:space="preserve">pp. </w:t>
      </w:r>
      <w:r w:rsidRPr="002B4B0A">
        <w:rPr>
          <w:spacing w:val="-2"/>
        </w:rPr>
        <w:t>87–102.</w:t>
      </w:r>
    </w:p>
    <w:p w:rsidR="00965C6A" w:rsidRPr="004C2486" w:rsidRDefault="00965C6A" w:rsidP="00AE5CE2">
      <w:pPr>
        <w:pStyle w:val="Reference"/>
      </w:pPr>
      <w:r w:rsidRPr="004C2486">
        <w:t xml:space="preserve">Meister, A., Chen, C., and Heady, E. (1978) </w:t>
      </w:r>
      <w:r w:rsidRPr="002B4B0A">
        <w:rPr>
          <w:i/>
        </w:rPr>
        <w:t>Quadratic Programming Models Applied to Agricultural Policies</w:t>
      </w:r>
      <w:r w:rsidRPr="004C2486">
        <w:t>, Ames, USA: Iowa State University Press.</w:t>
      </w:r>
    </w:p>
    <w:p w:rsidR="00965C6A" w:rsidRPr="004C2486" w:rsidRDefault="00965C6A" w:rsidP="00AE5CE2">
      <w:pPr>
        <w:pStyle w:val="Reference"/>
      </w:pPr>
      <w:r w:rsidRPr="004C2486">
        <w:t xml:space="preserve">Munasinghe, M. (1990) </w:t>
      </w:r>
      <w:r w:rsidRPr="002B4B0A">
        <w:rPr>
          <w:i/>
        </w:rPr>
        <w:t>Electric Power Economics</w:t>
      </w:r>
      <w:r w:rsidR="002B4B0A">
        <w:t>,</w:t>
      </w:r>
      <w:r w:rsidRPr="004C2486">
        <w:t xml:space="preserve"> London: Butterworths &amp; Co.</w:t>
      </w:r>
    </w:p>
    <w:p w:rsidR="00965C6A" w:rsidRPr="004C2486" w:rsidRDefault="00965C6A" w:rsidP="00AE5CE2">
      <w:pPr>
        <w:pStyle w:val="Reference"/>
      </w:pPr>
      <w:r w:rsidRPr="004C2486">
        <w:t xml:space="preserve">Narayan, B., Hertel, T., and Horridge, M. (2010) </w:t>
      </w:r>
      <w:r w:rsidR="002B4B0A">
        <w:t>‘</w:t>
      </w:r>
      <w:r w:rsidRPr="004C2486">
        <w:t>Disaggregated Data and Tra</w:t>
      </w:r>
      <w:r w:rsidR="00AD23F0">
        <w:t>de Policy Analysis: The Value o</w:t>
      </w:r>
      <w:r w:rsidRPr="004C2486">
        <w:t>f Linking Partial and General Equilibrium Models</w:t>
      </w:r>
      <w:r w:rsidR="002B4B0A">
        <w:t>’</w:t>
      </w:r>
      <w:r w:rsidRPr="004C2486">
        <w:t xml:space="preserve">, </w:t>
      </w:r>
      <w:r w:rsidRPr="002B4B0A">
        <w:rPr>
          <w:i/>
        </w:rPr>
        <w:t>Economic Modelling</w:t>
      </w:r>
      <w:r w:rsidRPr="004C2486">
        <w:t xml:space="preserve">, 27(3), </w:t>
      </w:r>
      <w:r w:rsidR="00E455AB">
        <w:t xml:space="preserve">pp. </w:t>
      </w:r>
      <w:r w:rsidRPr="004C2486">
        <w:t>755</w:t>
      </w:r>
      <w:r w:rsidR="00E455AB" w:rsidRPr="004C2486">
        <w:t>–</w:t>
      </w:r>
      <w:r w:rsidRPr="004C2486">
        <w:t>766</w:t>
      </w:r>
      <w:r>
        <w:t>.</w:t>
      </w:r>
    </w:p>
    <w:p w:rsidR="00965C6A" w:rsidRPr="004C2486" w:rsidRDefault="00965C6A" w:rsidP="00AE5CE2">
      <w:pPr>
        <w:pStyle w:val="Reference"/>
      </w:pPr>
      <w:r w:rsidRPr="004C2486">
        <w:t xml:space="preserve">Norton, R., and Solis, L. (1983) </w:t>
      </w:r>
      <w:r w:rsidRPr="002B4B0A">
        <w:rPr>
          <w:i/>
        </w:rPr>
        <w:t>The Book of CHAC: Programming Studies for Mexican Agriculture</w:t>
      </w:r>
      <w:r w:rsidRPr="004C2486">
        <w:t>, Baltimore: John Hopkins University Press</w:t>
      </w:r>
      <w:r>
        <w:t>.</w:t>
      </w:r>
    </w:p>
    <w:p w:rsidR="00965C6A" w:rsidRPr="004C2486" w:rsidRDefault="00965C6A" w:rsidP="00AE5CE2">
      <w:pPr>
        <w:pStyle w:val="Reference"/>
      </w:pPr>
      <w:r w:rsidRPr="004C2486">
        <w:t xml:space="preserve">Rutherford, T. (1995) </w:t>
      </w:r>
      <w:r w:rsidR="002B4B0A">
        <w:t>‘</w:t>
      </w:r>
      <w:r w:rsidRPr="004C2486">
        <w:t>Extension of GAMS for Complementarity Problems Arising in Applied Economic Analysis</w:t>
      </w:r>
      <w:r w:rsidR="002B4B0A">
        <w:t>’</w:t>
      </w:r>
      <w:r w:rsidRPr="004C2486">
        <w:t xml:space="preserve">, </w:t>
      </w:r>
      <w:r w:rsidRPr="002B4B0A">
        <w:rPr>
          <w:i/>
        </w:rPr>
        <w:t>Journal of Economic Dynamics and Control</w:t>
      </w:r>
      <w:r w:rsidRPr="004C2486">
        <w:t xml:space="preserve">, 19(8), </w:t>
      </w:r>
      <w:r w:rsidR="00E455AB">
        <w:t xml:space="preserve">pp. </w:t>
      </w:r>
      <w:r w:rsidRPr="004C2486">
        <w:t>1299</w:t>
      </w:r>
      <w:r w:rsidR="00E455AB" w:rsidRPr="004C2486">
        <w:t>–</w:t>
      </w:r>
      <w:r w:rsidRPr="004C2486">
        <w:t>1324.</w:t>
      </w:r>
    </w:p>
    <w:p w:rsidR="00965C6A" w:rsidRPr="004C2486" w:rsidRDefault="00965C6A" w:rsidP="00AE5CE2">
      <w:pPr>
        <w:pStyle w:val="Reference"/>
      </w:pPr>
      <w:r w:rsidRPr="004C2486">
        <w:t xml:space="preserve">Salerian, J., Gregan, T. and Stevens, A. (2000) </w:t>
      </w:r>
      <w:r w:rsidR="002B4B0A">
        <w:t>‘</w:t>
      </w:r>
      <w:r w:rsidRPr="004C2486">
        <w:t>Pricing in Electricity Markets</w:t>
      </w:r>
      <w:r w:rsidR="002B4B0A">
        <w:t>’</w:t>
      </w:r>
      <w:r w:rsidRPr="004C2486">
        <w:t xml:space="preserve">, </w:t>
      </w:r>
      <w:r w:rsidRPr="002B4B0A">
        <w:rPr>
          <w:i/>
        </w:rPr>
        <w:t>Journal of Policy Modeling</w:t>
      </w:r>
      <w:r w:rsidRPr="004C2486">
        <w:t xml:space="preserve">, 22(7), </w:t>
      </w:r>
      <w:r w:rsidR="00E455AB">
        <w:t xml:space="preserve">pp. </w:t>
      </w:r>
      <w:r w:rsidRPr="004C2486">
        <w:t>859</w:t>
      </w:r>
      <w:r w:rsidR="00E455AB" w:rsidRPr="004C2486">
        <w:t>–</w:t>
      </w:r>
      <w:r w:rsidRPr="004C2486">
        <w:t>893.</w:t>
      </w:r>
    </w:p>
    <w:p w:rsidR="00965C6A" w:rsidRPr="004C2486" w:rsidRDefault="00965C6A" w:rsidP="00AE5CE2">
      <w:pPr>
        <w:pStyle w:val="Reference"/>
      </w:pPr>
      <w:r w:rsidRPr="004C2486">
        <w:t xml:space="preserve">Takayama, T., and Judge, G. (1971) </w:t>
      </w:r>
      <w:r w:rsidRPr="002B4B0A">
        <w:rPr>
          <w:i/>
        </w:rPr>
        <w:t>Spatial and Temporal Price Allocation Models</w:t>
      </w:r>
      <w:r w:rsidRPr="004C2486">
        <w:t>, Amsterdam: North-Holland Publishing</w:t>
      </w:r>
      <w:r>
        <w:t>.</w:t>
      </w:r>
    </w:p>
    <w:p w:rsidR="00965C6A" w:rsidRPr="004C2486" w:rsidRDefault="00965C6A" w:rsidP="00AE5CE2">
      <w:pPr>
        <w:pStyle w:val="Reference"/>
      </w:pPr>
      <w:r w:rsidRPr="004C2486">
        <w:t xml:space="preserve">Turvey, R., and Anderson, D. (1977) </w:t>
      </w:r>
      <w:r w:rsidRPr="002B4B0A">
        <w:rPr>
          <w:i/>
        </w:rPr>
        <w:t>Electricity Economics, Essays and Case Studies</w:t>
      </w:r>
      <w:r w:rsidRPr="004C2486">
        <w:t>, Baltimore: The Johns Hopkins University Press.</w:t>
      </w:r>
    </w:p>
    <w:p w:rsidR="00965C6A" w:rsidRPr="002204AE" w:rsidRDefault="00965C6A" w:rsidP="00AE5CE2">
      <w:pPr>
        <w:pStyle w:val="Reference"/>
      </w:pPr>
      <w:r w:rsidRPr="004C2486">
        <w:t xml:space="preserve">Wiskich, A. (2014) </w:t>
      </w:r>
      <w:r w:rsidR="002B4B0A">
        <w:t>‘</w:t>
      </w:r>
      <w:r w:rsidRPr="004C2486">
        <w:t>Implementing a Load Duration Curve of Electricity Demand in a General Equilibrium Model</w:t>
      </w:r>
      <w:r w:rsidR="002B4B0A">
        <w:t>’</w:t>
      </w:r>
      <w:r w:rsidRPr="004C2486">
        <w:t xml:space="preserve">, </w:t>
      </w:r>
      <w:r w:rsidRPr="002B4B0A">
        <w:rPr>
          <w:i/>
        </w:rPr>
        <w:t>Energy Economics</w:t>
      </w:r>
      <w:r w:rsidRPr="004C2486">
        <w:t xml:space="preserve">, 45, </w:t>
      </w:r>
      <w:r w:rsidR="00E455AB">
        <w:t xml:space="preserve">pp. </w:t>
      </w:r>
      <w:r w:rsidRPr="004C2486">
        <w:t>373</w:t>
      </w:r>
      <w:r w:rsidR="00E455AB" w:rsidRPr="004C2486">
        <w:t>–</w:t>
      </w:r>
      <w:r w:rsidRPr="004C2486">
        <w:t>380</w:t>
      </w:r>
      <w:r>
        <w:t>.</w:t>
      </w:r>
    </w:p>
    <w:sectPr w:rsidR="00965C6A" w:rsidRPr="002204AE" w:rsidSect="004D363A">
      <w:headerReference w:type="even" r:id="rId30"/>
      <w:headerReference w:type="default" r:id="rId31"/>
      <w:footerReference w:type="even" r:id="rId32"/>
      <w:footerReference w:type="default" r:id="rId33"/>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867" w:rsidRDefault="00201867">
      <w:r>
        <w:separator/>
      </w:r>
    </w:p>
  </w:endnote>
  <w:endnote w:type="continuationSeparator" w:id="0">
    <w:p w:rsidR="00201867" w:rsidRDefault="0020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01867" w:rsidTr="00BB1E4E">
      <w:trPr>
        <w:trHeight w:hRule="exact" w:val="567"/>
      </w:trPr>
      <w:tc>
        <w:tcPr>
          <w:tcW w:w="510" w:type="dxa"/>
        </w:tcPr>
        <w:p w:rsidR="00201867" w:rsidRPr="00A24443" w:rsidRDefault="00201867" w:rsidP="00BB1E4E">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rsidR="00201867" w:rsidRPr="0013739A" w:rsidRDefault="00201867" w:rsidP="00BB1E4E">
          <w:pPr>
            <w:pStyle w:val="Footer"/>
            <w:rPr>
              <w:rFonts w:cs="Arial"/>
            </w:rPr>
          </w:pPr>
          <w:r>
            <w:rPr>
              <w:rFonts w:cs="Arial"/>
            </w:rPr>
            <w:t>VUMR Modelling Reference Case</w:t>
          </w:r>
        </w:p>
      </w:tc>
      <w:tc>
        <w:tcPr>
          <w:tcW w:w="510" w:type="dxa"/>
        </w:tcPr>
        <w:p w:rsidR="00201867" w:rsidRDefault="00201867" w:rsidP="00BB1E4E">
          <w:pPr>
            <w:pStyle w:val="Footer"/>
          </w:pPr>
        </w:p>
      </w:tc>
    </w:tr>
  </w:tbl>
  <w:p w:rsidR="00201867" w:rsidRDefault="00201867" w:rsidP="00BB1E4E">
    <w:pPr>
      <w:pStyle w:val="FooterEnd"/>
    </w:pPr>
  </w:p>
  <w:p w:rsidR="00201867" w:rsidRDefault="00201867">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01867" w:rsidTr="00BB1E4E">
      <w:trPr>
        <w:trHeight w:hRule="exact" w:val="567"/>
      </w:trPr>
      <w:tc>
        <w:tcPr>
          <w:tcW w:w="510" w:type="dxa"/>
        </w:tcPr>
        <w:p w:rsidR="00201867" w:rsidRDefault="00201867">
          <w:pPr>
            <w:pStyle w:val="Footer"/>
            <w:ind w:right="360" w:firstLine="360"/>
          </w:pPr>
        </w:p>
      </w:tc>
      <w:tc>
        <w:tcPr>
          <w:tcW w:w="7767" w:type="dxa"/>
        </w:tcPr>
        <w:p w:rsidR="00201867" w:rsidRPr="00BA5B14" w:rsidRDefault="00201867" w:rsidP="00BB1E4E">
          <w:pPr>
            <w:pStyle w:val="Footer"/>
            <w:jc w:val="right"/>
            <w:rPr>
              <w:rFonts w:cs="Arial"/>
            </w:rPr>
          </w:pPr>
          <w:r>
            <w:rPr>
              <w:rFonts w:cs="Arial"/>
            </w:rPr>
            <w:t>contents</w:t>
          </w:r>
        </w:p>
      </w:tc>
      <w:tc>
        <w:tcPr>
          <w:tcW w:w="510" w:type="dxa"/>
        </w:tcPr>
        <w:p w:rsidR="00201867" w:rsidRPr="007448F7" w:rsidRDefault="00201867">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B1675E">
            <w:rPr>
              <w:rStyle w:val="PageNumber"/>
              <w:caps w:val="0"/>
              <w:noProof/>
            </w:rPr>
            <w:t>iii</w:t>
          </w:r>
          <w:r w:rsidRPr="007448F7">
            <w:rPr>
              <w:rStyle w:val="PageNumber"/>
              <w:caps w:val="0"/>
            </w:rPr>
            <w:fldChar w:fldCharType="end"/>
          </w:r>
        </w:p>
      </w:tc>
    </w:tr>
  </w:tbl>
  <w:p w:rsidR="00201867" w:rsidRDefault="00201867">
    <w:pPr>
      <w:pStyle w:val="FooterEnd"/>
    </w:pPr>
  </w:p>
  <w:p w:rsidR="00201867" w:rsidRDefault="00201867">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01867" w:rsidTr="00965C6A">
      <w:trPr>
        <w:trHeight w:hRule="exact" w:val="567"/>
      </w:trPr>
      <w:tc>
        <w:tcPr>
          <w:tcW w:w="510" w:type="dxa"/>
        </w:tcPr>
        <w:p w:rsidR="00201867" w:rsidRPr="00A24443" w:rsidRDefault="00201867" w:rsidP="00965C6A">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1675E">
            <w:rPr>
              <w:rStyle w:val="PageNumber"/>
              <w:caps w:val="0"/>
              <w:noProof/>
            </w:rPr>
            <w:t>8</w:t>
          </w:r>
          <w:r w:rsidRPr="00A24443">
            <w:rPr>
              <w:rStyle w:val="PageNumber"/>
              <w:caps w:val="0"/>
            </w:rPr>
            <w:fldChar w:fldCharType="end"/>
          </w:r>
        </w:p>
      </w:tc>
      <w:tc>
        <w:tcPr>
          <w:tcW w:w="7767" w:type="dxa"/>
        </w:tcPr>
        <w:p w:rsidR="00201867" w:rsidRPr="0013739A" w:rsidRDefault="00201867" w:rsidP="00965C6A">
          <w:pPr>
            <w:pStyle w:val="Footer"/>
            <w:rPr>
              <w:rFonts w:cs="Arial"/>
            </w:rPr>
          </w:pPr>
          <w:r>
            <w:rPr>
              <w:rFonts w:cs="Arial"/>
            </w:rPr>
            <w:t>staff working paper</w:t>
          </w:r>
          <w:r w:rsidRPr="00BA5B14">
            <w:rPr>
              <w:rFonts w:cs="Arial"/>
            </w:rPr>
            <w:fldChar w:fldCharType="begin"/>
          </w:r>
          <w:r w:rsidRPr="00BA5B14">
            <w:rPr>
              <w:rFonts w:cs="Arial"/>
            </w:rPr>
            <w:instrText xml:space="preserve"> SUBJECT  \* MERGEFORMAT </w:instrText>
          </w:r>
          <w:r w:rsidRPr="00BA5B14">
            <w:rPr>
              <w:rFonts w:cs="Arial"/>
            </w:rPr>
            <w:fldChar w:fldCharType="end"/>
          </w:r>
        </w:p>
      </w:tc>
      <w:tc>
        <w:tcPr>
          <w:tcW w:w="510" w:type="dxa"/>
        </w:tcPr>
        <w:p w:rsidR="00201867" w:rsidRDefault="00201867" w:rsidP="00965C6A">
          <w:pPr>
            <w:pStyle w:val="Footer"/>
          </w:pPr>
        </w:p>
      </w:tc>
    </w:tr>
  </w:tbl>
  <w:p w:rsidR="00201867" w:rsidRDefault="00201867" w:rsidP="00965C6A">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01867" w:rsidTr="00BB1E4E">
      <w:trPr>
        <w:trHeight w:hRule="exact" w:val="567"/>
      </w:trPr>
      <w:tc>
        <w:tcPr>
          <w:tcW w:w="510" w:type="dxa"/>
        </w:tcPr>
        <w:p w:rsidR="00201867" w:rsidRDefault="00201867">
          <w:pPr>
            <w:pStyle w:val="Footer"/>
            <w:ind w:right="360" w:firstLine="360"/>
          </w:pPr>
        </w:p>
      </w:tc>
      <w:tc>
        <w:tcPr>
          <w:tcW w:w="7767" w:type="dxa"/>
        </w:tcPr>
        <w:p w:rsidR="00201867" w:rsidRPr="00BA5B14" w:rsidRDefault="00201867" w:rsidP="00BB1E4E">
          <w:pPr>
            <w:pStyle w:val="Footer"/>
            <w:jc w:val="right"/>
            <w:rPr>
              <w:rFonts w:cs="Arial"/>
            </w:rPr>
          </w:pPr>
          <w:r>
            <w:rPr>
              <w:rFonts w:cs="Arial"/>
            </w:rPr>
            <w:t>Unifying partial and GEM for applied policy analysis</w:t>
          </w:r>
        </w:p>
      </w:tc>
      <w:tc>
        <w:tcPr>
          <w:tcW w:w="510" w:type="dxa"/>
        </w:tcPr>
        <w:p w:rsidR="00201867" w:rsidRPr="007448F7" w:rsidRDefault="00201867">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B1675E">
            <w:rPr>
              <w:rStyle w:val="PageNumber"/>
              <w:caps w:val="0"/>
              <w:noProof/>
            </w:rPr>
            <w:t>9</w:t>
          </w:r>
          <w:r w:rsidRPr="007448F7">
            <w:rPr>
              <w:rStyle w:val="PageNumber"/>
              <w:caps w:val="0"/>
            </w:rPr>
            <w:fldChar w:fldCharType="end"/>
          </w:r>
        </w:p>
      </w:tc>
    </w:tr>
  </w:tbl>
  <w:p w:rsidR="00201867" w:rsidRDefault="00201867">
    <w:pPr>
      <w:pStyle w:val="FooterEnd"/>
    </w:pPr>
  </w:p>
  <w:p w:rsidR="00201867" w:rsidRDefault="00201867">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67" w:rsidRPr="00C31D40" w:rsidRDefault="00201867" w:rsidP="00C31D40">
    <w:pPr>
      <w:pStyle w:val="Foote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B1675E">
      <w:rPr>
        <w:rStyle w:val="PageNumber"/>
        <w:caps w:val="0"/>
        <w:noProof/>
      </w:rPr>
      <w:t>12</w:t>
    </w:r>
    <w:r w:rsidRPr="007448F7">
      <w:rPr>
        <w:rStyle w:val="PageNumber"/>
        <w:caps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67" w:rsidRPr="00C31D40" w:rsidRDefault="00201867" w:rsidP="00C31D40">
    <w:pPr>
      <w:pStyle w:val="Footer"/>
      <w:rPr>
        <w:rStyle w:val="PageNumber"/>
        <w:caps w:val="0"/>
        <w:noProof/>
      </w:rPr>
    </w:pPr>
    <w:r w:rsidRPr="007448F7">
      <w:rPr>
        <w:rStyle w:val="PageNumber"/>
        <w:caps w:val="0"/>
        <w:noProof/>
      </w:rPr>
      <w:fldChar w:fldCharType="begin"/>
    </w:r>
    <w:r w:rsidRPr="007448F7">
      <w:rPr>
        <w:rStyle w:val="PageNumber"/>
        <w:caps w:val="0"/>
        <w:noProof/>
      </w:rPr>
      <w:instrText xml:space="preserve">PAGE  </w:instrText>
    </w:r>
    <w:r w:rsidRPr="007448F7">
      <w:rPr>
        <w:rStyle w:val="PageNumber"/>
        <w:caps w:val="0"/>
        <w:noProof/>
      </w:rPr>
      <w:fldChar w:fldCharType="separate"/>
    </w:r>
    <w:r w:rsidR="00B1675E">
      <w:rPr>
        <w:rStyle w:val="PageNumber"/>
        <w:caps w:val="0"/>
        <w:noProof/>
      </w:rPr>
      <w:t>11</w:t>
    </w:r>
    <w:r w:rsidRPr="007448F7">
      <w:rPr>
        <w:rStyle w:val="PageNumber"/>
        <w:caps w:val="0"/>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01867" w:rsidTr="005F48ED">
      <w:trPr>
        <w:trHeight w:hRule="exact" w:val="567"/>
      </w:trPr>
      <w:tc>
        <w:tcPr>
          <w:tcW w:w="510" w:type="dxa"/>
        </w:tcPr>
        <w:p w:rsidR="00201867" w:rsidRPr="00A24443" w:rsidRDefault="00201867"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1675E">
            <w:rPr>
              <w:rStyle w:val="PageNumber"/>
              <w:caps w:val="0"/>
              <w:noProof/>
            </w:rPr>
            <w:t>16</w:t>
          </w:r>
          <w:r w:rsidRPr="00A24443">
            <w:rPr>
              <w:rStyle w:val="PageNumber"/>
              <w:caps w:val="0"/>
            </w:rPr>
            <w:fldChar w:fldCharType="end"/>
          </w:r>
        </w:p>
      </w:tc>
      <w:tc>
        <w:tcPr>
          <w:tcW w:w="7767" w:type="dxa"/>
        </w:tcPr>
        <w:p w:rsidR="00201867" w:rsidRPr="0013739A" w:rsidRDefault="00201867" w:rsidP="002B4B0A">
          <w:pPr>
            <w:pStyle w:val="Footer"/>
            <w:rPr>
              <w:rFonts w:cs="Arial"/>
            </w:rPr>
          </w:pPr>
          <w:bookmarkStart w:id="17" w:name="DraftReportEven"/>
          <w:bookmarkEnd w:id="17"/>
          <w:r>
            <w:rPr>
              <w:rFonts w:cs="Arial"/>
            </w:rPr>
            <w:t>Staff working paper</w:t>
          </w:r>
        </w:p>
      </w:tc>
      <w:tc>
        <w:tcPr>
          <w:tcW w:w="510" w:type="dxa"/>
        </w:tcPr>
        <w:p w:rsidR="00201867" w:rsidRDefault="00201867" w:rsidP="0019293B">
          <w:pPr>
            <w:pStyle w:val="Footer"/>
          </w:pPr>
        </w:p>
      </w:tc>
    </w:tr>
  </w:tbl>
  <w:p w:rsidR="00201867" w:rsidRDefault="00201867" w:rsidP="0019293B">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01867" w:rsidTr="005F48ED">
      <w:trPr>
        <w:trHeight w:hRule="exact" w:val="567"/>
      </w:trPr>
      <w:tc>
        <w:tcPr>
          <w:tcW w:w="510" w:type="dxa"/>
        </w:tcPr>
        <w:p w:rsidR="00201867" w:rsidRDefault="00201867">
          <w:pPr>
            <w:pStyle w:val="Footer"/>
            <w:ind w:right="360" w:firstLine="360"/>
          </w:pPr>
        </w:p>
      </w:tc>
      <w:tc>
        <w:tcPr>
          <w:tcW w:w="7767" w:type="dxa"/>
        </w:tcPr>
        <w:p w:rsidR="00201867" w:rsidRPr="00BA5B14" w:rsidRDefault="00201867" w:rsidP="0013739A">
          <w:pPr>
            <w:pStyle w:val="Footer"/>
            <w:jc w:val="right"/>
            <w:rPr>
              <w:rFonts w:cs="Arial"/>
            </w:rPr>
          </w:pPr>
          <w:r>
            <w:rPr>
              <w:rFonts w:cs="Arial"/>
            </w:rPr>
            <w:t>Unifying partial and GEM for applied policy analysis</w:t>
          </w:r>
          <w:bookmarkStart w:id="18" w:name="DraftReportOdd"/>
          <w:bookmarkEnd w:id="18"/>
        </w:p>
      </w:tc>
      <w:tc>
        <w:tcPr>
          <w:tcW w:w="510" w:type="dxa"/>
        </w:tcPr>
        <w:p w:rsidR="00201867" w:rsidRPr="00A24443" w:rsidRDefault="0020186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1675E">
            <w:rPr>
              <w:rStyle w:val="PageNumber"/>
              <w:caps w:val="0"/>
              <w:noProof/>
            </w:rPr>
            <w:t>17</w:t>
          </w:r>
          <w:r w:rsidRPr="00A24443">
            <w:rPr>
              <w:rStyle w:val="PageNumber"/>
              <w:caps w:val="0"/>
            </w:rPr>
            <w:fldChar w:fldCharType="end"/>
          </w:r>
        </w:p>
      </w:tc>
    </w:tr>
  </w:tbl>
  <w:p w:rsidR="00201867" w:rsidRDefault="00201867">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867" w:rsidRDefault="00201867">
      <w:r>
        <w:separator/>
      </w:r>
    </w:p>
  </w:footnote>
  <w:footnote w:type="continuationSeparator" w:id="0">
    <w:p w:rsidR="00201867" w:rsidRDefault="00201867">
      <w:r>
        <w:continuationSeparator/>
      </w:r>
    </w:p>
  </w:footnote>
  <w:footnote w:id="1">
    <w:p w:rsidR="00201867" w:rsidRDefault="00201867" w:rsidP="00965C6A">
      <w:pPr>
        <w:pStyle w:val="FootnoteText"/>
      </w:pPr>
      <w:r>
        <w:rPr>
          <w:rStyle w:val="FootnoteReference"/>
        </w:rPr>
        <w:footnoteRef/>
      </w:r>
      <w:r>
        <w:tab/>
      </w:r>
      <w:r w:rsidRPr="002204AE">
        <w:t>In September 2016, extreme weather events damaged key components of South Australia’s energy supply infrastructure, causing large-scale blackouts. In particular, damage to the interconnector to Victoria (an adjacent state that is able to supply large volumes of  brown-coal-generated electricity to South Australia) limited South Australia’s ability to import electricity. South Australia’s primary means of local generation are wind, solar and gas, having shut down coal in May 2016. In particular, wind generation had to be shut down due to the high intensity winds. In the wake of the event, there were a number of discussions around the reliability of wind supply, the role of non-renewable generators in baseload, interstate trade in power, and insuring against future risks (ABC 2016).</w:t>
      </w:r>
    </w:p>
  </w:footnote>
  <w:footnote w:id="2">
    <w:p w:rsidR="00201867" w:rsidRDefault="00201867" w:rsidP="00965C6A">
      <w:pPr>
        <w:pStyle w:val="FootnoteText"/>
      </w:pPr>
      <w:r>
        <w:rPr>
          <w:rStyle w:val="FootnoteReference"/>
        </w:rPr>
        <w:footnoteRef/>
      </w:r>
      <w:r>
        <w:tab/>
      </w:r>
      <w:r w:rsidRPr="002204AE">
        <w:t>PE models are taken to be spatial and temporal price and allocation models pioneered by Takayama and Judge, and Plesner and Heady, and which have been adapted and widely applied to study policy issues relating to trade, environment, natural resources, energy and agriculture.</w:t>
      </w:r>
    </w:p>
  </w:footnote>
  <w:footnote w:id="3">
    <w:p w:rsidR="00201867" w:rsidRDefault="00201867" w:rsidP="00965C6A">
      <w:pPr>
        <w:pStyle w:val="FootnoteText"/>
      </w:pPr>
      <w:r>
        <w:rPr>
          <w:rStyle w:val="FootnoteReference"/>
        </w:rPr>
        <w:footnoteRef/>
      </w:r>
      <w:r>
        <w:tab/>
      </w:r>
      <w:r w:rsidRPr="002204AE">
        <w:t xml:space="preserve">The symbol </w:t>
      </w:r>
      <w:r w:rsidRPr="002204AE">
        <w:rPr>
          <w:rFonts w:ascii="Cambria Math" w:hAnsi="Cambria Math" w:cs="Cambria Math"/>
        </w:rPr>
        <w:t>⊥</w:t>
      </w:r>
      <w:r w:rsidRPr="002204AE">
        <w:t xml:space="preserve"> is read to mean that at least one of either the right-hand-side or left-hand-side inequalities must hold with equality. PREC is the price of renewable energy certificates in $m per GWh. AggDuration(b) is the electricity system aggregate duration in hours by load block b. QGO(b,reps) is the level of generation output in GW of renewable plant reps in load block b. RetTargetBar is the level of the renewable energy target (GWh).</w:t>
      </w:r>
    </w:p>
  </w:footnote>
  <w:footnote w:id="4">
    <w:p w:rsidR="00201867" w:rsidRDefault="00201867" w:rsidP="00965C6A">
      <w:pPr>
        <w:pStyle w:val="FootnoteText"/>
      </w:pPr>
      <w:r>
        <w:rPr>
          <w:rStyle w:val="FootnoteReference"/>
        </w:rPr>
        <w:footnoteRef/>
      </w:r>
      <w:r>
        <w:tab/>
      </w:r>
      <w:r w:rsidRPr="002204AE">
        <w:t>PRESUR is the price of the renewable energy surcharge on electricity sold to end users, measured in $m per GWh. QD(b,n) is the electricity demanded at the node n (where ‘n2’ is the demand node) in each load block b, measured in GW.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201867">
      <w:tc>
        <w:tcPr>
          <w:tcW w:w="2155" w:type="dxa"/>
          <w:tcBorders>
            <w:top w:val="single" w:sz="24" w:space="0" w:color="auto"/>
          </w:tcBorders>
        </w:tcPr>
        <w:p w:rsidR="00201867" w:rsidRDefault="00201867">
          <w:pPr>
            <w:pStyle w:val="Header"/>
          </w:pPr>
        </w:p>
      </w:tc>
      <w:tc>
        <w:tcPr>
          <w:tcW w:w="6634" w:type="dxa"/>
          <w:tcBorders>
            <w:top w:val="single" w:sz="6" w:space="0" w:color="auto"/>
          </w:tcBorders>
        </w:tcPr>
        <w:p w:rsidR="00201867" w:rsidRDefault="00201867">
          <w:pPr>
            <w:pStyle w:val="Header"/>
          </w:pPr>
        </w:p>
      </w:tc>
    </w:tr>
  </w:tbl>
  <w:p w:rsidR="00201867" w:rsidRDefault="00201867">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01867" w:rsidTr="00BB1E4E">
      <w:tc>
        <w:tcPr>
          <w:tcW w:w="6634" w:type="dxa"/>
          <w:tcBorders>
            <w:top w:val="single" w:sz="6" w:space="0" w:color="auto"/>
          </w:tcBorders>
        </w:tcPr>
        <w:p w:rsidR="00201867" w:rsidRDefault="00201867" w:rsidP="00BB1E4E">
          <w:pPr>
            <w:pStyle w:val="HeaderOdd"/>
          </w:pPr>
        </w:p>
      </w:tc>
      <w:tc>
        <w:tcPr>
          <w:tcW w:w="2155" w:type="dxa"/>
          <w:tcBorders>
            <w:top w:val="single" w:sz="24" w:space="0" w:color="auto"/>
          </w:tcBorders>
        </w:tcPr>
        <w:p w:rsidR="00201867" w:rsidRDefault="00201867" w:rsidP="00BB1E4E">
          <w:pPr>
            <w:pStyle w:val="HeaderOdd"/>
          </w:pPr>
        </w:p>
      </w:tc>
    </w:tr>
  </w:tbl>
  <w:p w:rsidR="00201867" w:rsidRPr="005C68FE" w:rsidRDefault="00201867" w:rsidP="00BB1E4E">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01867">
      <w:tc>
        <w:tcPr>
          <w:tcW w:w="2155" w:type="dxa"/>
          <w:tcBorders>
            <w:top w:val="single" w:sz="24" w:space="0" w:color="auto"/>
          </w:tcBorders>
        </w:tcPr>
        <w:p w:rsidR="00201867" w:rsidRDefault="00201867" w:rsidP="00965C6A">
          <w:pPr>
            <w:pStyle w:val="HeaderEven"/>
          </w:pPr>
        </w:p>
      </w:tc>
      <w:tc>
        <w:tcPr>
          <w:tcW w:w="6634" w:type="dxa"/>
          <w:tcBorders>
            <w:top w:val="single" w:sz="6" w:space="0" w:color="auto"/>
          </w:tcBorders>
        </w:tcPr>
        <w:p w:rsidR="00201867" w:rsidRDefault="00201867" w:rsidP="00965C6A">
          <w:pPr>
            <w:pStyle w:val="HeaderEven"/>
          </w:pPr>
        </w:p>
      </w:tc>
    </w:tr>
  </w:tbl>
  <w:p w:rsidR="00201867" w:rsidRDefault="00201867" w:rsidP="00965C6A">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01867" w:rsidTr="00BB1E4E">
      <w:tc>
        <w:tcPr>
          <w:tcW w:w="6634" w:type="dxa"/>
          <w:tcBorders>
            <w:top w:val="single" w:sz="6" w:space="0" w:color="auto"/>
          </w:tcBorders>
        </w:tcPr>
        <w:p w:rsidR="00201867" w:rsidRDefault="00201867" w:rsidP="00BB1E4E">
          <w:pPr>
            <w:pStyle w:val="HeaderOdd"/>
          </w:pPr>
        </w:p>
      </w:tc>
      <w:tc>
        <w:tcPr>
          <w:tcW w:w="2155" w:type="dxa"/>
          <w:tcBorders>
            <w:top w:val="single" w:sz="24" w:space="0" w:color="auto"/>
          </w:tcBorders>
        </w:tcPr>
        <w:p w:rsidR="00201867" w:rsidRDefault="00201867" w:rsidP="00BB1E4E">
          <w:pPr>
            <w:pStyle w:val="HeaderOdd"/>
          </w:pPr>
        </w:p>
      </w:tc>
    </w:tr>
  </w:tbl>
  <w:p w:rsidR="00201867" w:rsidRPr="005C68FE" w:rsidRDefault="00201867" w:rsidP="00BB1E4E">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67" w:rsidRPr="00C31D40" w:rsidRDefault="00201867" w:rsidP="00C31D4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67" w:rsidRPr="00C31D40" w:rsidRDefault="00201867" w:rsidP="00C31D4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01867">
      <w:tc>
        <w:tcPr>
          <w:tcW w:w="2155" w:type="dxa"/>
          <w:tcBorders>
            <w:top w:val="single" w:sz="24" w:space="0" w:color="auto"/>
          </w:tcBorders>
        </w:tcPr>
        <w:p w:rsidR="00201867" w:rsidRDefault="00201867" w:rsidP="0019293B">
          <w:pPr>
            <w:pStyle w:val="HeaderEven"/>
          </w:pPr>
        </w:p>
      </w:tc>
      <w:tc>
        <w:tcPr>
          <w:tcW w:w="6634" w:type="dxa"/>
          <w:tcBorders>
            <w:top w:val="single" w:sz="6" w:space="0" w:color="auto"/>
          </w:tcBorders>
        </w:tcPr>
        <w:p w:rsidR="00201867" w:rsidRDefault="00201867" w:rsidP="0019293B">
          <w:pPr>
            <w:pStyle w:val="HeaderEven"/>
          </w:pPr>
        </w:p>
      </w:tc>
    </w:tr>
  </w:tbl>
  <w:p w:rsidR="00201867" w:rsidRDefault="00201867" w:rsidP="0019293B">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01867">
      <w:tc>
        <w:tcPr>
          <w:tcW w:w="6634" w:type="dxa"/>
          <w:tcBorders>
            <w:top w:val="single" w:sz="6" w:space="0" w:color="auto"/>
          </w:tcBorders>
        </w:tcPr>
        <w:p w:rsidR="00201867" w:rsidRDefault="00201867" w:rsidP="00E669E2">
          <w:pPr>
            <w:pStyle w:val="HeaderOdd"/>
          </w:pPr>
        </w:p>
      </w:tc>
      <w:tc>
        <w:tcPr>
          <w:tcW w:w="2155" w:type="dxa"/>
          <w:tcBorders>
            <w:top w:val="single" w:sz="24" w:space="0" w:color="auto"/>
          </w:tcBorders>
        </w:tcPr>
        <w:p w:rsidR="00201867" w:rsidRDefault="00201867" w:rsidP="00E669E2">
          <w:pPr>
            <w:pStyle w:val="HeaderOdd"/>
          </w:pPr>
        </w:p>
      </w:tc>
    </w:tr>
  </w:tbl>
  <w:p w:rsidR="00201867" w:rsidRDefault="00201867"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EAA4906"/>
    <w:multiLevelType w:val="hybridMultilevel"/>
    <w:tmpl w:val="89202716"/>
    <w:lvl w:ilvl="0" w:tplc="6C686D5A">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C250C3"/>
    <w:multiLevelType w:val="hybridMultilevel"/>
    <w:tmpl w:val="4DEA9C0E"/>
    <w:lvl w:ilvl="0" w:tplc="429A622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5"/>
  </w:num>
  <w:num w:numId="4">
    <w:abstractNumId w:val="3"/>
  </w:num>
  <w:num w:numId="5">
    <w:abstractNumId w:val="20"/>
  </w:num>
  <w:num w:numId="6">
    <w:abstractNumId w:val="17"/>
  </w:num>
  <w:num w:numId="7">
    <w:abstractNumId w:val="7"/>
  </w:num>
  <w:num w:numId="8">
    <w:abstractNumId w:val="16"/>
  </w:num>
  <w:num w:numId="9">
    <w:abstractNumId w:val="6"/>
  </w:num>
  <w:num w:numId="10">
    <w:abstractNumId w:val="5"/>
  </w:num>
  <w:num w:numId="11">
    <w:abstractNumId w:val="9"/>
  </w:num>
  <w:num w:numId="12">
    <w:abstractNumId w:val="10"/>
  </w:num>
  <w:num w:numId="13">
    <w:abstractNumId w:val="4"/>
  </w:num>
  <w:num w:numId="14">
    <w:abstractNumId w:val="18"/>
  </w:num>
  <w:num w:numId="15">
    <w:abstractNumId w:val="21"/>
  </w:num>
  <w:num w:numId="16">
    <w:abstractNumId w:val="13"/>
  </w:num>
  <w:num w:numId="17">
    <w:abstractNumId w:val="22"/>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8"/>
  </w:num>
  <w:num w:numId="22">
    <w:abstractNumId w:val="12"/>
  </w:num>
  <w:num w:numId="2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Staff Working Paper"/>
    <w:docVar w:name="ShortReportTitle" w:val="Unifying partial and general equilibrium modelling for applied policy analysis"/>
  </w:docVars>
  <w:rsids>
    <w:rsidRoot w:val="00AF40E2"/>
    <w:rsid w:val="000227D5"/>
    <w:rsid w:val="000245AA"/>
    <w:rsid w:val="0003664B"/>
    <w:rsid w:val="0004111F"/>
    <w:rsid w:val="00055077"/>
    <w:rsid w:val="000565B3"/>
    <w:rsid w:val="0006758A"/>
    <w:rsid w:val="0007150B"/>
    <w:rsid w:val="000938F5"/>
    <w:rsid w:val="00095663"/>
    <w:rsid w:val="00096E55"/>
    <w:rsid w:val="0009783E"/>
    <w:rsid w:val="000B1022"/>
    <w:rsid w:val="000B601B"/>
    <w:rsid w:val="000C207E"/>
    <w:rsid w:val="000D41E9"/>
    <w:rsid w:val="000E626A"/>
    <w:rsid w:val="000F0035"/>
    <w:rsid w:val="000F04E7"/>
    <w:rsid w:val="000F060A"/>
    <w:rsid w:val="000F420B"/>
    <w:rsid w:val="000F539C"/>
    <w:rsid w:val="00106912"/>
    <w:rsid w:val="00110116"/>
    <w:rsid w:val="00120072"/>
    <w:rsid w:val="00126EB8"/>
    <w:rsid w:val="001274D4"/>
    <w:rsid w:val="00132CC2"/>
    <w:rsid w:val="001363AA"/>
    <w:rsid w:val="0013739A"/>
    <w:rsid w:val="00142165"/>
    <w:rsid w:val="001555C8"/>
    <w:rsid w:val="00162434"/>
    <w:rsid w:val="00183E82"/>
    <w:rsid w:val="001878BB"/>
    <w:rsid w:val="00191AE0"/>
    <w:rsid w:val="0019293B"/>
    <w:rsid w:val="0019426B"/>
    <w:rsid w:val="00194D0E"/>
    <w:rsid w:val="001A6A4B"/>
    <w:rsid w:val="001C0865"/>
    <w:rsid w:val="001C0AED"/>
    <w:rsid w:val="001C3ABA"/>
    <w:rsid w:val="001C5111"/>
    <w:rsid w:val="001E7BE8"/>
    <w:rsid w:val="001F0248"/>
    <w:rsid w:val="001F3EB3"/>
    <w:rsid w:val="001F4F86"/>
    <w:rsid w:val="00201867"/>
    <w:rsid w:val="00202C2C"/>
    <w:rsid w:val="00203050"/>
    <w:rsid w:val="002135AB"/>
    <w:rsid w:val="002144BE"/>
    <w:rsid w:val="00223138"/>
    <w:rsid w:val="002320B8"/>
    <w:rsid w:val="00242279"/>
    <w:rsid w:val="00243997"/>
    <w:rsid w:val="0024516C"/>
    <w:rsid w:val="00245C82"/>
    <w:rsid w:val="002724BA"/>
    <w:rsid w:val="002901DB"/>
    <w:rsid w:val="00291B40"/>
    <w:rsid w:val="002B4008"/>
    <w:rsid w:val="002B4B0A"/>
    <w:rsid w:val="002C439F"/>
    <w:rsid w:val="002C5A8C"/>
    <w:rsid w:val="002C6BBC"/>
    <w:rsid w:val="002C7272"/>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A3B23"/>
    <w:rsid w:val="003B23C2"/>
    <w:rsid w:val="003C38B5"/>
    <w:rsid w:val="003C5D99"/>
    <w:rsid w:val="003D1087"/>
    <w:rsid w:val="003E2F59"/>
    <w:rsid w:val="003E746B"/>
    <w:rsid w:val="003F0789"/>
    <w:rsid w:val="00401882"/>
    <w:rsid w:val="00403AAD"/>
    <w:rsid w:val="00405E8A"/>
    <w:rsid w:val="004100C8"/>
    <w:rsid w:val="00411DBD"/>
    <w:rsid w:val="00412ACE"/>
    <w:rsid w:val="004145D2"/>
    <w:rsid w:val="00425128"/>
    <w:rsid w:val="00426CB4"/>
    <w:rsid w:val="00431249"/>
    <w:rsid w:val="00434C19"/>
    <w:rsid w:val="00450810"/>
    <w:rsid w:val="00460F20"/>
    <w:rsid w:val="00462C59"/>
    <w:rsid w:val="00470737"/>
    <w:rsid w:val="00476DFA"/>
    <w:rsid w:val="00477144"/>
    <w:rsid w:val="00491380"/>
    <w:rsid w:val="0049459F"/>
    <w:rsid w:val="004A38DD"/>
    <w:rsid w:val="004B43AE"/>
    <w:rsid w:val="004C30ED"/>
    <w:rsid w:val="004D363A"/>
    <w:rsid w:val="004D5675"/>
    <w:rsid w:val="004E3319"/>
    <w:rsid w:val="0051306E"/>
    <w:rsid w:val="00517795"/>
    <w:rsid w:val="00523639"/>
    <w:rsid w:val="00531FE5"/>
    <w:rsid w:val="005360C6"/>
    <w:rsid w:val="005402FA"/>
    <w:rsid w:val="00541E1A"/>
    <w:rsid w:val="00544D0B"/>
    <w:rsid w:val="00554F2C"/>
    <w:rsid w:val="005729BD"/>
    <w:rsid w:val="00573437"/>
    <w:rsid w:val="00573BE3"/>
    <w:rsid w:val="00580154"/>
    <w:rsid w:val="00583C39"/>
    <w:rsid w:val="00586A90"/>
    <w:rsid w:val="00587F28"/>
    <w:rsid w:val="005909CF"/>
    <w:rsid w:val="00591E71"/>
    <w:rsid w:val="005A0D41"/>
    <w:rsid w:val="005D329F"/>
    <w:rsid w:val="005E7E20"/>
    <w:rsid w:val="005F1074"/>
    <w:rsid w:val="005F48ED"/>
    <w:rsid w:val="00606E78"/>
    <w:rsid w:val="00607BF1"/>
    <w:rsid w:val="00630D4D"/>
    <w:rsid w:val="00632A74"/>
    <w:rsid w:val="00654D42"/>
    <w:rsid w:val="00666E02"/>
    <w:rsid w:val="006A4655"/>
    <w:rsid w:val="006A7758"/>
    <w:rsid w:val="006B2B3C"/>
    <w:rsid w:val="006B75F9"/>
    <w:rsid w:val="006C1D81"/>
    <w:rsid w:val="006C7038"/>
    <w:rsid w:val="006E73EF"/>
    <w:rsid w:val="007024BC"/>
    <w:rsid w:val="007079C9"/>
    <w:rsid w:val="00714D4D"/>
    <w:rsid w:val="007266D3"/>
    <w:rsid w:val="00732029"/>
    <w:rsid w:val="007604BB"/>
    <w:rsid w:val="00772909"/>
    <w:rsid w:val="007801F8"/>
    <w:rsid w:val="00785232"/>
    <w:rsid w:val="0079701E"/>
    <w:rsid w:val="007A21EB"/>
    <w:rsid w:val="007B1A93"/>
    <w:rsid w:val="007C36C9"/>
    <w:rsid w:val="007D6401"/>
    <w:rsid w:val="007E01E4"/>
    <w:rsid w:val="007E7A12"/>
    <w:rsid w:val="007F7107"/>
    <w:rsid w:val="00800D4C"/>
    <w:rsid w:val="0081030F"/>
    <w:rsid w:val="00812F4A"/>
    <w:rsid w:val="0082087D"/>
    <w:rsid w:val="00835771"/>
    <w:rsid w:val="00842933"/>
    <w:rsid w:val="0086082C"/>
    <w:rsid w:val="00864ADC"/>
    <w:rsid w:val="00875B4A"/>
    <w:rsid w:val="00880153"/>
    <w:rsid w:val="00880F97"/>
    <w:rsid w:val="0088133A"/>
    <w:rsid w:val="0089285E"/>
    <w:rsid w:val="0089436C"/>
    <w:rsid w:val="008A57F3"/>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5C6A"/>
    <w:rsid w:val="00967CD3"/>
    <w:rsid w:val="00990C2C"/>
    <w:rsid w:val="009A5171"/>
    <w:rsid w:val="009E0D8E"/>
    <w:rsid w:val="009E1844"/>
    <w:rsid w:val="009F0D1B"/>
    <w:rsid w:val="009F53DD"/>
    <w:rsid w:val="009F5BBD"/>
    <w:rsid w:val="009F696D"/>
    <w:rsid w:val="009F6BC6"/>
    <w:rsid w:val="009F74EF"/>
    <w:rsid w:val="00A02826"/>
    <w:rsid w:val="00A15D5A"/>
    <w:rsid w:val="00A17328"/>
    <w:rsid w:val="00A23A20"/>
    <w:rsid w:val="00A24443"/>
    <w:rsid w:val="00A2483E"/>
    <w:rsid w:val="00A268B9"/>
    <w:rsid w:val="00A2703A"/>
    <w:rsid w:val="00A33DFF"/>
    <w:rsid w:val="00A35115"/>
    <w:rsid w:val="00A36D9A"/>
    <w:rsid w:val="00A451DC"/>
    <w:rsid w:val="00A554AB"/>
    <w:rsid w:val="00A57062"/>
    <w:rsid w:val="00A67781"/>
    <w:rsid w:val="00A761F9"/>
    <w:rsid w:val="00A92B53"/>
    <w:rsid w:val="00A94FA6"/>
    <w:rsid w:val="00A964AC"/>
    <w:rsid w:val="00AA49A0"/>
    <w:rsid w:val="00AA6710"/>
    <w:rsid w:val="00AA7D5A"/>
    <w:rsid w:val="00AB0681"/>
    <w:rsid w:val="00AC3A15"/>
    <w:rsid w:val="00AD23F0"/>
    <w:rsid w:val="00AD520B"/>
    <w:rsid w:val="00AE3BCC"/>
    <w:rsid w:val="00AE479D"/>
    <w:rsid w:val="00AE5CE2"/>
    <w:rsid w:val="00AF40E2"/>
    <w:rsid w:val="00B1675E"/>
    <w:rsid w:val="00B425C3"/>
    <w:rsid w:val="00B4373D"/>
    <w:rsid w:val="00B440AD"/>
    <w:rsid w:val="00B479BB"/>
    <w:rsid w:val="00B53E7E"/>
    <w:rsid w:val="00B6342E"/>
    <w:rsid w:val="00B7113F"/>
    <w:rsid w:val="00BA2BCF"/>
    <w:rsid w:val="00BA5B14"/>
    <w:rsid w:val="00BA73B6"/>
    <w:rsid w:val="00BA7772"/>
    <w:rsid w:val="00BA7E27"/>
    <w:rsid w:val="00BB1E4E"/>
    <w:rsid w:val="00BB2603"/>
    <w:rsid w:val="00BB4FCD"/>
    <w:rsid w:val="00BC04E9"/>
    <w:rsid w:val="00BD13EA"/>
    <w:rsid w:val="00BD1B4D"/>
    <w:rsid w:val="00BE3808"/>
    <w:rsid w:val="00BE530F"/>
    <w:rsid w:val="00BE7D03"/>
    <w:rsid w:val="00C03B88"/>
    <w:rsid w:val="00C062E9"/>
    <w:rsid w:val="00C069AA"/>
    <w:rsid w:val="00C07B64"/>
    <w:rsid w:val="00C13721"/>
    <w:rsid w:val="00C14FE4"/>
    <w:rsid w:val="00C3066D"/>
    <w:rsid w:val="00C31D40"/>
    <w:rsid w:val="00C52416"/>
    <w:rsid w:val="00C54243"/>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CF47F6"/>
    <w:rsid w:val="00D270A4"/>
    <w:rsid w:val="00D31FE9"/>
    <w:rsid w:val="00D34E1B"/>
    <w:rsid w:val="00D376BA"/>
    <w:rsid w:val="00D434A0"/>
    <w:rsid w:val="00D45634"/>
    <w:rsid w:val="00D5568A"/>
    <w:rsid w:val="00D63D73"/>
    <w:rsid w:val="00D64452"/>
    <w:rsid w:val="00D66E1E"/>
    <w:rsid w:val="00D70696"/>
    <w:rsid w:val="00D75722"/>
    <w:rsid w:val="00D80CF5"/>
    <w:rsid w:val="00D91B9D"/>
    <w:rsid w:val="00DA5BBA"/>
    <w:rsid w:val="00DB26D2"/>
    <w:rsid w:val="00DB67C9"/>
    <w:rsid w:val="00DC0C95"/>
    <w:rsid w:val="00DC4F0B"/>
    <w:rsid w:val="00DD6580"/>
    <w:rsid w:val="00E01D7F"/>
    <w:rsid w:val="00E03588"/>
    <w:rsid w:val="00E05C03"/>
    <w:rsid w:val="00E17C72"/>
    <w:rsid w:val="00E21FC6"/>
    <w:rsid w:val="00E431A9"/>
    <w:rsid w:val="00E455AB"/>
    <w:rsid w:val="00E47E1E"/>
    <w:rsid w:val="00E669E2"/>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D1DD1"/>
    <w:rsid w:val="00FD22B1"/>
    <w:rsid w:val="00FD33F1"/>
    <w:rsid w:val="00FD3566"/>
    <w:rsid w:val="00FE3C71"/>
    <w:rsid w:val="00FE5397"/>
    <w:rsid w:val="00FF2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28056FB-EBD8-4FDF-8750-5F6A9F55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C6A"/>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uiPriority w:val="35"/>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uiPriority w:val="99"/>
    <w:semiHidden/>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uiPriority w:val="99"/>
    <w:rsid w:val="006B2B3C"/>
    <w:rPr>
      <w:rFonts w:ascii="Tahoma" w:hAnsi="Tahoma" w:cs="Tahoma"/>
      <w:sz w:val="16"/>
      <w:szCs w:val="16"/>
    </w:rPr>
  </w:style>
  <w:style w:type="character" w:customStyle="1" w:styleId="BalloonTextChar">
    <w:name w:val="Balloon Text Char"/>
    <w:basedOn w:val="DefaultParagraphFont"/>
    <w:link w:val="BalloonText"/>
    <w:uiPriority w:val="99"/>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ListParagraph">
    <w:name w:val="List Paragraph"/>
    <w:basedOn w:val="Normal"/>
    <w:uiPriority w:val="34"/>
    <w:qFormat/>
    <w:rsid w:val="00965C6A"/>
    <w:pPr>
      <w:ind w:left="720"/>
      <w:contextualSpacing/>
    </w:pPr>
  </w:style>
  <w:style w:type="character" w:customStyle="1" w:styleId="FootnoteTextChar">
    <w:name w:val="Footnote Text Char"/>
    <w:basedOn w:val="DefaultParagraphFont"/>
    <w:link w:val="FootnoteText"/>
    <w:uiPriority w:val="99"/>
    <w:rsid w:val="00965C6A"/>
  </w:style>
  <w:style w:type="character" w:customStyle="1" w:styleId="HeaderChar">
    <w:name w:val="Header Char"/>
    <w:basedOn w:val="DefaultParagraphFont"/>
    <w:link w:val="Header"/>
    <w:uiPriority w:val="99"/>
    <w:rsid w:val="00965C6A"/>
    <w:rPr>
      <w:rFonts w:ascii="Arial" w:hAnsi="Arial"/>
      <w:caps/>
      <w:sz w:val="24"/>
    </w:rPr>
  </w:style>
  <w:style w:type="character" w:styleId="Hyperlink">
    <w:name w:val="Hyperlink"/>
    <w:basedOn w:val="DefaultParagraphFont"/>
    <w:unhideWhenUsed/>
    <w:rsid w:val="00194D0E"/>
    <w:rPr>
      <w:color w:val="000000" w:themeColor="hyperlink"/>
      <w:u w:val="single"/>
    </w:rPr>
  </w:style>
  <w:style w:type="paragraph" w:customStyle="1" w:styleId="Heading1NotTOC">
    <w:name w:val="Heading 1 Not TOC"/>
    <w:basedOn w:val="Heading1"/>
    <w:next w:val="BodyText"/>
    <w:rsid w:val="00194D0E"/>
    <w:rPr>
      <w:kern w:val="28"/>
      <w:szCs w:val="26"/>
      <w:lang w:eastAsia="en-US"/>
    </w:rPr>
  </w:style>
  <w:style w:type="paragraph" w:customStyle="1" w:styleId="Copyrightheading">
    <w:name w:val="Copyright heading"/>
    <w:basedOn w:val="TOC1"/>
    <w:link w:val="CopyrightheadingChar"/>
    <w:qFormat/>
    <w:rsid w:val="00194D0E"/>
    <w:pPr>
      <w:spacing w:after="0" w:line="300" w:lineRule="exact"/>
    </w:pPr>
    <w:rPr>
      <w:rFonts w:eastAsia="Times New Roman" w:cs="Times New Roman"/>
      <w:sz w:val="22"/>
    </w:rPr>
  </w:style>
  <w:style w:type="character" w:customStyle="1" w:styleId="CopyrightheadingChar">
    <w:name w:val="Copyright heading Char"/>
    <w:basedOn w:val="TOC1Char"/>
    <w:link w:val="Copyrightheading"/>
    <w:rsid w:val="00194D0E"/>
    <w:rPr>
      <w:rFonts w:ascii="Arial" w:hAnsi="Arial"/>
      <w:b/>
      <w:sz w:val="22"/>
      <w:szCs w:val="26"/>
      <w:lang w:eastAsia="en-US"/>
    </w:rPr>
  </w:style>
  <w:style w:type="paragraph" w:customStyle="1" w:styleId="Copyrightsubtitle">
    <w:name w:val="Copyright subtitle"/>
    <w:basedOn w:val="BodyText"/>
    <w:rsid w:val="00194D0E"/>
    <w:rPr>
      <w:rFonts w:ascii="Arial" w:hAnsi="Arial"/>
      <w:b/>
      <w:sz w:val="22"/>
      <w:szCs w:val="25"/>
    </w:rPr>
  </w:style>
  <w:style w:type="paragraph" w:customStyle="1" w:styleId="Copyrightbodytext">
    <w:name w:val="Copyright bodytext"/>
    <w:basedOn w:val="BodyText"/>
    <w:link w:val="CopyrightbodytextChar"/>
    <w:qFormat/>
    <w:rsid w:val="00194D0E"/>
    <w:pPr>
      <w:spacing w:before="60"/>
    </w:pPr>
  </w:style>
  <w:style w:type="character" w:customStyle="1" w:styleId="CopyrightbodytextChar">
    <w:name w:val="Copyright bodytext Char"/>
    <w:basedOn w:val="BodyTextChar"/>
    <w:link w:val="Copyrightbodytext"/>
    <w:rsid w:val="00194D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847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gov.au/" TargetMode="External"/><Relationship Id="rId18" Type="http://schemas.openxmlformats.org/officeDocument/2006/relationships/header" Target="header3.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footer" Target="footer5.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image" Target="media/image5.emf"/><Relationship Id="rId10" Type="http://schemas.openxmlformats.org/officeDocument/2006/relationships/hyperlink" Target="http://creativecommons.org/licenses/by/3.0/au"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image" Target="media/image4.emf"/><Relationship Id="rId30" Type="http://schemas.openxmlformats.org/officeDocument/2006/relationships/header" Target="header7.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BFCA-25EC-440D-9655-7523CB6D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TotalTime>
  <Pages>28</Pages>
  <Words>8448</Words>
  <Characters>47622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Unifying Partial and General Equilibrium Modelling for Applied Policy Analysis - Staff Working Paper</vt:lpstr>
    </vt:vector>
  </TitlesOfParts>
  <Company>Productivity Commission</Company>
  <LinksUpToDate>false</LinksUpToDate>
  <CharactersWithSpaces>55959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Unifying Partial and General Equilibrium Modelling for Applied Policy Analysis - Staff Working Paper</dc:title>
  <dc:subject/>
  <dc:creator>Productivity Commission</dc:creator>
  <cp:keywords/>
  <dc:description>1.</dc:description>
  <cp:lastModifiedBy>Productivity Commission</cp:lastModifiedBy>
  <cp:revision>3</cp:revision>
  <cp:lastPrinted>2014-07-13T11:30:00Z</cp:lastPrinted>
  <dcterms:created xsi:type="dcterms:W3CDTF">2019-12-09T23:04:00Z</dcterms:created>
  <dcterms:modified xsi:type="dcterms:W3CDTF">2019-12-09T23:20:00Z</dcterms:modified>
</cp:coreProperties>
</file>