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Pr="00F47246" w:rsidRDefault="00921DF2" w:rsidP="008E6E84">
      <w:pPr>
        <w:pStyle w:val="Heading1"/>
      </w:pPr>
      <w:bookmarkStart w:id="0" w:name="_AppendixNotByChapter"/>
      <w:bookmarkStart w:id="1" w:name="ChapterNumber"/>
      <w:bookmarkStart w:id="2" w:name="_GoBack"/>
      <w:bookmarkEnd w:id="0"/>
      <w:bookmarkEnd w:id="2"/>
      <w:proofErr w:type="spellStart"/>
      <w:r w:rsidRPr="00F47246">
        <w:t>A</w:t>
      </w:r>
      <w:bookmarkStart w:id="3" w:name="ChapterTitle"/>
      <w:bookmarkEnd w:id="1"/>
      <w:bookmarkEnd w:id="3"/>
      <w:proofErr w:type="spellEnd"/>
      <w:r w:rsidRPr="00F47246">
        <w:tab/>
        <w:t xml:space="preserve">Appendix — </w:t>
      </w:r>
      <w:r w:rsidR="00B128F3">
        <w:t xml:space="preserve">National Agreements </w:t>
      </w:r>
    </w:p>
    <w:p w:rsidR="00921DF2" w:rsidRPr="00F47246" w:rsidRDefault="00921DF2">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shd w:val="clear" w:color="auto" w:fill="E6E6E6"/>
        <w:tblLayout w:type="fixed"/>
        <w:tblCellMar>
          <w:left w:w="142" w:type="dxa"/>
          <w:right w:w="142" w:type="dxa"/>
        </w:tblCellMar>
        <w:tblLook w:val="0000" w:firstRow="0" w:lastRow="0" w:firstColumn="0" w:lastColumn="0" w:noHBand="0" w:noVBand="0"/>
      </w:tblPr>
      <w:tblGrid>
        <w:gridCol w:w="8771"/>
      </w:tblGrid>
      <w:tr w:rsidR="00921DF2" w:rsidRPr="00F47246">
        <w:tc>
          <w:tcPr>
            <w:tcW w:w="8771" w:type="dxa"/>
            <w:tcBorders>
              <w:top w:val="single" w:sz="6" w:space="0" w:color="auto"/>
              <w:bottom w:val="nil"/>
            </w:tcBorders>
            <w:shd w:val="clear" w:color="auto" w:fill="E6E6E6"/>
          </w:tcPr>
          <w:p w:rsidR="00921DF2" w:rsidRPr="00F47246" w:rsidRDefault="00921DF2">
            <w:pPr>
              <w:pStyle w:val="BoxTitle"/>
            </w:pPr>
            <w:r w:rsidRPr="00F47246">
              <w:t>Attachment tables</w:t>
            </w:r>
          </w:p>
        </w:tc>
      </w:tr>
      <w:tr w:rsidR="00921DF2" w:rsidRPr="00F47246">
        <w:trPr>
          <w:cantSplit/>
        </w:trPr>
        <w:tc>
          <w:tcPr>
            <w:tcW w:w="8771" w:type="dxa"/>
            <w:tcBorders>
              <w:top w:val="nil"/>
              <w:left w:val="single" w:sz="4" w:space="0" w:color="auto"/>
              <w:bottom w:val="nil"/>
              <w:right w:val="single" w:sz="6" w:space="0" w:color="auto"/>
            </w:tcBorders>
            <w:shd w:val="clear" w:color="auto" w:fill="E6E6E6"/>
          </w:tcPr>
          <w:p w:rsidR="00921DF2" w:rsidRPr="00F47246" w:rsidRDefault="00921DF2" w:rsidP="00565699">
            <w:pPr>
              <w:pStyle w:val="Box"/>
            </w:pPr>
            <w:r w:rsidRPr="00F47246">
              <w:t xml:space="preserve">Attachment tables are identified in references throughout this appendix by an ‘AA’ </w:t>
            </w:r>
            <w:r w:rsidR="00890E4B" w:rsidRPr="00F47246">
              <w:t>prefix</w:t>
            </w:r>
            <w:r w:rsidRPr="00F47246">
              <w:t xml:space="preserve"> (for example, table</w:t>
            </w:r>
            <w:r w:rsidR="008D71CB" w:rsidRPr="00F47246">
              <w:t> </w:t>
            </w:r>
            <w:proofErr w:type="spellStart"/>
            <w:r w:rsidRPr="00F47246">
              <w:t>AA.3</w:t>
            </w:r>
            <w:proofErr w:type="spellEnd"/>
            <w:r w:rsidRPr="00F47246">
              <w:t>). A full list of attachment tables is provided at the end of this appendix.</w:t>
            </w:r>
          </w:p>
        </w:tc>
      </w:tr>
      <w:tr w:rsidR="00921DF2" w:rsidRPr="00F47246">
        <w:trPr>
          <w:cantSplit/>
        </w:trPr>
        <w:tc>
          <w:tcPr>
            <w:tcW w:w="8771" w:type="dxa"/>
            <w:tcBorders>
              <w:top w:val="nil"/>
              <w:left w:val="single" w:sz="6" w:space="0" w:color="auto"/>
              <w:bottom w:val="single" w:sz="6" w:space="0" w:color="auto"/>
              <w:right w:val="single" w:sz="6" w:space="0" w:color="auto"/>
            </w:tcBorders>
            <w:shd w:val="clear" w:color="auto" w:fill="E6E6E6"/>
          </w:tcPr>
          <w:p w:rsidR="00921DF2" w:rsidRPr="00F47246" w:rsidRDefault="00921DF2">
            <w:pPr>
              <w:pStyle w:val="Box"/>
              <w:spacing w:before="0" w:line="120" w:lineRule="exact"/>
            </w:pPr>
          </w:p>
        </w:tc>
      </w:tr>
      <w:tr w:rsidR="00921DF2" w:rsidRPr="00F47246">
        <w:tc>
          <w:tcPr>
            <w:tcW w:w="8771" w:type="dxa"/>
            <w:tcBorders>
              <w:top w:val="single" w:sz="6" w:space="0" w:color="auto"/>
              <w:left w:val="nil"/>
              <w:bottom w:val="nil"/>
              <w:right w:val="nil"/>
            </w:tcBorders>
            <w:shd w:val="clear" w:color="auto" w:fill="auto"/>
          </w:tcPr>
          <w:p w:rsidR="00921DF2" w:rsidRPr="00F47246" w:rsidRDefault="00921DF2">
            <w:pPr>
              <w:pStyle w:val="Box"/>
              <w:keepNext w:val="0"/>
              <w:spacing w:before="60" w:after="60" w:line="80" w:lineRule="exact"/>
              <w:rPr>
                <w:b/>
                <w:color w:val="FF00FF"/>
                <w:sz w:val="14"/>
              </w:rPr>
            </w:pPr>
          </w:p>
        </w:tc>
      </w:tr>
    </w:tbl>
    <w:p w:rsidR="00921DF2" w:rsidRPr="00F47246" w:rsidRDefault="00E740CB" w:rsidP="00921DF2">
      <w:pPr>
        <w:pStyle w:val="Heading2"/>
      </w:pPr>
      <w:proofErr w:type="spellStart"/>
      <w:r w:rsidRPr="00F47246">
        <w:t>A.</w:t>
      </w:r>
      <w:r w:rsidR="00921DF2" w:rsidRPr="00F47246">
        <w:fldChar w:fldCharType="begin"/>
      </w:r>
      <w:r w:rsidR="00921DF2" w:rsidRPr="00F47246">
        <w:instrText xml:space="preserve"> COMMENTS  \* MERGEFORMAT </w:instrText>
      </w:r>
      <w:r w:rsidR="00921DF2" w:rsidRPr="00F47246">
        <w:fldChar w:fldCharType="end"/>
      </w:r>
      <w:r w:rsidR="00757965">
        <w:fldChar w:fldCharType="begin"/>
      </w:r>
      <w:r w:rsidR="00757965">
        <w:instrText xml:space="preserve"> SEQ Heading2 </w:instrText>
      </w:r>
      <w:r w:rsidR="00757965">
        <w:fldChar w:fldCharType="separate"/>
      </w:r>
      <w:r w:rsidR="00856D3A">
        <w:rPr>
          <w:noProof/>
        </w:rPr>
        <w:t>1</w:t>
      </w:r>
      <w:proofErr w:type="spellEnd"/>
      <w:r w:rsidR="00757965">
        <w:rPr>
          <w:noProof/>
        </w:rPr>
        <w:fldChar w:fldCharType="end"/>
      </w:r>
      <w:r w:rsidR="00921DF2" w:rsidRPr="00F47246">
        <w:tab/>
        <w:t>Introduction</w:t>
      </w:r>
    </w:p>
    <w:p w:rsidR="00B128F3" w:rsidRDefault="00921DF2" w:rsidP="00921DF2">
      <w:pPr>
        <w:pStyle w:val="BodyText"/>
      </w:pPr>
      <w:r w:rsidRPr="00F47246">
        <w:t>This appendix contains contextual information to assist the COAG Reform Council to interpret the performance data presented in the reports on the</w:t>
      </w:r>
      <w:r w:rsidR="00B128F3">
        <w:t>:</w:t>
      </w:r>
    </w:p>
    <w:p w:rsidR="00B128F3" w:rsidRPr="002C631D" w:rsidRDefault="00921DF2" w:rsidP="002C631D">
      <w:pPr>
        <w:pStyle w:val="ListBullet"/>
        <w:rPr>
          <w:i/>
        </w:rPr>
      </w:pPr>
      <w:r w:rsidRPr="002C631D">
        <w:rPr>
          <w:i/>
        </w:rPr>
        <w:t>National Healthcare Agreement</w:t>
      </w:r>
    </w:p>
    <w:p w:rsidR="00B128F3" w:rsidRPr="002C631D" w:rsidRDefault="00921DF2" w:rsidP="002C631D">
      <w:pPr>
        <w:pStyle w:val="ListBullet"/>
        <w:rPr>
          <w:i/>
        </w:rPr>
      </w:pPr>
      <w:r w:rsidRPr="002C631D">
        <w:rPr>
          <w:i/>
        </w:rPr>
        <w:t>National Affordable Housing Agreement</w:t>
      </w:r>
    </w:p>
    <w:p w:rsidR="00B128F3" w:rsidRPr="002C631D" w:rsidRDefault="00921DF2" w:rsidP="002C631D">
      <w:pPr>
        <w:pStyle w:val="ListBullet"/>
        <w:rPr>
          <w:i/>
        </w:rPr>
      </w:pPr>
      <w:r w:rsidRPr="002C631D">
        <w:rPr>
          <w:i/>
        </w:rPr>
        <w:t>National Disability Agreement</w:t>
      </w:r>
    </w:p>
    <w:p w:rsidR="00B128F3" w:rsidRPr="002C631D" w:rsidRDefault="00921DF2" w:rsidP="002C631D">
      <w:pPr>
        <w:pStyle w:val="ListBullet"/>
        <w:rPr>
          <w:i/>
        </w:rPr>
      </w:pPr>
      <w:r w:rsidRPr="002C631D">
        <w:rPr>
          <w:i/>
        </w:rPr>
        <w:t xml:space="preserve">National Indigenous Reform Agreement </w:t>
      </w:r>
    </w:p>
    <w:p w:rsidR="00B128F3" w:rsidRPr="002C631D" w:rsidRDefault="00B128F3" w:rsidP="002C631D">
      <w:pPr>
        <w:pStyle w:val="ListBullet"/>
        <w:rPr>
          <w:i/>
        </w:rPr>
      </w:pPr>
      <w:r w:rsidRPr="002C631D">
        <w:rPr>
          <w:i/>
        </w:rPr>
        <w:t>National Education Agreement</w:t>
      </w:r>
    </w:p>
    <w:p w:rsidR="00921DF2" w:rsidRPr="002C631D" w:rsidRDefault="00B128F3" w:rsidP="002C631D">
      <w:pPr>
        <w:pStyle w:val="ListBullet"/>
        <w:rPr>
          <w:i/>
        </w:rPr>
      </w:pPr>
      <w:r w:rsidRPr="002C631D">
        <w:rPr>
          <w:i/>
        </w:rPr>
        <w:t>National Agreement for Skills and Workforce Development</w:t>
      </w:r>
      <w:r w:rsidRPr="002C631D">
        <w:t xml:space="preserve"> </w:t>
      </w:r>
      <w:r w:rsidR="00921DF2" w:rsidRPr="002C631D">
        <w:t>(the Reports).</w:t>
      </w:r>
      <w:r w:rsidR="00921DF2" w:rsidRPr="002C631D">
        <w:rPr>
          <w:i/>
        </w:rPr>
        <w:t xml:space="preserve"> </w:t>
      </w:r>
    </w:p>
    <w:p w:rsidR="003F4057" w:rsidRDefault="003F4057" w:rsidP="00EC3802">
      <w:pPr>
        <w:pStyle w:val="BodyText"/>
      </w:pPr>
      <w:r>
        <w:t xml:space="preserve">The information provided in this appendix covers </w:t>
      </w:r>
      <w:r w:rsidR="009F31F0">
        <w:t xml:space="preserve">five </w:t>
      </w:r>
      <w:r>
        <w:t>themes:</w:t>
      </w:r>
    </w:p>
    <w:p w:rsidR="00921DF2" w:rsidRPr="00F47246" w:rsidRDefault="003F4057" w:rsidP="00921DF2">
      <w:pPr>
        <w:pStyle w:val="ListBullet"/>
      </w:pPr>
      <w:r>
        <w:t xml:space="preserve">general </w:t>
      </w:r>
      <w:r w:rsidR="00921DF2" w:rsidRPr="00F47246">
        <w:t>population</w:t>
      </w:r>
      <w:r>
        <w:t xml:space="preserve"> data</w:t>
      </w:r>
    </w:p>
    <w:p w:rsidR="00921DF2" w:rsidRDefault="003F4057" w:rsidP="00921DF2">
      <w:pPr>
        <w:pStyle w:val="ListBullet"/>
      </w:pPr>
      <w:r>
        <w:t>Indigenous population data</w:t>
      </w:r>
    </w:p>
    <w:p w:rsidR="00DE20BE" w:rsidRPr="00F47246" w:rsidRDefault="00DE20BE" w:rsidP="00921DF2">
      <w:pPr>
        <w:pStyle w:val="ListBullet"/>
      </w:pPr>
      <w:r>
        <w:t>geography</w:t>
      </w:r>
    </w:p>
    <w:p w:rsidR="00921DF2" w:rsidRPr="00F47246" w:rsidRDefault="00520814" w:rsidP="00921DF2">
      <w:pPr>
        <w:pStyle w:val="ListBullet"/>
      </w:pPr>
      <w:r>
        <w:t xml:space="preserve">measuring </w:t>
      </w:r>
      <w:r w:rsidR="00921DF2" w:rsidRPr="00F47246">
        <w:t>socioeconomic status</w:t>
      </w:r>
    </w:p>
    <w:p w:rsidR="0009245A" w:rsidRDefault="003F4057" w:rsidP="0009245A">
      <w:pPr>
        <w:pStyle w:val="ListBullet"/>
      </w:pPr>
      <w:r>
        <w:t>statistical concepts</w:t>
      </w:r>
      <w:r w:rsidR="00921DF2" w:rsidRPr="00F47246">
        <w:t>.</w:t>
      </w:r>
    </w:p>
    <w:p w:rsidR="000F6981" w:rsidRPr="00F47246" w:rsidRDefault="000F6981" w:rsidP="000F6981">
      <w:pPr>
        <w:pStyle w:val="Heading2"/>
      </w:pPr>
      <w:proofErr w:type="spellStart"/>
      <w:r w:rsidRPr="00F47246">
        <w:t>A.</w:t>
      </w:r>
      <w:r w:rsidRPr="00F47246">
        <w:fldChar w:fldCharType="begin"/>
      </w:r>
      <w:r w:rsidRPr="00F47246">
        <w:instrText xml:space="preserve"> COMMENTS  \* MERGEFORMAT </w:instrText>
      </w:r>
      <w:r w:rsidRPr="00F47246">
        <w:fldChar w:fldCharType="end"/>
      </w:r>
      <w:r w:rsidR="00757965">
        <w:fldChar w:fldCharType="begin"/>
      </w:r>
      <w:r w:rsidR="00757965">
        <w:instrText xml:space="preserve"> SEQ Heading2 </w:instrText>
      </w:r>
      <w:r w:rsidR="00757965">
        <w:fldChar w:fldCharType="separate"/>
      </w:r>
      <w:r w:rsidR="00856D3A">
        <w:rPr>
          <w:noProof/>
        </w:rPr>
        <w:t>2</w:t>
      </w:r>
      <w:proofErr w:type="spellEnd"/>
      <w:r w:rsidR="00757965">
        <w:rPr>
          <w:noProof/>
        </w:rPr>
        <w:fldChar w:fldCharType="end"/>
      </w:r>
      <w:r w:rsidRPr="00F47246">
        <w:tab/>
      </w:r>
      <w:r w:rsidR="00FA2A01">
        <w:t>P</w:t>
      </w:r>
      <w:r w:rsidRPr="00F47246">
        <w:t>opulation</w:t>
      </w:r>
      <w:r>
        <w:t xml:space="preserve"> data</w:t>
      </w:r>
    </w:p>
    <w:p w:rsidR="009B1A4C" w:rsidRDefault="009B1A4C" w:rsidP="009A161A">
      <w:pPr>
        <w:pStyle w:val="BodyText"/>
      </w:pPr>
      <w:r>
        <w:t xml:space="preserve">There are many different ways to </w:t>
      </w:r>
      <w:r w:rsidR="00504594">
        <w:t xml:space="preserve">estimate </w:t>
      </w:r>
      <w:r>
        <w:t>population counts. The official population estimates are referred to as the Estimated Resident Population (</w:t>
      </w:r>
      <w:proofErr w:type="spellStart"/>
      <w:r>
        <w:t>ERP</w:t>
      </w:r>
      <w:proofErr w:type="spellEnd"/>
      <w:r>
        <w:t>)</w:t>
      </w:r>
      <w:r w:rsidR="00E11020">
        <w:t xml:space="preserve">, </w:t>
      </w:r>
      <w:r w:rsidR="00E11020">
        <w:lastRenderedPageBreak/>
        <w:t xml:space="preserve">and link people to a place of usual residence within Australia. However, there may be some instances where </w:t>
      </w:r>
      <w:proofErr w:type="spellStart"/>
      <w:r w:rsidR="00E11020">
        <w:t>ERP</w:t>
      </w:r>
      <w:proofErr w:type="spellEnd"/>
      <w:r w:rsidR="00E11020">
        <w:t xml:space="preserve"> data are not available for </w:t>
      </w:r>
      <w:r w:rsidR="00504594">
        <w:t>particular socio</w:t>
      </w:r>
      <w:r w:rsidR="00D257CC">
        <w:noBreakHyphen/>
      </w:r>
      <w:r w:rsidR="00504594">
        <w:t>demographic</w:t>
      </w:r>
      <w:r w:rsidR="00E11020">
        <w:t xml:space="preserve"> groups or for required time periods</w:t>
      </w:r>
      <w:r w:rsidR="00504594">
        <w:t xml:space="preserve">. In these instances, population estimates are derived from other data collections or are projected based on a series of assumptions. Details on the different population counts used in the </w:t>
      </w:r>
      <w:r w:rsidR="00A420CE">
        <w:t>R</w:t>
      </w:r>
      <w:r w:rsidR="00504594">
        <w:t>eports are provided below.</w:t>
      </w:r>
    </w:p>
    <w:p w:rsidR="00942B64" w:rsidRDefault="00942B64" w:rsidP="00D457B8">
      <w:pPr>
        <w:pStyle w:val="Heading3"/>
        <w:rPr>
          <w:noProof/>
        </w:rPr>
      </w:pPr>
      <w:r>
        <w:rPr>
          <w:noProof/>
        </w:rPr>
        <w:t>Estimated resident population</w:t>
      </w:r>
    </w:p>
    <w:p w:rsidR="00504594" w:rsidRDefault="00504594" w:rsidP="00504594">
      <w:pPr>
        <w:pStyle w:val="BodyText"/>
      </w:pPr>
      <w:proofErr w:type="spellStart"/>
      <w:r>
        <w:t>ERP</w:t>
      </w:r>
      <w:proofErr w:type="spellEnd"/>
      <w:r>
        <w:t xml:space="preserve"> </w:t>
      </w:r>
      <w:r w:rsidR="00EA35C2">
        <w:t>data are</w:t>
      </w:r>
      <w:r>
        <w:t xml:space="preserve"> derived from Census counts of usual residents (excluding overseas visitors) and adjusted for net Census undercount and Australian residents estimated to have been temporarily overseas at the time of the Census. </w:t>
      </w:r>
      <w:proofErr w:type="spellStart"/>
      <w:r w:rsidR="00945EB2">
        <w:t>ERP</w:t>
      </w:r>
      <w:proofErr w:type="spellEnd"/>
      <w:r w:rsidR="00945EB2">
        <w:t xml:space="preserve"> counts are generally higher than Census counts.</w:t>
      </w:r>
    </w:p>
    <w:p w:rsidR="00504594" w:rsidRDefault="00EA35C2" w:rsidP="00504594">
      <w:pPr>
        <w:pStyle w:val="BodyText"/>
      </w:pPr>
      <w:proofErr w:type="spellStart"/>
      <w:r>
        <w:t>ERP</w:t>
      </w:r>
      <w:proofErr w:type="spellEnd"/>
      <w:r>
        <w:t xml:space="preserve"> data are</w:t>
      </w:r>
      <w:r w:rsidR="00504594">
        <w:t xml:space="preserve"> </w:t>
      </w:r>
      <w:r>
        <w:t>updated</w:t>
      </w:r>
      <w:r w:rsidR="00504594">
        <w:t xml:space="preserve"> quarterly by adjusting for the following changes for the relevant quarter:</w:t>
      </w:r>
    </w:p>
    <w:p w:rsidR="00504594" w:rsidRDefault="00EA35C2" w:rsidP="00504594">
      <w:pPr>
        <w:pStyle w:val="ListBullet"/>
      </w:pPr>
      <w:r>
        <w:t>a</w:t>
      </w:r>
      <w:r w:rsidR="00504594">
        <w:t>dding birth registrations</w:t>
      </w:r>
    </w:p>
    <w:p w:rsidR="00504594" w:rsidRDefault="00EA35C2" w:rsidP="00504594">
      <w:pPr>
        <w:pStyle w:val="ListBullet"/>
      </w:pPr>
      <w:r>
        <w:t>s</w:t>
      </w:r>
      <w:r w:rsidR="00945EB2">
        <w:t>ub</w:t>
      </w:r>
      <w:r w:rsidR="00504594">
        <w:t>tracting death registrations</w:t>
      </w:r>
    </w:p>
    <w:p w:rsidR="00504594" w:rsidRDefault="00EA35C2" w:rsidP="00504594">
      <w:pPr>
        <w:pStyle w:val="ListBullet"/>
      </w:pPr>
      <w:r>
        <w:t>a</w:t>
      </w:r>
      <w:r w:rsidR="00504594">
        <w:t>djusting for overseas migration (and interstate migration for State and Territory counts).</w:t>
      </w:r>
    </w:p>
    <w:p w:rsidR="00E521B3" w:rsidRDefault="00504594" w:rsidP="00AA3603">
      <w:pPr>
        <w:pStyle w:val="BodyText"/>
      </w:pPr>
      <w:r>
        <w:t xml:space="preserve">After each Census, estimates for the </w:t>
      </w:r>
      <w:r w:rsidR="00817192">
        <w:t xml:space="preserve">quarterly </w:t>
      </w:r>
      <w:proofErr w:type="spellStart"/>
      <w:r w:rsidR="00817192">
        <w:t>ERP</w:t>
      </w:r>
      <w:proofErr w:type="spellEnd"/>
      <w:r w:rsidR="00817192">
        <w:t xml:space="preserve"> in the </w:t>
      </w:r>
      <w:r>
        <w:t xml:space="preserve">preceding </w:t>
      </w:r>
      <w:proofErr w:type="spellStart"/>
      <w:r>
        <w:t>intercen</w:t>
      </w:r>
      <w:r w:rsidR="0092649C">
        <w:t>s</w:t>
      </w:r>
      <w:r>
        <w:t>al</w:t>
      </w:r>
      <w:proofErr w:type="spellEnd"/>
      <w:r>
        <w:t xml:space="preserve"> period are finalised by incorporating an additional adjustment (</w:t>
      </w:r>
      <w:proofErr w:type="spellStart"/>
      <w:r>
        <w:t>intercensal</w:t>
      </w:r>
      <w:proofErr w:type="spellEnd"/>
      <w:r>
        <w:t xml:space="preserve"> discrepancy) to ensure that the total </w:t>
      </w:r>
      <w:proofErr w:type="spellStart"/>
      <w:r>
        <w:t>intercensal</w:t>
      </w:r>
      <w:proofErr w:type="spellEnd"/>
      <w:r>
        <w:t xml:space="preserve"> change between the two Census dates </w:t>
      </w:r>
      <w:r w:rsidR="00817192">
        <w:t>(</w:t>
      </w:r>
      <w:r w:rsidR="001768BB">
        <w:t xml:space="preserve">sum of </w:t>
      </w:r>
      <w:r w:rsidR="00817192">
        <w:t xml:space="preserve">quarterly </w:t>
      </w:r>
      <w:proofErr w:type="spellStart"/>
      <w:r w:rsidR="00817192">
        <w:t>ERP</w:t>
      </w:r>
      <w:proofErr w:type="spellEnd"/>
      <w:r w:rsidR="00817192">
        <w:t xml:space="preserve">) </w:t>
      </w:r>
      <w:r>
        <w:t xml:space="preserve">aligns with the difference </w:t>
      </w:r>
      <w:r w:rsidR="001768BB">
        <w:t xml:space="preserve">between </w:t>
      </w:r>
      <w:r>
        <w:t>the two Census dates.</w:t>
      </w:r>
    </w:p>
    <w:p w:rsidR="00837EF1" w:rsidRDefault="00837EF1" w:rsidP="00AA3603">
      <w:pPr>
        <w:pStyle w:val="BodyText"/>
      </w:pPr>
      <w:r>
        <w:t>‘</w:t>
      </w:r>
      <w:proofErr w:type="spellStart"/>
      <w:r>
        <w:t>Intercensal</w:t>
      </w:r>
      <w:proofErr w:type="spellEnd"/>
      <w:r>
        <w:t xml:space="preserve"> error’ refers to the difference between the latest preliminary Census based </w:t>
      </w:r>
      <w:proofErr w:type="spellStart"/>
      <w:r>
        <w:t>ERP</w:t>
      </w:r>
      <w:proofErr w:type="spellEnd"/>
      <w:r>
        <w:t xml:space="preserve"> figures for 30 June 2011 and the </w:t>
      </w:r>
      <w:proofErr w:type="spellStart"/>
      <w:r>
        <w:t>ERP</w:t>
      </w:r>
      <w:proofErr w:type="spellEnd"/>
      <w:r>
        <w:t xml:space="preserve"> figures based on the previous (2006) Census</w:t>
      </w:r>
      <w:r w:rsidR="00F75055">
        <w:t>,</w:t>
      </w:r>
      <w:r>
        <w:t xml:space="preserve"> which were estimated forward using births, deaths and migration data. In future</w:t>
      </w:r>
      <w:r w:rsidR="00F75055">
        <w:t>,</w:t>
      </w:r>
      <w:r>
        <w:t xml:space="preserve"> the ABS will refer to this as ‘</w:t>
      </w:r>
      <w:proofErr w:type="spellStart"/>
      <w:r>
        <w:t>intercensal</w:t>
      </w:r>
      <w:proofErr w:type="spellEnd"/>
      <w:r>
        <w:t xml:space="preserve"> difference’. ‘</w:t>
      </w:r>
      <w:proofErr w:type="spellStart"/>
      <w:r>
        <w:t>Inter</w:t>
      </w:r>
      <w:r w:rsidRPr="006E7007">
        <w:t>censal</w:t>
      </w:r>
      <w:proofErr w:type="spellEnd"/>
      <w:r w:rsidRPr="006E7007">
        <w:t xml:space="preserve"> </w:t>
      </w:r>
      <w:r>
        <w:t xml:space="preserve">discrepancy’ is determined after rebasing is complete and is the remaining </w:t>
      </w:r>
      <w:proofErr w:type="spellStart"/>
      <w:r>
        <w:t>unattributable</w:t>
      </w:r>
      <w:proofErr w:type="spellEnd"/>
      <w:r>
        <w:t xml:space="preserve"> portion after the </w:t>
      </w:r>
      <w:proofErr w:type="spellStart"/>
      <w:r>
        <w:t>intercens</w:t>
      </w:r>
      <w:r w:rsidR="00FD1CBF">
        <w:t>a</w:t>
      </w:r>
      <w:r>
        <w:t>l</w:t>
      </w:r>
      <w:proofErr w:type="spellEnd"/>
      <w:r>
        <w:t xml:space="preserve"> error is adjusted for all revisions to component data</w:t>
      </w:r>
      <w:r w:rsidR="002A4E74">
        <w:t xml:space="preserve"> (ABS 2013 </w:t>
      </w:r>
      <w:r w:rsidR="00E53E8F">
        <w:t xml:space="preserve">Feature Article </w:t>
      </w:r>
      <w:r w:rsidR="002A4E74">
        <w:t>1)</w:t>
      </w:r>
      <w:r w:rsidR="003D244B">
        <w:t>.</w:t>
      </w:r>
    </w:p>
    <w:p w:rsidR="007635DA" w:rsidRDefault="007635DA" w:rsidP="001B34CC">
      <w:pPr>
        <w:pStyle w:val="Heading4"/>
      </w:pPr>
      <w:r>
        <w:t>Estimated resident population for 201</w:t>
      </w:r>
      <w:r w:rsidR="00547031">
        <w:t>2</w:t>
      </w:r>
      <w:r>
        <w:t>-1</w:t>
      </w:r>
      <w:r w:rsidR="00547031">
        <w:t>3</w:t>
      </w:r>
      <w:r>
        <w:t xml:space="preserve"> National Agreement reporting</w:t>
      </w:r>
    </w:p>
    <w:p w:rsidR="002E1C89" w:rsidRDefault="00E521B3" w:rsidP="00AA3603">
      <w:pPr>
        <w:pStyle w:val="BodyText"/>
      </w:pPr>
      <w:r>
        <w:t>For the 201</w:t>
      </w:r>
      <w:r w:rsidR="00547031">
        <w:t>2</w:t>
      </w:r>
      <w:r>
        <w:t>-</w:t>
      </w:r>
      <w:r w:rsidR="00817192">
        <w:t>1</w:t>
      </w:r>
      <w:r w:rsidR="00547031">
        <w:t>3</w:t>
      </w:r>
      <w:r w:rsidR="00817192">
        <w:t xml:space="preserve"> </w:t>
      </w:r>
      <w:r w:rsidR="00A420CE">
        <w:t>National Healthcare Agreement (</w:t>
      </w:r>
      <w:proofErr w:type="spellStart"/>
      <w:r w:rsidR="00817192">
        <w:t>N</w:t>
      </w:r>
      <w:r w:rsidR="00A420CE">
        <w:t>H</w:t>
      </w:r>
      <w:r w:rsidR="00817192">
        <w:t>A</w:t>
      </w:r>
      <w:proofErr w:type="spellEnd"/>
      <w:r w:rsidR="00F97566">
        <w:t>),</w:t>
      </w:r>
      <w:r w:rsidR="00A420CE">
        <w:t xml:space="preserve"> National Disability Agreement (NDA), </w:t>
      </w:r>
      <w:r w:rsidR="00FB00B7">
        <w:t xml:space="preserve">and </w:t>
      </w:r>
      <w:r w:rsidR="00A420CE">
        <w:t xml:space="preserve">National Affordable Housing Agreement (NAHA) performance </w:t>
      </w:r>
      <w:r w:rsidR="00817192">
        <w:t xml:space="preserve">reports, where </w:t>
      </w:r>
      <w:proofErr w:type="spellStart"/>
      <w:r w:rsidR="00817192">
        <w:t>ERP</w:t>
      </w:r>
      <w:proofErr w:type="spellEnd"/>
      <w:r w:rsidR="00817192">
        <w:t xml:space="preserve"> data are</w:t>
      </w:r>
      <w:r>
        <w:t xml:space="preserve"> required for performance indicators </w:t>
      </w:r>
      <w:r w:rsidR="001768BB">
        <w:t xml:space="preserve">they </w:t>
      </w:r>
      <w:r w:rsidR="001768BB">
        <w:lastRenderedPageBreak/>
        <w:t>are</w:t>
      </w:r>
      <w:r>
        <w:t xml:space="preserve"> based on the 20</w:t>
      </w:r>
      <w:r w:rsidR="00547031">
        <w:t>11</w:t>
      </w:r>
      <w:r>
        <w:t xml:space="preserve"> Census</w:t>
      </w:r>
      <w:r w:rsidR="00FB00B7">
        <w:t xml:space="preserve"> (with the exception of </w:t>
      </w:r>
      <w:proofErr w:type="spellStart"/>
      <w:r w:rsidR="00FB00B7">
        <w:t>ERP</w:t>
      </w:r>
      <w:proofErr w:type="spellEnd"/>
      <w:r w:rsidR="00FB00B7">
        <w:t xml:space="preserve"> used for non-Indigenous comparisons, which is based on the 2006 Census for comparability with Indigenous population data)</w:t>
      </w:r>
      <w:r w:rsidR="00547031">
        <w:t>.</w:t>
      </w:r>
    </w:p>
    <w:p w:rsidR="00E521B3" w:rsidRDefault="00837EF1" w:rsidP="00AA3603">
      <w:pPr>
        <w:pStyle w:val="BodyText"/>
      </w:pPr>
      <w:r>
        <w:t xml:space="preserve">Changes to the </w:t>
      </w:r>
      <w:proofErr w:type="spellStart"/>
      <w:r>
        <w:t>ERP</w:t>
      </w:r>
      <w:proofErr w:type="spellEnd"/>
      <w:r>
        <w:t xml:space="preserve"> </w:t>
      </w:r>
      <w:r w:rsidR="00E53E8F">
        <w:t xml:space="preserve">this cycle </w:t>
      </w:r>
      <w:r>
        <w:t>include:</w:t>
      </w:r>
    </w:p>
    <w:p w:rsidR="0099271B" w:rsidRDefault="00837EF1" w:rsidP="00D46D9F">
      <w:pPr>
        <w:pStyle w:val="ListBullet"/>
      </w:pPr>
      <w:r>
        <w:t>f</w:t>
      </w:r>
      <w:r w:rsidR="00547031">
        <w:t xml:space="preserve">inal rebasing </w:t>
      </w:r>
      <w:r w:rsidR="00F75055">
        <w:t xml:space="preserve">— </w:t>
      </w:r>
      <w:r w:rsidR="0099271B">
        <w:t xml:space="preserve">the population estimates have been updated </w:t>
      </w:r>
      <w:r w:rsidR="009F31F0">
        <w:t xml:space="preserve">to </w:t>
      </w:r>
      <w:r w:rsidR="0099271B">
        <w:t xml:space="preserve">produce final rebased population estimates </w:t>
      </w:r>
      <w:r w:rsidR="0037383D">
        <w:t xml:space="preserve">back to 2007 </w:t>
      </w:r>
      <w:r w:rsidR="0099271B">
        <w:t xml:space="preserve">and a </w:t>
      </w:r>
      <w:r w:rsidR="00E37EDC">
        <w:t xml:space="preserve">final base </w:t>
      </w:r>
      <w:proofErr w:type="spellStart"/>
      <w:r w:rsidR="00E37EDC">
        <w:t>ERP</w:t>
      </w:r>
      <w:proofErr w:type="spellEnd"/>
      <w:r w:rsidR="00E37EDC">
        <w:t xml:space="preserve"> for 30 June 2011</w:t>
      </w:r>
      <w:r w:rsidR="00E37EDC">
        <w:rPr>
          <w:rStyle w:val="FootnoteReference"/>
        </w:rPr>
        <w:footnoteReference w:id="1"/>
      </w:r>
      <w:r w:rsidR="0099271B">
        <w:t xml:space="preserve">. </w:t>
      </w:r>
    </w:p>
    <w:p w:rsidR="00FA6832" w:rsidRDefault="00837EF1" w:rsidP="00D46D9F">
      <w:pPr>
        <w:pStyle w:val="ListBullet"/>
      </w:pPr>
      <w:r>
        <w:t>r</w:t>
      </w:r>
      <w:r w:rsidR="0099271B">
        <w:t xml:space="preserve">ecasting </w:t>
      </w:r>
      <w:r w:rsidR="00F75055">
        <w:t xml:space="preserve">— </w:t>
      </w:r>
      <w:r w:rsidR="0099271B">
        <w:t xml:space="preserve">the final rebasing also included a one-off ‘recasting’ of </w:t>
      </w:r>
      <w:proofErr w:type="spellStart"/>
      <w:r w:rsidR="0099271B">
        <w:t>ERP</w:t>
      </w:r>
      <w:proofErr w:type="spellEnd"/>
      <w:r w:rsidR="0099271B">
        <w:t xml:space="preserve"> </w:t>
      </w:r>
      <w:r w:rsidR="00FA6832">
        <w:t xml:space="preserve">from June 2006 </w:t>
      </w:r>
      <w:r>
        <w:t xml:space="preserve">back to </w:t>
      </w:r>
      <w:r w:rsidR="0099271B">
        <w:t>September 1991 to accommodate the impact of a methodological improvement in the 2011 estimates of Census undercount</w:t>
      </w:r>
      <w:r w:rsidR="00FA6832">
        <w:t xml:space="preserve"> which resulted in </w:t>
      </w:r>
      <w:r w:rsidR="00F75055">
        <w:t xml:space="preserve">a </w:t>
      </w:r>
      <w:r w:rsidR="00FA6832">
        <w:t xml:space="preserve">high </w:t>
      </w:r>
      <w:proofErr w:type="spellStart"/>
      <w:r w:rsidR="00FA6832">
        <w:t>intercensal</w:t>
      </w:r>
      <w:proofErr w:type="spellEnd"/>
      <w:r w:rsidR="00FA6832">
        <w:t xml:space="preserve"> error</w:t>
      </w:r>
      <w:r w:rsidR="00D529C9">
        <w:t xml:space="preserve"> (</w:t>
      </w:r>
      <w:r w:rsidR="00F75055">
        <w:t>the</w:t>
      </w:r>
      <w:r w:rsidR="00D529C9">
        <w:t xml:space="preserve"> net undercount</w:t>
      </w:r>
      <w:r w:rsidR="000D4E9E">
        <w:t xml:space="preserve"> was </w:t>
      </w:r>
      <w:r w:rsidR="005D61F6">
        <w:t>40</w:t>
      </w:r>
      <w:r w:rsidR="00F75055">
        <w:t> </w:t>
      </w:r>
      <w:r w:rsidR="00CE5962">
        <w:t>per cent</w:t>
      </w:r>
      <w:r w:rsidR="005D61F6">
        <w:t xml:space="preserve"> </w:t>
      </w:r>
      <w:r w:rsidR="000D4E9E">
        <w:t>less than previous methods have indicated)</w:t>
      </w:r>
      <w:r w:rsidR="00E37EDC">
        <w:rPr>
          <w:rStyle w:val="FootnoteReference"/>
        </w:rPr>
        <w:footnoteReference w:id="2"/>
      </w:r>
      <w:r w:rsidR="0099271B">
        <w:t>.</w:t>
      </w:r>
      <w:r w:rsidR="00F10337">
        <w:t xml:space="preserve"> </w:t>
      </w:r>
    </w:p>
    <w:p w:rsidR="00642D2D" w:rsidRDefault="000B6C56" w:rsidP="00F65925">
      <w:pPr>
        <w:pStyle w:val="BodyText"/>
      </w:pPr>
      <w:r w:rsidRPr="00A3072E">
        <w:t xml:space="preserve">The </w:t>
      </w:r>
      <w:r w:rsidR="00E53E8F">
        <w:t xml:space="preserve">main </w:t>
      </w:r>
      <w:r w:rsidRPr="00A3072E">
        <w:t>impact of rebased population estimates on time series reporting of National Agreement performance indicators</w:t>
      </w:r>
      <w:r w:rsidR="00F65925">
        <w:t xml:space="preserve"> has been a reduction in population estimates (see table </w:t>
      </w:r>
      <w:proofErr w:type="spellStart"/>
      <w:r w:rsidR="00F65925">
        <w:t>A</w:t>
      </w:r>
      <w:r w:rsidR="00A46B73">
        <w:t>.</w:t>
      </w:r>
      <w:r w:rsidR="00F65925">
        <w:t>1</w:t>
      </w:r>
      <w:proofErr w:type="spellEnd"/>
      <w:r w:rsidR="00F65925">
        <w:t>).</w:t>
      </w:r>
      <w:r>
        <w:t xml:space="preserve"> </w:t>
      </w:r>
      <w:r w:rsidR="00642D2D">
        <w:t xml:space="preserve">The proportionality of age groups, states and territories and sexes has not significantly changed as the result of recasting the </w:t>
      </w:r>
      <w:proofErr w:type="spellStart"/>
      <w:r w:rsidR="00642D2D">
        <w:t>ERP</w:t>
      </w:r>
      <w:proofErr w:type="spellEnd"/>
      <w:r w:rsidR="00642D2D">
        <w:t xml:space="preserve"> series </w:t>
      </w:r>
      <w:r w:rsidR="00E53E8F">
        <w:t>(ABS 2013 Feature Article 2)</w:t>
      </w:r>
      <w:r w:rsidR="00642D2D">
        <w:t>.</w:t>
      </w:r>
    </w:p>
    <w:p w:rsidR="00111930" w:rsidRDefault="00111930" w:rsidP="00F65925">
      <w:pPr>
        <w:pStyle w:val="BodyText"/>
      </w:pPr>
      <w:r>
        <w:t xml:space="preserve">The Labour Force </w:t>
      </w:r>
      <w:r w:rsidR="0060135A">
        <w:t>Survey</w:t>
      </w:r>
      <w:r w:rsidR="00222733">
        <w:t xml:space="preserve"> </w:t>
      </w:r>
      <w:r w:rsidR="00E53E8F">
        <w:t>(</w:t>
      </w:r>
      <w:proofErr w:type="spellStart"/>
      <w:r w:rsidR="00E53E8F">
        <w:t>LFS</w:t>
      </w:r>
      <w:proofErr w:type="spellEnd"/>
      <w:r w:rsidR="00E53E8F">
        <w:t>)</w:t>
      </w:r>
      <w:r>
        <w:t xml:space="preserve"> is the only ABS population and social survey </w:t>
      </w:r>
      <w:r w:rsidR="00D529C9">
        <w:t xml:space="preserve">(at this stage) </w:t>
      </w:r>
      <w:r>
        <w:t xml:space="preserve">which is </w:t>
      </w:r>
      <w:r w:rsidR="00E53E8F">
        <w:t xml:space="preserve">being </w:t>
      </w:r>
      <w:r>
        <w:t>re</w:t>
      </w:r>
      <w:r w:rsidR="00F75055">
        <w:t>-</w:t>
      </w:r>
      <w:r>
        <w:t xml:space="preserve">benchmarked to be consistent with the revised </w:t>
      </w:r>
      <w:proofErr w:type="spellStart"/>
      <w:r>
        <w:t>ERP</w:t>
      </w:r>
      <w:proofErr w:type="spellEnd"/>
      <w:r>
        <w:t xml:space="preserve">. The </w:t>
      </w:r>
      <w:proofErr w:type="spellStart"/>
      <w:r>
        <w:t>LFS</w:t>
      </w:r>
      <w:proofErr w:type="spellEnd"/>
      <w:r>
        <w:t xml:space="preserve"> estimates revised from 1991 onwards are expected to be released in February 2014</w:t>
      </w:r>
      <w:r w:rsidR="00E53E8F">
        <w:t xml:space="preserve"> (ABS 2013 Feature Article 4)</w:t>
      </w:r>
      <w:r>
        <w:t>.</w:t>
      </w:r>
      <w:r w:rsidR="00A46B73">
        <w:t xml:space="preserve"> Whilst a number of ABS population and social surveys are used for NA performance reporting, these do to not include the </w:t>
      </w:r>
      <w:proofErr w:type="spellStart"/>
      <w:r w:rsidR="00A46B73">
        <w:t>LFS</w:t>
      </w:r>
      <w:proofErr w:type="spellEnd"/>
      <w:r w:rsidR="00A46B73">
        <w:t xml:space="preserve"> (</w:t>
      </w:r>
      <w:proofErr w:type="spellStart"/>
      <w:r w:rsidR="00A46B73">
        <w:t>LFS</w:t>
      </w:r>
      <w:proofErr w:type="spellEnd"/>
      <w:r w:rsidR="00A46B73">
        <w:t xml:space="preserve"> data are only used for context). Therefore, the revised </w:t>
      </w:r>
      <w:proofErr w:type="spellStart"/>
      <w:r w:rsidR="00A46B73">
        <w:t>ERP</w:t>
      </w:r>
      <w:proofErr w:type="spellEnd"/>
      <w:r w:rsidR="00A46B73">
        <w:t xml:space="preserve"> do not </w:t>
      </w:r>
      <w:r w:rsidR="00F75055">
        <w:t>affect</w:t>
      </w:r>
      <w:r w:rsidR="00A46B73">
        <w:t xml:space="preserve"> ABS survey data used in the NA performance reports.</w:t>
      </w:r>
    </w:p>
    <w:p w:rsidR="00E5476D" w:rsidRDefault="0099271B" w:rsidP="00A12234">
      <w:pPr>
        <w:pStyle w:val="BodyText"/>
      </w:pPr>
      <w:r>
        <w:t>I</w:t>
      </w:r>
      <w:r w:rsidR="00780195">
        <w:t xml:space="preserve">n order to provide the most up-to-date context, this </w:t>
      </w:r>
      <w:r w:rsidR="00222733">
        <w:t>A</w:t>
      </w:r>
      <w:r w:rsidR="00780195">
        <w:t xml:space="preserve">ppendix uses </w:t>
      </w:r>
      <w:r w:rsidR="00E5476D">
        <w:t xml:space="preserve">the most recent available estimates (that is, </w:t>
      </w:r>
      <w:proofErr w:type="spellStart"/>
      <w:r w:rsidR="00780195">
        <w:t>ERP</w:t>
      </w:r>
      <w:proofErr w:type="spellEnd"/>
      <w:r w:rsidR="00B52489">
        <w:t xml:space="preserve"> </w:t>
      </w:r>
      <w:r w:rsidR="008F3CFE">
        <w:t xml:space="preserve">final to June 2011 and preliminary </w:t>
      </w:r>
      <w:r w:rsidR="00146751">
        <w:t xml:space="preserve">after June 2011, </w:t>
      </w:r>
      <w:r w:rsidR="00B52489">
        <w:t>based on the 2011 Census</w:t>
      </w:r>
      <w:r w:rsidR="0078206F">
        <w:t>). Relevant tables</w:t>
      </w:r>
      <w:r w:rsidR="00862FF2">
        <w:t xml:space="preserve"> </w:t>
      </w:r>
      <w:r w:rsidR="00780195">
        <w:t xml:space="preserve">are </w:t>
      </w:r>
      <w:r w:rsidR="00862FF2">
        <w:t>clearly footnoted</w:t>
      </w:r>
      <w:r w:rsidR="00E5476D">
        <w:t>.</w:t>
      </w:r>
    </w:p>
    <w:p w:rsidR="008E460B" w:rsidRDefault="007635DA" w:rsidP="00A12234">
      <w:pPr>
        <w:pStyle w:val="BodyText"/>
      </w:pPr>
      <w:r>
        <w:t>T</w:t>
      </w:r>
      <w:r w:rsidR="00D237A8" w:rsidRPr="006E7007">
        <w:t xml:space="preserve">able </w:t>
      </w:r>
      <w:proofErr w:type="spellStart"/>
      <w:r w:rsidR="00DE575B" w:rsidRPr="006E7007">
        <w:t>A.</w:t>
      </w:r>
      <w:r w:rsidR="00D237A8" w:rsidRPr="006E7007">
        <w:t>1</w:t>
      </w:r>
      <w:proofErr w:type="spellEnd"/>
      <w:r w:rsidR="00D237A8" w:rsidRPr="006E7007">
        <w:t xml:space="preserve"> illustrates the </w:t>
      </w:r>
      <w:proofErr w:type="spellStart"/>
      <w:r w:rsidR="00837EF1">
        <w:t>intercensal</w:t>
      </w:r>
      <w:proofErr w:type="spellEnd"/>
      <w:r w:rsidR="00837EF1">
        <w:t xml:space="preserve"> discrepancy </w:t>
      </w:r>
      <w:r w:rsidR="00D237A8" w:rsidRPr="006E7007">
        <w:t xml:space="preserve">between the </w:t>
      </w:r>
      <w:r w:rsidR="00780195">
        <w:t xml:space="preserve">June 2011 </w:t>
      </w:r>
      <w:proofErr w:type="spellStart"/>
      <w:r w:rsidR="00780195">
        <w:t>ERP</w:t>
      </w:r>
      <w:proofErr w:type="spellEnd"/>
      <w:r w:rsidR="00780195">
        <w:t xml:space="preserve"> based on the 2006 Census and the </w:t>
      </w:r>
      <w:r w:rsidR="006D2F5D">
        <w:t xml:space="preserve">final </w:t>
      </w:r>
      <w:proofErr w:type="spellStart"/>
      <w:r w:rsidR="006D2F5D">
        <w:t>ERP</w:t>
      </w:r>
      <w:proofErr w:type="spellEnd"/>
      <w:r w:rsidR="006D2F5D">
        <w:t xml:space="preserve"> based on the </w:t>
      </w:r>
      <w:r w:rsidR="00780195">
        <w:t xml:space="preserve">2011 Census. </w:t>
      </w:r>
      <w:r w:rsidR="005A4A36" w:rsidRPr="006E7007">
        <w:t xml:space="preserve">The </w:t>
      </w:r>
      <w:r w:rsidR="00D620F2">
        <w:t>final</w:t>
      </w:r>
      <w:r w:rsidR="00D620F2" w:rsidRPr="006E7007">
        <w:t xml:space="preserve"> </w:t>
      </w:r>
      <w:r w:rsidR="005A4A36" w:rsidRPr="006E7007">
        <w:t>rebasing of Australia’s population estimate</w:t>
      </w:r>
      <w:r w:rsidR="00B52489">
        <w:t>s</w:t>
      </w:r>
      <w:r w:rsidR="005A4A36" w:rsidRPr="006E7007">
        <w:t xml:space="preserve"> using data from the 2011 Census </w:t>
      </w:r>
      <w:r w:rsidR="00780195">
        <w:t>reduced the previous estimate (based on the 2006 Census) by</w:t>
      </w:r>
      <w:r w:rsidR="00283D68">
        <w:t xml:space="preserve"> </w:t>
      </w:r>
      <w:r w:rsidR="00D620F2">
        <w:t>77 7</w:t>
      </w:r>
      <w:r w:rsidR="00283D68">
        <w:t>00</w:t>
      </w:r>
      <w:r w:rsidR="00780195">
        <w:t xml:space="preserve"> people</w:t>
      </w:r>
      <w:r w:rsidR="00AC7B16">
        <w:t xml:space="preserve">, bringing the total </w:t>
      </w:r>
      <w:proofErr w:type="spellStart"/>
      <w:r w:rsidR="00AC7B16">
        <w:t>ERP</w:t>
      </w:r>
      <w:proofErr w:type="spellEnd"/>
      <w:r w:rsidR="00AC7B16">
        <w:t xml:space="preserve"> as at June 2011 down to 22 340 000</w:t>
      </w:r>
      <w:r w:rsidR="00283D68">
        <w:t xml:space="preserve">. The </w:t>
      </w:r>
      <w:proofErr w:type="spellStart"/>
      <w:r w:rsidR="00283D68">
        <w:t>inter</w:t>
      </w:r>
      <w:r w:rsidR="005A4A36" w:rsidRPr="006E7007">
        <w:t>censal</w:t>
      </w:r>
      <w:proofErr w:type="spellEnd"/>
      <w:r w:rsidR="005A4A36" w:rsidRPr="006E7007">
        <w:t xml:space="preserve"> </w:t>
      </w:r>
      <w:r w:rsidR="00837EF1">
        <w:t>discrepancy</w:t>
      </w:r>
      <w:r w:rsidR="00780195">
        <w:t xml:space="preserve"> </w:t>
      </w:r>
      <w:r w:rsidR="005A4A36" w:rsidRPr="006E7007">
        <w:t xml:space="preserve">ranged from </w:t>
      </w:r>
      <w:r w:rsidR="005A4A36" w:rsidRPr="006E7007">
        <w:lastRenderedPageBreak/>
        <w:t>minus 0.</w:t>
      </w:r>
      <w:r w:rsidR="00837EF1">
        <w:t>4</w:t>
      </w:r>
      <w:r w:rsidR="00222733">
        <w:t> </w:t>
      </w:r>
      <w:r w:rsidR="005A4A36" w:rsidRPr="006E7007">
        <w:t>per</w:t>
      </w:r>
      <w:r w:rsidR="00222733">
        <w:t> </w:t>
      </w:r>
      <w:r w:rsidR="005A4A36" w:rsidRPr="006E7007">
        <w:t xml:space="preserve">cent of the population in the </w:t>
      </w:r>
      <w:r w:rsidR="00837EF1">
        <w:t>Northern Territory</w:t>
      </w:r>
      <w:r w:rsidR="00837EF1" w:rsidRPr="006E7007">
        <w:t xml:space="preserve"> </w:t>
      </w:r>
      <w:r w:rsidR="005A4A36" w:rsidRPr="006E7007">
        <w:t xml:space="preserve">to </w:t>
      </w:r>
      <w:r w:rsidR="00F75055">
        <w:t xml:space="preserve">plus </w:t>
      </w:r>
      <w:r w:rsidR="00837EF1">
        <w:t>0.6</w:t>
      </w:r>
      <w:r w:rsidR="00222733">
        <w:t> </w:t>
      </w:r>
      <w:r w:rsidR="005A4A36" w:rsidRPr="006E7007">
        <w:t>per</w:t>
      </w:r>
      <w:r w:rsidR="00222733">
        <w:t> </w:t>
      </w:r>
      <w:r w:rsidR="005A4A36" w:rsidRPr="006E7007">
        <w:t xml:space="preserve">cent of the population in </w:t>
      </w:r>
      <w:r w:rsidR="00837EF1">
        <w:t xml:space="preserve">New South Wales </w:t>
      </w:r>
      <w:r w:rsidR="00CA37AE">
        <w:t>(</w:t>
      </w:r>
      <w:r w:rsidR="001768BB">
        <w:t>t</w:t>
      </w:r>
      <w:r w:rsidR="00CA37AE">
        <w:t xml:space="preserve">able </w:t>
      </w:r>
      <w:proofErr w:type="spellStart"/>
      <w:r w:rsidR="00CA37AE">
        <w:t>A.1</w:t>
      </w:r>
      <w:proofErr w:type="spellEnd"/>
      <w:r w:rsidR="00CA37AE">
        <w:t>)</w:t>
      </w:r>
      <w:r w:rsidR="005A4A36" w:rsidRPr="006E7007">
        <w:t>.</w:t>
      </w:r>
    </w:p>
    <w:p w:rsidR="00AA3603" w:rsidRDefault="00AA3603" w:rsidP="00AA3603">
      <w:pPr>
        <w:pStyle w:val="TableTitle"/>
      </w:pPr>
      <w:r>
        <w:rPr>
          <w:b w:val="0"/>
        </w:rPr>
        <w:t>Table</w:t>
      </w:r>
      <w:r w:rsidR="0076730F">
        <w:rPr>
          <w:b w:val="0"/>
        </w:rPr>
        <w:t xml:space="preserve"> </w:t>
      </w:r>
      <w:proofErr w:type="spellStart"/>
      <w:r w:rsidR="0076730F">
        <w:rPr>
          <w:b w:val="0"/>
        </w:rPr>
        <w:t>A.</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856D3A">
        <w:rPr>
          <w:b w:val="0"/>
          <w:noProof/>
        </w:rPr>
        <w:t>1</w:t>
      </w:r>
      <w:proofErr w:type="spellEnd"/>
      <w:r>
        <w:rPr>
          <w:b w:val="0"/>
        </w:rPr>
        <w:fldChar w:fldCharType="end"/>
      </w:r>
      <w:r>
        <w:tab/>
      </w:r>
      <w:proofErr w:type="spellStart"/>
      <w:r w:rsidR="00DE575B">
        <w:t>ERP</w:t>
      </w:r>
      <w:proofErr w:type="spellEnd"/>
      <w:r>
        <w:t xml:space="preserve"> data, 30 June 2011</w:t>
      </w:r>
      <w:r w:rsidR="00DE575B">
        <w:t>, by Census base</w:t>
      </w:r>
    </w:p>
    <w:tbl>
      <w:tblPr>
        <w:tblW w:w="5000" w:type="pct"/>
        <w:tblCellMar>
          <w:left w:w="0" w:type="dxa"/>
          <w:right w:w="0" w:type="dxa"/>
        </w:tblCellMar>
        <w:tblLook w:val="0000" w:firstRow="0" w:lastRow="0" w:firstColumn="0" w:lastColumn="0" w:noHBand="0" w:noVBand="0"/>
      </w:tblPr>
      <w:tblGrid>
        <w:gridCol w:w="3296"/>
        <w:gridCol w:w="2563"/>
        <w:gridCol w:w="1464"/>
        <w:gridCol w:w="1466"/>
      </w:tblGrid>
      <w:tr w:rsidR="00206CC7" w:rsidTr="00206CC7">
        <w:tc>
          <w:tcPr>
            <w:tcW w:w="1875" w:type="pct"/>
            <w:tcBorders>
              <w:top w:val="single" w:sz="6" w:space="0" w:color="auto"/>
            </w:tcBorders>
            <w:shd w:val="clear" w:color="auto" w:fill="auto"/>
          </w:tcPr>
          <w:p w:rsidR="00206CC7" w:rsidRDefault="00206CC7" w:rsidP="00AA3603">
            <w:pPr>
              <w:pStyle w:val="TableColumnHeading"/>
              <w:jc w:val="left"/>
              <w:rPr>
                <w:noProof/>
              </w:rPr>
            </w:pPr>
          </w:p>
        </w:tc>
        <w:tc>
          <w:tcPr>
            <w:tcW w:w="1458" w:type="pct"/>
            <w:tcBorders>
              <w:top w:val="single" w:sz="6" w:space="0" w:color="auto"/>
            </w:tcBorders>
          </w:tcPr>
          <w:p w:rsidR="00206CC7" w:rsidRPr="00494503" w:rsidRDefault="00206CC7" w:rsidP="006E7007">
            <w:pPr>
              <w:pStyle w:val="TableColumnHeading"/>
              <w:ind w:right="28"/>
              <w:jc w:val="center"/>
              <w:rPr>
                <w:b/>
                <w:noProof/>
              </w:rPr>
            </w:pPr>
            <w:r>
              <w:rPr>
                <w:b/>
                <w:noProof/>
              </w:rPr>
              <w:t xml:space="preserve">Final June </w:t>
            </w:r>
            <w:r w:rsidRPr="00494503">
              <w:rPr>
                <w:b/>
                <w:noProof/>
              </w:rPr>
              <w:t xml:space="preserve">2011 </w:t>
            </w:r>
            <w:r>
              <w:rPr>
                <w:b/>
                <w:noProof/>
              </w:rPr>
              <w:t>ERP</w:t>
            </w:r>
            <w:r>
              <w:rPr>
                <w:b/>
                <w:noProof/>
              </w:rPr>
              <w:br/>
              <w:t xml:space="preserve">(2011 </w:t>
            </w:r>
            <w:r w:rsidRPr="00494503">
              <w:rPr>
                <w:b/>
                <w:noProof/>
              </w:rPr>
              <w:t xml:space="preserve">Census </w:t>
            </w:r>
            <w:r>
              <w:rPr>
                <w:b/>
                <w:noProof/>
              </w:rPr>
              <w:t>base)</w:t>
            </w:r>
          </w:p>
        </w:tc>
        <w:tc>
          <w:tcPr>
            <w:tcW w:w="1667" w:type="pct"/>
            <w:gridSpan w:val="2"/>
            <w:tcBorders>
              <w:top w:val="single" w:sz="6" w:space="0" w:color="auto"/>
            </w:tcBorders>
          </w:tcPr>
          <w:p w:rsidR="00206CC7" w:rsidRPr="00494503" w:rsidRDefault="00206CC7" w:rsidP="00CE295C">
            <w:pPr>
              <w:pStyle w:val="TableColumnHeading"/>
              <w:ind w:right="28"/>
              <w:jc w:val="center"/>
              <w:rPr>
                <w:b/>
                <w:noProof/>
              </w:rPr>
            </w:pPr>
            <w:r>
              <w:rPr>
                <w:b/>
                <w:noProof/>
              </w:rPr>
              <w:t xml:space="preserve">Final </w:t>
            </w:r>
            <w:r w:rsidRPr="00494503">
              <w:rPr>
                <w:b/>
                <w:noProof/>
              </w:rPr>
              <w:t xml:space="preserve">Intercensal </w:t>
            </w:r>
            <w:r>
              <w:rPr>
                <w:b/>
                <w:noProof/>
              </w:rPr>
              <w:t xml:space="preserve">Discrepancy </w:t>
            </w:r>
            <w:r>
              <w:rPr>
                <w:b/>
                <w:noProof/>
              </w:rPr>
              <w:br/>
              <w:t>(2006-2011)</w:t>
            </w:r>
            <w:r w:rsidRPr="006E7007">
              <w:rPr>
                <w:rStyle w:val="NoteLabel"/>
                <w:i w:val="0"/>
              </w:rPr>
              <w:t>a</w:t>
            </w:r>
          </w:p>
        </w:tc>
      </w:tr>
      <w:tr w:rsidR="00206CC7" w:rsidTr="00206CC7">
        <w:tc>
          <w:tcPr>
            <w:tcW w:w="1875" w:type="pct"/>
            <w:tcBorders>
              <w:bottom w:val="single" w:sz="4" w:space="0" w:color="auto"/>
            </w:tcBorders>
            <w:shd w:val="clear" w:color="auto" w:fill="auto"/>
          </w:tcPr>
          <w:p w:rsidR="00206CC7" w:rsidRDefault="00206CC7" w:rsidP="00AA3603">
            <w:pPr>
              <w:pStyle w:val="TableColumnHeading"/>
              <w:jc w:val="left"/>
              <w:rPr>
                <w:noProof/>
              </w:rPr>
            </w:pPr>
          </w:p>
        </w:tc>
        <w:tc>
          <w:tcPr>
            <w:tcW w:w="1458" w:type="pct"/>
            <w:tcBorders>
              <w:bottom w:val="single" w:sz="4" w:space="0" w:color="auto"/>
            </w:tcBorders>
          </w:tcPr>
          <w:p w:rsidR="00206CC7" w:rsidRPr="00494503" w:rsidRDefault="00206CC7" w:rsidP="006E7007">
            <w:pPr>
              <w:pStyle w:val="TableColumnHeading"/>
              <w:ind w:right="28"/>
              <w:jc w:val="center"/>
              <w:rPr>
                <w:b/>
                <w:i w:val="0"/>
                <w:noProof/>
              </w:rPr>
            </w:pPr>
            <w:r w:rsidRPr="00494503">
              <w:rPr>
                <w:b/>
                <w:noProof/>
              </w:rPr>
              <w:t>‘000</w:t>
            </w:r>
          </w:p>
        </w:tc>
        <w:tc>
          <w:tcPr>
            <w:tcW w:w="833" w:type="pct"/>
            <w:tcBorders>
              <w:bottom w:val="single" w:sz="4" w:space="0" w:color="auto"/>
            </w:tcBorders>
          </w:tcPr>
          <w:p w:rsidR="00206CC7" w:rsidRPr="00494503" w:rsidRDefault="00206CC7" w:rsidP="006E7007">
            <w:pPr>
              <w:pStyle w:val="TableColumnHeading"/>
              <w:ind w:right="28"/>
              <w:jc w:val="center"/>
              <w:rPr>
                <w:b/>
                <w:i w:val="0"/>
                <w:noProof/>
              </w:rPr>
            </w:pPr>
            <w:r w:rsidRPr="00494503">
              <w:rPr>
                <w:b/>
                <w:noProof/>
              </w:rPr>
              <w:t>‘000</w:t>
            </w:r>
          </w:p>
        </w:tc>
        <w:tc>
          <w:tcPr>
            <w:tcW w:w="834" w:type="pct"/>
            <w:tcBorders>
              <w:bottom w:val="single" w:sz="4" w:space="0" w:color="auto"/>
            </w:tcBorders>
          </w:tcPr>
          <w:p w:rsidR="00206CC7" w:rsidRPr="00494503" w:rsidRDefault="00206CC7" w:rsidP="006E7007">
            <w:pPr>
              <w:pStyle w:val="TableColumnHeading"/>
              <w:ind w:right="28"/>
              <w:jc w:val="center"/>
              <w:rPr>
                <w:b/>
                <w:i w:val="0"/>
                <w:noProof/>
              </w:rPr>
            </w:pPr>
            <w:r w:rsidRPr="00494503">
              <w:rPr>
                <w:b/>
                <w:noProof/>
              </w:rPr>
              <w:t>Per</w:t>
            </w:r>
            <w:r>
              <w:rPr>
                <w:b/>
                <w:noProof/>
              </w:rPr>
              <w:t xml:space="preserve"> </w:t>
            </w:r>
            <w:r w:rsidRPr="00494503">
              <w:rPr>
                <w:b/>
                <w:noProof/>
              </w:rPr>
              <w:t>cent</w:t>
            </w:r>
          </w:p>
        </w:tc>
      </w:tr>
      <w:tr w:rsidR="00206CC7" w:rsidTr="00206CC7">
        <w:tc>
          <w:tcPr>
            <w:tcW w:w="1875" w:type="pct"/>
            <w:tcBorders>
              <w:top w:val="single" w:sz="4" w:space="0" w:color="auto"/>
            </w:tcBorders>
          </w:tcPr>
          <w:p w:rsidR="00206CC7" w:rsidRDefault="00206CC7" w:rsidP="00AA3603">
            <w:pPr>
              <w:pStyle w:val="TableUnitsRow"/>
              <w:jc w:val="left"/>
              <w:rPr>
                <w:noProof/>
              </w:rPr>
            </w:pPr>
            <w:r>
              <w:rPr>
                <w:noProof/>
              </w:rPr>
              <w:t>New South Wales</w:t>
            </w:r>
          </w:p>
        </w:tc>
        <w:tc>
          <w:tcPr>
            <w:tcW w:w="1458" w:type="pct"/>
            <w:tcBorders>
              <w:top w:val="single" w:sz="4" w:space="0" w:color="auto"/>
            </w:tcBorders>
          </w:tcPr>
          <w:p w:rsidR="00206CC7" w:rsidRDefault="00206CC7" w:rsidP="007F515D">
            <w:pPr>
              <w:pStyle w:val="TableBodyText"/>
              <w:rPr>
                <w:i/>
                <w:noProof/>
              </w:rPr>
            </w:pPr>
            <w:r>
              <w:rPr>
                <w:noProof/>
              </w:rPr>
              <w:t>7 218.5</w:t>
            </w:r>
          </w:p>
        </w:tc>
        <w:tc>
          <w:tcPr>
            <w:tcW w:w="833" w:type="pct"/>
            <w:tcBorders>
              <w:top w:val="single" w:sz="4" w:space="0" w:color="auto"/>
            </w:tcBorders>
            <w:shd w:val="clear" w:color="auto" w:fill="auto"/>
          </w:tcPr>
          <w:p w:rsidR="00206CC7" w:rsidRPr="00262E2C" w:rsidRDefault="00206CC7" w:rsidP="007F515D">
            <w:pPr>
              <w:pStyle w:val="TableBodyText"/>
              <w:rPr>
                <w:i/>
                <w:noProof/>
              </w:rPr>
            </w:pPr>
            <w:r>
              <w:rPr>
                <w:noProof/>
              </w:rPr>
              <w:t>45.4</w:t>
            </w:r>
          </w:p>
        </w:tc>
        <w:tc>
          <w:tcPr>
            <w:tcW w:w="834" w:type="pct"/>
            <w:tcBorders>
              <w:top w:val="single" w:sz="4" w:space="0" w:color="auto"/>
            </w:tcBorders>
          </w:tcPr>
          <w:p w:rsidR="00206CC7" w:rsidRPr="00262E2C" w:rsidRDefault="00206CC7" w:rsidP="007F515D">
            <w:pPr>
              <w:pStyle w:val="TableBodyText"/>
              <w:rPr>
                <w:i/>
                <w:noProof/>
              </w:rPr>
            </w:pPr>
            <w:r>
              <w:rPr>
                <w:noProof/>
              </w:rPr>
              <w:t>0.6</w:t>
            </w:r>
          </w:p>
        </w:tc>
      </w:tr>
      <w:tr w:rsidR="00206CC7" w:rsidTr="00206CC7">
        <w:tc>
          <w:tcPr>
            <w:tcW w:w="1875" w:type="pct"/>
          </w:tcPr>
          <w:p w:rsidR="00206CC7" w:rsidRDefault="00206CC7" w:rsidP="007F515D">
            <w:pPr>
              <w:pStyle w:val="TableUnitsRow"/>
              <w:jc w:val="left"/>
              <w:rPr>
                <w:noProof/>
              </w:rPr>
            </w:pPr>
            <w:r>
              <w:rPr>
                <w:noProof/>
              </w:rPr>
              <w:t>Victoria</w:t>
            </w:r>
          </w:p>
        </w:tc>
        <w:tc>
          <w:tcPr>
            <w:tcW w:w="1458" w:type="pct"/>
          </w:tcPr>
          <w:p w:rsidR="00206CC7" w:rsidRDefault="00206CC7" w:rsidP="007F515D">
            <w:pPr>
              <w:pStyle w:val="TableBodyText"/>
              <w:rPr>
                <w:i/>
                <w:noProof/>
              </w:rPr>
            </w:pPr>
            <w:r>
              <w:rPr>
                <w:noProof/>
              </w:rPr>
              <w:t>5 537.8</w:t>
            </w:r>
          </w:p>
        </w:tc>
        <w:tc>
          <w:tcPr>
            <w:tcW w:w="833" w:type="pct"/>
            <w:shd w:val="clear" w:color="auto" w:fill="auto"/>
          </w:tcPr>
          <w:p w:rsidR="00206CC7" w:rsidRPr="00262E2C" w:rsidRDefault="00206CC7" w:rsidP="007F515D">
            <w:pPr>
              <w:pStyle w:val="TableBodyText"/>
              <w:rPr>
                <w:i/>
                <w:noProof/>
              </w:rPr>
            </w:pPr>
            <w:r>
              <w:rPr>
                <w:noProof/>
              </w:rPr>
              <w:t>24.4</w:t>
            </w:r>
          </w:p>
        </w:tc>
        <w:tc>
          <w:tcPr>
            <w:tcW w:w="834" w:type="pct"/>
          </w:tcPr>
          <w:p w:rsidR="00206CC7" w:rsidRPr="00262E2C" w:rsidRDefault="00206CC7" w:rsidP="007F515D">
            <w:pPr>
              <w:pStyle w:val="TableBodyText"/>
              <w:rPr>
                <w:i/>
                <w:noProof/>
              </w:rPr>
            </w:pPr>
            <w:r>
              <w:rPr>
                <w:noProof/>
              </w:rPr>
              <w:t>0.4</w:t>
            </w:r>
          </w:p>
        </w:tc>
      </w:tr>
      <w:tr w:rsidR="00206CC7" w:rsidTr="00206CC7">
        <w:tc>
          <w:tcPr>
            <w:tcW w:w="1875" w:type="pct"/>
            <w:shd w:val="clear" w:color="auto" w:fill="auto"/>
          </w:tcPr>
          <w:p w:rsidR="00206CC7" w:rsidRDefault="00206CC7" w:rsidP="007F515D">
            <w:pPr>
              <w:pStyle w:val="TableUnitsRow"/>
              <w:jc w:val="left"/>
              <w:rPr>
                <w:noProof/>
              </w:rPr>
            </w:pPr>
            <w:r>
              <w:rPr>
                <w:noProof/>
              </w:rPr>
              <w:t>Queensland</w:t>
            </w:r>
          </w:p>
        </w:tc>
        <w:tc>
          <w:tcPr>
            <w:tcW w:w="1458" w:type="pct"/>
          </w:tcPr>
          <w:p w:rsidR="00206CC7" w:rsidRDefault="00206CC7" w:rsidP="007F515D">
            <w:pPr>
              <w:pStyle w:val="TableBodyText"/>
              <w:rPr>
                <w:i/>
                <w:noProof/>
              </w:rPr>
            </w:pPr>
            <w:r>
              <w:rPr>
                <w:noProof/>
              </w:rPr>
              <w:t>4 476.8</w:t>
            </w:r>
          </w:p>
        </w:tc>
        <w:tc>
          <w:tcPr>
            <w:tcW w:w="833" w:type="pct"/>
            <w:shd w:val="clear" w:color="auto" w:fill="auto"/>
          </w:tcPr>
          <w:p w:rsidR="00206CC7" w:rsidRPr="00262E2C" w:rsidRDefault="00206CC7" w:rsidP="007F515D">
            <w:pPr>
              <w:pStyle w:val="TableBodyText"/>
              <w:rPr>
                <w:i/>
                <w:noProof/>
              </w:rPr>
            </w:pPr>
            <w:r>
              <w:rPr>
                <w:noProof/>
              </w:rPr>
              <w:t>9.1</w:t>
            </w:r>
          </w:p>
        </w:tc>
        <w:tc>
          <w:tcPr>
            <w:tcW w:w="834" w:type="pct"/>
          </w:tcPr>
          <w:p w:rsidR="00206CC7" w:rsidRPr="00262E2C" w:rsidRDefault="00206CC7" w:rsidP="007F515D">
            <w:pPr>
              <w:pStyle w:val="TableBodyText"/>
              <w:rPr>
                <w:i/>
                <w:noProof/>
              </w:rPr>
            </w:pPr>
            <w:r>
              <w:rPr>
                <w:noProof/>
              </w:rPr>
              <w:t>0.2</w:t>
            </w:r>
          </w:p>
        </w:tc>
      </w:tr>
      <w:tr w:rsidR="00206CC7" w:rsidTr="00206CC7">
        <w:tc>
          <w:tcPr>
            <w:tcW w:w="1875" w:type="pct"/>
            <w:shd w:val="clear" w:color="auto" w:fill="auto"/>
          </w:tcPr>
          <w:p w:rsidR="00206CC7" w:rsidRDefault="00206CC7" w:rsidP="007F515D">
            <w:pPr>
              <w:pStyle w:val="TableUnitsRow"/>
              <w:jc w:val="left"/>
              <w:rPr>
                <w:noProof/>
              </w:rPr>
            </w:pPr>
            <w:r>
              <w:rPr>
                <w:noProof/>
              </w:rPr>
              <w:t>Western Australia</w:t>
            </w:r>
          </w:p>
        </w:tc>
        <w:tc>
          <w:tcPr>
            <w:tcW w:w="1458" w:type="pct"/>
          </w:tcPr>
          <w:p w:rsidR="00206CC7" w:rsidRDefault="00206CC7" w:rsidP="007F515D">
            <w:pPr>
              <w:pStyle w:val="TableBodyText"/>
              <w:rPr>
                <w:i/>
                <w:noProof/>
              </w:rPr>
            </w:pPr>
            <w:r>
              <w:rPr>
                <w:noProof/>
              </w:rPr>
              <w:t>2 353.4</w:t>
            </w:r>
          </w:p>
        </w:tc>
        <w:tc>
          <w:tcPr>
            <w:tcW w:w="833" w:type="pct"/>
            <w:shd w:val="clear" w:color="auto" w:fill="auto"/>
          </w:tcPr>
          <w:p w:rsidR="00206CC7" w:rsidRPr="00262E2C" w:rsidRDefault="00206CC7" w:rsidP="007F515D">
            <w:pPr>
              <w:pStyle w:val="TableBodyText"/>
              <w:rPr>
                <w:i/>
                <w:noProof/>
              </w:rPr>
            </w:pPr>
            <w:r>
              <w:rPr>
                <w:noProof/>
              </w:rPr>
              <w:t>-4.4</w:t>
            </w:r>
          </w:p>
        </w:tc>
        <w:tc>
          <w:tcPr>
            <w:tcW w:w="834" w:type="pct"/>
          </w:tcPr>
          <w:p w:rsidR="00206CC7" w:rsidRPr="00262E2C" w:rsidRDefault="00206CC7" w:rsidP="007F515D">
            <w:pPr>
              <w:pStyle w:val="TableBodyText"/>
              <w:rPr>
                <w:i/>
                <w:noProof/>
              </w:rPr>
            </w:pPr>
            <w:r>
              <w:rPr>
                <w:noProof/>
              </w:rPr>
              <w:t>-0.2</w:t>
            </w:r>
          </w:p>
        </w:tc>
      </w:tr>
      <w:tr w:rsidR="00206CC7" w:rsidTr="00206CC7">
        <w:tc>
          <w:tcPr>
            <w:tcW w:w="1875" w:type="pct"/>
            <w:shd w:val="clear" w:color="auto" w:fill="auto"/>
          </w:tcPr>
          <w:p w:rsidR="00206CC7" w:rsidRDefault="00206CC7" w:rsidP="007F515D">
            <w:pPr>
              <w:pStyle w:val="TableUnitsRow"/>
              <w:jc w:val="left"/>
              <w:rPr>
                <w:noProof/>
              </w:rPr>
            </w:pPr>
            <w:r>
              <w:rPr>
                <w:noProof/>
              </w:rPr>
              <w:t>South Australia</w:t>
            </w:r>
          </w:p>
        </w:tc>
        <w:tc>
          <w:tcPr>
            <w:tcW w:w="1458" w:type="pct"/>
          </w:tcPr>
          <w:p w:rsidR="00206CC7" w:rsidRDefault="00206CC7" w:rsidP="007F515D">
            <w:pPr>
              <w:pStyle w:val="TableBodyText"/>
              <w:rPr>
                <w:i/>
                <w:noProof/>
              </w:rPr>
            </w:pPr>
            <w:r>
              <w:rPr>
                <w:noProof/>
              </w:rPr>
              <w:t>1 639.6</w:t>
            </w:r>
          </w:p>
        </w:tc>
        <w:tc>
          <w:tcPr>
            <w:tcW w:w="833" w:type="pct"/>
            <w:shd w:val="clear" w:color="auto" w:fill="auto"/>
          </w:tcPr>
          <w:p w:rsidR="00206CC7" w:rsidRPr="00262E2C" w:rsidRDefault="00206CC7" w:rsidP="007F515D">
            <w:pPr>
              <w:pStyle w:val="TableBodyText"/>
              <w:rPr>
                <w:i/>
                <w:noProof/>
              </w:rPr>
            </w:pPr>
            <w:r>
              <w:rPr>
                <w:noProof/>
              </w:rPr>
              <w:t>3.4</w:t>
            </w:r>
          </w:p>
        </w:tc>
        <w:tc>
          <w:tcPr>
            <w:tcW w:w="834" w:type="pct"/>
          </w:tcPr>
          <w:p w:rsidR="00206CC7" w:rsidRPr="00262E2C" w:rsidRDefault="00206CC7" w:rsidP="007F515D">
            <w:pPr>
              <w:pStyle w:val="TableBodyText"/>
              <w:rPr>
                <w:i/>
                <w:noProof/>
              </w:rPr>
            </w:pPr>
            <w:r>
              <w:rPr>
                <w:noProof/>
              </w:rPr>
              <w:t>0.2</w:t>
            </w:r>
          </w:p>
        </w:tc>
      </w:tr>
      <w:tr w:rsidR="00206CC7" w:rsidTr="00206CC7">
        <w:tc>
          <w:tcPr>
            <w:tcW w:w="1875" w:type="pct"/>
            <w:shd w:val="clear" w:color="auto" w:fill="auto"/>
          </w:tcPr>
          <w:p w:rsidR="00206CC7" w:rsidRDefault="00206CC7" w:rsidP="007F515D">
            <w:pPr>
              <w:pStyle w:val="TableUnitsRow"/>
              <w:jc w:val="left"/>
              <w:rPr>
                <w:noProof/>
              </w:rPr>
            </w:pPr>
            <w:r>
              <w:rPr>
                <w:noProof/>
              </w:rPr>
              <w:t>Tasmania</w:t>
            </w:r>
          </w:p>
        </w:tc>
        <w:tc>
          <w:tcPr>
            <w:tcW w:w="1458" w:type="pct"/>
          </w:tcPr>
          <w:p w:rsidR="00206CC7" w:rsidRDefault="00206CC7" w:rsidP="007F515D">
            <w:pPr>
              <w:pStyle w:val="TableBodyText"/>
              <w:rPr>
                <w:i/>
                <w:noProof/>
              </w:rPr>
            </w:pPr>
            <w:r>
              <w:rPr>
                <w:noProof/>
              </w:rPr>
              <w:t>511.5</w:t>
            </w:r>
          </w:p>
        </w:tc>
        <w:tc>
          <w:tcPr>
            <w:tcW w:w="833" w:type="pct"/>
            <w:shd w:val="clear" w:color="auto" w:fill="auto"/>
          </w:tcPr>
          <w:p w:rsidR="00206CC7" w:rsidRPr="00262E2C" w:rsidRDefault="00206CC7" w:rsidP="007F515D">
            <w:pPr>
              <w:pStyle w:val="TableBodyText"/>
              <w:rPr>
                <w:i/>
                <w:noProof/>
              </w:rPr>
            </w:pPr>
            <w:r>
              <w:rPr>
                <w:noProof/>
              </w:rPr>
              <w:t>0.3</w:t>
            </w:r>
          </w:p>
        </w:tc>
        <w:tc>
          <w:tcPr>
            <w:tcW w:w="834" w:type="pct"/>
          </w:tcPr>
          <w:p w:rsidR="00206CC7" w:rsidRPr="00262E2C" w:rsidRDefault="00206CC7" w:rsidP="007F515D">
            <w:pPr>
              <w:pStyle w:val="TableBodyText"/>
              <w:rPr>
                <w:i/>
                <w:noProof/>
              </w:rPr>
            </w:pPr>
            <w:r>
              <w:rPr>
                <w:noProof/>
              </w:rPr>
              <w:t>0.1</w:t>
            </w:r>
          </w:p>
        </w:tc>
      </w:tr>
      <w:tr w:rsidR="00206CC7" w:rsidTr="00206CC7">
        <w:tc>
          <w:tcPr>
            <w:tcW w:w="1875" w:type="pct"/>
            <w:shd w:val="clear" w:color="auto" w:fill="auto"/>
          </w:tcPr>
          <w:p w:rsidR="00206CC7" w:rsidRDefault="00206CC7" w:rsidP="007F515D">
            <w:pPr>
              <w:pStyle w:val="TableUnitsRow"/>
              <w:jc w:val="left"/>
              <w:rPr>
                <w:noProof/>
              </w:rPr>
            </w:pPr>
            <w:r>
              <w:rPr>
                <w:noProof/>
              </w:rPr>
              <w:t>Australian Capital Territory</w:t>
            </w:r>
          </w:p>
        </w:tc>
        <w:tc>
          <w:tcPr>
            <w:tcW w:w="1458" w:type="pct"/>
          </w:tcPr>
          <w:p w:rsidR="00206CC7" w:rsidRDefault="00206CC7" w:rsidP="007F515D">
            <w:pPr>
              <w:pStyle w:val="TableBodyText"/>
              <w:rPr>
                <w:i/>
                <w:noProof/>
              </w:rPr>
            </w:pPr>
            <w:r>
              <w:rPr>
                <w:noProof/>
              </w:rPr>
              <w:t>368.0</w:t>
            </w:r>
          </w:p>
        </w:tc>
        <w:tc>
          <w:tcPr>
            <w:tcW w:w="833" w:type="pct"/>
            <w:shd w:val="clear" w:color="auto" w:fill="auto"/>
          </w:tcPr>
          <w:p w:rsidR="00206CC7" w:rsidRPr="00262E2C" w:rsidRDefault="00206CC7" w:rsidP="007F515D">
            <w:pPr>
              <w:pStyle w:val="TableBodyText"/>
              <w:rPr>
                <w:i/>
                <w:noProof/>
              </w:rPr>
            </w:pPr>
            <w:r>
              <w:rPr>
                <w:noProof/>
              </w:rPr>
              <w:t>0.4</w:t>
            </w:r>
          </w:p>
        </w:tc>
        <w:tc>
          <w:tcPr>
            <w:tcW w:w="834" w:type="pct"/>
          </w:tcPr>
          <w:p w:rsidR="00206CC7" w:rsidRPr="00262E2C" w:rsidRDefault="00206CC7" w:rsidP="007F515D">
            <w:pPr>
              <w:pStyle w:val="TableBodyText"/>
              <w:rPr>
                <w:i/>
                <w:noProof/>
              </w:rPr>
            </w:pPr>
            <w:r>
              <w:rPr>
                <w:noProof/>
              </w:rPr>
              <w:t>0.1</w:t>
            </w:r>
          </w:p>
        </w:tc>
      </w:tr>
      <w:tr w:rsidR="00206CC7" w:rsidTr="00206CC7">
        <w:tc>
          <w:tcPr>
            <w:tcW w:w="1875" w:type="pct"/>
            <w:shd w:val="clear" w:color="auto" w:fill="auto"/>
          </w:tcPr>
          <w:p w:rsidR="00206CC7" w:rsidRDefault="00206CC7" w:rsidP="007F515D">
            <w:pPr>
              <w:pStyle w:val="TableUnitsRow"/>
              <w:jc w:val="left"/>
              <w:rPr>
                <w:noProof/>
              </w:rPr>
            </w:pPr>
            <w:r>
              <w:rPr>
                <w:noProof/>
              </w:rPr>
              <w:t>Northern Territory</w:t>
            </w:r>
          </w:p>
        </w:tc>
        <w:tc>
          <w:tcPr>
            <w:tcW w:w="1458" w:type="pct"/>
          </w:tcPr>
          <w:p w:rsidR="00206CC7" w:rsidRDefault="00206CC7" w:rsidP="007F515D">
            <w:pPr>
              <w:pStyle w:val="TableBodyText"/>
              <w:rPr>
                <w:i/>
                <w:noProof/>
              </w:rPr>
            </w:pPr>
            <w:r>
              <w:rPr>
                <w:noProof/>
              </w:rPr>
              <w:t>231.3</w:t>
            </w:r>
          </w:p>
        </w:tc>
        <w:tc>
          <w:tcPr>
            <w:tcW w:w="833" w:type="pct"/>
            <w:shd w:val="clear" w:color="auto" w:fill="auto"/>
          </w:tcPr>
          <w:p w:rsidR="00206CC7" w:rsidRPr="00262E2C" w:rsidRDefault="00206CC7" w:rsidP="007F515D">
            <w:pPr>
              <w:pStyle w:val="TableBodyText"/>
              <w:rPr>
                <w:i/>
                <w:noProof/>
              </w:rPr>
            </w:pPr>
            <w:r>
              <w:rPr>
                <w:noProof/>
              </w:rPr>
              <w:t>-1.0</w:t>
            </w:r>
          </w:p>
        </w:tc>
        <w:tc>
          <w:tcPr>
            <w:tcW w:w="834" w:type="pct"/>
          </w:tcPr>
          <w:p w:rsidR="00206CC7" w:rsidRPr="00262E2C" w:rsidRDefault="00206CC7" w:rsidP="007F515D">
            <w:pPr>
              <w:pStyle w:val="TableBodyText"/>
              <w:rPr>
                <w:i/>
                <w:noProof/>
              </w:rPr>
            </w:pPr>
            <w:r>
              <w:rPr>
                <w:noProof/>
              </w:rPr>
              <w:t>-0.4</w:t>
            </w:r>
          </w:p>
        </w:tc>
      </w:tr>
      <w:tr w:rsidR="00206CC7" w:rsidTr="00206CC7">
        <w:tc>
          <w:tcPr>
            <w:tcW w:w="1875" w:type="pct"/>
            <w:tcBorders>
              <w:bottom w:val="single" w:sz="6" w:space="0" w:color="auto"/>
            </w:tcBorders>
            <w:shd w:val="clear" w:color="auto" w:fill="auto"/>
          </w:tcPr>
          <w:p w:rsidR="00206CC7" w:rsidRDefault="00206CC7" w:rsidP="007F515D">
            <w:pPr>
              <w:pStyle w:val="TableUnitsRow"/>
              <w:jc w:val="left"/>
              <w:rPr>
                <w:noProof/>
              </w:rPr>
            </w:pPr>
            <w:r>
              <w:rPr>
                <w:noProof/>
              </w:rPr>
              <w:t>Australia (b)</w:t>
            </w:r>
          </w:p>
        </w:tc>
        <w:tc>
          <w:tcPr>
            <w:tcW w:w="1458" w:type="pct"/>
            <w:tcBorders>
              <w:bottom w:val="single" w:sz="6" w:space="0" w:color="auto"/>
            </w:tcBorders>
          </w:tcPr>
          <w:p w:rsidR="00206CC7" w:rsidRDefault="00206CC7" w:rsidP="007F515D">
            <w:pPr>
              <w:pStyle w:val="TableBodyText"/>
              <w:rPr>
                <w:i/>
                <w:noProof/>
              </w:rPr>
            </w:pPr>
            <w:r>
              <w:rPr>
                <w:noProof/>
              </w:rPr>
              <w:t>22 340.0</w:t>
            </w:r>
          </w:p>
        </w:tc>
        <w:tc>
          <w:tcPr>
            <w:tcW w:w="833" w:type="pct"/>
            <w:tcBorders>
              <w:bottom w:val="single" w:sz="6" w:space="0" w:color="auto"/>
            </w:tcBorders>
          </w:tcPr>
          <w:p w:rsidR="00206CC7" w:rsidRDefault="00206CC7" w:rsidP="007F515D">
            <w:pPr>
              <w:pStyle w:val="TableBodyText"/>
              <w:rPr>
                <w:i/>
                <w:noProof/>
              </w:rPr>
            </w:pPr>
            <w:r>
              <w:rPr>
                <w:noProof/>
              </w:rPr>
              <w:t>77.7</w:t>
            </w:r>
          </w:p>
        </w:tc>
        <w:tc>
          <w:tcPr>
            <w:tcW w:w="834" w:type="pct"/>
            <w:tcBorders>
              <w:bottom w:val="single" w:sz="6" w:space="0" w:color="auto"/>
            </w:tcBorders>
          </w:tcPr>
          <w:p w:rsidR="00206CC7" w:rsidRDefault="00206CC7" w:rsidP="007F515D">
            <w:pPr>
              <w:pStyle w:val="TableBodyText"/>
              <w:rPr>
                <w:i/>
                <w:noProof/>
              </w:rPr>
            </w:pPr>
            <w:r>
              <w:rPr>
                <w:noProof/>
              </w:rPr>
              <w:t>0.3</w:t>
            </w:r>
          </w:p>
        </w:tc>
      </w:tr>
    </w:tbl>
    <w:p w:rsidR="00817738" w:rsidRDefault="00AA3603" w:rsidP="00AA3603">
      <w:pPr>
        <w:pStyle w:val="Note"/>
        <w:rPr>
          <w:noProof/>
        </w:rPr>
      </w:pPr>
      <w:r w:rsidRPr="00AA3603">
        <w:rPr>
          <w:rStyle w:val="NoteLabel"/>
        </w:rPr>
        <w:t>a</w:t>
      </w:r>
      <w:r>
        <w:rPr>
          <w:noProof/>
        </w:rPr>
        <w:t xml:space="preserve"> </w:t>
      </w:r>
      <w:r w:rsidR="0041772B">
        <w:rPr>
          <w:noProof/>
        </w:rPr>
        <w:t xml:space="preserve">A </w:t>
      </w:r>
      <w:r w:rsidR="00E03B9A">
        <w:rPr>
          <w:noProof/>
        </w:rPr>
        <w:t xml:space="preserve">negative </w:t>
      </w:r>
      <w:r w:rsidR="0041772B">
        <w:rPr>
          <w:noProof/>
        </w:rPr>
        <w:t>number indicates that the 2006 based ERP (unrebased) for June 2011 was higher than the 2011 based ERP (</w:t>
      </w:r>
      <w:r w:rsidR="00CE295C">
        <w:rPr>
          <w:noProof/>
        </w:rPr>
        <w:t xml:space="preserve">final </w:t>
      </w:r>
      <w:r w:rsidR="0041772B">
        <w:rPr>
          <w:noProof/>
        </w:rPr>
        <w:t xml:space="preserve">rebased) for June 2011. </w:t>
      </w:r>
      <w:r w:rsidR="0041772B" w:rsidRPr="006E7007">
        <w:rPr>
          <w:rStyle w:val="NoteLabel"/>
        </w:rPr>
        <w:t>b</w:t>
      </w:r>
      <w:r w:rsidR="0041772B">
        <w:rPr>
          <w:noProof/>
        </w:rPr>
        <w:t> </w:t>
      </w:r>
      <w:r w:rsidR="008968AE">
        <w:rPr>
          <w:noProof/>
        </w:rPr>
        <w:t xml:space="preserve">Includes other territories. </w:t>
      </w:r>
    </w:p>
    <w:p w:rsidR="00432A9F" w:rsidRPr="00432A9F" w:rsidRDefault="008968AE" w:rsidP="00E5476D">
      <w:pPr>
        <w:pStyle w:val="Source"/>
      </w:pPr>
      <w:r>
        <w:rPr>
          <w:i/>
        </w:rPr>
        <w:t>Source</w:t>
      </w:r>
      <w:r w:rsidR="00AA3603">
        <w:t>:</w:t>
      </w:r>
      <w:r>
        <w:t xml:space="preserve"> ABS (201</w:t>
      </w:r>
      <w:r w:rsidR="00197462">
        <w:t>3</w:t>
      </w:r>
      <w:r>
        <w:t xml:space="preserve">) </w:t>
      </w:r>
      <w:r>
        <w:rPr>
          <w:i/>
        </w:rPr>
        <w:t>Australian Demographic Statistics, December 201</w:t>
      </w:r>
      <w:r w:rsidR="00197462">
        <w:rPr>
          <w:i/>
        </w:rPr>
        <w:t>2</w:t>
      </w:r>
      <w:r w:rsidR="00651686" w:rsidRPr="00651686">
        <w:t>,</w:t>
      </w:r>
      <w:r w:rsidR="00651686">
        <w:t xml:space="preserve"> cat. no. 3101.0, Canberra</w:t>
      </w:r>
      <w:r w:rsidR="00222733">
        <w:t>.</w:t>
      </w:r>
      <w:r w:rsidR="00651686" w:rsidRPr="00651686">
        <w:t xml:space="preserve"> </w:t>
      </w:r>
    </w:p>
    <w:p w:rsidR="000F6981" w:rsidRPr="00F47246" w:rsidRDefault="000F6981" w:rsidP="000F6981">
      <w:pPr>
        <w:pStyle w:val="Heading3"/>
      </w:pPr>
      <w:r w:rsidRPr="00F47246">
        <w:t>Population size and trends</w:t>
      </w:r>
    </w:p>
    <w:p w:rsidR="000F6981" w:rsidRPr="0096084F" w:rsidRDefault="00C53D42" w:rsidP="000F6981">
      <w:pPr>
        <w:pStyle w:val="BodyText"/>
        <w:rPr>
          <w:rStyle w:val="DraftingNote"/>
          <w:b w:val="0"/>
          <w:u w:val="none"/>
        </w:rPr>
      </w:pPr>
      <w:r>
        <w:t xml:space="preserve">Australia’s population is growing. </w:t>
      </w:r>
      <w:r w:rsidR="000F6981" w:rsidRPr="00277B29">
        <w:t>At 31 December 201</w:t>
      </w:r>
      <w:r w:rsidR="00844F8D">
        <w:t>2</w:t>
      </w:r>
      <w:r w:rsidR="000F6981" w:rsidRPr="00277B29">
        <w:t xml:space="preserve">, Australia’s total population was </w:t>
      </w:r>
      <w:r w:rsidR="00D95AC8">
        <w:t xml:space="preserve">estimated as </w:t>
      </w:r>
      <w:r w:rsidR="000F6981" w:rsidRPr="00277B29">
        <w:t>22.</w:t>
      </w:r>
      <w:r w:rsidR="00844F8D">
        <w:t>9</w:t>
      </w:r>
      <w:r w:rsidR="000F6981" w:rsidRPr="00277B29">
        <w:t xml:space="preserve"> million (table </w:t>
      </w:r>
      <w:proofErr w:type="spellStart"/>
      <w:r w:rsidR="000F6981" w:rsidRPr="003768CD">
        <w:t>AA.1</w:t>
      </w:r>
      <w:proofErr w:type="spellEnd"/>
      <w:r w:rsidR="000F6981" w:rsidRPr="00277B29">
        <w:t>)</w:t>
      </w:r>
      <w:r w:rsidR="000F6981">
        <w:t>.</w:t>
      </w:r>
      <w:r w:rsidR="000F6981" w:rsidRPr="00277B29">
        <w:t xml:space="preserve"> </w:t>
      </w:r>
      <w:r w:rsidR="000F6981" w:rsidRPr="003768CD">
        <w:t xml:space="preserve">By </w:t>
      </w:r>
      <w:r w:rsidR="00575AF7" w:rsidRPr="00575AF7">
        <w:t xml:space="preserve">2061 the total population is projected to reach 41.5 million people (ABS </w:t>
      </w:r>
      <w:proofErr w:type="spellStart"/>
      <w:r w:rsidR="00575AF7" w:rsidRPr="00575AF7">
        <w:t>2013</w:t>
      </w:r>
      <w:r w:rsidR="003912C6">
        <w:t>d</w:t>
      </w:r>
      <w:proofErr w:type="spellEnd"/>
      <w:r w:rsidR="00575AF7" w:rsidRPr="00575AF7">
        <w:t>, Series B)</w:t>
      </w:r>
      <w:r w:rsidR="000F6981" w:rsidRPr="003768CD">
        <w:t xml:space="preserve">. </w:t>
      </w:r>
    </w:p>
    <w:p w:rsidR="000F6981" w:rsidRPr="00F47246" w:rsidRDefault="000F6981" w:rsidP="00A12234">
      <w:pPr>
        <w:pStyle w:val="BodyText"/>
      </w:pPr>
      <w:r w:rsidRPr="008612C6">
        <w:t>Nationally, the average annual growth rate</w:t>
      </w:r>
      <w:r w:rsidR="00DE3069" w:rsidRPr="008612C6">
        <w:rPr>
          <w:rStyle w:val="FootnoteReference"/>
        </w:rPr>
        <w:footnoteReference w:id="3"/>
      </w:r>
      <w:r w:rsidRPr="008612C6">
        <w:t xml:space="preserve"> </w:t>
      </w:r>
      <w:r w:rsidR="00DE3069" w:rsidRPr="008612C6">
        <w:t>(</w:t>
      </w:r>
      <w:proofErr w:type="spellStart"/>
      <w:r w:rsidR="00DE3069" w:rsidRPr="008612C6">
        <w:t>AAGR</w:t>
      </w:r>
      <w:proofErr w:type="spellEnd"/>
      <w:r w:rsidR="00DE3069" w:rsidRPr="008612C6">
        <w:t xml:space="preserve">) </w:t>
      </w:r>
      <w:r w:rsidRPr="008612C6">
        <w:t xml:space="preserve">of the population between </w:t>
      </w:r>
      <w:r w:rsidR="00DE3069" w:rsidRPr="008612C6">
        <w:t xml:space="preserve">December </w:t>
      </w:r>
      <w:r w:rsidRPr="008612C6">
        <w:t>200</w:t>
      </w:r>
      <w:r w:rsidR="00E97843" w:rsidRPr="008612C6">
        <w:t>7</w:t>
      </w:r>
      <w:r w:rsidRPr="008612C6">
        <w:t xml:space="preserve"> and </w:t>
      </w:r>
      <w:r w:rsidR="00DE3069" w:rsidRPr="008612C6">
        <w:t xml:space="preserve">December </w:t>
      </w:r>
      <w:r w:rsidRPr="008612C6">
        <w:t>201</w:t>
      </w:r>
      <w:r w:rsidR="00A046B1" w:rsidRPr="008612C6">
        <w:t>2</w:t>
      </w:r>
      <w:r w:rsidRPr="008612C6">
        <w:t xml:space="preserve"> was approximately </w:t>
      </w:r>
      <w:r w:rsidR="00E97843" w:rsidRPr="008612C6">
        <w:t>1.</w:t>
      </w:r>
      <w:r w:rsidR="008612C6">
        <w:t>7</w:t>
      </w:r>
      <w:r w:rsidR="00E97843" w:rsidRPr="008612C6">
        <w:t> </w:t>
      </w:r>
      <w:r w:rsidRPr="008612C6">
        <w:t>per cent</w:t>
      </w:r>
      <w:r w:rsidR="00DE3069" w:rsidRPr="008612C6">
        <w:t xml:space="preserve"> (table </w:t>
      </w:r>
      <w:proofErr w:type="spellStart"/>
      <w:r w:rsidR="00DE3069" w:rsidRPr="008612C6">
        <w:t>AA.1</w:t>
      </w:r>
      <w:proofErr w:type="spellEnd"/>
      <w:r w:rsidR="00DE3069" w:rsidRPr="008612C6">
        <w:t>)</w:t>
      </w:r>
      <w:r w:rsidRPr="008612C6">
        <w:t xml:space="preserve">. </w:t>
      </w:r>
      <w:r w:rsidR="00E97843" w:rsidRPr="008612C6">
        <w:t xml:space="preserve">Across jurisdictions, </w:t>
      </w:r>
      <w:r w:rsidR="00F75055">
        <w:t xml:space="preserve">average annual </w:t>
      </w:r>
      <w:r w:rsidR="00E97843" w:rsidRPr="008612C6">
        <w:t>population growth ranged from 0.</w:t>
      </w:r>
      <w:r w:rsidR="008612C6">
        <w:t>7</w:t>
      </w:r>
      <w:r w:rsidR="00E97843" w:rsidRPr="008612C6">
        <w:t xml:space="preserve"> per cent in Tasmania to </w:t>
      </w:r>
      <w:r w:rsidR="008612C6">
        <w:t>3.0</w:t>
      </w:r>
      <w:r w:rsidR="00E97843" w:rsidRPr="008612C6">
        <w:t xml:space="preserve"> per cent in WA (table </w:t>
      </w:r>
      <w:proofErr w:type="spellStart"/>
      <w:r w:rsidR="00E97843" w:rsidRPr="008612C6">
        <w:t>AA.1</w:t>
      </w:r>
      <w:proofErr w:type="spellEnd"/>
      <w:r w:rsidR="00E97843" w:rsidRPr="008612C6">
        <w:t xml:space="preserve">). </w:t>
      </w:r>
      <w:r w:rsidR="00DE3069" w:rsidRPr="008612C6">
        <w:t xml:space="preserve">The annual </w:t>
      </w:r>
      <w:r w:rsidR="00E97843" w:rsidRPr="008612C6">
        <w:t xml:space="preserve">total </w:t>
      </w:r>
      <w:r w:rsidR="00DE3069" w:rsidRPr="008612C6">
        <w:t xml:space="preserve">population </w:t>
      </w:r>
      <w:r w:rsidR="00E97843" w:rsidRPr="008612C6">
        <w:t xml:space="preserve">growth rate </w:t>
      </w:r>
      <w:r w:rsidR="00270186" w:rsidRPr="008612C6">
        <w:t xml:space="preserve">fell </w:t>
      </w:r>
      <w:r w:rsidR="00DE3069" w:rsidRPr="008612C6">
        <w:t xml:space="preserve">from </w:t>
      </w:r>
      <w:r w:rsidR="008612C6">
        <w:t>2.2</w:t>
      </w:r>
      <w:r w:rsidR="00E97843" w:rsidRPr="008612C6">
        <w:t xml:space="preserve"> per cent </w:t>
      </w:r>
      <w:r w:rsidR="00DE3069" w:rsidRPr="008612C6">
        <w:t>in 200</w:t>
      </w:r>
      <w:r w:rsidR="00E97843" w:rsidRPr="008612C6">
        <w:t>8</w:t>
      </w:r>
      <w:r w:rsidR="00DE3069" w:rsidRPr="008612C6">
        <w:t xml:space="preserve"> to </w:t>
      </w:r>
      <w:r w:rsidR="00E97843" w:rsidRPr="008612C6">
        <w:t>1.</w:t>
      </w:r>
      <w:r w:rsidR="008612C6">
        <w:t>8</w:t>
      </w:r>
      <w:r w:rsidR="00E97843" w:rsidRPr="008612C6">
        <w:t xml:space="preserve"> per cent </w:t>
      </w:r>
      <w:r w:rsidR="00DE3069" w:rsidRPr="008612C6">
        <w:t xml:space="preserve">in </w:t>
      </w:r>
      <w:r w:rsidR="00E97843" w:rsidRPr="008612C6">
        <w:t>201</w:t>
      </w:r>
      <w:r w:rsidR="00A046B1" w:rsidRPr="008612C6">
        <w:t>2</w:t>
      </w:r>
      <w:r w:rsidR="00DE3069" w:rsidRPr="008612C6">
        <w:t xml:space="preserve"> (table </w:t>
      </w:r>
      <w:proofErr w:type="spellStart"/>
      <w:r w:rsidR="00DE3069" w:rsidRPr="008612C6">
        <w:t>AA.</w:t>
      </w:r>
      <w:r w:rsidR="00E97843" w:rsidRPr="008612C6">
        <w:t>3</w:t>
      </w:r>
      <w:proofErr w:type="spellEnd"/>
      <w:r w:rsidR="00DE3069" w:rsidRPr="008612C6">
        <w:t>).</w:t>
      </w:r>
      <w:r w:rsidR="00C53D42" w:rsidRPr="008612C6">
        <w:t xml:space="preserve"> </w:t>
      </w:r>
      <w:r w:rsidR="00DE3069" w:rsidRPr="008612C6">
        <w:t xml:space="preserve">Estimated resident population </w:t>
      </w:r>
      <w:r w:rsidR="00AD2687">
        <w:t xml:space="preserve">for 30 June </w:t>
      </w:r>
      <w:r w:rsidR="00DE3069" w:rsidRPr="008612C6">
        <w:t xml:space="preserve">and average annual growth rates for the </w:t>
      </w:r>
      <w:r w:rsidR="00AD2687">
        <w:t>financial</w:t>
      </w:r>
      <w:r w:rsidR="00AD2687" w:rsidRPr="008612C6">
        <w:t xml:space="preserve"> </w:t>
      </w:r>
      <w:r w:rsidR="00DE3069" w:rsidRPr="008612C6">
        <w:t xml:space="preserve">year are presented in tables </w:t>
      </w:r>
      <w:proofErr w:type="spellStart"/>
      <w:r w:rsidR="00DE3069" w:rsidRPr="00996952">
        <w:t>AA.4</w:t>
      </w:r>
      <w:proofErr w:type="spellEnd"/>
      <w:r w:rsidR="00AD28E5" w:rsidRPr="00996952">
        <w:t>–</w:t>
      </w:r>
      <w:proofErr w:type="spellStart"/>
      <w:r w:rsidR="00DE3069" w:rsidRPr="00996952">
        <w:t>AA.6</w:t>
      </w:r>
      <w:proofErr w:type="spellEnd"/>
      <w:r w:rsidR="009C16D2">
        <w:t>.</w:t>
      </w:r>
    </w:p>
    <w:p w:rsidR="000F6981" w:rsidRDefault="000F6981" w:rsidP="000F6981">
      <w:pPr>
        <w:pStyle w:val="BodyText"/>
      </w:pPr>
      <w:r w:rsidRPr="009D7B4A">
        <w:t>More than three quarters of Australia’s population lived in the eastern mainland states as at 31 December 201</w:t>
      </w:r>
      <w:r w:rsidR="00A046B1">
        <w:t>2</w:t>
      </w:r>
      <w:r w:rsidRPr="009D7B4A">
        <w:t>. New South Wales (32.</w:t>
      </w:r>
      <w:r w:rsidR="00CC4B36">
        <w:t>1</w:t>
      </w:r>
      <w:r w:rsidRPr="009D7B4A">
        <w:t> per cent),</w:t>
      </w:r>
      <w:r w:rsidRPr="009D7B4A" w:rsidDel="008A1AC4">
        <w:t xml:space="preserve"> </w:t>
      </w:r>
      <w:r w:rsidRPr="009D7B4A">
        <w:t xml:space="preserve">Victoria (24.8 per cent) and Queensland (20.1 per cent) accounted for the largest shares of </w:t>
      </w:r>
      <w:r w:rsidRPr="009D7B4A">
        <w:lastRenderedPageBreak/>
        <w:t>the population. Western Australia (10.</w:t>
      </w:r>
      <w:r w:rsidR="00CC4B36">
        <w:t>8</w:t>
      </w:r>
      <w:r w:rsidRPr="009D7B4A">
        <w:t> per cent) and SA (7.3 per cent) accounted for significant shares of the population, while Tasmania (2.</w:t>
      </w:r>
      <w:r w:rsidR="00CC4B36">
        <w:t>2</w:t>
      </w:r>
      <w:r w:rsidRPr="009D7B4A">
        <w:t> per cent), the ACT (1.</w:t>
      </w:r>
      <w:r w:rsidR="00CC4B36">
        <w:t>7</w:t>
      </w:r>
      <w:r w:rsidRPr="009D7B4A">
        <w:t> per cent) and the NT (1.0 per cent) accounted for smaller shares (table </w:t>
      </w:r>
      <w:proofErr w:type="spellStart"/>
      <w:r w:rsidRPr="009D7B4A">
        <w:t>AA.1</w:t>
      </w:r>
      <w:proofErr w:type="spellEnd"/>
      <w:r w:rsidRPr="009D7B4A">
        <w:t>).</w:t>
      </w:r>
    </w:p>
    <w:p w:rsidR="00D05A15" w:rsidRPr="00F47246" w:rsidRDefault="00D05A15" w:rsidP="000F6981">
      <w:pPr>
        <w:pStyle w:val="BodyText"/>
      </w:pPr>
      <w:r w:rsidRPr="00D05A15">
        <w:t xml:space="preserve">Data for </w:t>
      </w:r>
      <w:proofErr w:type="spellStart"/>
      <w:r w:rsidR="00B872A3">
        <w:t>ERP</w:t>
      </w:r>
      <w:proofErr w:type="spellEnd"/>
      <w:r w:rsidRPr="00D05A15">
        <w:t>, as at 31 December, for 200</w:t>
      </w:r>
      <w:r>
        <w:t>7 to 201</w:t>
      </w:r>
      <w:r w:rsidR="00A046B1">
        <w:t>1</w:t>
      </w:r>
      <w:r>
        <w:t xml:space="preserve"> are in table </w:t>
      </w:r>
      <w:proofErr w:type="spellStart"/>
      <w:r w:rsidRPr="00996952">
        <w:t>AA.2</w:t>
      </w:r>
      <w:proofErr w:type="spellEnd"/>
      <w:r w:rsidRPr="00D05A15">
        <w:t>.</w:t>
      </w:r>
    </w:p>
    <w:p w:rsidR="000F6981" w:rsidRPr="00F47246" w:rsidRDefault="000F6981" w:rsidP="0076730F">
      <w:pPr>
        <w:pStyle w:val="Heading4"/>
      </w:pPr>
      <w:r w:rsidRPr="00F47246">
        <w:t>Population, by sex and age</w:t>
      </w:r>
    </w:p>
    <w:p w:rsidR="000F6981" w:rsidRPr="00C33C8E" w:rsidRDefault="000F6981" w:rsidP="00490F94">
      <w:pPr>
        <w:pStyle w:val="BodyText"/>
        <w:tabs>
          <w:tab w:val="left" w:pos="2700"/>
        </w:tabs>
      </w:pPr>
      <w:r w:rsidRPr="008E24AF">
        <w:t>As might be expected, half of the Australian population at 31 December 201</w:t>
      </w:r>
      <w:r w:rsidR="00A046B1">
        <w:t>2</w:t>
      </w:r>
      <w:r w:rsidRPr="008E24AF">
        <w:t xml:space="preserve"> were female (50.</w:t>
      </w:r>
      <w:r w:rsidR="00D41977">
        <w:t>2</w:t>
      </w:r>
      <w:r w:rsidRPr="008E24AF">
        <w:t> per cent)</w:t>
      </w:r>
      <w:r w:rsidR="00C53D42">
        <w:t xml:space="preserve"> (table </w:t>
      </w:r>
      <w:proofErr w:type="spellStart"/>
      <w:r w:rsidR="00C53D42">
        <w:t>AA.1</w:t>
      </w:r>
      <w:proofErr w:type="spellEnd"/>
      <w:r w:rsidR="00C53D42">
        <w:t>)</w:t>
      </w:r>
      <w:r w:rsidRPr="008E24AF">
        <w:t>. This distribution was similar across all jurisdictions, ranging from 47.</w:t>
      </w:r>
      <w:r w:rsidR="00D41977">
        <w:t>4</w:t>
      </w:r>
      <w:r w:rsidRPr="008E24AF">
        <w:t> per cent in the NT to 50.</w:t>
      </w:r>
      <w:r w:rsidR="00D41977">
        <w:t>5</w:t>
      </w:r>
      <w:r w:rsidRPr="008E24AF">
        <w:t> per cent in Victoria</w:t>
      </w:r>
      <w:r w:rsidR="00D41977">
        <w:t xml:space="preserve"> and S</w:t>
      </w:r>
      <w:r w:rsidR="00AD2687">
        <w:t>A</w:t>
      </w:r>
      <w:r w:rsidRPr="008E24AF">
        <w:t xml:space="preserve"> (table </w:t>
      </w:r>
      <w:proofErr w:type="spellStart"/>
      <w:r w:rsidRPr="008E24AF">
        <w:t>AA.1</w:t>
      </w:r>
      <w:proofErr w:type="spellEnd"/>
      <w:r w:rsidRPr="008E24AF">
        <w:t xml:space="preserve">). However, the proportion of women in the population increases with age. </w:t>
      </w:r>
      <w:r w:rsidRPr="00C33C8E">
        <w:t xml:space="preserve">Nationally, </w:t>
      </w:r>
      <w:r w:rsidR="00C33C8E">
        <w:t>57.6</w:t>
      </w:r>
      <w:r w:rsidR="00E97843" w:rsidRPr="00C33C8E">
        <w:t> </w:t>
      </w:r>
      <w:r w:rsidRPr="00C33C8E">
        <w:t>per cent of people aged 7</w:t>
      </w:r>
      <w:r w:rsidR="00C33C8E">
        <w:t>5</w:t>
      </w:r>
      <w:r w:rsidRPr="00C33C8E">
        <w:t xml:space="preserve"> years or over were female, compared with 48.7 per cent of people aged 14 years or younger (table </w:t>
      </w:r>
      <w:proofErr w:type="spellStart"/>
      <w:r w:rsidRPr="00C33C8E">
        <w:t>AA.1</w:t>
      </w:r>
      <w:proofErr w:type="spellEnd"/>
      <w:r w:rsidRPr="00C33C8E">
        <w:t>).</w:t>
      </w:r>
    </w:p>
    <w:p w:rsidR="00C53D42" w:rsidRPr="00F47246" w:rsidRDefault="00C53D42" w:rsidP="00490F94">
      <w:pPr>
        <w:pStyle w:val="BodyText"/>
        <w:tabs>
          <w:tab w:val="left" w:pos="2700"/>
        </w:tabs>
      </w:pPr>
      <w:r>
        <w:t xml:space="preserve">Table </w:t>
      </w:r>
      <w:proofErr w:type="spellStart"/>
      <w:r>
        <w:t>A.2</w:t>
      </w:r>
      <w:proofErr w:type="spellEnd"/>
      <w:r>
        <w:t xml:space="preserve"> provides data on selected target age groups for populations of interest in the </w:t>
      </w:r>
      <w:proofErr w:type="spellStart"/>
      <w:r>
        <w:t>N</w:t>
      </w:r>
      <w:r w:rsidR="00B50DAC">
        <w:t>H</w:t>
      </w:r>
      <w:r>
        <w:t>A</w:t>
      </w:r>
      <w:proofErr w:type="spellEnd"/>
      <w:r w:rsidR="00B50DAC">
        <w:t xml:space="preserve">, NDA, NAHA and </w:t>
      </w:r>
      <w:proofErr w:type="spellStart"/>
      <w:r w:rsidR="00B50DAC">
        <w:t>NIRA</w:t>
      </w:r>
      <w:proofErr w:type="spellEnd"/>
      <w:r>
        <w:t xml:space="preserve"> </w:t>
      </w:r>
      <w:r w:rsidR="00A420CE">
        <w:t xml:space="preserve">performance </w:t>
      </w:r>
      <w:r>
        <w:t>reports.</w:t>
      </w:r>
      <w:r w:rsidR="005D6410">
        <w:t xml:space="preserve"> Data are provided for 31</w:t>
      </w:r>
      <w:r w:rsidR="00D1537F">
        <w:t> </w:t>
      </w:r>
      <w:r w:rsidR="005D6410">
        <w:t>December 201</w:t>
      </w:r>
      <w:r w:rsidR="00A046B1">
        <w:t>2</w:t>
      </w:r>
      <w:r w:rsidR="005D6410">
        <w:t xml:space="preserve">, as a </w:t>
      </w:r>
      <w:proofErr w:type="spellStart"/>
      <w:r w:rsidR="005D6410">
        <w:t>mid-point</w:t>
      </w:r>
      <w:proofErr w:type="spellEnd"/>
      <w:r w:rsidR="005D6410">
        <w:t xml:space="preserve"> for financial year reporting.</w:t>
      </w:r>
    </w:p>
    <w:p w:rsidR="000F6981" w:rsidRPr="00F47246" w:rsidRDefault="000F6981" w:rsidP="000F6981">
      <w:pPr>
        <w:pStyle w:val="TableTitle"/>
      </w:pPr>
      <w:r w:rsidRPr="004C2BCE">
        <w:rPr>
          <w:b w:val="0"/>
        </w:rPr>
        <w:t xml:space="preserve">Table </w:t>
      </w:r>
      <w:proofErr w:type="spellStart"/>
      <w:r w:rsidRPr="004C2BCE">
        <w:rPr>
          <w:b w:val="0"/>
        </w:rPr>
        <w:t>A.</w:t>
      </w:r>
      <w:r w:rsidRPr="004C2BCE">
        <w:rPr>
          <w:b w:val="0"/>
        </w:rPr>
        <w:fldChar w:fldCharType="begin"/>
      </w:r>
      <w:r w:rsidRPr="004C2BCE">
        <w:rPr>
          <w:b w:val="0"/>
        </w:rPr>
        <w:instrText xml:space="preserve"> COMMENTS  \* MERGEFORMAT </w:instrText>
      </w:r>
      <w:r w:rsidRPr="004C2BCE">
        <w:rPr>
          <w:b w:val="0"/>
        </w:rPr>
        <w:fldChar w:fldCharType="end"/>
      </w:r>
      <w:r w:rsidRPr="004C2BCE">
        <w:rPr>
          <w:b w:val="0"/>
        </w:rPr>
        <w:fldChar w:fldCharType="begin"/>
      </w:r>
      <w:r w:rsidRPr="004C2BCE">
        <w:rPr>
          <w:b w:val="0"/>
        </w:rPr>
        <w:instrText xml:space="preserve"> SEQ Table \* ARABIC </w:instrText>
      </w:r>
      <w:r w:rsidRPr="004C2BCE">
        <w:rPr>
          <w:b w:val="0"/>
        </w:rPr>
        <w:fldChar w:fldCharType="separate"/>
      </w:r>
      <w:r w:rsidR="00856D3A">
        <w:rPr>
          <w:b w:val="0"/>
          <w:noProof/>
        </w:rPr>
        <w:t>2</w:t>
      </w:r>
      <w:proofErr w:type="spellEnd"/>
      <w:r w:rsidRPr="004C2BCE">
        <w:rPr>
          <w:b w:val="0"/>
        </w:rPr>
        <w:fldChar w:fldCharType="end"/>
      </w:r>
      <w:r w:rsidRPr="004C2BCE">
        <w:tab/>
        <w:t xml:space="preserve">Proportion of population, by </w:t>
      </w:r>
      <w:r w:rsidR="00C53D42">
        <w:t>selected</w:t>
      </w:r>
      <w:r w:rsidR="00C53D42" w:rsidRPr="004C2BCE">
        <w:t xml:space="preserve"> </w:t>
      </w:r>
      <w:r w:rsidRPr="004C2BCE">
        <w:t>age groups, 31 December 201</w:t>
      </w:r>
      <w:r w:rsidR="00A046B1">
        <w:t>2</w:t>
      </w:r>
      <w:r w:rsidRPr="004C2BCE">
        <w:t xml:space="preserve"> (per cent)</w:t>
      </w:r>
    </w:p>
    <w:tbl>
      <w:tblPr>
        <w:tblW w:w="5011" w:type="pct"/>
        <w:tblLayout w:type="fixed"/>
        <w:tblCellMar>
          <w:left w:w="0" w:type="dxa"/>
          <w:right w:w="0" w:type="dxa"/>
        </w:tblCellMar>
        <w:tblLook w:val="0000" w:firstRow="0" w:lastRow="0" w:firstColumn="0" w:lastColumn="0" w:noHBand="0" w:noVBand="0"/>
      </w:tblPr>
      <w:tblGrid>
        <w:gridCol w:w="1798"/>
        <w:gridCol w:w="778"/>
        <w:gridCol w:w="779"/>
        <w:gridCol w:w="779"/>
        <w:gridCol w:w="779"/>
        <w:gridCol w:w="779"/>
        <w:gridCol w:w="779"/>
        <w:gridCol w:w="779"/>
        <w:gridCol w:w="779"/>
        <w:gridCol w:w="779"/>
      </w:tblGrid>
      <w:tr w:rsidR="000F6981" w:rsidRPr="00F47246" w:rsidTr="000F6981">
        <w:tc>
          <w:tcPr>
            <w:tcW w:w="1021" w:type="pct"/>
            <w:tcBorders>
              <w:top w:val="single" w:sz="6" w:space="0" w:color="auto"/>
              <w:bottom w:val="single" w:sz="6" w:space="0" w:color="auto"/>
            </w:tcBorders>
            <w:shd w:val="clear" w:color="auto" w:fill="auto"/>
          </w:tcPr>
          <w:p w:rsidR="000F6981" w:rsidRPr="00F47246" w:rsidRDefault="000F6981" w:rsidP="000F6981">
            <w:pPr>
              <w:pStyle w:val="TableColumnHeading"/>
              <w:jc w:val="left"/>
            </w:pPr>
          </w:p>
        </w:tc>
        <w:tc>
          <w:tcPr>
            <w:tcW w:w="442" w:type="pct"/>
            <w:tcBorders>
              <w:top w:val="single" w:sz="6" w:space="0" w:color="auto"/>
              <w:bottom w:val="single" w:sz="6" w:space="0" w:color="auto"/>
            </w:tcBorders>
            <w:shd w:val="clear" w:color="auto" w:fill="auto"/>
            <w:vAlign w:val="bottom"/>
          </w:tcPr>
          <w:p w:rsidR="000F6981" w:rsidRPr="00F47246" w:rsidRDefault="000F6981" w:rsidP="000F6981">
            <w:pPr>
              <w:pStyle w:val="TableColumnHeading"/>
            </w:pPr>
            <w:r w:rsidRPr="00F47246">
              <w:t>NSW</w:t>
            </w:r>
          </w:p>
        </w:tc>
        <w:tc>
          <w:tcPr>
            <w:tcW w:w="442" w:type="pct"/>
            <w:tcBorders>
              <w:top w:val="single" w:sz="6" w:space="0" w:color="auto"/>
              <w:bottom w:val="single" w:sz="6" w:space="0" w:color="auto"/>
            </w:tcBorders>
            <w:shd w:val="clear" w:color="auto" w:fill="auto"/>
            <w:vAlign w:val="bottom"/>
          </w:tcPr>
          <w:p w:rsidR="000F6981" w:rsidRPr="00F47246" w:rsidRDefault="000F6981" w:rsidP="000F6981">
            <w:pPr>
              <w:pStyle w:val="TableColumnHeading"/>
            </w:pPr>
            <w:r w:rsidRPr="00F47246">
              <w:t>Vic</w:t>
            </w:r>
          </w:p>
        </w:tc>
        <w:tc>
          <w:tcPr>
            <w:tcW w:w="442" w:type="pct"/>
            <w:tcBorders>
              <w:top w:val="single" w:sz="6" w:space="0" w:color="auto"/>
              <w:bottom w:val="single" w:sz="6" w:space="0" w:color="auto"/>
            </w:tcBorders>
            <w:shd w:val="clear" w:color="auto" w:fill="auto"/>
            <w:vAlign w:val="bottom"/>
          </w:tcPr>
          <w:p w:rsidR="000F6981" w:rsidRPr="00F47246" w:rsidRDefault="000F6981" w:rsidP="000F6981">
            <w:pPr>
              <w:pStyle w:val="TableColumnHeading"/>
            </w:pPr>
            <w:r w:rsidRPr="00F47246">
              <w:t>Qld</w:t>
            </w:r>
          </w:p>
        </w:tc>
        <w:tc>
          <w:tcPr>
            <w:tcW w:w="442" w:type="pct"/>
            <w:tcBorders>
              <w:top w:val="single" w:sz="6" w:space="0" w:color="auto"/>
              <w:bottom w:val="single" w:sz="6" w:space="0" w:color="auto"/>
            </w:tcBorders>
            <w:shd w:val="clear" w:color="auto" w:fill="auto"/>
            <w:vAlign w:val="bottom"/>
          </w:tcPr>
          <w:p w:rsidR="000F6981" w:rsidRPr="00F47246" w:rsidRDefault="000F6981" w:rsidP="000F6981">
            <w:pPr>
              <w:pStyle w:val="TableColumnHeading"/>
            </w:pPr>
            <w:r w:rsidRPr="00F47246">
              <w:t>WA</w:t>
            </w:r>
          </w:p>
        </w:tc>
        <w:tc>
          <w:tcPr>
            <w:tcW w:w="442" w:type="pct"/>
            <w:tcBorders>
              <w:top w:val="single" w:sz="6" w:space="0" w:color="auto"/>
              <w:bottom w:val="single" w:sz="6" w:space="0" w:color="auto"/>
            </w:tcBorders>
            <w:shd w:val="clear" w:color="auto" w:fill="auto"/>
            <w:vAlign w:val="bottom"/>
          </w:tcPr>
          <w:p w:rsidR="000F6981" w:rsidRPr="00F47246" w:rsidRDefault="000F6981" w:rsidP="000F6981">
            <w:pPr>
              <w:pStyle w:val="TableColumnHeading"/>
            </w:pPr>
            <w:r w:rsidRPr="00F47246">
              <w:t>SA</w:t>
            </w:r>
          </w:p>
        </w:tc>
        <w:tc>
          <w:tcPr>
            <w:tcW w:w="442" w:type="pct"/>
            <w:tcBorders>
              <w:top w:val="single" w:sz="6" w:space="0" w:color="auto"/>
              <w:bottom w:val="single" w:sz="6" w:space="0" w:color="auto"/>
            </w:tcBorders>
            <w:shd w:val="clear" w:color="auto" w:fill="auto"/>
            <w:vAlign w:val="bottom"/>
          </w:tcPr>
          <w:p w:rsidR="000F6981" w:rsidRPr="00F47246" w:rsidRDefault="000F6981" w:rsidP="000F6981">
            <w:pPr>
              <w:pStyle w:val="TableColumnHeading"/>
            </w:pPr>
            <w:r w:rsidRPr="00F47246">
              <w:t>Tas</w:t>
            </w:r>
          </w:p>
        </w:tc>
        <w:tc>
          <w:tcPr>
            <w:tcW w:w="442" w:type="pct"/>
            <w:tcBorders>
              <w:top w:val="single" w:sz="6" w:space="0" w:color="auto"/>
              <w:bottom w:val="single" w:sz="6" w:space="0" w:color="auto"/>
            </w:tcBorders>
            <w:shd w:val="clear" w:color="auto" w:fill="auto"/>
            <w:vAlign w:val="bottom"/>
          </w:tcPr>
          <w:p w:rsidR="000F6981" w:rsidRPr="00F47246" w:rsidRDefault="000F6981" w:rsidP="000F6981">
            <w:pPr>
              <w:pStyle w:val="TableColumnHeading"/>
            </w:pPr>
            <w:r w:rsidRPr="00F47246">
              <w:t>ACT</w:t>
            </w:r>
          </w:p>
        </w:tc>
        <w:tc>
          <w:tcPr>
            <w:tcW w:w="442" w:type="pct"/>
            <w:tcBorders>
              <w:top w:val="single" w:sz="6" w:space="0" w:color="auto"/>
              <w:bottom w:val="single" w:sz="6" w:space="0" w:color="auto"/>
            </w:tcBorders>
            <w:shd w:val="clear" w:color="auto" w:fill="auto"/>
            <w:vAlign w:val="bottom"/>
          </w:tcPr>
          <w:p w:rsidR="000F6981" w:rsidRPr="00F47246" w:rsidRDefault="000F6981" w:rsidP="000F6981">
            <w:pPr>
              <w:pStyle w:val="TableColumnHeading"/>
            </w:pPr>
            <w:r w:rsidRPr="00F47246">
              <w:t>NT</w:t>
            </w:r>
          </w:p>
        </w:tc>
        <w:tc>
          <w:tcPr>
            <w:tcW w:w="442" w:type="pct"/>
            <w:tcBorders>
              <w:top w:val="single" w:sz="6" w:space="0" w:color="auto"/>
              <w:bottom w:val="single" w:sz="6" w:space="0" w:color="auto"/>
            </w:tcBorders>
            <w:shd w:val="clear" w:color="auto" w:fill="auto"/>
            <w:vAlign w:val="bottom"/>
          </w:tcPr>
          <w:p w:rsidR="000F6981" w:rsidRPr="00F47246" w:rsidRDefault="000F6981" w:rsidP="00B826A7">
            <w:pPr>
              <w:pStyle w:val="TableColumnHeading"/>
              <w:ind w:right="19"/>
            </w:pPr>
            <w:r w:rsidRPr="00F47246">
              <w:t>Aust</w:t>
            </w:r>
            <w:r w:rsidRPr="00F47246">
              <w:rPr>
                <w:rStyle w:val="NoteLabel"/>
                <w:i w:val="0"/>
              </w:rPr>
              <w:t>a</w:t>
            </w:r>
          </w:p>
        </w:tc>
      </w:tr>
      <w:tr w:rsidR="00415035" w:rsidRPr="00F47246" w:rsidTr="00415035">
        <w:tc>
          <w:tcPr>
            <w:tcW w:w="1021" w:type="pct"/>
            <w:tcBorders>
              <w:top w:val="single" w:sz="6" w:space="0" w:color="auto"/>
            </w:tcBorders>
            <w:vAlign w:val="center"/>
          </w:tcPr>
          <w:p w:rsidR="00415035" w:rsidRPr="00F47246" w:rsidRDefault="00415035" w:rsidP="000F6981">
            <w:pPr>
              <w:pStyle w:val="TableUnitsRow"/>
              <w:spacing w:after="40"/>
              <w:jc w:val="left"/>
            </w:pPr>
            <w:r w:rsidRPr="00F47246">
              <w:t>0–4 years</w:t>
            </w:r>
          </w:p>
        </w:tc>
        <w:tc>
          <w:tcPr>
            <w:tcW w:w="442" w:type="pct"/>
            <w:tcBorders>
              <w:top w:val="single" w:sz="6" w:space="0" w:color="auto"/>
            </w:tcBorders>
            <w:vAlign w:val="bottom"/>
          </w:tcPr>
          <w:p w:rsidR="00415035" w:rsidRPr="00842AD1" w:rsidRDefault="00415035" w:rsidP="00842AD1">
            <w:pPr>
              <w:pStyle w:val="TableBodyText"/>
            </w:pPr>
            <w:r w:rsidRPr="00842AD1">
              <w:t>6.5</w:t>
            </w:r>
          </w:p>
        </w:tc>
        <w:tc>
          <w:tcPr>
            <w:tcW w:w="442" w:type="pct"/>
            <w:tcBorders>
              <w:top w:val="single" w:sz="6" w:space="0" w:color="auto"/>
            </w:tcBorders>
            <w:vAlign w:val="bottom"/>
          </w:tcPr>
          <w:p w:rsidR="00415035" w:rsidRPr="00842AD1" w:rsidRDefault="00415035" w:rsidP="00842AD1">
            <w:pPr>
              <w:pStyle w:val="TableBodyText"/>
            </w:pPr>
            <w:r w:rsidRPr="00842AD1">
              <w:t>6.4</w:t>
            </w:r>
          </w:p>
        </w:tc>
        <w:tc>
          <w:tcPr>
            <w:tcW w:w="442" w:type="pct"/>
            <w:tcBorders>
              <w:top w:val="single" w:sz="6" w:space="0" w:color="auto"/>
            </w:tcBorders>
            <w:vAlign w:val="bottom"/>
          </w:tcPr>
          <w:p w:rsidR="00415035" w:rsidRPr="00842AD1" w:rsidRDefault="00415035" w:rsidP="00842AD1">
            <w:pPr>
              <w:pStyle w:val="TableBodyText"/>
            </w:pPr>
            <w:r w:rsidRPr="00842AD1">
              <w:t>6.8</w:t>
            </w:r>
          </w:p>
        </w:tc>
        <w:tc>
          <w:tcPr>
            <w:tcW w:w="442" w:type="pct"/>
            <w:tcBorders>
              <w:top w:val="single" w:sz="6" w:space="0" w:color="auto"/>
            </w:tcBorders>
            <w:vAlign w:val="bottom"/>
          </w:tcPr>
          <w:p w:rsidR="00415035" w:rsidRPr="00842AD1" w:rsidRDefault="00415035" w:rsidP="00842AD1">
            <w:pPr>
              <w:pStyle w:val="TableBodyText"/>
            </w:pPr>
            <w:r w:rsidRPr="00842AD1">
              <w:t>6.7</w:t>
            </w:r>
          </w:p>
        </w:tc>
        <w:tc>
          <w:tcPr>
            <w:tcW w:w="442" w:type="pct"/>
            <w:tcBorders>
              <w:top w:val="single" w:sz="6" w:space="0" w:color="auto"/>
            </w:tcBorders>
            <w:vAlign w:val="bottom"/>
          </w:tcPr>
          <w:p w:rsidR="00415035" w:rsidRPr="00842AD1" w:rsidRDefault="00415035" w:rsidP="00842AD1">
            <w:pPr>
              <w:pStyle w:val="TableBodyText"/>
            </w:pPr>
            <w:r w:rsidRPr="00842AD1">
              <w:t>6.0</w:t>
            </w:r>
          </w:p>
        </w:tc>
        <w:tc>
          <w:tcPr>
            <w:tcW w:w="442" w:type="pct"/>
            <w:tcBorders>
              <w:top w:val="single" w:sz="6" w:space="0" w:color="auto"/>
            </w:tcBorders>
            <w:vAlign w:val="bottom"/>
          </w:tcPr>
          <w:p w:rsidR="00415035" w:rsidRPr="00842AD1" w:rsidRDefault="00415035" w:rsidP="00842AD1">
            <w:pPr>
              <w:pStyle w:val="TableBodyText"/>
            </w:pPr>
            <w:r w:rsidRPr="00842AD1">
              <w:t>6.1</w:t>
            </w:r>
          </w:p>
        </w:tc>
        <w:tc>
          <w:tcPr>
            <w:tcW w:w="442" w:type="pct"/>
            <w:tcBorders>
              <w:top w:val="single" w:sz="6" w:space="0" w:color="auto"/>
            </w:tcBorders>
            <w:vAlign w:val="bottom"/>
          </w:tcPr>
          <w:p w:rsidR="00415035" w:rsidRPr="00842AD1" w:rsidRDefault="00415035" w:rsidP="00842AD1">
            <w:pPr>
              <w:pStyle w:val="TableBodyText"/>
            </w:pPr>
            <w:r w:rsidRPr="00842AD1">
              <w:t>6.7</w:t>
            </w:r>
          </w:p>
        </w:tc>
        <w:tc>
          <w:tcPr>
            <w:tcW w:w="442" w:type="pct"/>
            <w:tcBorders>
              <w:top w:val="single" w:sz="6" w:space="0" w:color="auto"/>
            </w:tcBorders>
            <w:vAlign w:val="bottom"/>
          </w:tcPr>
          <w:p w:rsidR="00415035" w:rsidRPr="00842AD1" w:rsidRDefault="00415035" w:rsidP="00842AD1">
            <w:pPr>
              <w:pStyle w:val="TableBodyText"/>
            </w:pPr>
            <w:r w:rsidRPr="00842AD1">
              <w:t>7.9</w:t>
            </w:r>
          </w:p>
        </w:tc>
        <w:tc>
          <w:tcPr>
            <w:tcW w:w="442" w:type="pct"/>
            <w:tcBorders>
              <w:top w:val="single" w:sz="6" w:space="0" w:color="auto"/>
            </w:tcBorders>
            <w:vAlign w:val="bottom"/>
          </w:tcPr>
          <w:p w:rsidR="00415035" w:rsidRPr="00842AD1" w:rsidRDefault="00415035" w:rsidP="00842AD1">
            <w:pPr>
              <w:pStyle w:val="TableBodyText"/>
            </w:pPr>
            <w:r w:rsidRPr="00842AD1">
              <w:t>6.5</w:t>
            </w:r>
          </w:p>
        </w:tc>
      </w:tr>
      <w:tr w:rsidR="00415035" w:rsidRPr="00F47246" w:rsidTr="00415035">
        <w:tc>
          <w:tcPr>
            <w:tcW w:w="1021" w:type="pct"/>
            <w:vAlign w:val="center"/>
          </w:tcPr>
          <w:p w:rsidR="00415035" w:rsidRPr="00F47246" w:rsidRDefault="00415035" w:rsidP="003F7477">
            <w:pPr>
              <w:pStyle w:val="TableUnitsRow"/>
              <w:jc w:val="left"/>
            </w:pPr>
            <w:r w:rsidRPr="00F47246">
              <w:t>5–14 years</w:t>
            </w:r>
          </w:p>
        </w:tc>
        <w:tc>
          <w:tcPr>
            <w:tcW w:w="442" w:type="pct"/>
            <w:vAlign w:val="bottom"/>
          </w:tcPr>
          <w:p w:rsidR="00415035" w:rsidRPr="00842AD1" w:rsidRDefault="00415035" w:rsidP="00842AD1">
            <w:pPr>
              <w:pStyle w:val="TableBodyText"/>
            </w:pPr>
            <w:r w:rsidRPr="00842AD1">
              <w:t>12.3</w:t>
            </w:r>
          </w:p>
        </w:tc>
        <w:tc>
          <w:tcPr>
            <w:tcW w:w="442" w:type="pct"/>
            <w:vAlign w:val="bottom"/>
          </w:tcPr>
          <w:p w:rsidR="00415035" w:rsidRPr="00842AD1" w:rsidRDefault="00415035" w:rsidP="00842AD1">
            <w:pPr>
              <w:pStyle w:val="TableBodyText"/>
            </w:pPr>
            <w:r w:rsidRPr="00842AD1">
              <w:t>11.9</w:t>
            </w:r>
          </w:p>
        </w:tc>
        <w:tc>
          <w:tcPr>
            <w:tcW w:w="442" w:type="pct"/>
            <w:vAlign w:val="bottom"/>
          </w:tcPr>
          <w:p w:rsidR="00415035" w:rsidRPr="00842AD1" w:rsidRDefault="00415035" w:rsidP="00842AD1">
            <w:pPr>
              <w:pStyle w:val="TableBodyText"/>
            </w:pPr>
            <w:r w:rsidRPr="00842AD1">
              <w:t>13.1</w:t>
            </w:r>
          </w:p>
        </w:tc>
        <w:tc>
          <w:tcPr>
            <w:tcW w:w="442" w:type="pct"/>
            <w:vAlign w:val="bottom"/>
          </w:tcPr>
          <w:p w:rsidR="00415035" w:rsidRPr="00842AD1" w:rsidRDefault="00415035" w:rsidP="00842AD1">
            <w:pPr>
              <w:pStyle w:val="TableBodyText"/>
            </w:pPr>
            <w:r w:rsidRPr="00842AD1">
              <w:t>12.5</w:t>
            </w:r>
          </w:p>
        </w:tc>
        <w:tc>
          <w:tcPr>
            <w:tcW w:w="442" w:type="pct"/>
            <w:vAlign w:val="bottom"/>
          </w:tcPr>
          <w:p w:rsidR="00415035" w:rsidRPr="00842AD1" w:rsidRDefault="00415035" w:rsidP="00842AD1">
            <w:pPr>
              <w:pStyle w:val="TableBodyText"/>
            </w:pPr>
            <w:r w:rsidRPr="00842AD1">
              <w:t>11.7</w:t>
            </w:r>
          </w:p>
        </w:tc>
        <w:tc>
          <w:tcPr>
            <w:tcW w:w="442" w:type="pct"/>
            <w:vAlign w:val="bottom"/>
          </w:tcPr>
          <w:p w:rsidR="00415035" w:rsidRPr="00842AD1" w:rsidRDefault="00415035" w:rsidP="00842AD1">
            <w:pPr>
              <w:pStyle w:val="TableBodyText"/>
            </w:pPr>
            <w:r w:rsidRPr="00842AD1">
              <w:t>12.4</w:t>
            </w:r>
          </w:p>
        </w:tc>
        <w:tc>
          <w:tcPr>
            <w:tcW w:w="442" w:type="pct"/>
            <w:vAlign w:val="bottom"/>
          </w:tcPr>
          <w:p w:rsidR="00415035" w:rsidRPr="00842AD1" w:rsidRDefault="00415035" w:rsidP="00842AD1">
            <w:pPr>
              <w:pStyle w:val="TableBodyText"/>
            </w:pPr>
            <w:r w:rsidRPr="00842AD1">
              <w:t>11.6</w:t>
            </w:r>
          </w:p>
        </w:tc>
        <w:tc>
          <w:tcPr>
            <w:tcW w:w="442" w:type="pct"/>
            <w:vAlign w:val="bottom"/>
          </w:tcPr>
          <w:p w:rsidR="00415035" w:rsidRPr="00842AD1" w:rsidRDefault="00415035" w:rsidP="00842AD1">
            <w:pPr>
              <w:pStyle w:val="TableBodyText"/>
            </w:pPr>
            <w:r w:rsidRPr="00842AD1">
              <w:t>14.6</w:t>
            </w:r>
          </w:p>
        </w:tc>
        <w:tc>
          <w:tcPr>
            <w:tcW w:w="442" w:type="pct"/>
            <w:vAlign w:val="bottom"/>
          </w:tcPr>
          <w:p w:rsidR="00415035" w:rsidRPr="00842AD1" w:rsidRDefault="00415035" w:rsidP="00842AD1">
            <w:pPr>
              <w:pStyle w:val="TableBodyText"/>
            </w:pPr>
            <w:r w:rsidRPr="00842AD1">
              <w:t>12.4</w:t>
            </w:r>
          </w:p>
        </w:tc>
      </w:tr>
      <w:tr w:rsidR="00415035" w:rsidRPr="00F47246" w:rsidTr="00415035">
        <w:tc>
          <w:tcPr>
            <w:tcW w:w="1021" w:type="pct"/>
            <w:vAlign w:val="center"/>
          </w:tcPr>
          <w:p w:rsidR="00415035" w:rsidRPr="00F47246" w:rsidRDefault="00415035" w:rsidP="003F7477">
            <w:pPr>
              <w:pStyle w:val="TableUnitsRow"/>
              <w:jc w:val="left"/>
            </w:pPr>
            <w:r w:rsidRPr="00F47246">
              <w:t>15–64 years</w:t>
            </w:r>
          </w:p>
        </w:tc>
        <w:tc>
          <w:tcPr>
            <w:tcW w:w="442" w:type="pct"/>
            <w:vAlign w:val="bottom"/>
          </w:tcPr>
          <w:p w:rsidR="00415035" w:rsidRPr="00842AD1" w:rsidRDefault="00415035" w:rsidP="00842AD1">
            <w:pPr>
              <w:pStyle w:val="TableBodyText"/>
            </w:pPr>
            <w:r w:rsidRPr="00842AD1">
              <w:t>66.1</w:t>
            </w:r>
          </w:p>
        </w:tc>
        <w:tc>
          <w:tcPr>
            <w:tcW w:w="442" w:type="pct"/>
            <w:vAlign w:val="bottom"/>
          </w:tcPr>
          <w:p w:rsidR="00415035" w:rsidRPr="00842AD1" w:rsidRDefault="00415035" w:rsidP="00842AD1">
            <w:pPr>
              <w:pStyle w:val="TableBodyText"/>
            </w:pPr>
            <w:r w:rsidRPr="00842AD1">
              <w:t>67.2</w:t>
            </w:r>
          </w:p>
        </w:tc>
        <w:tc>
          <w:tcPr>
            <w:tcW w:w="442" w:type="pct"/>
            <w:vAlign w:val="bottom"/>
          </w:tcPr>
          <w:p w:rsidR="00415035" w:rsidRPr="00842AD1" w:rsidRDefault="00415035" w:rsidP="00842AD1">
            <w:pPr>
              <w:pStyle w:val="TableBodyText"/>
            </w:pPr>
            <w:r w:rsidRPr="00842AD1">
              <w:t>66.7</w:t>
            </w:r>
          </w:p>
        </w:tc>
        <w:tc>
          <w:tcPr>
            <w:tcW w:w="442" w:type="pct"/>
            <w:vAlign w:val="bottom"/>
          </w:tcPr>
          <w:p w:rsidR="00415035" w:rsidRPr="00842AD1" w:rsidRDefault="00415035" w:rsidP="00842AD1">
            <w:pPr>
              <w:pStyle w:val="TableBodyText"/>
            </w:pPr>
            <w:r w:rsidRPr="00842AD1">
              <w:t>68.4</w:t>
            </w:r>
          </w:p>
        </w:tc>
        <w:tc>
          <w:tcPr>
            <w:tcW w:w="442" w:type="pct"/>
            <w:vAlign w:val="bottom"/>
          </w:tcPr>
          <w:p w:rsidR="00415035" w:rsidRPr="00842AD1" w:rsidRDefault="00415035" w:rsidP="00842AD1">
            <w:pPr>
              <w:pStyle w:val="TableBodyText"/>
            </w:pPr>
            <w:r w:rsidRPr="00842AD1">
              <w:t>65.7</w:t>
            </w:r>
          </w:p>
        </w:tc>
        <w:tc>
          <w:tcPr>
            <w:tcW w:w="442" w:type="pct"/>
            <w:vAlign w:val="bottom"/>
          </w:tcPr>
          <w:p w:rsidR="00415035" w:rsidRPr="00842AD1" w:rsidRDefault="00415035" w:rsidP="00842AD1">
            <w:pPr>
              <w:pStyle w:val="TableBodyText"/>
            </w:pPr>
            <w:r w:rsidRPr="00842AD1">
              <w:t>64.4</w:t>
            </w:r>
          </w:p>
        </w:tc>
        <w:tc>
          <w:tcPr>
            <w:tcW w:w="442" w:type="pct"/>
            <w:vAlign w:val="bottom"/>
          </w:tcPr>
          <w:p w:rsidR="00415035" w:rsidRPr="00842AD1" w:rsidRDefault="00415035" w:rsidP="00842AD1">
            <w:pPr>
              <w:pStyle w:val="TableBodyText"/>
            </w:pPr>
            <w:r w:rsidRPr="00842AD1">
              <w:t>70.5</w:t>
            </w:r>
          </w:p>
        </w:tc>
        <w:tc>
          <w:tcPr>
            <w:tcW w:w="442" w:type="pct"/>
            <w:vAlign w:val="bottom"/>
          </w:tcPr>
          <w:p w:rsidR="00415035" w:rsidRPr="00842AD1" w:rsidRDefault="00415035" w:rsidP="00842AD1">
            <w:pPr>
              <w:pStyle w:val="TableBodyText"/>
            </w:pPr>
            <w:r w:rsidRPr="00842AD1">
              <w:t>71.4</w:t>
            </w:r>
          </w:p>
        </w:tc>
        <w:tc>
          <w:tcPr>
            <w:tcW w:w="442" w:type="pct"/>
            <w:vAlign w:val="bottom"/>
          </w:tcPr>
          <w:p w:rsidR="00415035" w:rsidRPr="00842AD1" w:rsidRDefault="00415035" w:rsidP="00842AD1">
            <w:pPr>
              <w:pStyle w:val="TableBodyText"/>
            </w:pPr>
            <w:r w:rsidRPr="00842AD1">
              <w:t>66.8</w:t>
            </w:r>
          </w:p>
        </w:tc>
      </w:tr>
      <w:tr w:rsidR="00415035" w:rsidRPr="00F47246" w:rsidTr="00415035">
        <w:tc>
          <w:tcPr>
            <w:tcW w:w="1021" w:type="pct"/>
            <w:tcBorders>
              <w:bottom w:val="single" w:sz="4" w:space="0" w:color="auto"/>
            </w:tcBorders>
            <w:vAlign w:val="center"/>
          </w:tcPr>
          <w:p w:rsidR="00415035" w:rsidRPr="00F47246" w:rsidRDefault="00415035" w:rsidP="003F7477">
            <w:pPr>
              <w:pStyle w:val="TableUnitsRow"/>
              <w:jc w:val="left"/>
            </w:pPr>
            <w:r w:rsidRPr="00F47246">
              <w:t>65 years or over</w:t>
            </w:r>
          </w:p>
        </w:tc>
        <w:tc>
          <w:tcPr>
            <w:tcW w:w="442" w:type="pct"/>
            <w:tcBorders>
              <w:bottom w:val="single" w:sz="4" w:space="0" w:color="auto"/>
            </w:tcBorders>
            <w:vAlign w:val="bottom"/>
          </w:tcPr>
          <w:p w:rsidR="00415035" w:rsidRPr="00842AD1" w:rsidRDefault="00415035" w:rsidP="00842AD1">
            <w:pPr>
              <w:pStyle w:val="TableBodyText"/>
            </w:pPr>
            <w:r w:rsidRPr="00842AD1">
              <w:t>15.1</w:t>
            </w:r>
          </w:p>
        </w:tc>
        <w:tc>
          <w:tcPr>
            <w:tcW w:w="442" w:type="pct"/>
            <w:tcBorders>
              <w:bottom w:val="single" w:sz="4" w:space="0" w:color="auto"/>
            </w:tcBorders>
            <w:vAlign w:val="bottom"/>
          </w:tcPr>
          <w:p w:rsidR="00415035" w:rsidRPr="00842AD1" w:rsidRDefault="00415035" w:rsidP="00842AD1">
            <w:pPr>
              <w:pStyle w:val="TableBodyText"/>
            </w:pPr>
            <w:r w:rsidRPr="00842AD1">
              <w:t>14.5</w:t>
            </w:r>
          </w:p>
        </w:tc>
        <w:tc>
          <w:tcPr>
            <w:tcW w:w="442" w:type="pct"/>
            <w:tcBorders>
              <w:bottom w:val="single" w:sz="4" w:space="0" w:color="auto"/>
            </w:tcBorders>
            <w:vAlign w:val="bottom"/>
          </w:tcPr>
          <w:p w:rsidR="00415035" w:rsidRPr="00842AD1" w:rsidRDefault="00415035" w:rsidP="00842AD1">
            <w:pPr>
              <w:pStyle w:val="TableBodyText"/>
            </w:pPr>
            <w:r w:rsidRPr="00842AD1">
              <w:t>13.5</w:t>
            </w:r>
          </w:p>
        </w:tc>
        <w:tc>
          <w:tcPr>
            <w:tcW w:w="442" w:type="pct"/>
            <w:tcBorders>
              <w:bottom w:val="single" w:sz="4" w:space="0" w:color="auto"/>
            </w:tcBorders>
            <w:vAlign w:val="bottom"/>
          </w:tcPr>
          <w:p w:rsidR="00415035" w:rsidRPr="00842AD1" w:rsidRDefault="00415035" w:rsidP="00842AD1">
            <w:pPr>
              <w:pStyle w:val="TableBodyText"/>
            </w:pPr>
            <w:r w:rsidRPr="00842AD1">
              <w:t>12.4</w:t>
            </w:r>
          </w:p>
        </w:tc>
        <w:tc>
          <w:tcPr>
            <w:tcW w:w="442" w:type="pct"/>
            <w:tcBorders>
              <w:bottom w:val="single" w:sz="4" w:space="0" w:color="auto"/>
            </w:tcBorders>
            <w:vAlign w:val="bottom"/>
          </w:tcPr>
          <w:p w:rsidR="00415035" w:rsidRPr="00842AD1" w:rsidRDefault="00415035" w:rsidP="00842AD1">
            <w:pPr>
              <w:pStyle w:val="TableBodyText"/>
            </w:pPr>
            <w:r w:rsidRPr="00842AD1">
              <w:t>16.6</w:t>
            </w:r>
          </w:p>
        </w:tc>
        <w:tc>
          <w:tcPr>
            <w:tcW w:w="442" w:type="pct"/>
            <w:tcBorders>
              <w:bottom w:val="single" w:sz="4" w:space="0" w:color="auto"/>
            </w:tcBorders>
            <w:vAlign w:val="bottom"/>
          </w:tcPr>
          <w:p w:rsidR="00415035" w:rsidRPr="00842AD1" w:rsidRDefault="00415035" w:rsidP="00842AD1">
            <w:pPr>
              <w:pStyle w:val="TableBodyText"/>
            </w:pPr>
            <w:r w:rsidRPr="00842AD1">
              <w:t>17.0</w:t>
            </w:r>
          </w:p>
        </w:tc>
        <w:tc>
          <w:tcPr>
            <w:tcW w:w="442" w:type="pct"/>
            <w:tcBorders>
              <w:bottom w:val="single" w:sz="4" w:space="0" w:color="auto"/>
            </w:tcBorders>
            <w:vAlign w:val="bottom"/>
          </w:tcPr>
          <w:p w:rsidR="00415035" w:rsidRPr="00842AD1" w:rsidRDefault="00415035" w:rsidP="00842AD1">
            <w:pPr>
              <w:pStyle w:val="TableBodyText"/>
            </w:pPr>
            <w:r w:rsidRPr="00842AD1">
              <w:t>11.2</w:t>
            </w:r>
          </w:p>
        </w:tc>
        <w:tc>
          <w:tcPr>
            <w:tcW w:w="442" w:type="pct"/>
            <w:tcBorders>
              <w:bottom w:val="single" w:sz="4" w:space="0" w:color="auto"/>
            </w:tcBorders>
            <w:vAlign w:val="bottom"/>
          </w:tcPr>
          <w:p w:rsidR="00415035" w:rsidRPr="00842AD1" w:rsidRDefault="00415035" w:rsidP="00842AD1">
            <w:pPr>
              <w:pStyle w:val="TableBodyText"/>
            </w:pPr>
            <w:r w:rsidRPr="00842AD1">
              <w:t>6.1</w:t>
            </w:r>
          </w:p>
        </w:tc>
        <w:tc>
          <w:tcPr>
            <w:tcW w:w="442" w:type="pct"/>
            <w:tcBorders>
              <w:bottom w:val="single" w:sz="4" w:space="0" w:color="auto"/>
            </w:tcBorders>
            <w:vAlign w:val="bottom"/>
          </w:tcPr>
          <w:p w:rsidR="00415035" w:rsidRPr="00842AD1" w:rsidRDefault="00415035" w:rsidP="00842AD1">
            <w:pPr>
              <w:pStyle w:val="TableBodyText"/>
            </w:pPr>
            <w:r w:rsidRPr="00842AD1">
              <w:t>14.3</w:t>
            </w:r>
          </w:p>
        </w:tc>
      </w:tr>
    </w:tbl>
    <w:p w:rsidR="000F6981" w:rsidRPr="00F47246" w:rsidRDefault="000F6981" w:rsidP="000F6981">
      <w:pPr>
        <w:pStyle w:val="Note"/>
      </w:pPr>
      <w:r w:rsidRPr="00F47246">
        <w:rPr>
          <w:rStyle w:val="NoteLabel"/>
        </w:rPr>
        <w:t>a</w:t>
      </w:r>
      <w:r w:rsidRPr="00F47246">
        <w:rPr>
          <w:rFonts w:cs="Arial"/>
        </w:rPr>
        <w:t xml:space="preserve"> ‘Aust’ </w:t>
      </w:r>
      <w:r w:rsidRPr="00F47246">
        <w:t>includes other</w:t>
      </w:r>
      <w:r w:rsidRPr="00F47246">
        <w:rPr>
          <w:rStyle w:val="NoteLabel"/>
        </w:rPr>
        <w:t xml:space="preserve"> </w:t>
      </w:r>
      <w:r w:rsidRPr="00F47246">
        <w:rPr>
          <w:rStyle w:val="NoteLabel"/>
          <w:b w:val="0"/>
          <w:position w:val="0"/>
        </w:rPr>
        <w:t>territories.</w:t>
      </w:r>
    </w:p>
    <w:p w:rsidR="000F6981" w:rsidRDefault="000F6981" w:rsidP="000F6981">
      <w:pPr>
        <w:pStyle w:val="Source"/>
      </w:pPr>
      <w:r w:rsidRPr="00F47246">
        <w:rPr>
          <w:i/>
        </w:rPr>
        <w:t>Source</w:t>
      </w:r>
      <w:r w:rsidRPr="00F47246">
        <w:t xml:space="preserve">: ABS </w:t>
      </w:r>
      <w:r w:rsidR="00146751">
        <w:t xml:space="preserve">2013 </w:t>
      </w:r>
      <w:r w:rsidRPr="00F47246">
        <w:t>(unpublished) Australian Demographic Statistics</w:t>
      </w:r>
      <w:r w:rsidRPr="00F47246" w:rsidDel="0050258A">
        <w:t xml:space="preserve"> </w:t>
      </w:r>
      <w:r w:rsidRPr="00F47246">
        <w:t>data collection; table </w:t>
      </w:r>
      <w:proofErr w:type="spellStart"/>
      <w:r w:rsidRPr="00F47246">
        <w:t>AA.1</w:t>
      </w:r>
      <w:proofErr w:type="spellEnd"/>
      <w:r w:rsidRPr="00F47246">
        <w:t>.</w:t>
      </w:r>
    </w:p>
    <w:p w:rsidR="000F6981" w:rsidRPr="00F47246" w:rsidRDefault="005D6410" w:rsidP="000F6981">
      <w:pPr>
        <w:pStyle w:val="BodyText"/>
      </w:pPr>
      <w:r>
        <w:t>T</w:t>
      </w:r>
      <w:r w:rsidR="000F6981" w:rsidRPr="004C2BCE">
        <w:t>able </w:t>
      </w:r>
      <w:proofErr w:type="spellStart"/>
      <w:r w:rsidR="000F6981" w:rsidRPr="004C2BCE">
        <w:t>A.</w:t>
      </w:r>
      <w:r>
        <w:t>3</w:t>
      </w:r>
      <w:proofErr w:type="spellEnd"/>
      <w:r>
        <w:t xml:space="preserve"> provides data on selected target age groups for populations of interest in the education and training NA reports</w:t>
      </w:r>
      <w:r w:rsidR="000F6981" w:rsidRPr="004C2BCE">
        <w:t>.</w:t>
      </w:r>
      <w:r>
        <w:t xml:space="preserve"> Data are provided for 30 June 201</w:t>
      </w:r>
      <w:r w:rsidR="00A046B1">
        <w:t>2</w:t>
      </w:r>
      <w:r>
        <w:t xml:space="preserve">, as a </w:t>
      </w:r>
      <w:proofErr w:type="spellStart"/>
      <w:r>
        <w:t>mid-point</w:t>
      </w:r>
      <w:proofErr w:type="spellEnd"/>
      <w:r>
        <w:t xml:space="preserve"> for the calendar year reporting for the </w:t>
      </w:r>
      <w:r w:rsidR="00A420CE">
        <w:t>National Education Agreement (</w:t>
      </w:r>
      <w:r>
        <w:t>NEA</w:t>
      </w:r>
      <w:r w:rsidR="00A420CE">
        <w:t>)</w:t>
      </w:r>
      <w:r>
        <w:t xml:space="preserve"> and</w:t>
      </w:r>
      <w:r w:rsidR="00A420CE">
        <w:t xml:space="preserve"> the</w:t>
      </w:r>
      <w:r>
        <w:t xml:space="preserve"> </w:t>
      </w:r>
      <w:r w:rsidR="00A420CE">
        <w:t>National Agreement for Skills and Workforce Development (</w:t>
      </w:r>
      <w:r>
        <w:t>NASWD</w:t>
      </w:r>
      <w:r w:rsidR="00A420CE">
        <w:t>)</w:t>
      </w:r>
      <w:r>
        <w:t>.</w:t>
      </w:r>
    </w:p>
    <w:p w:rsidR="000F6981" w:rsidRDefault="000F6981" w:rsidP="000F6981">
      <w:pPr>
        <w:pStyle w:val="TableTitle"/>
      </w:pPr>
      <w:r w:rsidRPr="00B32B2E">
        <w:rPr>
          <w:b w:val="0"/>
        </w:rPr>
        <w:lastRenderedPageBreak/>
        <w:t xml:space="preserve">Table </w:t>
      </w:r>
      <w:proofErr w:type="spellStart"/>
      <w:r w:rsidR="0076730F" w:rsidRPr="00B32B2E">
        <w:rPr>
          <w:b w:val="0"/>
        </w:rPr>
        <w:t>A.</w:t>
      </w:r>
      <w:r w:rsidRPr="00B32B2E">
        <w:rPr>
          <w:b w:val="0"/>
        </w:rPr>
        <w:fldChar w:fldCharType="begin"/>
      </w:r>
      <w:r w:rsidRPr="00B32B2E">
        <w:rPr>
          <w:b w:val="0"/>
        </w:rPr>
        <w:instrText xml:space="preserve"> SEQ Table \* ARABIC </w:instrText>
      </w:r>
      <w:r w:rsidRPr="00B32B2E">
        <w:rPr>
          <w:b w:val="0"/>
        </w:rPr>
        <w:fldChar w:fldCharType="separate"/>
      </w:r>
      <w:r w:rsidR="00856D3A">
        <w:rPr>
          <w:b w:val="0"/>
          <w:noProof/>
        </w:rPr>
        <w:t>3</w:t>
      </w:r>
      <w:proofErr w:type="spellEnd"/>
      <w:r w:rsidRPr="00B32B2E">
        <w:rPr>
          <w:b w:val="0"/>
        </w:rPr>
        <w:fldChar w:fldCharType="end"/>
      </w:r>
      <w:r w:rsidRPr="00B32B2E">
        <w:tab/>
        <w:t>Proportion of population, by education and training target group, 30 June 201</w:t>
      </w:r>
      <w:r w:rsidR="00C46FF1">
        <w:t>2</w:t>
      </w:r>
      <w:r w:rsidRPr="00B32B2E">
        <w:t xml:space="preserve"> (per cent)</w:t>
      </w:r>
    </w:p>
    <w:tbl>
      <w:tblPr>
        <w:tblW w:w="4921" w:type="pct"/>
        <w:jc w:val="right"/>
        <w:tblInd w:w="162" w:type="dxa"/>
        <w:tblLayout w:type="fixed"/>
        <w:tblLook w:val="0000" w:firstRow="0" w:lastRow="0" w:firstColumn="0" w:lastColumn="0" w:noHBand="0" w:noVBand="0"/>
      </w:tblPr>
      <w:tblGrid>
        <w:gridCol w:w="1814"/>
        <w:gridCol w:w="841"/>
        <w:gridCol w:w="777"/>
        <w:gridCol w:w="776"/>
        <w:gridCol w:w="776"/>
        <w:gridCol w:w="776"/>
        <w:gridCol w:w="776"/>
        <w:gridCol w:w="776"/>
        <w:gridCol w:w="776"/>
        <w:gridCol w:w="775"/>
      </w:tblGrid>
      <w:tr w:rsidR="000F6981" w:rsidRPr="00F47246" w:rsidTr="000F6981">
        <w:trPr>
          <w:jc w:val="right"/>
        </w:trPr>
        <w:tc>
          <w:tcPr>
            <w:tcW w:w="1023" w:type="pct"/>
            <w:tcBorders>
              <w:top w:val="single" w:sz="4" w:space="0" w:color="auto"/>
              <w:bottom w:val="single" w:sz="4" w:space="0" w:color="auto"/>
            </w:tcBorders>
            <w:shd w:val="clear" w:color="auto" w:fill="auto"/>
          </w:tcPr>
          <w:p w:rsidR="000F6981" w:rsidRPr="00F47246" w:rsidRDefault="000F6981" w:rsidP="000F6981">
            <w:pPr>
              <w:pStyle w:val="TableColumnHeading"/>
              <w:jc w:val="left"/>
            </w:pPr>
          </w:p>
        </w:tc>
        <w:tc>
          <w:tcPr>
            <w:tcW w:w="474" w:type="pct"/>
            <w:tcBorders>
              <w:top w:val="single" w:sz="4" w:space="0" w:color="auto"/>
              <w:bottom w:val="single" w:sz="4" w:space="0" w:color="auto"/>
            </w:tcBorders>
            <w:shd w:val="clear" w:color="auto" w:fill="auto"/>
          </w:tcPr>
          <w:p w:rsidR="000F6981" w:rsidRPr="00F47246" w:rsidRDefault="000F6981" w:rsidP="000F6981">
            <w:pPr>
              <w:pStyle w:val="TableColumnHeading"/>
            </w:pPr>
            <w:r w:rsidRPr="00F47246">
              <w:t>NSW</w:t>
            </w:r>
          </w:p>
        </w:tc>
        <w:tc>
          <w:tcPr>
            <w:tcW w:w="438" w:type="pct"/>
            <w:tcBorders>
              <w:top w:val="single" w:sz="4" w:space="0" w:color="auto"/>
              <w:bottom w:val="single" w:sz="4" w:space="0" w:color="auto"/>
            </w:tcBorders>
            <w:shd w:val="clear" w:color="auto" w:fill="auto"/>
          </w:tcPr>
          <w:p w:rsidR="000F6981" w:rsidRPr="00F47246" w:rsidRDefault="000F6981" w:rsidP="000F6981">
            <w:pPr>
              <w:pStyle w:val="TableColumnHeading"/>
            </w:pPr>
            <w:r w:rsidRPr="00F47246">
              <w:t>Vic</w:t>
            </w:r>
          </w:p>
        </w:tc>
        <w:tc>
          <w:tcPr>
            <w:tcW w:w="438" w:type="pct"/>
            <w:tcBorders>
              <w:top w:val="single" w:sz="4" w:space="0" w:color="auto"/>
              <w:bottom w:val="single" w:sz="4" w:space="0" w:color="auto"/>
            </w:tcBorders>
            <w:shd w:val="clear" w:color="auto" w:fill="auto"/>
          </w:tcPr>
          <w:p w:rsidR="000F6981" w:rsidRPr="00F47246" w:rsidRDefault="000F6981" w:rsidP="000F6981">
            <w:pPr>
              <w:pStyle w:val="TableColumnHeading"/>
            </w:pPr>
            <w:r w:rsidRPr="00F47246">
              <w:t>Qld</w:t>
            </w:r>
          </w:p>
        </w:tc>
        <w:tc>
          <w:tcPr>
            <w:tcW w:w="438" w:type="pct"/>
            <w:tcBorders>
              <w:top w:val="single" w:sz="4" w:space="0" w:color="auto"/>
              <w:bottom w:val="single" w:sz="4" w:space="0" w:color="auto"/>
            </w:tcBorders>
            <w:shd w:val="clear" w:color="auto" w:fill="auto"/>
          </w:tcPr>
          <w:p w:rsidR="000F6981" w:rsidRPr="00F47246" w:rsidRDefault="000F6981" w:rsidP="000F6981">
            <w:pPr>
              <w:pStyle w:val="TableColumnHeading"/>
            </w:pPr>
            <w:r w:rsidRPr="00F47246">
              <w:t>WA</w:t>
            </w:r>
          </w:p>
        </w:tc>
        <w:tc>
          <w:tcPr>
            <w:tcW w:w="438" w:type="pct"/>
            <w:tcBorders>
              <w:top w:val="single" w:sz="4" w:space="0" w:color="auto"/>
              <w:bottom w:val="single" w:sz="4" w:space="0" w:color="auto"/>
            </w:tcBorders>
            <w:shd w:val="clear" w:color="auto" w:fill="auto"/>
          </w:tcPr>
          <w:p w:rsidR="000F6981" w:rsidRPr="00F47246" w:rsidRDefault="000F6981" w:rsidP="000F6981">
            <w:pPr>
              <w:pStyle w:val="TableColumnHeading"/>
            </w:pPr>
            <w:r w:rsidRPr="00F47246">
              <w:t>SA</w:t>
            </w:r>
          </w:p>
        </w:tc>
        <w:tc>
          <w:tcPr>
            <w:tcW w:w="438" w:type="pct"/>
            <w:tcBorders>
              <w:top w:val="single" w:sz="4" w:space="0" w:color="auto"/>
              <w:bottom w:val="single" w:sz="4" w:space="0" w:color="auto"/>
            </w:tcBorders>
            <w:shd w:val="clear" w:color="auto" w:fill="auto"/>
          </w:tcPr>
          <w:p w:rsidR="000F6981" w:rsidRPr="00F47246" w:rsidRDefault="000F6981" w:rsidP="000F6981">
            <w:pPr>
              <w:pStyle w:val="TableColumnHeading"/>
            </w:pPr>
            <w:r w:rsidRPr="00F47246">
              <w:t>Tas</w:t>
            </w:r>
          </w:p>
        </w:tc>
        <w:tc>
          <w:tcPr>
            <w:tcW w:w="438" w:type="pct"/>
            <w:tcBorders>
              <w:top w:val="single" w:sz="4" w:space="0" w:color="auto"/>
              <w:bottom w:val="single" w:sz="4" w:space="0" w:color="auto"/>
            </w:tcBorders>
            <w:shd w:val="clear" w:color="auto" w:fill="auto"/>
          </w:tcPr>
          <w:p w:rsidR="000F6981" w:rsidRPr="00F47246" w:rsidRDefault="000F6981" w:rsidP="000F6981">
            <w:pPr>
              <w:pStyle w:val="TableColumnHeading"/>
            </w:pPr>
            <w:r w:rsidRPr="00F47246">
              <w:t>ACT</w:t>
            </w:r>
          </w:p>
        </w:tc>
        <w:tc>
          <w:tcPr>
            <w:tcW w:w="438" w:type="pct"/>
            <w:tcBorders>
              <w:top w:val="single" w:sz="4" w:space="0" w:color="auto"/>
              <w:bottom w:val="single" w:sz="4" w:space="0" w:color="auto"/>
            </w:tcBorders>
            <w:shd w:val="clear" w:color="auto" w:fill="auto"/>
          </w:tcPr>
          <w:p w:rsidR="000F6981" w:rsidRPr="00F47246" w:rsidRDefault="000F6981" w:rsidP="000F6981">
            <w:pPr>
              <w:pStyle w:val="TableColumnHeading"/>
            </w:pPr>
            <w:r w:rsidRPr="00F47246">
              <w:t>NT</w:t>
            </w:r>
          </w:p>
        </w:tc>
        <w:tc>
          <w:tcPr>
            <w:tcW w:w="437" w:type="pct"/>
            <w:tcBorders>
              <w:top w:val="single" w:sz="4" w:space="0" w:color="auto"/>
              <w:bottom w:val="single" w:sz="4" w:space="0" w:color="auto"/>
            </w:tcBorders>
            <w:shd w:val="clear" w:color="auto" w:fill="auto"/>
          </w:tcPr>
          <w:p w:rsidR="000F6981" w:rsidRPr="00F47246" w:rsidRDefault="000F6981" w:rsidP="00B826A7">
            <w:pPr>
              <w:pStyle w:val="TableColumnHeading"/>
              <w:spacing w:before="0"/>
              <w:ind w:right="-113"/>
            </w:pPr>
            <w:r w:rsidRPr="00F47246">
              <w:t>Aust</w:t>
            </w:r>
            <w:r w:rsidR="00B50DAC" w:rsidRPr="00F97566">
              <w:rPr>
                <w:rStyle w:val="NoteLabel"/>
                <w:i w:val="0"/>
              </w:rPr>
              <w:t>a</w:t>
            </w:r>
          </w:p>
        </w:tc>
      </w:tr>
      <w:tr w:rsidR="00C16B2B" w:rsidRPr="00D92761" w:rsidTr="008D0F29">
        <w:trPr>
          <w:jc w:val="right"/>
        </w:trPr>
        <w:tc>
          <w:tcPr>
            <w:tcW w:w="1023" w:type="pct"/>
            <w:tcBorders>
              <w:top w:val="single" w:sz="4" w:space="0" w:color="auto"/>
            </w:tcBorders>
          </w:tcPr>
          <w:p w:rsidR="00C16B2B" w:rsidRPr="00F47246" w:rsidRDefault="00C16B2B" w:rsidP="00B826A7">
            <w:pPr>
              <w:pStyle w:val="TableUnitsRow"/>
              <w:spacing w:after="40"/>
              <w:ind w:left="-113"/>
              <w:jc w:val="left"/>
            </w:pPr>
            <w:r>
              <w:t>6</w:t>
            </w:r>
            <w:r w:rsidRPr="00F47246">
              <w:t>–</w:t>
            </w:r>
            <w:r>
              <w:t>15</w:t>
            </w:r>
            <w:r w:rsidRPr="00F47246">
              <w:t xml:space="preserve"> years</w:t>
            </w:r>
          </w:p>
        </w:tc>
        <w:tc>
          <w:tcPr>
            <w:tcW w:w="474" w:type="pct"/>
            <w:tcBorders>
              <w:top w:val="single" w:sz="4" w:space="0" w:color="auto"/>
            </w:tcBorders>
            <w:vAlign w:val="bottom"/>
          </w:tcPr>
          <w:p w:rsidR="00C16B2B" w:rsidRPr="00146751" w:rsidRDefault="00C16B2B" w:rsidP="00842AD1">
            <w:pPr>
              <w:pStyle w:val="TableBodyText"/>
            </w:pPr>
            <w:r>
              <w:t>12.3</w:t>
            </w:r>
          </w:p>
        </w:tc>
        <w:tc>
          <w:tcPr>
            <w:tcW w:w="438" w:type="pct"/>
            <w:tcBorders>
              <w:top w:val="single" w:sz="4" w:space="0" w:color="auto"/>
            </w:tcBorders>
            <w:vAlign w:val="bottom"/>
          </w:tcPr>
          <w:p w:rsidR="00C16B2B" w:rsidRPr="00146751" w:rsidRDefault="00C16B2B" w:rsidP="00842AD1">
            <w:pPr>
              <w:pStyle w:val="TableBodyText"/>
            </w:pPr>
            <w:r>
              <w:t>11.9</w:t>
            </w:r>
          </w:p>
        </w:tc>
        <w:tc>
          <w:tcPr>
            <w:tcW w:w="438" w:type="pct"/>
            <w:tcBorders>
              <w:top w:val="single" w:sz="4" w:space="0" w:color="auto"/>
            </w:tcBorders>
            <w:vAlign w:val="bottom"/>
          </w:tcPr>
          <w:p w:rsidR="00C16B2B" w:rsidRPr="00146751" w:rsidRDefault="00C16B2B" w:rsidP="00842AD1">
            <w:pPr>
              <w:pStyle w:val="TableBodyText"/>
            </w:pPr>
            <w:r>
              <w:t>13.1</w:t>
            </w:r>
          </w:p>
        </w:tc>
        <w:tc>
          <w:tcPr>
            <w:tcW w:w="438" w:type="pct"/>
            <w:tcBorders>
              <w:top w:val="single" w:sz="4" w:space="0" w:color="auto"/>
            </w:tcBorders>
            <w:vAlign w:val="bottom"/>
          </w:tcPr>
          <w:p w:rsidR="00C16B2B" w:rsidRPr="00146751" w:rsidRDefault="00C16B2B" w:rsidP="00842AD1">
            <w:pPr>
              <w:pStyle w:val="TableBodyText"/>
            </w:pPr>
            <w:r>
              <w:t>12.5</w:t>
            </w:r>
          </w:p>
        </w:tc>
        <w:tc>
          <w:tcPr>
            <w:tcW w:w="438" w:type="pct"/>
            <w:tcBorders>
              <w:top w:val="single" w:sz="4" w:space="0" w:color="auto"/>
            </w:tcBorders>
            <w:vAlign w:val="bottom"/>
          </w:tcPr>
          <w:p w:rsidR="00C16B2B" w:rsidRPr="00146751" w:rsidRDefault="00C16B2B" w:rsidP="00842AD1">
            <w:pPr>
              <w:pStyle w:val="TableBodyText"/>
            </w:pPr>
            <w:r>
              <w:t>11.8</w:t>
            </w:r>
          </w:p>
        </w:tc>
        <w:tc>
          <w:tcPr>
            <w:tcW w:w="438" w:type="pct"/>
            <w:tcBorders>
              <w:top w:val="single" w:sz="4" w:space="0" w:color="auto"/>
            </w:tcBorders>
            <w:vAlign w:val="bottom"/>
          </w:tcPr>
          <w:p w:rsidR="00C16B2B" w:rsidRPr="00146751" w:rsidRDefault="00C16B2B" w:rsidP="00842AD1">
            <w:pPr>
              <w:pStyle w:val="TableBodyText"/>
            </w:pPr>
            <w:r>
              <w:t>12.5</w:t>
            </w:r>
          </w:p>
        </w:tc>
        <w:tc>
          <w:tcPr>
            <w:tcW w:w="438" w:type="pct"/>
            <w:tcBorders>
              <w:top w:val="single" w:sz="4" w:space="0" w:color="auto"/>
            </w:tcBorders>
            <w:vAlign w:val="bottom"/>
          </w:tcPr>
          <w:p w:rsidR="00C16B2B" w:rsidRPr="00146751" w:rsidRDefault="00C16B2B" w:rsidP="00842AD1">
            <w:pPr>
              <w:pStyle w:val="TableBodyText"/>
            </w:pPr>
            <w:r>
              <w:t>11.5</w:t>
            </w:r>
          </w:p>
        </w:tc>
        <w:tc>
          <w:tcPr>
            <w:tcW w:w="438" w:type="pct"/>
            <w:tcBorders>
              <w:top w:val="single" w:sz="4" w:space="0" w:color="auto"/>
            </w:tcBorders>
            <w:shd w:val="clear" w:color="auto" w:fill="auto"/>
            <w:vAlign w:val="bottom"/>
          </w:tcPr>
          <w:p w:rsidR="00C16B2B" w:rsidRPr="00146751" w:rsidRDefault="00C16B2B" w:rsidP="00842AD1">
            <w:pPr>
              <w:pStyle w:val="TableBodyText"/>
            </w:pPr>
            <w:r>
              <w:t>14.5</w:t>
            </w:r>
          </w:p>
        </w:tc>
        <w:tc>
          <w:tcPr>
            <w:tcW w:w="437" w:type="pct"/>
            <w:tcBorders>
              <w:top w:val="single" w:sz="4" w:space="0" w:color="auto"/>
            </w:tcBorders>
            <w:shd w:val="clear" w:color="auto" w:fill="auto"/>
            <w:vAlign w:val="bottom"/>
          </w:tcPr>
          <w:p w:rsidR="00C16B2B" w:rsidRPr="00146751" w:rsidRDefault="00C16B2B" w:rsidP="00842AD1">
            <w:pPr>
              <w:pStyle w:val="TableBodyText"/>
              <w:rPr>
                <w:i/>
              </w:rPr>
            </w:pPr>
            <w:r>
              <w:t>12.3</w:t>
            </w:r>
          </w:p>
        </w:tc>
      </w:tr>
      <w:tr w:rsidR="00C16B2B" w:rsidRPr="00D92761" w:rsidTr="008D0F29">
        <w:trPr>
          <w:jc w:val="right"/>
        </w:trPr>
        <w:tc>
          <w:tcPr>
            <w:tcW w:w="1023" w:type="pct"/>
          </w:tcPr>
          <w:p w:rsidR="00C16B2B" w:rsidRPr="00F47246" w:rsidRDefault="00C16B2B" w:rsidP="00B826A7">
            <w:pPr>
              <w:pStyle w:val="TableUnitsRow"/>
              <w:ind w:left="-113"/>
              <w:jc w:val="left"/>
              <w:rPr>
                <w:i/>
              </w:rPr>
            </w:pPr>
            <w:r>
              <w:t>17</w:t>
            </w:r>
            <w:r w:rsidRPr="00F47246">
              <w:t>–</w:t>
            </w:r>
            <w:r>
              <w:t>24</w:t>
            </w:r>
            <w:r w:rsidRPr="00F47246">
              <w:t xml:space="preserve"> years</w:t>
            </w:r>
          </w:p>
        </w:tc>
        <w:tc>
          <w:tcPr>
            <w:tcW w:w="474" w:type="pct"/>
            <w:vAlign w:val="bottom"/>
          </w:tcPr>
          <w:p w:rsidR="00C16B2B" w:rsidRPr="00146751" w:rsidRDefault="00C16B2B" w:rsidP="00842AD1">
            <w:pPr>
              <w:pStyle w:val="TableBodyText"/>
            </w:pPr>
            <w:r>
              <w:t>10.7</w:t>
            </w:r>
          </w:p>
        </w:tc>
        <w:tc>
          <w:tcPr>
            <w:tcW w:w="438" w:type="pct"/>
            <w:vAlign w:val="bottom"/>
          </w:tcPr>
          <w:p w:rsidR="00C16B2B" w:rsidRPr="00146751" w:rsidRDefault="00C16B2B" w:rsidP="00842AD1">
            <w:pPr>
              <w:pStyle w:val="TableBodyText"/>
            </w:pPr>
            <w:r>
              <w:t>11.2</w:t>
            </w:r>
          </w:p>
        </w:tc>
        <w:tc>
          <w:tcPr>
            <w:tcW w:w="438" w:type="pct"/>
            <w:vAlign w:val="bottom"/>
          </w:tcPr>
          <w:p w:rsidR="00C16B2B" w:rsidRPr="00146751" w:rsidRDefault="00C16B2B" w:rsidP="00842AD1">
            <w:pPr>
              <w:pStyle w:val="TableBodyText"/>
            </w:pPr>
            <w:r>
              <w:t>11.2</w:t>
            </w:r>
          </w:p>
        </w:tc>
        <w:tc>
          <w:tcPr>
            <w:tcW w:w="438" w:type="pct"/>
            <w:vAlign w:val="bottom"/>
          </w:tcPr>
          <w:p w:rsidR="00C16B2B" w:rsidRPr="00146751" w:rsidRDefault="00C16B2B" w:rsidP="00842AD1">
            <w:pPr>
              <w:pStyle w:val="TableBodyText"/>
            </w:pPr>
            <w:r>
              <w:t>11.4</w:t>
            </w:r>
          </w:p>
        </w:tc>
        <w:tc>
          <w:tcPr>
            <w:tcW w:w="438" w:type="pct"/>
            <w:vAlign w:val="bottom"/>
          </w:tcPr>
          <w:p w:rsidR="00C16B2B" w:rsidRPr="00146751" w:rsidRDefault="00C16B2B" w:rsidP="00842AD1">
            <w:pPr>
              <w:pStyle w:val="TableBodyText"/>
            </w:pPr>
            <w:r>
              <w:t>10.8</w:t>
            </w:r>
          </w:p>
        </w:tc>
        <w:tc>
          <w:tcPr>
            <w:tcW w:w="438" w:type="pct"/>
            <w:vAlign w:val="bottom"/>
          </w:tcPr>
          <w:p w:rsidR="00C16B2B" w:rsidRPr="00146751" w:rsidRDefault="00C16B2B" w:rsidP="00842AD1">
            <w:pPr>
              <w:pStyle w:val="TableBodyText"/>
            </w:pPr>
            <w:r>
              <w:t>10.2</w:t>
            </w:r>
          </w:p>
        </w:tc>
        <w:tc>
          <w:tcPr>
            <w:tcW w:w="438" w:type="pct"/>
            <w:vAlign w:val="bottom"/>
          </w:tcPr>
          <w:p w:rsidR="00C16B2B" w:rsidRPr="00146751" w:rsidRDefault="00C16B2B" w:rsidP="00842AD1">
            <w:pPr>
              <w:pStyle w:val="TableBodyText"/>
            </w:pPr>
            <w:r>
              <w:t>13.1</w:t>
            </w:r>
          </w:p>
        </w:tc>
        <w:tc>
          <w:tcPr>
            <w:tcW w:w="438" w:type="pct"/>
            <w:shd w:val="clear" w:color="auto" w:fill="auto"/>
            <w:vAlign w:val="bottom"/>
          </w:tcPr>
          <w:p w:rsidR="00C16B2B" w:rsidRPr="00146751" w:rsidRDefault="00C16B2B" w:rsidP="00842AD1">
            <w:pPr>
              <w:pStyle w:val="TableBodyText"/>
            </w:pPr>
            <w:r>
              <w:t>12.4</w:t>
            </w:r>
          </w:p>
        </w:tc>
        <w:tc>
          <w:tcPr>
            <w:tcW w:w="437" w:type="pct"/>
            <w:shd w:val="clear" w:color="auto" w:fill="auto"/>
            <w:vAlign w:val="bottom"/>
          </w:tcPr>
          <w:p w:rsidR="00C16B2B" w:rsidRPr="00146751" w:rsidRDefault="00C16B2B" w:rsidP="00842AD1">
            <w:pPr>
              <w:pStyle w:val="TableBodyText"/>
              <w:rPr>
                <w:i/>
              </w:rPr>
            </w:pPr>
            <w:r>
              <w:t>11.1</w:t>
            </w:r>
          </w:p>
        </w:tc>
      </w:tr>
      <w:tr w:rsidR="00C16B2B" w:rsidRPr="00D92761" w:rsidTr="008D0F29">
        <w:trPr>
          <w:jc w:val="right"/>
        </w:trPr>
        <w:tc>
          <w:tcPr>
            <w:tcW w:w="1023" w:type="pct"/>
          </w:tcPr>
          <w:p w:rsidR="00C16B2B" w:rsidRPr="00F47246" w:rsidRDefault="00C16B2B" w:rsidP="00B826A7">
            <w:pPr>
              <w:pStyle w:val="TableUnitsRow"/>
              <w:ind w:left="-113"/>
              <w:jc w:val="left"/>
              <w:rPr>
                <w:i/>
              </w:rPr>
            </w:pPr>
            <w:r>
              <w:t>15</w:t>
            </w:r>
            <w:r w:rsidRPr="00F47246">
              <w:t>–</w:t>
            </w:r>
            <w:r>
              <w:t>64</w:t>
            </w:r>
            <w:r w:rsidRPr="00F47246">
              <w:t xml:space="preserve"> years</w:t>
            </w:r>
          </w:p>
        </w:tc>
        <w:tc>
          <w:tcPr>
            <w:tcW w:w="474" w:type="pct"/>
            <w:vAlign w:val="bottom"/>
          </w:tcPr>
          <w:p w:rsidR="00C16B2B" w:rsidRPr="00146751" w:rsidRDefault="00C16B2B" w:rsidP="00842AD1">
            <w:pPr>
              <w:pStyle w:val="TableBodyText"/>
            </w:pPr>
            <w:r>
              <w:t>66.2</w:t>
            </w:r>
          </w:p>
        </w:tc>
        <w:tc>
          <w:tcPr>
            <w:tcW w:w="438" w:type="pct"/>
            <w:vAlign w:val="bottom"/>
          </w:tcPr>
          <w:p w:rsidR="00C16B2B" w:rsidRPr="00146751" w:rsidRDefault="00C16B2B" w:rsidP="00842AD1">
            <w:pPr>
              <w:pStyle w:val="TableBodyText"/>
            </w:pPr>
            <w:r>
              <w:t>67.3</w:t>
            </w:r>
          </w:p>
        </w:tc>
        <w:tc>
          <w:tcPr>
            <w:tcW w:w="438" w:type="pct"/>
            <w:vAlign w:val="bottom"/>
          </w:tcPr>
          <w:p w:rsidR="00C16B2B" w:rsidRPr="00146751" w:rsidRDefault="00C16B2B" w:rsidP="00842AD1">
            <w:pPr>
              <w:pStyle w:val="TableBodyText"/>
            </w:pPr>
            <w:r>
              <w:t>66.8</w:t>
            </w:r>
          </w:p>
        </w:tc>
        <w:tc>
          <w:tcPr>
            <w:tcW w:w="438" w:type="pct"/>
            <w:vAlign w:val="bottom"/>
          </w:tcPr>
          <w:p w:rsidR="00C16B2B" w:rsidRPr="00146751" w:rsidRDefault="00C16B2B" w:rsidP="00842AD1">
            <w:pPr>
              <w:pStyle w:val="TableBodyText"/>
            </w:pPr>
            <w:r>
              <w:t>68.4</w:t>
            </w:r>
          </w:p>
        </w:tc>
        <w:tc>
          <w:tcPr>
            <w:tcW w:w="438" w:type="pct"/>
            <w:vAlign w:val="bottom"/>
          </w:tcPr>
          <w:p w:rsidR="00C16B2B" w:rsidRPr="00146751" w:rsidRDefault="00C16B2B" w:rsidP="00842AD1">
            <w:pPr>
              <w:pStyle w:val="TableBodyText"/>
            </w:pPr>
            <w:r>
              <w:t>65.9</w:t>
            </w:r>
          </w:p>
        </w:tc>
        <w:tc>
          <w:tcPr>
            <w:tcW w:w="438" w:type="pct"/>
            <w:vAlign w:val="bottom"/>
          </w:tcPr>
          <w:p w:rsidR="00C16B2B" w:rsidRPr="00146751" w:rsidRDefault="00C16B2B" w:rsidP="00842AD1">
            <w:pPr>
              <w:pStyle w:val="TableBodyText"/>
            </w:pPr>
            <w:r>
              <w:t>64.6</w:t>
            </w:r>
          </w:p>
        </w:tc>
        <w:tc>
          <w:tcPr>
            <w:tcW w:w="438" w:type="pct"/>
            <w:vAlign w:val="bottom"/>
          </w:tcPr>
          <w:p w:rsidR="00C16B2B" w:rsidRPr="00146751" w:rsidRDefault="00C16B2B" w:rsidP="00842AD1">
            <w:pPr>
              <w:pStyle w:val="TableBodyText"/>
            </w:pPr>
            <w:r>
              <w:t>70.7</w:t>
            </w:r>
          </w:p>
        </w:tc>
        <w:tc>
          <w:tcPr>
            <w:tcW w:w="438" w:type="pct"/>
            <w:shd w:val="clear" w:color="auto" w:fill="auto"/>
            <w:vAlign w:val="bottom"/>
          </w:tcPr>
          <w:p w:rsidR="00C16B2B" w:rsidRPr="00146751" w:rsidRDefault="00C16B2B" w:rsidP="00842AD1">
            <w:pPr>
              <w:pStyle w:val="TableBodyText"/>
            </w:pPr>
            <w:r>
              <w:t>71.4</w:t>
            </w:r>
          </w:p>
        </w:tc>
        <w:tc>
          <w:tcPr>
            <w:tcW w:w="437" w:type="pct"/>
            <w:shd w:val="clear" w:color="auto" w:fill="auto"/>
            <w:vAlign w:val="bottom"/>
          </w:tcPr>
          <w:p w:rsidR="00C16B2B" w:rsidRPr="00146751" w:rsidRDefault="00C16B2B" w:rsidP="00842AD1">
            <w:pPr>
              <w:pStyle w:val="TableBodyText"/>
              <w:rPr>
                <w:i/>
              </w:rPr>
            </w:pPr>
            <w:r>
              <w:t>66.9</w:t>
            </w:r>
          </w:p>
        </w:tc>
      </w:tr>
      <w:tr w:rsidR="00C16B2B" w:rsidRPr="00D92761" w:rsidTr="008D0F29">
        <w:trPr>
          <w:jc w:val="right"/>
        </w:trPr>
        <w:tc>
          <w:tcPr>
            <w:tcW w:w="1023" w:type="pct"/>
            <w:tcBorders>
              <w:bottom w:val="single" w:sz="6" w:space="0" w:color="auto"/>
            </w:tcBorders>
          </w:tcPr>
          <w:p w:rsidR="00C16B2B" w:rsidRDefault="00C16B2B" w:rsidP="00B826A7">
            <w:pPr>
              <w:pStyle w:val="TableUnitsRow"/>
              <w:ind w:left="-113"/>
              <w:jc w:val="left"/>
              <w:rPr>
                <w:i/>
              </w:rPr>
            </w:pPr>
            <w:r>
              <w:t>20</w:t>
            </w:r>
            <w:r w:rsidRPr="00F47246">
              <w:t>–</w:t>
            </w:r>
            <w:r>
              <w:t>64</w:t>
            </w:r>
            <w:r w:rsidRPr="00F47246">
              <w:t xml:space="preserve"> years</w:t>
            </w:r>
          </w:p>
        </w:tc>
        <w:tc>
          <w:tcPr>
            <w:tcW w:w="474" w:type="pct"/>
            <w:tcBorders>
              <w:bottom w:val="single" w:sz="6" w:space="0" w:color="auto"/>
            </w:tcBorders>
            <w:vAlign w:val="bottom"/>
          </w:tcPr>
          <w:p w:rsidR="00C16B2B" w:rsidRPr="00146751" w:rsidRDefault="00C16B2B" w:rsidP="00842AD1">
            <w:pPr>
              <w:pStyle w:val="TableBodyText"/>
            </w:pPr>
            <w:r>
              <w:t>59.9</w:t>
            </w:r>
          </w:p>
        </w:tc>
        <w:tc>
          <w:tcPr>
            <w:tcW w:w="438" w:type="pct"/>
            <w:tcBorders>
              <w:bottom w:val="single" w:sz="6" w:space="0" w:color="auto"/>
            </w:tcBorders>
            <w:vAlign w:val="bottom"/>
          </w:tcPr>
          <w:p w:rsidR="00C16B2B" w:rsidRPr="00146751" w:rsidRDefault="00C16B2B" w:rsidP="00842AD1">
            <w:pPr>
              <w:pStyle w:val="TableBodyText"/>
            </w:pPr>
            <w:r>
              <w:t>61.0</w:t>
            </w:r>
          </w:p>
        </w:tc>
        <w:tc>
          <w:tcPr>
            <w:tcW w:w="438" w:type="pct"/>
            <w:tcBorders>
              <w:bottom w:val="single" w:sz="6" w:space="0" w:color="auto"/>
            </w:tcBorders>
            <w:vAlign w:val="bottom"/>
          </w:tcPr>
          <w:p w:rsidR="00C16B2B" w:rsidRPr="00146751" w:rsidRDefault="00C16B2B" w:rsidP="00842AD1">
            <w:pPr>
              <w:pStyle w:val="TableBodyText"/>
            </w:pPr>
            <w:r>
              <w:t>60.1</w:t>
            </w:r>
          </w:p>
        </w:tc>
        <w:tc>
          <w:tcPr>
            <w:tcW w:w="438" w:type="pct"/>
            <w:tcBorders>
              <w:bottom w:val="single" w:sz="6" w:space="0" w:color="auto"/>
            </w:tcBorders>
            <w:vAlign w:val="bottom"/>
          </w:tcPr>
          <w:p w:rsidR="00C16B2B" w:rsidRPr="00146751" w:rsidRDefault="00C16B2B" w:rsidP="00842AD1">
            <w:pPr>
              <w:pStyle w:val="TableBodyText"/>
            </w:pPr>
            <w:r>
              <w:t>62.0</w:t>
            </w:r>
          </w:p>
        </w:tc>
        <w:tc>
          <w:tcPr>
            <w:tcW w:w="438" w:type="pct"/>
            <w:tcBorders>
              <w:bottom w:val="single" w:sz="6" w:space="0" w:color="auto"/>
            </w:tcBorders>
            <w:vAlign w:val="bottom"/>
          </w:tcPr>
          <w:p w:rsidR="00C16B2B" w:rsidRPr="00146751" w:rsidRDefault="00C16B2B" w:rsidP="00842AD1">
            <w:pPr>
              <w:pStyle w:val="TableBodyText"/>
            </w:pPr>
            <w:r>
              <w:t>59.5</w:t>
            </w:r>
          </w:p>
        </w:tc>
        <w:tc>
          <w:tcPr>
            <w:tcW w:w="438" w:type="pct"/>
            <w:tcBorders>
              <w:bottom w:val="single" w:sz="6" w:space="0" w:color="auto"/>
            </w:tcBorders>
            <w:vAlign w:val="bottom"/>
          </w:tcPr>
          <w:p w:rsidR="00C16B2B" w:rsidRPr="00146751" w:rsidRDefault="00C16B2B" w:rsidP="00842AD1">
            <w:pPr>
              <w:pStyle w:val="TableBodyText"/>
            </w:pPr>
            <w:r>
              <w:t>58.0</w:t>
            </w:r>
          </w:p>
        </w:tc>
        <w:tc>
          <w:tcPr>
            <w:tcW w:w="438" w:type="pct"/>
            <w:tcBorders>
              <w:bottom w:val="single" w:sz="6" w:space="0" w:color="auto"/>
            </w:tcBorders>
            <w:vAlign w:val="bottom"/>
          </w:tcPr>
          <w:p w:rsidR="00C16B2B" w:rsidRPr="00146751" w:rsidRDefault="00C16B2B" w:rsidP="00842AD1">
            <w:pPr>
              <w:pStyle w:val="TableBodyText"/>
            </w:pPr>
            <w:r>
              <w:t>64.3</w:t>
            </w:r>
          </w:p>
        </w:tc>
        <w:tc>
          <w:tcPr>
            <w:tcW w:w="438" w:type="pct"/>
            <w:tcBorders>
              <w:bottom w:val="single" w:sz="6" w:space="0" w:color="auto"/>
            </w:tcBorders>
            <w:shd w:val="clear" w:color="auto" w:fill="auto"/>
            <w:vAlign w:val="bottom"/>
          </w:tcPr>
          <w:p w:rsidR="00C16B2B" w:rsidRPr="00146751" w:rsidRDefault="00C16B2B" w:rsidP="00842AD1">
            <w:pPr>
              <w:pStyle w:val="TableBodyText"/>
            </w:pPr>
            <w:r>
              <w:t>64.6</w:t>
            </w:r>
          </w:p>
        </w:tc>
        <w:tc>
          <w:tcPr>
            <w:tcW w:w="437" w:type="pct"/>
            <w:tcBorders>
              <w:bottom w:val="single" w:sz="6" w:space="0" w:color="auto"/>
            </w:tcBorders>
            <w:shd w:val="clear" w:color="auto" w:fill="auto"/>
            <w:vAlign w:val="bottom"/>
          </w:tcPr>
          <w:p w:rsidR="00C16B2B" w:rsidRPr="00146751" w:rsidRDefault="00C16B2B" w:rsidP="00842AD1">
            <w:pPr>
              <w:pStyle w:val="TableBodyText"/>
              <w:rPr>
                <w:i/>
              </w:rPr>
            </w:pPr>
            <w:r>
              <w:t>60.5</w:t>
            </w:r>
          </w:p>
        </w:tc>
      </w:tr>
    </w:tbl>
    <w:p w:rsidR="00B50DAC" w:rsidRPr="00F47246" w:rsidRDefault="00B50DAC" w:rsidP="00B50DAC">
      <w:pPr>
        <w:pStyle w:val="Note"/>
      </w:pPr>
      <w:r w:rsidRPr="00F47246">
        <w:rPr>
          <w:rStyle w:val="NoteLabel"/>
        </w:rPr>
        <w:t>a</w:t>
      </w:r>
      <w:r w:rsidRPr="00F47246">
        <w:rPr>
          <w:rFonts w:cs="Arial"/>
        </w:rPr>
        <w:t xml:space="preserve"> ‘Aust’ </w:t>
      </w:r>
      <w:r w:rsidRPr="00F47246">
        <w:t>includes other</w:t>
      </w:r>
      <w:r w:rsidRPr="00F47246">
        <w:rPr>
          <w:rStyle w:val="NoteLabel"/>
        </w:rPr>
        <w:t xml:space="preserve"> </w:t>
      </w:r>
      <w:r w:rsidRPr="00F47246">
        <w:rPr>
          <w:rStyle w:val="NoteLabel"/>
          <w:b w:val="0"/>
          <w:position w:val="0"/>
        </w:rPr>
        <w:t>territories.</w:t>
      </w:r>
    </w:p>
    <w:p w:rsidR="000F6981" w:rsidRDefault="000F6981" w:rsidP="000F6981">
      <w:pPr>
        <w:pStyle w:val="Source"/>
      </w:pPr>
      <w:r w:rsidRPr="00D92761">
        <w:rPr>
          <w:i/>
        </w:rPr>
        <w:t>Source</w:t>
      </w:r>
      <w:r w:rsidRPr="00D92761">
        <w:t>: ABS (201</w:t>
      </w:r>
      <w:r w:rsidR="00146751">
        <w:t>3</w:t>
      </w:r>
      <w:r w:rsidRPr="00D92761">
        <w:t xml:space="preserve">) </w:t>
      </w:r>
      <w:r w:rsidR="006126DA" w:rsidRPr="006126DA">
        <w:rPr>
          <w:i/>
        </w:rPr>
        <w:t>Australian Demograp</w:t>
      </w:r>
      <w:r w:rsidR="006126DA">
        <w:rPr>
          <w:i/>
        </w:rPr>
        <w:t>hic Statistics</w:t>
      </w:r>
      <w:r w:rsidR="006126DA" w:rsidRPr="006126DA">
        <w:t>, Cat. no. 3101.0</w:t>
      </w:r>
      <w:r>
        <w:t>; table </w:t>
      </w:r>
      <w:proofErr w:type="spellStart"/>
      <w:r>
        <w:t>AA.4</w:t>
      </w:r>
      <w:proofErr w:type="spellEnd"/>
      <w:r w:rsidRPr="00D92761">
        <w:t>.</w:t>
      </w:r>
    </w:p>
    <w:p w:rsidR="00FD4A30" w:rsidRPr="00F47246" w:rsidRDefault="008D1081" w:rsidP="00FD4A30">
      <w:pPr>
        <w:pStyle w:val="Heading4"/>
      </w:pPr>
      <w:r>
        <w:t>Immigrant p</w:t>
      </w:r>
      <w:r w:rsidR="00FD4A30" w:rsidRPr="00F47246">
        <w:t>opulation</w:t>
      </w:r>
    </w:p>
    <w:p w:rsidR="000F6981" w:rsidRDefault="00270186" w:rsidP="00A12234">
      <w:pPr>
        <w:pStyle w:val="BodyText"/>
      </w:pPr>
      <w:r>
        <w:t xml:space="preserve">In relative terms, </w:t>
      </w:r>
      <w:r w:rsidR="000F6981" w:rsidRPr="00F47246">
        <w:t>Australia is one of the most significant immigrant receiving countries in the developed world</w:t>
      </w:r>
      <w:r w:rsidR="00DE3069">
        <w:t>.</w:t>
      </w:r>
      <w:r w:rsidR="008D1081">
        <w:t xml:space="preserve"> </w:t>
      </w:r>
      <w:r w:rsidR="000F6981" w:rsidRPr="00E8481F">
        <w:t>People born outside Australia accounted for 2</w:t>
      </w:r>
      <w:r w:rsidR="00A154C2">
        <w:t>4</w:t>
      </w:r>
      <w:r w:rsidR="000F6981" w:rsidRPr="00E8481F">
        <w:t>.</w:t>
      </w:r>
      <w:r w:rsidR="00882087">
        <w:t>6</w:t>
      </w:r>
      <w:r w:rsidR="000F6981" w:rsidRPr="00E8481F">
        <w:t> per cent of the population in August 20</w:t>
      </w:r>
      <w:r w:rsidR="008D1081" w:rsidRPr="00E8481F">
        <w:t>11</w:t>
      </w:r>
      <w:r w:rsidR="000F6981" w:rsidRPr="00E8481F">
        <w:t xml:space="preserve"> </w:t>
      </w:r>
      <w:r w:rsidR="008D1081" w:rsidRPr="00E8481F">
        <w:t>(</w:t>
      </w:r>
      <w:r w:rsidR="00A154C2">
        <w:t xml:space="preserve">ABS </w:t>
      </w:r>
      <w:proofErr w:type="spellStart"/>
      <w:r w:rsidR="00A154C2">
        <w:t>2012</w:t>
      </w:r>
      <w:r w:rsidR="00DD6509">
        <w:t>a</w:t>
      </w:r>
      <w:proofErr w:type="spellEnd"/>
      <w:r w:rsidR="008D1081" w:rsidRPr="00E8481F">
        <w:t>)</w:t>
      </w:r>
      <w:r w:rsidR="000F6981" w:rsidRPr="00E8481F">
        <w:t xml:space="preserve">. </w:t>
      </w:r>
      <w:r w:rsidR="008D1081" w:rsidRPr="00E8481F">
        <w:t xml:space="preserve">In August 2011, </w:t>
      </w:r>
      <w:r w:rsidR="003168E2">
        <w:t>42.5</w:t>
      </w:r>
      <w:r>
        <w:t> </w:t>
      </w:r>
      <w:r w:rsidR="004B0343">
        <w:t xml:space="preserve">per cent </w:t>
      </w:r>
      <w:r w:rsidR="008D1081" w:rsidRPr="00E8481F">
        <w:t xml:space="preserve">of the population </w:t>
      </w:r>
      <w:r w:rsidR="00F4499F">
        <w:t xml:space="preserve">born outside Australia </w:t>
      </w:r>
      <w:r w:rsidR="003168E2">
        <w:t xml:space="preserve">spoke another language and </w:t>
      </w:r>
      <w:r w:rsidR="008D1081" w:rsidRPr="00E8481F">
        <w:t xml:space="preserve">spoke English well or very </w:t>
      </w:r>
      <w:r w:rsidR="008D1081" w:rsidRPr="00E75861">
        <w:t>well (</w:t>
      </w:r>
      <w:r w:rsidR="003168E2">
        <w:t>46.8</w:t>
      </w:r>
      <w:r w:rsidR="00C27BEF">
        <w:t xml:space="preserve"> </w:t>
      </w:r>
      <w:r w:rsidR="008D1081" w:rsidRPr="00E8481F">
        <w:t>per cent spoke only English).</w:t>
      </w:r>
      <w:r w:rsidR="008D1081" w:rsidRPr="00E8481F" w:rsidDel="00F26E46">
        <w:t xml:space="preserve"> </w:t>
      </w:r>
      <w:r w:rsidR="008D1081" w:rsidRPr="00E8481F">
        <w:t xml:space="preserve">Nationally, </w:t>
      </w:r>
      <w:r w:rsidR="003168E2">
        <w:t>9.7 </w:t>
      </w:r>
      <w:r w:rsidR="008D1081" w:rsidRPr="00E8481F">
        <w:t xml:space="preserve">per cent of the population </w:t>
      </w:r>
      <w:r w:rsidR="00C27BEF">
        <w:t xml:space="preserve">born outside Australia </w:t>
      </w:r>
      <w:r w:rsidR="008D1081" w:rsidRPr="00E8481F">
        <w:t>reported they did not speak English well or at all</w:t>
      </w:r>
      <w:r w:rsidR="00C27BEF">
        <w:t xml:space="preserve"> (ABS </w:t>
      </w:r>
      <w:proofErr w:type="spellStart"/>
      <w:r w:rsidR="00C27BEF">
        <w:t>2012a</w:t>
      </w:r>
      <w:proofErr w:type="spellEnd"/>
      <w:r w:rsidR="00C27BEF">
        <w:t>)</w:t>
      </w:r>
      <w:r w:rsidR="008D1081" w:rsidRPr="00E8481F">
        <w:t>.</w:t>
      </w:r>
    </w:p>
    <w:p w:rsidR="008D1081" w:rsidRPr="008D1081" w:rsidRDefault="00270186" w:rsidP="008D1081">
      <w:pPr>
        <w:pStyle w:val="Heading4"/>
      </w:pPr>
      <w:r>
        <w:t xml:space="preserve">People </w:t>
      </w:r>
      <w:r w:rsidR="008D1081">
        <w:t>with disability</w:t>
      </w:r>
    </w:p>
    <w:p w:rsidR="000F6981" w:rsidRDefault="008D1081" w:rsidP="00A12234">
      <w:pPr>
        <w:pStyle w:val="BodyText"/>
      </w:pPr>
      <w:r w:rsidRPr="00F47246">
        <w:t>People with disability and their carers often experience low levels of income, educational attainment, employment, superannuation, health and wellbeing (PC 2011).</w:t>
      </w:r>
      <w:r>
        <w:t xml:space="preserve"> </w:t>
      </w:r>
      <w:r w:rsidR="000F6981" w:rsidRPr="00F47246">
        <w:t>The ABS Survey of Disability, Ageing and Carers (</w:t>
      </w:r>
      <w:proofErr w:type="spellStart"/>
      <w:r w:rsidR="000F6981" w:rsidRPr="00F47246">
        <w:t>SDAC</w:t>
      </w:r>
      <w:proofErr w:type="spellEnd"/>
      <w:r w:rsidR="000F6981" w:rsidRPr="00F47246">
        <w:t>) provides the most complete measure of the prevalence of disability in Australia</w:t>
      </w:r>
      <w:r w:rsidR="0005656F">
        <w:t xml:space="preserve"> and is recommended when referring to prevalence rates</w:t>
      </w:r>
      <w:r w:rsidR="000F6981" w:rsidRPr="00F47246">
        <w:t xml:space="preserve">. </w:t>
      </w:r>
      <w:r w:rsidR="0084522E" w:rsidRPr="0084522E">
        <w:t xml:space="preserve">The </w:t>
      </w:r>
      <w:proofErr w:type="spellStart"/>
      <w:r w:rsidR="0084522E" w:rsidRPr="0084522E">
        <w:t>SDAC</w:t>
      </w:r>
      <w:proofErr w:type="spellEnd"/>
      <w:r w:rsidR="0084522E" w:rsidRPr="0084522E">
        <w:t xml:space="preserve"> does not include people living in very remote areas, which affects the comparability of the NT results.</w:t>
      </w:r>
      <w:r w:rsidR="0084522E">
        <w:t xml:space="preserve"> </w:t>
      </w:r>
      <w:proofErr w:type="spellStart"/>
      <w:r>
        <w:t>SDAC</w:t>
      </w:r>
      <w:proofErr w:type="spellEnd"/>
      <w:r>
        <w:t xml:space="preserve"> data for people with disability </w:t>
      </w:r>
      <w:r w:rsidR="00270186">
        <w:t xml:space="preserve">are </w:t>
      </w:r>
      <w:r>
        <w:t xml:space="preserve">presented in tables </w:t>
      </w:r>
      <w:proofErr w:type="spellStart"/>
      <w:r w:rsidRPr="003768CD">
        <w:t>AA.8</w:t>
      </w:r>
      <w:proofErr w:type="spellEnd"/>
      <w:r w:rsidR="004B23D7" w:rsidRPr="003768CD">
        <w:t>–</w:t>
      </w:r>
      <w:proofErr w:type="spellStart"/>
      <w:r w:rsidRPr="003768CD">
        <w:t>AA.10</w:t>
      </w:r>
      <w:proofErr w:type="spellEnd"/>
      <w:r w:rsidRPr="003768CD">
        <w:t>.</w:t>
      </w:r>
      <w:r w:rsidR="0005656F">
        <w:t xml:space="preserve"> Data related to disability </w:t>
      </w:r>
      <w:r w:rsidR="00DE22CD">
        <w:t>status are</w:t>
      </w:r>
      <w:r w:rsidR="0005656F">
        <w:t xml:space="preserve"> collected in other data collections (for exa</w:t>
      </w:r>
      <w:r w:rsidR="00DE22CD">
        <w:t>mple, the Census), but whilst these data</w:t>
      </w:r>
      <w:r w:rsidR="0005656F">
        <w:t xml:space="preserve"> can provide a guide to the difference</w:t>
      </w:r>
      <w:r w:rsidR="00DE22CD">
        <w:t xml:space="preserve">s in characteristics </w:t>
      </w:r>
      <w:r w:rsidR="00270186">
        <w:t xml:space="preserve">between </w:t>
      </w:r>
      <w:r w:rsidR="00DE22CD">
        <w:t>people</w:t>
      </w:r>
      <w:r w:rsidR="0005656F">
        <w:t xml:space="preserve"> with and without disability, </w:t>
      </w:r>
      <w:r w:rsidR="00270186">
        <w:t>these data are not</w:t>
      </w:r>
      <w:r w:rsidR="0005656F">
        <w:t xml:space="preserve"> recommended </w:t>
      </w:r>
      <w:r w:rsidR="00270186">
        <w:t>for use</w:t>
      </w:r>
      <w:r w:rsidR="0005656F">
        <w:t xml:space="preserve"> as a measure of prevalence.</w:t>
      </w:r>
    </w:p>
    <w:p w:rsidR="006721EE" w:rsidRDefault="0005656F" w:rsidP="006721EE">
      <w:pPr>
        <w:pStyle w:val="Heading4"/>
      </w:pPr>
      <w:r>
        <w:t>Geographical location of the population</w:t>
      </w:r>
    </w:p>
    <w:p w:rsidR="007E777A" w:rsidRDefault="00082CDD" w:rsidP="006721EE">
      <w:pPr>
        <w:pStyle w:val="BodyText"/>
      </w:pPr>
      <w:r>
        <w:t>T</w:t>
      </w:r>
      <w:r w:rsidR="007E777A">
        <w:t>he Australian Statistical Geography Standard (</w:t>
      </w:r>
      <w:proofErr w:type="spellStart"/>
      <w:r w:rsidR="007E777A">
        <w:t>ASG</w:t>
      </w:r>
      <w:r w:rsidR="00A420CE">
        <w:t>S</w:t>
      </w:r>
      <w:proofErr w:type="spellEnd"/>
      <w:r w:rsidR="007E777A">
        <w:t>)</w:t>
      </w:r>
      <w:r w:rsidR="00FF2C7B">
        <w:t xml:space="preserve"> </w:t>
      </w:r>
      <w:r>
        <w:t>has replaced the Australian Standard Geographical Classification (</w:t>
      </w:r>
      <w:proofErr w:type="spellStart"/>
      <w:r>
        <w:t>ASGC</w:t>
      </w:r>
      <w:proofErr w:type="spellEnd"/>
      <w:r>
        <w:t>)</w:t>
      </w:r>
      <w:r w:rsidR="00AD2687">
        <w:t xml:space="preserve"> from 1 July 2011</w:t>
      </w:r>
      <w:r>
        <w:t xml:space="preserve">. </w:t>
      </w:r>
      <w:r w:rsidR="00842AD1">
        <w:t>Where possible, s</w:t>
      </w:r>
      <w:r w:rsidR="007E777A">
        <w:t>ub-state population estimates for 30 June 201</w:t>
      </w:r>
      <w:r w:rsidR="00AC6DD7">
        <w:t>2</w:t>
      </w:r>
      <w:r w:rsidR="007E777A">
        <w:t xml:space="preserve"> and prior years are available </w:t>
      </w:r>
      <w:r w:rsidR="00580A02">
        <w:t xml:space="preserve">based </w:t>
      </w:r>
      <w:r w:rsidR="00580A02">
        <w:lastRenderedPageBreak/>
        <w:t>on the new geography</w:t>
      </w:r>
      <w:r w:rsidR="00E42E43">
        <w:t xml:space="preserve"> and have been used for this cycle of reporting</w:t>
      </w:r>
      <w:r w:rsidR="00AD2687">
        <w:t xml:space="preserve"> where possible</w:t>
      </w:r>
      <w:r w:rsidR="007274F9">
        <w:t>.</w:t>
      </w:r>
    </w:p>
    <w:p w:rsidR="005A516A" w:rsidRDefault="005A516A" w:rsidP="005A516A">
      <w:pPr>
        <w:pStyle w:val="Heading3"/>
      </w:pPr>
      <w:r>
        <w:t xml:space="preserve">Indigenous </w:t>
      </w:r>
      <w:r w:rsidR="00FA2A01">
        <w:t>population data</w:t>
      </w:r>
    </w:p>
    <w:p w:rsidR="00533DDD" w:rsidRDefault="005A516A" w:rsidP="00A12234">
      <w:pPr>
        <w:pStyle w:val="BodyText"/>
      </w:pPr>
      <w:r>
        <w:t>Estimates of the population by Indigenous status are published after each Census. These estimates have historically been labelled ‘experimental’</w:t>
      </w:r>
      <w:r w:rsidR="00F75055">
        <w:t>,</w:t>
      </w:r>
      <w:r>
        <w:t xml:space="preserve"> as the standard approach to population estimation (as described for </w:t>
      </w:r>
      <w:proofErr w:type="spellStart"/>
      <w:r>
        <w:t>ERP</w:t>
      </w:r>
      <w:proofErr w:type="spellEnd"/>
      <w:r>
        <w:t xml:space="preserve"> above) was not possible because of data quality issues with the births, deaths and internal migration data, and volatility in the Census counts (</w:t>
      </w:r>
      <w:r w:rsidR="00BF11ED">
        <w:t>ABS 2009</w:t>
      </w:r>
      <w:r>
        <w:t xml:space="preserve">). Population estimates by Indigenous status are produced for 30 June in each Census year. </w:t>
      </w:r>
      <w:r w:rsidR="008C0012">
        <w:t>Final</w:t>
      </w:r>
      <w:r w:rsidR="008C0012" w:rsidRPr="0007151A">
        <w:t xml:space="preserve"> </w:t>
      </w:r>
      <w:r w:rsidR="00EC72B1" w:rsidRPr="0007151A">
        <w:t xml:space="preserve">estimates of the </w:t>
      </w:r>
      <w:r w:rsidR="00392CC0">
        <w:t>Indigenous</w:t>
      </w:r>
      <w:r w:rsidR="00EC72B1" w:rsidRPr="0007151A">
        <w:t xml:space="preserve"> population</w:t>
      </w:r>
      <w:r w:rsidR="00EC72B1">
        <w:t xml:space="preserve"> </w:t>
      </w:r>
      <w:r w:rsidR="00EC72B1" w:rsidRPr="0007151A">
        <w:t>based on</w:t>
      </w:r>
      <w:r w:rsidR="00EC72B1">
        <w:t xml:space="preserve"> the </w:t>
      </w:r>
      <w:r w:rsidR="00EC72B1" w:rsidRPr="0007151A">
        <w:t xml:space="preserve">2011 Census of Population and Housing and </w:t>
      </w:r>
      <w:r w:rsidR="00EC72B1">
        <w:t xml:space="preserve">the results of the </w:t>
      </w:r>
      <w:r w:rsidR="00EC72B1" w:rsidRPr="0007151A">
        <w:t>Post Enumeration Survey (</w:t>
      </w:r>
      <w:proofErr w:type="spellStart"/>
      <w:r w:rsidR="00EC72B1" w:rsidRPr="0007151A">
        <w:t>PES</w:t>
      </w:r>
      <w:proofErr w:type="spellEnd"/>
      <w:r w:rsidR="00EC72B1" w:rsidRPr="0007151A">
        <w:t xml:space="preserve">) </w:t>
      </w:r>
      <w:r w:rsidR="00EC72B1">
        <w:t xml:space="preserve">were released on </w:t>
      </w:r>
      <w:r w:rsidR="008C0012">
        <w:t>30 August 2013</w:t>
      </w:r>
      <w:r w:rsidR="00EC72B1">
        <w:t xml:space="preserve">. </w:t>
      </w:r>
      <w:r w:rsidR="00842AD1">
        <w:t>P</w:t>
      </w:r>
      <w:r w:rsidR="00533DDD">
        <w:t>opulation estimates by Indigenous status</w:t>
      </w:r>
      <w:r w:rsidR="008F53C3">
        <w:t xml:space="preserve"> </w:t>
      </w:r>
      <w:r w:rsidR="00AF796D">
        <w:t>as at 30 June 20</w:t>
      </w:r>
      <w:r w:rsidR="008C0012">
        <w:t>11</w:t>
      </w:r>
      <w:r w:rsidR="00AF796D">
        <w:t xml:space="preserve"> </w:t>
      </w:r>
      <w:r w:rsidR="008F53C3">
        <w:t xml:space="preserve">are </w:t>
      </w:r>
      <w:r w:rsidR="00AF796D">
        <w:t xml:space="preserve">in tables </w:t>
      </w:r>
      <w:proofErr w:type="spellStart"/>
      <w:r w:rsidR="00AF796D">
        <w:t>AA.13</w:t>
      </w:r>
      <w:proofErr w:type="spellEnd"/>
      <w:r w:rsidR="00A235C3">
        <w:t xml:space="preserve"> and</w:t>
      </w:r>
      <w:r w:rsidR="00533DDD">
        <w:t xml:space="preserve"> </w:t>
      </w:r>
      <w:proofErr w:type="spellStart"/>
      <w:r w:rsidR="00533DDD">
        <w:t>AA.</w:t>
      </w:r>
      <w:r w:rsidR="00AF796D">
        <w:t>14</w:t>
      </w:r>
      <w:proofErr w:type="spellEnd"/>
      <w:r w:rsidR="00533DDD">
        <w:t xml:space="preserve"> </w:t>
      </w:r>
      <w:r w:rsidR="00A235C3">
        <w:t xml:space="preserve">(by age and sex), </w:t>
      </w:r>
      <w:r w:rsidR="00533DDD">
        <w:t xml:space="preserve">and </w:t>
      </w:r>
      <w:r w:rsidR="00A235C3">
        <w:t xml:space="preserve">table </w:t>
      </w:r>
      <w:proofErr w:type="spellStart"/>
      <w:r w:rsidR="00533DDD">
        <w:t>AA.17</w:t>
      </w:r>
      <w:proofErr w:type="spellEnd"/>
      <w:r w:rsidR="00A235C3">
        <w:t xml:space="preserve"> (</w:t>
      </w:r>
      <w:r w:rsidR="00842AD1">
        <w:t xml:space="preserve">by </w:t>
      </w:r>
      <w:r w:rsidR="00A235C3">
        <w:t>remoteness area</w:t>
      </w:r>
      <w:r w:rsidR="00842AD1">
        <w:t>s</w:t>
      </w:r>
      <w:r w:rsidR="00A235C3">
        <w:t>)</w:t>
      </w:r>
      <w:r w:rsidR="00AF796D">
        <w:t xml:space="preserve">. </w:t>
      </w:r>
    </w:p>
    <w:p w:rsidR="00533DDD" w:rsidRDefault="00C04E4A" w:rsidP="00A12234">
      <w:pPr>
        <w:pStyle w:val="BodyText"/>
      </w:pPr>
      <w:r>
        <w:t>As population estimates for Indigenous people</w:t>
      </w:r>
      <w:r w:rsidR="001837CA">
        <w:t xml:space="preserve"> are currently only </w:t>
      </w:r>
      <w:r>
        <w:t xml:space="preserve">available on a five yearly basis, Indigenous population projections </w:t>
      </w:r>
      <w:r w:rsidR="00270186">
        <w:t>are</w:t>
      </w:r>
      <w:r>
        <w:t xml:space="preserve"> used to provide more regular population counts. </w:t>
      </w:r>
      <w:r w:rsidR="00EA35C2">
        <w:t xml:space="preserve">However, Indigenous population projections are supported by a complex method </w:t>
      </w:r>
      <w:r w:rsidR="00270186">
        <w:t xml:space="preserve">based on a </w:t>
      </w:r>
      <w:r w:rsidR="00EA35C2">
        <w:t>set of assumptions</w:t>
      </w:r>
      <w:r w:rsidR="00270186">
        <w:t>,</w:t>
      </w:r>
      <w:r w:rsidR="00EA35C2">
        <w:t xml:space="preserve"> and should be used with caution. Indigenous population projections are currently based on the 2006 Census</w:t>
      </w:r>
      <w:r w:rsidR="00DA52EF">
        <w:t>.</w:t>
      </w:r>
      <w:r w:rsidR="00EA35C2">
        <w:t xml:space="preserve"> </w:t>
      </w:r>
      <w:r w:rsidR="00DA52EF">
        <w:t>I</w:t>
      </w:r>
      <w:r w:rsidR="00EA35C2">
        <w:t xml:space="preserve">t is anticipated that revised projections based on the 2011 Census will be available </w:t>
      </w:r>
      <w:r w:rsidR="00842AD1">
        <w:t>on 30 </w:t>
      </w:r>
      <w:r w:rsidR="008C0012">
        <w:t xml:space="preserve">April </w:t>
      </w:r>
      <w:r w:rsidR="00EA35C2">
        <w:t xml:space="preserve">2014. </w:t>
      </w:r>
      <w:r w:rsidR="00D27DE5">
        <w:t>Table </w:t>
      </w:r>
      <w:r w:rsidR="00D27DE5">
        <w:fldChar w:fldCharType="begin"/>
      </w:r>
      <w:r w:rsidR="00D27DE5">
        <w:instrText xml:space="preserve"> LINK Unknown "\\\\MEL_1\\groups\\Monitor\\09 National Agreement Report\\02 NAR Report WIP\\2011-12 NAR Report - tranche 2\\2011-12 NAR second draft\\Appendix\\APPENDIX second draft to CA.docx" "OLE_LINK2" \a \t </w:instrText>
      </w:r>
      <w:r w:rsidR="00D27DE5">
        <w:fldChar w:fldCharType="separate"/>
      </w:r>
      <w:r w:rsidR="00D27DE5">
        <w:t>4</w:t>
      </w:r>
      <w:r w:rsidR="00D27DE5">
        <w:fldChar w:fldCharType="end"/>
      </w:r>
      <w:r w:rsidR="00D27DE5">
        <w:t xml:space="preserve"> compares the </w:t>
      </w:r>
      <w:r w:rsidR="008C0012">
        <w:t xml:space="preserve">final </w:t>
      </w:r>
      <w:r w:rsidR="00D27DE5">
        <w:t xml:space="preserve">estimates of the Indigenous population based on the 2011 Census with the Indigenous population projections from the 2006 Census. </w:t>
      </w:r>
    </w:p>
    <w:p w:rsidR="00D27DE5" w:rsidRDefault="00D27DE5" w:rsidP="00A12234">
      <w:pPr>
        <w:pStyle w:val="TableTitle"/>
      </w:pPr>
      <w:r>
        <w:rPr>
          <w:b w:val="0"/>
        </w:rPr>
        <w:lastRenderedPageBreak/>
        <w:t xml:space="preserve">Table </w:t>
      </w:r>
      <w:proofErr w:type="spellStart"/>
      <w:r>
        <w:rPr>
          <w:b w:val="0"/>
        </w:rPr>
        <w:t>A.</w:t>
      </w:r>
      <w:r>
        <w:rPr>
          <w:b w:val="0"/>
        </w:rPr>
        <w:fldChar w:fldCharType="begin"/>
      </w:r>
      <w:r>
        <w:rPr>
          <w:b w:val="0"/>
        </w:rPr>
        <w:instrText xml:space="preserve"> COMMENTS  \* MERGEFORMAT </w:instrText>
      </w:r>
      <w:r>
        <w:rPr>
          <w:b w:val="0"/>
        </w:rPr>
        <w:fldChar w:fldCharType="end"/>
      </w:r>
      <w:bookmarkStart w:id="4" w:name="OLE_LINK2"/>
      <w:r>
        <w:rPr>
          <w:b w:val="0"/>
        </w:rPr>
        <w:fldChar w:fldCharType="begin"/>
      </w:r>
      <w:r>
        <w:rPr>
          <w:b w:val="0"/>
        </w:rPr>
        <w:instrText xml:space="preserve"> SEQ Table \* ARABIC </w:instrText>
      </w:r>
      <w:r>
        <w:rPr>
          <w:b w:val="0"/>
        </w:rPr>
        <w:fldChar w:fldCharType="separate"/>
      </w:r>
      <w:r w:rsidR="00856D3A">
        <w:rPr>
          <w:b w:val="0"/>
          <w:noProof/>
        </w:rPr>
        <w:t>4</w:t>
      </w:r>
      <w:proofErr w:type="spellEnd"/>
      <w:r>
        <w:rPr>
          <w:b w:val="0"/>
        </w:rPr>
        <w:fldChar w:fldCharType="end"/>
      </w:r>
      <w:bookmarkEnd w:id="4"/>
      <w:r>
        <w:tab/>
        <w:t xml:space="preserve">Indigenous </w:t>
      </w:r>
      <w:r w:rsidR="00392CC0">
        <w:t>population estimates and projections</w:t>
      </w:r>
      <w:r>
        <w:t>, 30 June 2011, by Census base</w:t>
      </w:r>
    </w:p>
    <w:tbl>
      <w:tblPr>
        <w:tblW w:w="5000" w:type="pct"/>
        <w:tblLayout w:type="fixed"/>
        <w:tblCellMar>
          <w:left w:w="0" w:type="dxa"/>
          <w:right w:w="0" w:type="dxa"/>
        </w:tblCellMar>
        <w:tblLook w:val="0000" w:firstRow="0" w:lastRow="0" w:firstColumn="0" w:lastColumn="0" w:noHBand="0" w:noVBand="0"/>
      </w:tblPr>
      <w:tblGrid>
        <w:gridCol w:w="2552"/>
        <w:gridCol w:w="1984"/>
        <w:gridCol w:w="1984"/>
        <w:gridCol w:w="1134"/>
        <w:gridCol w:w="1135"/>
      </w:tblGrid>
      <w:tr w:rsidR="00D27DE5" w:rsidTr="00A12234">
        <w:tc>
          <w:tcPr>
            <w:tcW w:w="2552" w:type="dxa"/>
            <w:tcBorders>
              <w:top w:val="single" w:sz="6" w:space="0" w:color="auto"/>
            </w:tcBorders>
            <w:shd w:val="clear" w:color="auto" w:fill="auto"/>
          </w:tcPr>
          <w:p w:rsidR="00D27DE5" w:rsidRDefault="00D27DE5" w:rsidP="000D03FC">
            <w:pPr>
              <w:pStyle w:val="TableColumnHeading"/>
              <w:jc w:val="left"/>
              <w:rPr>
                <w:noProof/>
              </w:rPr>
            </w:pPr>
          </w:p>
        </w:tc>
        <w:tc>
          <w:tcPr>
            <w:tcW w:w="1984" w:type="dxa"/>
            <w:tcBorders>
              <w:top w:val="single" w:sz="6" w:space="0" w:color="auto"/>
            </w:tcBorders>
          </w:tcPr>
          <w:p w:rsidR="00D27DE5" w:rsidRPr="00494503" w:rsidRDefault="00D27DE5" w:rsidP="008C0012">
            <w:pPr>
              <w:pStyle w:val="TableColumnHeading"/>
              <w:pBdr>
                <w:right w:val="single" w:sz="4" w:space="1" w:color="auto"/>
              </w:pBdr>
              <w:ind w:right="28"/>
              <w:jc w:val="center"/>
              <w:rPr>
                <w:b/>
                <w:noProof/>
              </w:rPr>
            </w:pPr>
            <w:r>
              <w:rPr>
                <w:b/>
                <w:noProof/>
              </w:rPr>
              <w:t xml:space="preserve">June </w:t>
            </w:r>
            <w:r w:rsidRPr="00494503">
              <w:rPr>
                <w:b/>
                <w:noProof/>
              </w:rPr>
              <w:t xml:space="preserve">2011 </w:t>
            </w:r>
            <w:r w:rsidR="008C0012">
              <w:rPr>
                <w:b/>
                <w:noProof/>
              </w:rPr>
              <w:t xml:space="preserve">final </w:t>
            </w:r>
            <w:r w:rsidR="00392CC0">
              <w:rPr>
                <w:b/>
                <w:noProof/>
              </w:rPr>
              <w:t>estimate</w:t>
            </w:r>
            <w:r>
              <w:rPr>
                <w:b/>
                <w:noProof/>
              </w:rPr>
              <w:br/>
              <w:t xml:space="preserve">(2011 </w:t>
            </w:r>
            <w:r w:rsidRPr="00494503">
              <w:rPr>
                <w:b/>
                <w:noProof/>
              </w:rPr>
              <w:t xml:space="preserve">Census </w:t>
            </w:r>
            <w:r>
              <w:rPr>
                <w:b/>
                <w:noProof/>
              </w:rPr>
              <w:t>base)</w:t>
            </w:r>
          </w:p>
        </w:tc>
        <w:tc>
          <w:tcPr>
            <w:tcW w:w="1984" w:type="dxa"/>
            <w:tcBorders>
              <w:top w:val="single" w:sz="6" w:space="0" w:color="auto"/>
            </w:tcBorders>
          </w:tcPr>
          <w:p w:rsidR="00D27DE5" w:rsidRPr="00494503" w:rsidRDefault="00D27DE5" w:rsidP="00392CC0">
            <w:pPr>
              <w:pStyle w:val="TableColumnHeading"/>
              <w:pBdr>
                <w:right w:val="single" w:sz="4" w:space="1" w:color="auto"/>
              </w:pBdr>
              <w:ind w:right="28"/>
              <w:jc w:val="center"/>
              <w:rPr>
                <w:b/>
                <w:noProof/>
              </w:rPr>
            </w:pPr>
            <w:r>
              <w:rPr>
                <w:b/>
                <w:noProof/>
              </w:rPr>
              <w:t xml:space="preserve">June 2011 </w:t>
            </w:r>
            <w:r w:rsidR="00392CC0">
              <w:rPr>
                <w:b/>
                <w:noProof/>
              </w:rPr>
              <w:t>projection</w:t>
            </w:r>
            <w:r>
              <w:rPr>
                <w:b/>
                <w:noProof/>
              </w:rPr>
              <w:t xml:space="preserve"> (2006 Census base)</w:t>
            </w:r>
          </w:p>
        </w:tc>
        <w:tc>
          <w:tcPr>
            <w:tcW w:w="2269" w:type="dxa"/>
            <w:gridSpan w:val="2"/>
            <w:tcBorders>
              <w:top w:val="single" w:sz="6" w:space="0" w:color="auto"/>
            </w:tcBorders>
          </w:tcPr>
          <w:p w:rsidR="00D27DE5" w:rsidRPr="00494503" w:rsidRDefault="00D27DE5" w:rsidP="00A12234">
            <w:pPr>
              <w:pStyle w:val="TableColumnHeading"/>
              <w:ind w:right="28"/>
              <w:jc w:val="center"/>
              <w:rPr>
                <w:b/>
                <w:noProof/>
              </w:rPr>
            </w:pPr>
            <w:r>
              <w:rPr>
                <w:b/>
                <w:noProof/>
              </w:rPr>
              <w:t>Difference</w:t>
            </w:r>
            <w:r>
              <w:rPr>
                <w:b/>
                <w:noProof/>
              </w:rPr>
              <w:br/>
              <w:t>(2006-2011)</w:t>
            </w:r>
            <w:r w:rsidRPr="006E7007">
              <w:rPr>
                <w:rStyle w:val="NoteLabel"/>
                <w:i w:val="0"/>
              </w:rPr>
              <w:t>a</w:t>
            </w:r>
          </w:p>
        </w:tc>
      </w:tr>
      <w:tr w:rsidR="00D27DE5" w:rsidTr="00A12234">
        <w:tc>
          <w:tcPr>
            <w:tcW w:w="2552" w:type="dxa"/>
            <w:tcBorders>
              <w:bottom w:val="single" w:sz="4" w:space="0" w:color="auto"/>
            </w:tcBorders>
            <w:shd w:val="clear" w:color="auto" w:fill="auto"/>
          </w:tcPr>
          <w:p w:rsidR="00D27DE5" w:rsidRDefault="00D27DE5" w:rsidP="000D03FC">
            <w:pPr>
              <w:pStyle w:val="TableColumnHeading"/>
              <w:jc w:val="left"/>
              <w:rPr>
                <w:noProof/>
              </w:rPr>
            </w:pPr>
          </w:p>
        </w:tc>
        <w:tc>
          <w:tcPr>
            <w:tcW w:w="1984" w:type="dxa"/>
            <w:tcBorders>
              <w:bottom w:val="single" w:sz="4" w:space="0" w:color="auto"/>
            </w:tcBorders>
          </w:tcPr>
          <w:p w:rsidR="00D27DE5" w:rsidRPr="00494503" w:rsidRDefault="00D27DE5" w:rsidP="00004BA5">
            <w:pPr>
              <w:pStyle w:val="TableColumnHeading"/>
              <w:pBdr>
                <w:right w:val="single" w:sz="4" w:space="1" w:color="auto"/>
              </w:pBdr>
              <w:ind w:right="28"/>
              <w:jc w:val="center"/>
              <w:rPr>
                <w:b/>
                <w:i w:val="0"/>
                <w:noProof/>
              </w:rPr>
            </w:pPr>
            <w:r>
              <w:rPr>
                <w:b/>
                <w:noProof/>
              </w:rPr>
              <w:t>number</w:t>
            </w:r>
          </w:p>
        </w:tc>
        <w:tc>
          <w:tcPr>
            <w:tcW w:w="1984" w:type="dxa"/>
            <w:tcBorders>
              <w:bottom w:val="single" w:sz="4" w:space="0" w:color="auto"/>
            </w:tcBorders>
          </w:tcPr>
          <w:p w:rsidR="00D27DE5" w:rsidRPr="00494503" w:rsidRDefault="00D27DE5" w:rsidP="00004BA5">
            <w:pPr>
              <w:pStyle w:val="TableColumnHeading"/>
              <w:pBdr>
                <w:right w:val="single" w:sz="4" w:space="1" w:color="auto"/>
              </w:pBdr>
              <w:ind w:right="28"/>
              <w:jc w:val="center"/>
              <w:rPr>
                <w:b/>
                <w:i w:val="0"/>
                <w:noProof/>
              </w:rPr>
            </w:pPr>
            <w:r>
              <w:rPr>
                <w:b/>
                <w:noProof/>
              </w:rPr>
              <w:t>number</w:t>
            </w:r>
          </w:p>
        </w:tc>
        <w:tc>
          <w:tcPr>
            <w:tcW w:w="1134" w:type="dxa"/>
            <w:tcBorders>
              <w:bottom w:val="single" w:sz="4" w:space="0" w:color="auto"/>
            </w:tcBorders>
          </w:tcPr>
          <w:p w:rsidR="00D27DE5" w:rsidRPr="00494503" w:rsidRDefault="00D27DE5" w:rsidP="00004BA5">
            <w:pPr>
              <w:pStyle w:val="TableColumnHeading"/>
              <w:pBdr>
                <w:right w:val="single" w:sz="4" w:space="1" w:color="auto"/>
              </w:pBdr>
              <w:ind w:right="28"/>
              <w:jc w:val="center"/>
              <w:rPr>
                <w:b/>
                <w:i w:val="0"/>
                <w:noProof/>
              </w:rPr>
            </w:pPr>
            <w:r>
              <w:rPr>
                <w:b/>
                <w:noProof/>
              </w:rPr>
              <w:t>number</w:t>
            </w:r>
          </w:p>
        </w:tc>
        <w:tc>
          <w:tcPr>
            <w:tcW w:w="1135" w:type="dxa"/>
            <w:tcBorders>
              <w:bottom w:val="single" w:sz="4" w:space="0" w:color="auto"/>
            </w:tcBorders>
          </w:tcPr>
          <w:p w:rsidR="00D27DE5" w:rsidRPr="00494503" w:rsidRDefault="00D27DE5" w:rsidP="00B826A7">
            <w:pPr>
              <w:pStyle w:val="TableColumnHeading"/>
              <w:ind w:left="283" w:right="28"/>
              <w:jc w:val="center"/>
              <w:rPr>
                <w:b/>
                <w:i w:val="0"/>
                <w:noProof/>
              </w:rPr>
            </w:pPr>
            <w:r w:rsidRPr="00494503">
              <w:rPr>
                <w:b/>
                <w:noProof/>
              </w:rPr>
              <w:t>Per</w:t>
            </w:r>
            <w:r>
              <w:rPr>
                <w:b/>
                <w:noProof/>
              </w:rPr>
              <w:t xml:space="preserve"> </w:t>
            </w:r>
            <w:r w:rsidRPr="00494503">
              <w:rPr>
                <w:b/>
                <w:noProof/>
              </w:rPr>
              <w:t>cent</w:t>
            </w:r>
          </w:p>
        </w:tc>
      </w:tr>
      <w:tr w:rsidR="004A565C" w:rsidTr="00A236FA">
        <w:tc>
          <w:tcPr>
            <w:tcW w:w="2552" w:type="dxa"/>
            <w:tcBorders>
              <w:top w:val="single" w:sz="4" w:space="0" w:color="auto"/>
            </w:tcBorders>
          </w:tcPr>
          <w:p w:rsidR="004A565C" w:rsidRDefault="004A565C" w:rsidP="000D03FC">
            <w:pPr>
              <w:pStyle w:val="TableUnitsRow"/>
              <w:jc w:val="left"/>
              <w:rPr>
                <w:noProof/>
              </w:rPr>
            </w:pPr>
            <w:r>
              <w:rPr>
                <w:noProof/>
              </w:rPr>
              <w:t>New South Wales</w:t>
            </w:r>
          </w:p>
        </w:tc>
        <w:tc>
          <w:tcPr>
            <w:tcW w:w="1984" w:type="dxa"/>
            <w:tcBorders>
              <w:top w:val="single" w:sz="4" w:space="0" w:color="auto"/>
            </w:tcBorders>
            <w:vAlign w:val="center"/>
          </w:tcPr>
          <w:p w:rsidR="004A565C" w:rsidRPr="00D3556F" w:rsidRDefault="004A565C" w:rsidP="004A565C">
            <w:pPr>
              <w:pStyle w:val="TableBodyText"/>
            </w:pPr>
            <w:r w:rsidRPr="00D3556F">
              <w:t>208</w:t>
            </w:r>
            <w:r w:rsidR="001B7D9D">
              <w:t xml:space="preserve"> </w:t>
            </w:r>
            <w:r w:rsidRPr="00D3556F">
              <w:t>476</w:t>
            </w:r>
          </w:p>
        </w:tc>
        <w:tc>
          <w:tcPr>
            <w:tcW w:w="1984" w:type="dxa"/>
            <w:tcBorders>
              <w:top w:val="single" w:sz="4" w:space="0" w:color="auto"/>
            </w:tcBorders>
            <w:vAlign w:val="center"/>
          </w:tcPr>
          <w:p w:rsidR="004A565C" w:rsidRDefault="004A565C" w:rsidP="00A236FA">
            <w:pPr>
              <w:pStyle w:val="TableBodyText"/>
              <w:rPr>
                <w:i/>
                <w:noProof/>
              </w:rPr>
            </w:pPr>
            <w:r w:rsidRPr="009A2825">
              <w:t xml:space="preserve"> 168 773</w:t>
            </w:r>
          </w:p>
        </w:tc>
        <w:tc>
          <w:tcPr>
            <w:tcW w:w="1134" w:type="dxa"/>
            <w:tcBorders>
              <w:top w:val="single" w:sz="4" w:space="0" w:color="auto"/>
            </w:tcBorders>
            <w:shd w:val="clear" w:color="auto" w:fill="auto"/>
            <w:vAlign w:val="center"/>
          </w:tcPr>
          <w:p w:rsidR="004A565C" w:rsidRPr="00262E2C" w:rsidRDefault="004A565C" w:rsidP="00671643">
            <w:pPr>
              <w:pStyle w:val="TableBodyText"/>
              <w:rPr>
                <w:i/>
                <w:noProof/>
              </w:rPr>
            </w:pPr>
            <w:r>
              <w:t>39</w:t>
            </w:r>
            <w:r w:rsidR="00A236FA">
              <w:t xml:space="preserve"> </w:t>
            </w:r>
            <w:r>
              <w:t>703</w:t>
            </w:r>
          </w:p>
        </w:tc>
        <w:tc>
          <w:tcPr>
            <w:tcW w:w="1135" w:type="dxa"/>
            <w:tcBorders>
              <w:top w:val="single" w:sz="4" w:space="0" w:color="auto"/>
            </w:tcBorders>
            <w:vAlign w:val="center"/>
          </w:tcPr>
          <w:p w:rsidR="004A565C" w:rsidRPr="00262E2C" w:rsidRDefault="004A565C" w:rsidP="00B826A7">
            <w:pPr>
              <w:pStyle w:val="TableBodyText"/>
              <w:ind w:left="283" w:right="0"/>
              <w:rPr>
                <w:i/>
                <w:noProof/>
              </w:rPr>
            </w:pPr>
            <w:r>
              <w:t>19.0</w:t>
            </w:r>
          </w:p>
        </w:tc>
      </w:tr>
      <w:tr w:rsidR="004A565C" w:rsidTr="00A236FA">
        <w:tc>
          <w:tcPr>
            <w:tcW w:w="2552" w:type="dxa"/>
          </w:tcPr>
          <w:p w:rsidR="004A565C" w:rsidRDefault="004A565C" w:rsidP="00671643">
            <w:pPr>
              <w:pStyle w:val="TableUnitsRow"/>
              <w:jc w:val="left"/>
              <w:rPr>
                <w:noProof/>
              </w:rPr>
            </w:pPr>
            <w:r>
              <w:rPr>
                <w:noProof/>
              </w:rPr>
              <w:t>Victoria</w:t>
            </w:r>
          </w:p>
        </w:tc>
        <w:tc>
          <w:tcPr>
            <w:tcW w:w="1984" w:type="dxa"/>
            <w:vAlign w:val="center"/>
          </w:tcPr>
          <w:p w:rsidR="004A565C" w:rsidRPr="00671643" w:rsidRDefault="004A565C" w:rsidP="004A565C">
            <w:pPr>
              <w:pStyle w:val="TableBodyText"/>
              <w:framePr w:w="2155" w:hSpace="227" w:vSpace="181" w:wrap="around" w:vAnchor="text" w:hAnchor="page" w:xAlign="outside" w:y="1"/>
            </w:pPr>
            <w:r w:rsidRPr="00D3556F">
              <w:t>47</w:t>
            </w:r>
            <w:r w:rsidR="00A236FA">
              <w:t xml:space="preserve"> </w:t>
            </w:r>
            <w:r w:rsidRPr="00D3556F">
              <w:t>333</w:t>
            </w:r>
          </w:p>
        </w:tc>
        <w:tc>
          <w:tcPr>
            <w:tcW w:w="1984" w:type="dxa"/>
            <w:vAlign w:val="center"/>
          </w:tcPr>
          <w:p w:rsidR="004A565C" w:rsidRDefault="004A565C" w:rsidP="00A236FA">
            <w:pPr>
              <w:pStyle w:val="TableBodyText"/>
              <w:rPr>
                <w:i/>
                <w:noProof/>
              </w:rPr>
            </w:pPr>
            <w:r w:rsidRPr="009A2825">
              <w:t xml:space="preserve"> 37 647</w:t>
            </w:r>
          </w:p>
        </w:tc>
        <w:tc>
          <w:tcPr>
            <w:tcW w:w="1134" w:type="dxa"/>
            <w:shd w:val="clear" w:color="auto" w:fill="auto"/>
            <w:vAlign w:val="center"/>
          </w:tcPr>
          <w:p w:rsidR="004A565C" w:rsidRPr="00262E2C" w:rsidRDefault="004A565C" w:rsidP="00671643">
            <w:pPr>
              <w:pStyle w:val="TableBodyText"/>
              <w:rPr>
                <w:i/>
                <w:noProof/>
              </w:rPr>
            </w:pPr>
            <w:r>
              <w:t>9</w:t>
            </w:r>
            <w:r w:rsidR="00A236FA">
              <w:t xml:space="preserve"> </w:t>
            </w:r>
            <w:r>
              <w:t>686</w:t>
            </w:r>
          </w:p>
        </w:tc>
        <w:tc>
          <w:tcPr>
            <w:tcW w:w="1135" w:type="dxa"/>
            <w:vAlign w:val="center"/>
          </w:tcPr>
          <w:p w:rsidR="004A565C" w:rsidRPr="00262E2C" w:rsidRDefault="004A565C" w:rsidP="00B826A7">
            <w:pPr>
              <w:pStyle w:val="TableBodyText"/>
              <w:ind w:left="283" w:right="0"/>
              <w:rPr>
                <w:i/>
                <w:noProof/>
              </w:rPr>
            </w:pPr>
            <w:r>
              <w:t>20.5</w:t>
            </w:r>
          </w:p>
        </w:tc>
      </w:tr>
      <w:tr w:rsidR="004A565C" w:rsidTr="00A236FA">
        <w:tc>
          <w:tcPr>
            <w:tcW w:w="2552" w:type="dxa"/>
            <w:shd w:val="clear" w:color="auto" w:fill="auto"/>
          </w:tcPr>
          <w:p w:rsidR="004A565C" w:rsidRDefault="004A565C" w:rsidP="00671643">
            <w:pPr>
              <w:pStyle w:val="TableUnitsRow"/>
              <w:jc w:val="left"/>
              <w:rPr>
                <w:noProof/>
              </w:rPr>
            </w:pPr>
            <w:r>
              <w:rPr>
                <w:noProof/>
              </w:rPr>
              <w:t>Queensland</w:t>
            </w:r>
          </w:p>
        </w:tc>
        <w:tc>
          <w:tcPr>
            <w:tcW w:w="1984" w:type="dxa"/>
            <w:vAlign w:val="center"/>
          </w:tcPr>
          <w:p w:rsidR="004A565C" w:rsidRPr="00671643" w:rsidRDefault="004A565C" w:rsidP="004A565C">
            <w:pPr>
              <w:pStyle w:val="TableBodyText"/>
              <w:framePr w:w="2155" w:hSpace="227" w:vSpace="181" w:wrap="around" w:vAnchor="text" w:hAnchor="page" w:xAlign="outside" w:y="1"/>
            </w:pPr>
            <w:r w:rsidRPr="00D3556F">
              <w:t>188</w:t>
            </w:r>
            <w:r w:rsidR="00A236FA">
              <w:t xml:space="preserve"> </w:t>
            </w:r>
            <w:r w:rsidRPr="00D3556F">
              <w:t>954</w:t>
            </w:r>
          </w:p>
        </w:tc>
        <w:tc>
          <w:tcPr>
            <w:tcW w:w="1984" w:type="dxa"/>
            <w:vAlign w:val="center"/>
          </w:tcPr>
          <w:p w:rsidR="004A565C" w:rsidRDefault="004A565C" w:rsidP="00A236FA">
            <w:pPr>
              <w:pStyle w:val="TableBodyText"/>
              <w:rPr>
                <w:i/>
                <w:noProof/>
              </w:rPr>
            </w:pPr>
            <w:r w:rsidRPr="009A2825">
              <w:t xml:space="preserve"> 164 883</w:t>
            </w:r>
          </w:p>
        </w:tc>
        <w:tc>
          <w:tcPr>
            <w:tcW w:w="1134" w:type="dxa"/>
            <w:shd w:val="clear" w:color="auto" w:fill="auto"/>
            <w:vAlign w:val="center"/>
          </w:tcPr>
          <w:p w:rsidR="004A565C" w:rsidRPr="00262E2C" w:rsidRDefault="004A565C" w:rsidP="00671643">
            <w:pPr>
              <w:pStyle w:val="TableBodyText"/>
              <w:rPr>
                <w:i/>
                <w:noProof/>
              </w:rPr>
            </w:pPr>
            <w:r>
              <w:t>24</w:t>
            </w:r>
            <w:r w:rsidR="00A236FA">
              <w:t xml:space="preserve"> </w:t>
            </w:r>
            <w:r>
              <w:t>071</w:t>
            </w:r>
          </w:p>
        </w:tc>
        <w:tc>
          <w:tcPr>
            <w:tcW w:w="1135" w:type="dxa"/>
            <w:vAlign w:val="center"/>
          </w:tcPr>
          <w:p w:rsidR="004A565C" w:rsidRPr="00262E2C" w:rsidRDefault="004A565C" w:rsidP="00B826A7">
            <w:pPr>
              <w:pStyle w:val="TableBodyText"/>
              <w:ind w:left="283" w:right="0"/>
              <w:rPr>
                <w:i/>
                <w:noProof/>
              </w:rPr>
            </w:pPr>
            <w:r>
              <w:t>12.7</w:t>
            </w:r>
          </w:p>
        </w:tc>
      </w:tr>
      <w:tr w:rsidR="004A565C" w:rsidTr="00A236FA">
        <w:tc>
          <w:tcPr>
            <w:tcW w:w="2552" w:type="dxa"/>
            <w:shd w:val="clear" w:color="auto" w:fill="auto"/>
          </w:tcPr>
          <w:p w:rsidR="004A565C" w:rsidRDefault="004A565C" w:rsidP="00671643">
            <w:pPr>
              <w:pStyle w:val="TableUnitsRow"/>
              <w:jc w:val="left"/>
              <w:rPr>
                <w:noProof/>
              </w:rPr>
            </w:pPr>
            <w:r>
              <w:rPr>
                <w:noProof/>
              </w:rPr>
              <w:t>Western Australia</w:t>
            </w:r>
          </w:p>
        </w:tc>
        <w:tc>
          <w:tcPr>
            <w:tcW w:w="1984" w:type="dxa"/>
            <w:vAlign w:val="center"/>
          </w:tcPr>
          <w:p w:rsidR="004A565C" w:rsidRPr="00671643" w:rsidRDefault="004A565C" w:rsidP="004A565C">
            <w:pPr>
              <w:pStyle w:val="TableBodyText"/>
              <w:framePr w:w="2155" w:hSpace="227" w:vSpace="181" w:wrap="around" w:vAnchor="text" w:hAnchor="page" w:xAlign="outside" w:y="1"/>
              <w:rPr>
                <w:i/>
                <w:noProof/>
              </w:rPr>
            </w:pPr>
            <w:r w:rsidRPr="00D3556F">
              <w:t>88</w:t>
            </w:r>
            <w:r w:rsidR="00A236FA">
              <w:t xml:space="preserve"> </w:t>
            </w:r>
            <w:r w:rsidRPr="00D3556F">
              <w:t>270</w:t>
            </w:r>
          </w:p>
        </w:tc>
        <w:tc>
          <w:tcPr>
            <w:tcW w:w="1984" w:type="dxa"/>
            <w:vAlign w:val="center"/>
          </w:tcPr>
          <w:p w:rsidR="004A565C" w:rsidRDefault="004A565C" w:rsidP="00A236FA">
            <w:pPr>
              <w:pStyle w:val="TableBodyText"/>
              <w:rPr>
                <w:i/>
                <w:noProof/>
              </w:rPr>
            </w:pPr>
            <w:r w:rsidRPr="009A2825">
              <w:t xml:space="preserve"> 77 694</w:t>
            </w:r>
          </w:p>
        </w:tc>
        <w:tc>
          <w:tcPr>
            <w:tcW w:w="1134" w:type="dxa"/>
            <w:shd w:val="clear" w:color="auto" w:fill="auto"/>
            <w:vAlign w:val="center"/>
          </w:tcPr>
          <w:p w:rsidR="004A565C" w:rsidRPr="00262E2C" w:rsidRDefault="004A565C" w:rsidP="00671643">
            <w:pPr>
              <w:pStyle w:val="TableBodyText"/>
              <w:rPr>
                <w:i/>
                <w:noProof/>
              </w:rPr>
            </w:pPr>
            <w:r>
              <w:t>10</w:t>
            </w:r>
            <w:r w:rsidR="00A236FA">
              <w:t xml:space="preserve"> </w:t>
            </w:r>
            <w:r>
              <w:t>576</w:t>
            </w:r>
          </w:p>
        </w:tc>
        <w:tc>
          <w:tcPr>
            <w:tcW w:w="1135" w:type="dxa"/>
            <w:vAlign w:val="center"/>
          </w:tcPr>
          <w:p w:rsidR="004A565C" w:rsidRPr="00262E2C" w:rsidRDefault="004A565C" w:rsidP="00B826A7">
            <w:pPr>
              <w:pStyle w:val="TableBodyText"/>
              <w:ind w:left="283" w:right="0"/>
              <w:rPr>
                <w:i/>
                <w:noProof/>
              </w:rPr>
            </w:pPr>
            <w:r>
              <w:t>12.0</w:t>
            </w:r>
          </w:p>
        </w:tc>
      </w:tr>
      <w:tr w:rsidR="004A565C" w:rsidTr="00A236FA">
        <w:tc>
          <w:tcPr>
            <w:tcW w:w="2552" w:type="dxa"/>
            <w:shd w:val="clear" w:color="auto" w:fill="auto"/>
          </w:tcPr>
          <w:p w:rsidR="004A565C" w:rsidRDefault="004A565C" w:rsidP="00671643">
            <w:pPr>
              <w:pStyle w:val="TableUnitsRow"/>
              <w:jc w:val="left"/>
              <w:rPr>
                <w:noProof/>
              </w:rPr>
            </w:pPr>
            <w:r>
              <w:rPr>
                <w:noProof/>
              </w:rPr>
              <w:t>South Australia</w:t>
            </w:r>
          </w:p>
        </w:tc>
        <w:tc>
          <w:tcPr>
            <w:tcW w:w="1984" w:type="dxa"/>
            <w:vAlign w:val="center"/>
          </w:tcPr>
          <w:p w:rsidR="004A565C" w:rsidRPr="00671643" w:rsidRDefault="004A565C" w:rsidP="004A565C">
            <w:pPr>
              <w:pStyle w:val="TableBodyText"/>
              <w:framePr w:w="2155" w:hSpace="227" w:vSpace="181" w:wrap="around" w:vAnchor="text" w:hAnchor="page" w:xAlign="outside" w:y="1"/>
            </w:pPr>
            <w:r w:rsidRPr="00D3556F">
              <w:t>37</w:t>
            </w:r>
            <w:r w:rsidR="00A236FA">
              <w:t xml:space="preserve"> </w:t>
            </w:r>
            <w:r w:rsidRPr="00D3556F">
              <w:t>408</w:t>
            </w:r>
          </w:p>
        </w:tc>
        <w:tc>
          <w:tcPr>
            <w:tcW w:w="1984" w:type="dxa"/>
            <w:vAlign w:val="center"/>
          </w:tcPr>
          <w:p w:rsidR="004A565C" w:rsidRDefault="004A565C" w:rsidP="00A236FA">
            <w:pPr>
              <w:pStyle w:val="TableBodyText"/>
              <w:rPr>
                <w:i/>
                <w:noProof/>
              </w:rPr>
            </w:pPr>
            <w:r w:rsidRPr="009A2825">
              <w:t xml:space="preserve"> 31 040</w:t>
            </w:r>
          </w:p>
        </w:tc>
        <w:tc>
          <w:tcPr>
            <w:tcW w:w="1134" w:type="dxa"/>
            <w:shd w:val="clear" w:color="auto" w:fill="auto"/>
            <w:vAlign w:val="center"/>
          </w:tcPr>
          <w:p w:rsidR="004A565C" w:rsidRPr="00262E2C" w:rsidRDefault="004A565C" w:rsidP="00671643">
            <w:pPr>
              <w:pStyle w:val="TableBodyText"/>
              <w:rPr>
                <w:i/>
                <w:noProof/>
              </w:rPr>
            </w:pPr>
            <w:r>
              <w:t>6</w:t>
            </w:r>
            <w:r w:rsidR="00A236FA">
              <w:t xml:space="preserve"> </w:t>
            </w:r>
            <w:r>
              <w:t>368</w:t>
            </w:r>
          </w:p>
        </w:tc>
        <w:tc>
          <w:tcPr>
            <w:tcW w:w="1135" w:type="dxa"/>
            <w:vAlign w:val="center"/>
          </w:tcPr>
          <w:p w:rsidR="004A565C" w:rsidRPr="00262E2C" w:rsidRDefault="004A565C" w:rsidP="00B826A7">
            <w:pPr>
              <w:pStyle w:val="TableBodyText"/>
              <w:ind w:left="283" w:right="0"/>
              <w:rPr>
                <w:i/>
                <w:noProof/>
              </w:rPr>
            </w:pPr>
            <w:r>
              <w:t>17.0</w:t>
            </w:r>
          </w:p>
        </w:tc>
      </w:tr>
      <w:tr w:rsidR="004A565C" w:rsidTr="00A236FA">
        <w:tc>
          <w:tcPr>
            <w:tcW w:w="2552" w:type="dxa"/>
            <w:shd w:val="clear" w:color="auto" w:fill="auto"/>
          </w:tcPr>
          <w:p w:rsidR="004A565C" w:rsidRDefault="004A565C" w:rsidP="00671643">
            <w:pPr>
              <w:pStyle w:val="TableUnitsRow"/>
              <w:jc w:val="left"/>
              <w:rPr>
                <w:noProof/>
              </w:rPr>
            </w:pPr>
            <w:r>
              <w:rPr>
                <w:noProof/>
              </w:rPr>
              <w:t>Tasmania</w:t>
            </w:r>
          </w:p>
        </w:tc>
        <w:tc>
          <w:tcPr>
            <w:tcW w:w="1984" w:type="dxa"/>
            <w:vAlign w:val="center"/>
          </w:tcPr>
          <w:p w:rsidR="004A565C" w:rsidRPr="00671643" w:rsidRDefault="004A565C" w:rsidP="004A565C">
            <w:pPr>
              <w:pStyle w:val="TableBodyText"/>
              <w:framePr w:w="2155" w:hSpace="227" w:vSpace="181" w:wrap="around" w:vAnchor="text" w:hAnchor="page" w:xAlign="outside" w:y="1"/>
            </w:pPr>
            <w:r w:rsidRPr="00D3556F">
              <w:t>24</w:t>
            </w:r>
            <w:r w:rsidR="00A236FA">
              <w:t xml:space="preserve"> </w:t>
            </w:r>
            <w:r w:rsidRPr="00D3556F">
              <w:t>165</w:t>
            </w:r>
          </w:p>
        </w:tc>
        <w:tc>
          <w:tcPr>
            <w:tcW w:w="1984" w:type="dxa"/>
            <w:vAlign w:val="center"/>
          </w:tcPr>
          <w:p w:rsidR="004A565C" w:rsidRDefault="004A565C" w:rsidP="00A236FA">
            <w:pPr>
              <w:pStyle w:val="TableBodyText"/>
              <w:rPr>
                <w:i/>
                <w:noProof/>
              </w:rPr>
            </w:pPr>
            <w:r w:rsidRPr="009A2825">
              <w:t xml:space="preserve"> 20 580</w:t>
            </w:r>
          </w:p>
        </w:tc>
        <w:tc>
          <w:tcPr>
            <w:tcW w:w="1134" w:type="dxa"/>
            <w:shd w:val="clear" w:color="auto" w:fill="auto"/>
            <w:vAlign w:val="center"/>
          </w:tcPr>
          <w:p w:rsidR="004A565C" w:rsidRPr="00262E2C" w:rsidRDefault="004A565C" w:rsidP="00671643">
            <w:pPr>
              <w:pStyle w:val="TableBodyText"/>
              <w:rPr>
                <w:i/>
                <w:noProof/>
              </w:rPr>
            </w:pPr>
            <w:r>
              <w:t>3</w:t>
            </w:r>
            <w:r w:rsidR="00A236FA">
              <w:t xml:space="preserve"> </w:t>
            </w:r>
            <w:r>
              <w:t>585</w:t>
            </w:r>
          </w:p>
        </w:tc>
        <w:tc>
          <w:tcPr>
            <w:tcW w:w="1135" w:type="dxa"/>
            <w:vAlign w:val="center"/>
          </w:tcPr>
          <w:p w:rsidR="004A565C" w:rsidRPr="00262E2C" w:rsidRDefault="004A565C" w:rsidP="00B826A7">
            <w:pPr>
              <w:pStyle w:val="TableBodyText"/>
              <w:ind w:left="283" w:right="0"/>
              <w:rPr>
                <w:i/>
                <w:noProof/>
              </w:rPr>
            </w:pPr>
            <w:r>
              <w:t>14.8</w:t>
            </w:r>
          </w:p>
        </w:tc>
      </w:tr>
      <w:tr w:rsidR="004A565C" w:rsidTr="00A236FA">
        <w:tc>
          <w:tcPr>
            <w:tcW w:w="2552" w:type="dxa"/>
            <w:shd w:val="clear" w:color="auto" w:fill="auto"/>
          </w:tcPr>
          <w:p w:rsidR="004A565C" w:rsidRDefault="004A565C" w:rsidP="00671643">
            <w:pPr>
              <w:pStyle w:val="TableUnitsRow"/>
              <w:jc w:val="left"/>
              <w:rPr>
                <w:noProof/>
              </w:rPr>
            </w:pPr>
            <w:r>
              <w:rPr>
                <w:noProof/>
              </w:rPr>
              <w:t>Australian Capital Territory</w:t>
            </w:r>
          </w:p>
        </w:tc>
        <w:tc>
          <w:tcPr>
            <w:tcW w:w="1984" w:type="dxa"/>
            <w:vAlign w:val="center"/>
          </w:tcPr>
          <w:p w:rsidR="004A565C" w:rsidRPr="00671643" w:rsidRDefault="004A565C" w:rsidP="004A565C">
            <w:pPr>
              <w:pStyle w:val="TableBodyText"/>
              <w:framePr w:w="2155" w:hSpace="227" w:vSpace="181" w:wrap="around" w:vAnchor="text" w:hAnchor="page" w:xAlign="outside" w:y="1"/>
            </w:pPr>
            <w:r w:rsidRPr="00D3556F">
              <w:t>6</w:t>
            </w:r>
            <w:r w:rsidR="00A236FA">
              <w:t xml:space="preserve"> </w:t>
            </w:r>
            <w:r w:rsidRPr="00D3556F">
              <w:t>160</w:t>
            </w:r>
          </w:p>
        </w:tc>
        <w:tc>
          <w:tcPr>
            <w:tcW w:w="1984" w:type="dxa"/>
            <w:vAlign w:val="center"/>
          </w:tcPr>
          <w:p w:rsidR="004A565C" w:rsidRDefault="004A565C" w:rsidP="00A236FA">
            <w:pPr>
              <w:pStyle w:val="TableBodyText"/>
              <w:rPr>
                <w:i/>
                <w:noProof/>
              </w:rPr>
            </w:pPr>
            <w:r w:rsidRPr="009A2825">
              <w:t xml:space="preserve"> 4 825</w:t>
            </w:r>
          </w:p>
        </w:tc>
        <w:tc>
          <w:tcPr>
            <w:tcW w:w="1134" w:type="dxa"/>
            <w:shd w:val="clear" w:color="auto" w:fill="auto"/>
            <w:vAlign w:val="center"/>
          </w:tcPr>
          <w:p w:rsidR="004A565C" w:rsidRPr="00262E2C" w:rsidRDefault="004A565C" w:rsidP="00671643">
            <w:pPr>
              <w:pStyle w:val="TableBodyText"/>
              <w:rPr>
                <w:i/>
                <w:noProof/>
              </w:rPr>
            </w:pPr>
            <w:r>
              <w:t>1</w:t>
            </w:r>
            <w:r w:rsidR="00A236FA">
              <w:t xml:space="preserve"> </w:t>
            </w:r>
            <w:r>
              <w:t>335</w:t>
            </w:r>
          </w:p>
        </w:tc>
        <w:tc>
          <w:tcPr>
            <w:tcW w:w="1135" w:type="dxa"/>
            <w:vAlign w:val="center"/>
          </w:tcPr>
          <w:p w:rsidR="004A565C" w:rsidRPr="00262E2C" w:rsidRDefault="004A565C" w:rsidP="00B826A7">
            <w:pPr>
              <w:pStyle w:val="TableBodyText"/>
              <w:ind w:left="283" w:right="0"/>
              <w:rPr>
                <w:i/>
                <w:noProof/>
              </w:rPr>
            </w:pPr>
            <w:r>
              <w:t>21.7</w:t>
            </w:r>
          </w:p>
        </w:tc>
      </w:tr>
      <w:tr w:rsidR="004A565C" w:rsidTr="00A236FA">
        <w:tc>
          <w:tcPr>
            <w:tcW w:w="2552" w:type="dxa"/>
            <w:shd w:val="clear" w:color="auto" w:fill="auto"/>
          </w:tcPr>
          <w:p w:rsidR="004A565C" w:rsidRDefault="004A565C" w:rsidP="00671643">
            <w:pPr>
              <w:pStyle w:val="TableUnitsRow"/>
              <w:jc w:val="left"/>
              <w:rPr>
                <w:noProof/>
              </w:rPr>
            </w:pPr>
            <w:r>
              <w:rPr>
                <w:noProof/>
              </w:rPr>
              <w:t>Northern Territory</w:t>
            </w:r>
          </w:p>
        </w:tc>
        <w:tc>
          <w:tcPr>
            <w:tcW w:w="1984" w:type="dxa"/>
            <w:vAlign w:val="center"/>
          </w:tcPr>
          <w:p w:rsidR="004A565C" w:rsidRPr="00671643" w:rsidRDefault="004A565C" w:rsidP="004A565C">
            <w:pPr>
              <w:pStyle w:val="TableBodyText"/>
              <w:framePr w:w="2155" w:hSpace="227" w:vSpace="181" w:wrap="around" w:vAnchor="text" w:hAnchor="page" w:xAlign="outside" w:y="1"/>
            </w:pPr>
            <w:r w:rsidRPr="00D3556F">
              <w:t>68</w:t>
            </w:r>
            <w:r w:rsidR="00A236FA">
              <w:t xml:space="preserve"> </w:t>
            </w:r>
            <w:r w:rsidRPr="00D3556F">
              <w:t>850</w:t>
            </w:r>
          </w:p>
        </w:tc>
        <w:tc>
          <w:tcPr>
            <w:tcW w:w="1984" w:type="dxa"/>
            <w:vAlign w:val="center"/>
          </w:tcPr>
          <w:p w:rsidR="004A565C" w:rsidRDefault="004A565C" w:rsidP="00A236FA">
            <w:pPr>
              <w:pStyle w:val="TableBodyText"/>
              <w:rPr>
                <w:i/>
                <w:noProof/>
              </w:rPr>
            </w:pPr>
            <w:r w:rsidRPr="009A2825">
              <w:t xml:space="preserve"> 69 855</w:t>
            </w:r>
          </w:p>
        </w:tc>
        <w:tc>
          <w:tcPr>
            <w:tcW w:w="1134" w:type="dxa"/>
            <w:shd w:val="clear" w:color="auto" w:fill="auto"/>
            <w:vAlign w:val="center"/>
          </w:tcPr>
          <w:p w:rsidR="004A565C" w:rsidRPr="00262E2C" w:rsidRDefault="004A565C" w:rsidP="00671643">
            <w:pPr>
              <w:pStyle w:val="TableBodyText"/>
              <w:rPr>
                <w:i/>
                <w:noProof/>
              </w:rPr>
            </w:pPr>
            <w:r>
              <w:t>-1</w:t>
            </w:r>
            <w:r w:rsidR="00A236FA">
              <w:t xml:space="preserve"> </w:t>
            </w:r>
            <w:r>
              <w:t>005</w:t>
            </w:r>
          </w:p>
        </w:tc>
        <w:tc>
          <w:tcPr>
            <w:tcW w:w="1135" w:type="dxa"/>
            <w:vAlign w:val="center"/>
          </w:tcPr>
          <w:p w:rsidR="004A565C" w:rsidRPr="00262E2C" w:rsidRDefault="004A565C" w:rsidP="00B826A7">
            <w:pPr>
              <w:pStyle w:val="TableBodyText"/>
              <w:ind w:left="283" w:right="0"/>
              <w:rPr>
                <w:i/>
                <w:noProof/>
              </w:rPr>
            </w:pPr>
            <w:r>
              <w:t>-1.5</w:t>
            </w:r>
          </w:p>
        </w:tc>
      </w:tr>
      <w:tr w:rsidR="004A565C" w:rsidTr="00A236FA">
        <w:tc>
          <w:tcPr>
            <w:tcW w:w="2552" w:type="dxa"/>
            <w:tcBorders>
              <w:bottom w:val="single" w:sz="6" w:space="0" w:color="auto"/>
            </w:tcBorders>
            <w:shd w:val="clear" w:color="auto" w:fill="auto"/>
          </w:tcPr>
          <w:p w:rsidR="004A565C" w:rsidRDefault="004A565C" w:rsidP="00671643">
            <w:pPr>
              <w:pStyle w:val="TableUnitsRow"/>
              <w:jc w:val="left"/>
              <w:rPr>
                <w:noProof/>
              </w:rPr>
            </w:pPr>
            <w:r>
              <w:rPr>
                <w:noProof/>
              </w:rPr>
              <w:t>Australia</w:t>
            </w:r>
            <w:r w:rsidRPr="005A08D3">
              <w:rPr>
                <w:rStyle w:val="NoteLabel"/>
              </w:rPr>
              <w:t>b</w:t>
            </w:r>
            <w:r>
              <w:rPr>
                <w:noProof/>
              </w:rPr>
              <w:t xml:space="preserve"> </w:t>
            </w:r>
          </w:p>
        </w:tc>
        <w:tc>
          <w:tcPr>
            <w:tcW w:w="1984" w:type="dxa"/>
            <w:tcBorders>
              <w:bottom w:val="single" w:sz="6" w:space="0" w:color="auto"/>
            </w:tcBorders>
            <w:vAlign w:val="center"/>
          </w:tcPr>
          <w:p w:rsidR="004A565C" w:rsidRPr="00671643" w:rsidRDefault="004A565C" w:rsidP="004A565C">
            <w:pPr>
              <w:pStyle w:val="TableBodyText"/>
              <w:framePr w:w="2155" w:hSpace="227" w:vSpace="181" w:wrap="around" w:vAnchor="text" w:hAnchor="page" w:xAlign="outside" w:y="1"/>
            </w:pPr>
            <w:r w:rsidRPr="00D3556F">
              <w:t>669</w:t>
            </w:r>
            <w:r w:rsidR="00A236FA">
              <w:t xml:space="preserve"> </w:t>
            </w:r>
            <w:r w:rsidRPr="00D3556F">
              <w:t>881</w:t>
            </w:r>
          </w:p>
        </w:tc>
        <w:tc>
          <w:tcPr>
            <w:tcW w:w="1984" w:type="dxa"/>
            <w:tcBorders>
              <w:bottom w:val="single" w:sz="6" w:space="0" w:color="auto"/>
            </w:tcBorders>
            <w:vAlign w:val="center"/>
          </w:tcPr>
          <w:p w:rsidR="004A565C" w:rsidRDefault="004A565C" w:rsidP="00A236FA">
            <w:pPr>
              <w:pStyle w:val="TableBodyText"/>
              <w:rPr>
                <w:i/>
                <w:noProof/>
              </w:rPr>
            </w:pPr>
            <w:r>
              <w:t>575 552</w:t>
            </w:r>
          </w:p>
        </w:tc>
        <w:tc>
          <w:tcPr>
            <w:tcW w:w="1134" w:type="dxa"/>
            <w:tcBorders>
              <w:bottom w:val="single" w:sz="6" w:space="0" w:color="auto"/>
            </w:tcBorders>
            <w:vAlign w:val="center"/>
          </w:tcPr>
          <w:p w:rsidR="004A565C" w:rsidRDefault="004A565C" w:rsidP="00671643">
            <w:pPr>
              <w:pStyle w:val="TableBodyText"/>
              <w:rPr>
                <w:i/>
                <w:noProof/>
              </w:rPr>
            </w:pPr>
            <w:r>
              <w:t>94</w:t>
            </w:r>
            <w:r w:rsidR="00A236FA">
              <w:t xml:space="preserve"> </w:t>
            </w:r>
            <w:r>
              <w:t>329</w:t>
            </w:r>
          </w:p>
        </w:tc>
        <w:tc>
          <w:tcPr>
            <w:tcW w:w="1135" w:type="dxa"/>
            <w:tcBorders>
              <w:bottom w:val="single" w:sz="6" w:space="0" w:color="auto"/>
            </w:tcBorders>
            <w:vAlign w:val="center"/>
          </w:tcPr>
          <w:p w:rsidR="004A565C" w:rsidRDefault="004A565C" w:rsidP="00B826A7">
            <w:pPr>
              <w:pStyle w:val="TableBodyText"/>
              <w:ind w:left="283" w:right="0"/>
              <w:rPr>
                <w:i/>
                <w:noProof/>
              </w:rPr>
            </w:pPr>
            <w:r>
              <w:t>14.1</w:t>
            </w:r>
          </w:p>
        </w:tc>
      </w:tr>
    </w:tbl>
    <w:p w:rsidR="00D27DE5" w:rsidRDefault="00D27DE5" w:rsidP="00A12234">
      <w:pPr>
        <w:pStyle w:val="Note"/>
        <w:rPr>
          <w:noProof/>
        </w:rPr>
      </w:pPr>
      <w:r w:rsidRPr="00AA3603">
        <w:rPr>
          <w:rStyle w:val="NoteLabel"/>
        </w:rPr>
        <w:t>a</w:t>
      </w:r>
      <w:r>
        <w:rPr>
          <w:noProof/>
        </w:rPr>
        <w:t xml:space="preserve"> A </w:t>
      </w:r>
      <w:r w:rsidR="00E03B9A">
        <w:rPr>
          <w:noProof/>
        </w:rPr>
        <w:t xml:space="preserve">negative </w:t>
      </w:r>
      <w:r>
        <w:rPr>
          <w:noProof/>
        </w:rPr>
        <w:t xml:space="preserve">number indicates that the 2006 based </w:t>
      </w:r>
      <w:r w:rsidR="00392CC0">
        <w:rPr>
          <w:noProof/>
        </w:rPr>
        <w:t>projection</w:t>
      </w:r>
      <w:r>
        <w:rPr>
          <w:noProof/>
        </w:rPr>
        <w:t xml:space="preserve"> (unrebased) for June 2011 was higher than the 2011 based </w:t>
      </w:r>
      <w:r w:rsidR="002712B8">
        <w:rPr>
          <w:noProof/>
        </w:rPr>
        <w:t xml:space="preserve">final estimate </w:t>
      </w:r>
      <w:r>
        <w:rPr>
          <w:noProof/>
        </w:rPr>
        <w:t xml:space="preserve">(rebased) for June 2011. </w:t>
      </w:r>
      <w:r w:rsidRPr="006E7007">
        <w:rPr>
          <w:rStyle w:val="NoteLabel"/>
        </w:rPr>
        <w:t>b</w:t>
      </w:r>
      <w:r>
        <w:rPr>
          <w:noProof/>
        </w:rPr>
        <w:t xml:space="preserve"> Includes other territories. </w:t>
      </w:r>
    </w:p>
    <w:p w:rsidR="00D27DE5" w:rsidRPr="008968AE" w:rsidRDefault="00D27DE5" w:rsidP="00A12234">
      <w:pPr>
        <w:pStyle w:val="Source"/>
      </w:pPr>
      <w:r>
        <w:rPr>
          <w:i/>
        </w:rPr>
        <w:t>Source</w:t>
      </w:r>
      <w:r>
        <w:t>: ABS (201</w:t>
      </w:r>
      <w:r w:rsidR="001B7D9D">
        <w:t>3</w:t>
      </w:r>
      <w:r>
        <w:t xml:space="preserve">) </w:t>
      </w:r>
      <w:r w:rsidR="001B7D9D">
        <w:rPr>
          <w:i/>
        </w:rPr>
        <w:t>Estimates of Aboriginal and Torres Strait Islander Australians</w:t>
      </w:r>
      <w:r>
        <w:rPr>
          <w:i/>
        </w:rPr>
        <w:t xml:space="preserve">, </w:t>
      </w:r>
      <w:r w:rsidR="001B7D9D">
        <w:rPr>
          <w:i/>
        </w:rPr>
        <w:t>June 2011</w:t>
      </w:r>
      <w:r w:rsidRPr="00651686">
        <w:t>,</w:t>
      </w:r>
      <w:r w:rsidR="00EF3BD7">
        <w:t xml:space="preserve"> cat. no. </w:t>
      </w:r>
      <w:r w:rsidR="001B7D9D">
        <w:t>3238.0.5.001</w:t>
      </w:r>
      <w:r w:rsidR="00EF3BD7">
        <w:t xml:space="preserve">, Canberra; </w:t>
      </w:r>
      <w:r w:rsidR="00EF3BD7" w:rsidRPr="00EF3BD7">
        <w:t xml:space="preserve">ABS (2009) </w:t>
      </w:r>
      <w:r w:rsidR="00EF3BD7" w:rsidRPr="00EF3BD7">
        <w:rPr>
          <w:i/>
        </w:rPr>
        <w:t>Experimental Estimates and Projections, Indigenous Australians, 1991 to 2021</w:t>
      </w:r>
      <w:r w:rsidR="00EF3BD7">
        <w:t>, Cat. no. 3238.0; Data cube</w:t>
      </w:r>
      <w:r w:rsidR="00EF3BD7" w:rsidRPr="00EF3BD7">
        <w:t>–Projected population, Aboriginal and Torres Strait Islander Australians, Australia, states and territories, 2006–2021.</w:t>
      </w:r>
    </w:p>
    <w:p w:rsidR="00392CC0" w:rsidRDefault="00392CC0" w:rsidP="00A12234">
      <w:pPr>
        <w:pStyle w:val="BodyText"/>
      </w:pPr>
      <w:r>
        <w:t>Data for the projected Indigenous Australian population as at 30 June 201</w:t>
      </w:r>
      <w:r w:rsidR="008C0012">
        <w:t>3</w:t>
      </w:r>
      <w:r>
        <w:t xml:space="preserve"> and 30 June 201</w:t>
      </w:r>
      <w:r w:rsidR="008C0012">
        <w:t>2</w:t>
      </w:r>
      <w:r w:rsidR="00751A58">
        <w:t xml:space="preserve"> </w:t>
      </w:r>
      <w:r>
        <w:t xml:space="preserve">(based on the 2006 Census) are provided in tables </w:t>
      </w:r>
      <w:proofErr w:type="spellStart"/>
      <w:r>
        <w:t>AA.15</w:t>
      </w:r>
      <w:proofErr w:type="spellEnd"/>
      <w:r>
        <w:t xml:space="preserve"> and </w:t>
      </w:r>
      <w:proofErr w:type="spellStart"/>
      <w:r>
        <w:t>AA.16</w:t>
      </w:r>
      <w:proofErr w:type="spellEnd"/>
      <w:r>
        <w:t>, respectively.</w:t>
      </w:r>
    </w:p>
    <w:p w:rsidR="00262E2C" w:rsidRDefault="008F53C3" w:rsidP="00262E2C">
      <w:pPr>
        <w:pStyle w:val="BodyText"/>
      </w:pPr>
      <w:r>
        <w:t>Data on</w:t>
      </w:r>
      <w:r w:rsidR="00533DDD">
        <w:t xml:space="preserve"> selected socio-demographic characteristics of Indigenous pe</w:t>
      </w:r>
      <w:r w:rsidR="001837CA">
        <w:t>ople are</w:t>
      </w:r>
      <w:r w:rsidR="00533DDD">
        <w:t xml:space="preserve"> sourced directly from the Census, with </w:t>
      </w:r>
      <w:r w:rsidR="00842AD1">
        <w:t xml:space="preserve">the </w:t>
      </w:r>
      <w:r w:rsidR="00533DDD">
        <w:t>most recent available data from the 2011 Census. Data on</w:t>
      </w:r>
      <w:r>
        <w:t xml:space="preserve"> the languages spoken at home by Indigenous people are provided in table </w:t>
      </w:r>
      <w:proofErr w:type="spellStart"/>
      <w:r>
        <w:t>AA.18</w:t>
      </w:r>
      <w:proofErr w:type="spellEnd"/>
      <w:r>
        <w:t>.</w:t>
      </w:r>
      <w:r w:rsidR="00DA1D51">
        <w:t xml:space="preserve"> Data on the composition of families in occupied private dwellings</w:t>
      </w:r>
      <w:r w:rsidR="00E62093">
        <w:t>,</w:t>
      </w:r>
      <w:r w:rsidR="00DA1D51">
        <w:t xml:space="preserve"> </w:t>
      </w:r>
      <w:r w:rsidR="00E62093">
        <w:t xml:space="preserve">and occupied dwellings by tenure and landlord type, </w:t>
      </w:r>
      <w:r w:rsidR="00DA1D51">
        <w:t xml:space="preserve">are provided by Indigenous status in tables </w:t>
      </w:r>
      <w:proofErr w:type="spellStart"/>
      <w:r w:rsidR="00DA1D51">
        <w:t>AA.19</w:t>
      </w:r>
      <w:proofErr w:type="spellEnd"/>
      <w:r w:rsidR="00DA1D51">
        <w:t xml:space="preserve"> and </w:t>
      </w:r>
      <w:proofErr w:type="spellStart"/>
      <w:r w:rsidR="00DA1D51">
        <w:t>AA.20</w:t>
      </w:r>
      <w:proofErr w:type="spellEnd"/>
      <w:r w:rsidR="001837CA">
        <w:t>, respectively</w:t>
      </w:r>
      <w:r w:rsidR="00DA1D51">
        <w:t xml:space="preserve">. </w:t>
      </w:r>
      <w:r w:rsidR="00B51EDC">
        <w:t>These tables remain unchanged from the previous cycle</w:t>
      </w:r>
      <w:r w:rsidR="002712B8">
        <w:t xml:space="preserve"> of NA Appendix reporting</w:t>
      </w:r>
      <w:r w:rsidR="00B51EDC">
        <w:t>.</w:t>
      </w:r>
    </w:p>
    <w:p w:rsidR="00DE20BE" w:rsidRDefault="008208FF" w:rsidP="00520814">
      <w:pPr>
        <w:pStyle w:val="Heading2"/>
      </w:pPr>
      <w:proofErr w:type="spellStart"/>
      <w:r w:rsidRPr="00F47246">
        <w:t>A.</w:t>
      </w:r>
      <w:r w:rsidRPr="00F47246">
        <w:fldChar w:fldCharType="begin"/>
      </w:r>
      <w:r w:rsidRPr="00F47246">
        <w:instrText xml:space="preserve"> COMMENTS  \* MERGEFORMAT </w:instrText>
      </w:r>
      <w:r w:rsidRPr="00F47246">
        <w:fldChar w:fldCharType="end"/>
      </w:r>
      <w:r w:rsidR="00757965">
        <w:fldChar w:fldCharType="begin"/>
      </w:r>
      <w:r w:rsidR="00757965">
        <w:instrText xml:space="preserve"> SEQ Heading2 </w:instrText>
      </w:r>
      <w:r w:rsidR="00757965">
        <w:fldChar w:fldCharType="separate"/>
      </w:r>
      <w:r w:rsidR="00856D3A">
        <w:rPr>
          <w:noProof/>
        </w:rPr>
        <w:t>3</w:t>
      </w:r>
      <w:proofErr w:type="spellEnd"/>
      <w:r w:rsidR="00757965">
        <w:rPr>
          <w:noProof/>
        </w:rPr>
        <w:fldChar w:fldCharType="end"/>
      </w:r>
      <w:r w:rsidR="00DE20BE">
        <w:tab/>
        <w:t>Geography</w:t>
      </w:r>
    </w:p>
    <w:p w:rsidR="00DE20BE" w:rsidRDefault="00E42E43" w:rsidP="00A140F8">
      <w:pPr>
        <w:pStyle w:val="BodyText"/>
      </w:pPr>
      <w:r>
        <w:t>From 1 July 2011, the ABS replaced the Australian Standard Geographical Classification (</w:t>
      </w:r>
      <w:proofErr w:type="spellStart"/>
      <w:r>
        <w:t>ASGC</w:t>
      </w:r>
      <w:proofErr w:type="spellEnd"/>
      <w:r>
        <w:t>) with the Australian Statistical Geography Standard (</w:t>
      </w:r>
      <w:proofErr w:type="spellStart"/>
      <w:r>
        <w:t>ASGS</w:t>
      </w:r>
      <w:proofErr w:type="spellEnd"/>
      <w:r>
        <w:t xml:space="preserve">). The </w:t>
      </w:r>
      <w:proofErr w:type="spellStart"/>
      <w:r>
        <w:t>ASGS</w:t>
      </w:r>
      <w:proofErr w:type="spellEnd"/>
      <w:r>
        <w:t xml:space="preserve"> regions are designed to give the maximum geographic detail for </w:t>
      </w:r>
      <w:r>
        <w:lastRenderedPageBreak/>
        <w:t xml:space="preserve">improved analysis of population data. The population ranges within the </w:t>
      </w:r>
      <w:proofErr w:type="spellStart"/>
      <w:r>
        <w:t>ASGS</w:t>
      </w:r>
      <w:proofErr w:type="spellEnd"/>
      <w:r>
        <w:t xml:space="preserve"> regions are much narrower than their </w:t>
      </w:r>
      <w:proofErr w:type="spellStart"/>
      <w:r>
        <w:t>ASGC</w:t>
      </w:r>
      <w:proofErr w:type="spellEnd"/>
      <w:r>
        <w:t xml:space="preserve"> equivalents</w:t>
      </w:r>
      <w:r w:rsidR="00F01A49">
        <w:rPr>
          <w:rStyle w:val="FootnoteReference"/>
        </w:rPr>
        <w:footnoteReference w:id="4"/>
      </w:r>
      <w:r w:rsidR="00F01A49">
        <w:t xml:space="preserve">. </w:t>
      </w:r>
    </w:p>
    <w:p w:rsidR="00DE20BE" w:rsidRDefault="00E42E43" w:rsidP="00A140F8">
      <w:pPr>
        <w:pStyle w:val="BodyText"/>
      </w:pPr>
      <w:r>
        <w:t xml:space="preserve">The ABS structures are built from the Statistical Area Level 1 which is now the smallest geographic unit for the Census. </w:t>
      </w:r>
      <w:r w:rsidR="00F14DF3">
        <w:t>Statistical Local Areas (</w:t>
      </w:r>
      <w:proofErr w:type="spellStart"/>
      <w:r w:rsidR="002F79E4">
        <w:t>SLAs</w:t>
      </w:r>
      <w:proofErr w:type="spellEnd"/>
      <w:r w:rsidR="00F14DF3">
        <w:t>)</w:t>
      </w:r>
      <w:r w:rsidR="002F79E4">
        <w:t xml:space="preserve"> have been </w:t>
      </w:r>
      <w:r w:rsidR="00F14DF3">
        <w:t>superseded</w:t>
      </w:r>
      <w:r w:rsidR="002F79E4">
        <w:t xml:space="preserve"> by </w:t>
      </w:r>
      <w:r w:rsidR="002B109B">
        <w:t>Statistical Area Level 2</w:t>
      </w:r>
      <w:r w:rsidR="00F14DF3">
        <w:t xml:space="preserve"> (</w:t>
      </w:r>
      <w:proofErr w:type="spellStart"/>
      <w:r w:rsidR="002F79E4">
        <w:t>SA2s</w:t>
      </w:r>
      <w:proofErr w:type="spellEnd"/>
      <w:r w:rsidR="00F14DF3">
        <w:t xml:space="preserve">) </w:t>
      </w:r>
      <w:r w:rsidR="002F79E4">
        <w:t xml:space="preserve">which cover </w:t>
      </w:r>
      <w:r w:rsidR="00F14DF3">
        <w:t>more ‘functional areas’ outside major urban areas and where possible are based on gazetted suburbs and localities</w:t>
      </w:r>
      <w:r w:rsidR="002F79E4">
        <w:t xml:space="preserve"> with a more consistent population size</w:t>
      </w:r>
      <w:r w:rsidR="00F14DF3">
        <w:t xml:space="preserve"> than the previous </w:t>
      </w:r>
      <w:proofErr w:type="spellStart"/>
      <w:r w:rsidR="00F14DF3">
        <w:t>SLAs</w:t>
      </w:r>
      <w:proofErr w:type="spellEnd"/>
      <w:r w:rsidR="002F79E4">
        <w:t>.</w:t>
      </w:r>
      <w:r w:rsidR="00F14DF3">
        <w:t xml:space="preserve"> </w:t>
      </w:r>
    </w:p>
    <w:p w:rsidR="00F14DF3" w:rsidRDefault="002F79E4" w:rsidP="00803E18">
      <w:pPr>
        <w:pStyle w:val="Heading4"/>
      </w:pPr>
      <w:r>
        <w:t xml:space="preserve">Time series </w:t>
      </w:r>
    </w:p>
    <w:p w:rsidR="002F79E4" w:rsidRPr="00DE20BE" w:rsidRDefault="002F79E4" w:rsidP="002F79E4">
      <w:pPr>
        <w:pStyle w:val="BodyText"/>
      </w:pPr>
      <w:r>
        <w:t xml:space="preserve">The move from </w:t>
      </w:r>
      <w:proofErr w:type="spellStart"/>
      <w:r>
        <w:t>ASGC</w:t>
      </w:r>
      <w:proofErr w:type="spellEnd"/>
      <w:r>
        <w:t xml:space="preserve"> to </w:t>
      </w:r>
      <w:proofErr w:type="spellStart"/>
      <w:r>
        <w:t>ASGS</w:t>
      </w:r>
      <w:proofErr w:type="spellEnd"/>
      <w:r>
        <w:t xml:space="preserve"> does cause a break in time series for data </w:t>
      </w:r>
      <w:r w:rsidR="004D0D3B">
        <w:t xml:space="preserve">based </w:t>
      </w:r>
      <w:r>
        <w:t>on Census Collection Districts, Statistical Local Areas, Statistical Subdivisions, Statistical Divisions and Labour Force Regions.</w:t>
      </w:r>
      <w:r w:rsidR="00F14DF3">
        <w:t xml:space="preserve"> </w:t>
      </w:r>
    </w:p>
    <w:p w:rsidR="00DE20BE" w:rsidRDefault="002F79E4" w:rsidP="00A140F8">
      <w:pPr>
        <w:pStyle w:val="BodyText"/>
      </w:pPr>
      <w:r>
        <w:t xml:space="preserve">The change to </w:t>
      </w:r>
      <w:proofErr w:type="spellStart"/>
      <w:r>
        <w:t>ASGS</w:t>
      </w:r>
      <w:proofErr w:type="spellEnd"/>
      <w:r>
        <w:t xml:space="preserve"> has some impact on </w:t>
      </w:r>
      <w:r w:rsidR="00DE20BE">
        <w:t xml:space="preserve">Remoteness </w:t>
      </w:r>
      <w:r>
        <w:t xml:space="preserve">Areas </w:t>
      </w:r>
      <w:r w:rsidR="004D0D3B">
        <w:t>but</w:t>
      </w:r>
      <w:r>
        <w:t xml:space="preserve"> is not expected to affect comparability</w:t>
      </w:r>
      <w:r w:rsidR="00DE20BE">
        <w:t xml:space="preserve"> over time</w:t>
      </w:r>
      <w:r w:rsidR="00F01A49">
        <w:rPr>
          <w:rStyle w:val="FootnoteReference"/>
        </w:rPr>
        <w:footnoteReference w:id="5"/>
      </w:r>
      <w:r>
        <w:t>.</w:t>
      </w:r>
      <w:r w:rsidR="00DB62D6">
        <w:t xml:space="preserve"> </w:t>
      </w:r>
      <w:r w:rsidR="002D6E32">
        <w:t xml:space="preserve">However, where other geographic units (for example, </w:t>
      </w:r>
      <w:proofErr w:type="spellStart"/>
      <w:r w:rsidR="002D6E32">
        <w:t>SA2s</w:t>
      </w:r>
      <w:proofErr w:type="spellEnd"/>
      <w:r w:rsidR="002D6E32">
        <w:t xml:space="preserve"> in place of </w:t>
      </w:r>
      <w:proofErr w:type="spellStart"/>
      <w:r w:rsidR="002D6E32">
        <w:t>SLAs</w:t>
      </w:r>
      <w:proofErr w:type="spellEnd"/>
      <w:r w:rsidR="002D6E32">
        <w:t>) are used to map to remoteness areas, a break in time series may occur.</w:t>
      </w:r>
    </w:p>
    <w:p w:rsidR="00520814" w:rsidRDefault="00A236FA" w:rsidP="00520814">
      <w:pPr>
        <w:pStyle w:val="Heading2"/>
      </w:pPr>
      <w:proofErr w:type="spellStart"/>
      <w:r w:rsidRPr="00F47246">
        <w:t>A.</w:t>
      </w:r>
      <w:r>
        <w:fldChar w:fldCharType="begin"/>
      </w:r>
      <w:r>
        <w:instrText xml:space="preserve"> COMMENTS  \* MERGEFORMAT </w:instrText>
      </w:r>
      <w:r>
        <w:fldChar w:fldCharType="end"/>
      </w:r>
      <w:r w:rsidR="00757965">
        <w:fldChar w:fldCharType="begin"/>
      </w:r>
      <w:r w:rsidR="00757965">
        <w:instrText xml:space="preserve"> SEQ Heading2 </w:instrText>
      </w:r>
      <w:r w:rsidR="00757965">
        <w:fldChar w:fldCharType="separate"/>
      </w:r>
      <w:r w:rsidR="00856D3A">
        <w:rPr>
          <w:noProof/>
        </w:rPr>
        <w:t>4</w:t>
      </w:r>
      <w:proofErr w:type="spellEnd"/>
      <w:r w:rsidR="00757965">
        <w:rPr>
          <w:noProof/>
        </w:rPr>
        <w:fldChar w:fldCharType="end"/>
      </w:r>
      <w:r>
        <w:tab/>
      </w:r>
      <w:r w:rsidR="00520814" w:rsidRPr="00F47246">
        <w:fldChar w:fldCharType="begin"/>
      </w:r>
      <w:r w:rsidR="00520814" w:rsidRPr="00F47246">
        <w:instrText xml:space="preserve"> COMMENTS  \* MERGEFORMAT </w:instrText>
      </w:r>
      <w:r w:rsidR="00520814" w:rsidRPr="00F47246">
        <w:fldChar w:fldCharType="end"/>
      </w:r>
      <w:r w:rsidR="00520814">
        <w:t>Measuring s</w:t>
      </w:r>
      <w:r w:rsidR="00520814" w:rsidRPr="00F47246">
        <w:t>ocioeconomic status</w:t>
      </w:r>
    </w:p>
    <w:p w:rsidR="00155766" w:rsidRDefault="00520814" w:rsidP="00520814">
      <w:pPr>
        <w:pStyle w:val="BodyText"/>
      </w:pPr>
      <w:r w:rsidRPr="00F47246">
        <w:t xml:space="preserve">Common dimensions of socioeconomic status (SES) are </w:t>
      </w:r>
      <w:r w:rsidR="007E2E8D">
        <w:t xml:space="preserve">employment, </w:t>
      </w:r>
      <w:r w:rsidRPr="00F47246">
        <w:t xml:space="preserve">educational attainment and income, and these factors have positive associations with health, housing, disability and Indigenous outcomes. </w:t>
      </w:r>
      <w:r w:rsidR="007E2E8D">
        <w:t xml:space="preserve">Data on each of these individual factors is available in tables </w:t>
      </w:r>
      <w:proofErr w:type="spellStart"/>
      <w:r w:rsidR="007E2E8D">
        <w:t>AA.2</w:t>
      </w:r>
      <w:r w:rsidR="00863678">
        <w:t>5</w:t>
      </w:r>
      <w:proofErr w:type="spellEnd"/>
      <w:r w:rsidR="007E2E8D">
        <w:t>–</w:t>
      </w:r>
      <w:proofErr w:type="spellStart"/>
      <w:r w:rsidR="007E2E8D">
        <w:t>AA.</w:t>
      </w:r>
      <w:r w:rsidR="00137FAD">
        <w:t>31</w:t>
      </w:r>
      <w:proofErr w:type="spellEnd"/>
      <w:r w:rsidR="007E2E8D">
        <w:t>.</w:t>
      </w:r>
    </w:p>
    <w:p w:rsidR="004C365D" w:rsidRPr="00F47246" w:rsidRDefault="004C365D" w:rsidP="004C365D">
      <w:pPr>
        <w:pStyle w:val="Heading4"/>
      </w:pPr>
      <w:r>
        <w:t>Socio-Economic Indexes for Areas (</w:t>
      </w:r>
      <w:proofErr w:type="spellStart"/>
      <w:r>
        <w:t>SEIFA</w:t>
      </w:r>
      <w:proofErr w:type="spellEnd"/>
      <w:r>
        <w:t>)</w:t>
      </w:r>
    </w:p>
    <w:p w:rsidR="00155766" w:rsidRDefault="00155766" w:rsidP="00520814">
      <w:pPr>
        <w:pStyle w:val="BodyText"/>
      </w:pPr>
      <w:r>
        <w:t>When a single measure is required to represent SES an index can be created which incorporates multiple factors related to SES.</w:t>
      </w:r>
    </w:p>
    <w:p w:rsidR="005F12EC" w:rsidRDefault="00520814" w:rsidP="00520814">
      <w:pPr>
        <w:pStyle w:val="BodyText"/>
      </w:pPr>
      <w:r w:rsidRPr="00F47246">
        <w:t>The ABS Socio-Economic Indexes for Areas (</w:t>
      </w:r>
      <w:proofErr w:type="spellStart"/>
      <w:r w:rsidRPr="00F47246">
        <w:t>SEIFA</w:t>
      </w:r>
      <w:proofErr w:type="spellEnd"/>
      <w:r w:rsidRPr="00F47246">
        <w:t xml:space="preserve">) </w:t>
      </w:r>
      <w:r w:rsidR="007E2E8D">
        <w:t xml:space="preserve">is an area based measure of SES, and </w:t>
      </w:r>
      <w:r w:rsidRPr="00F47246">
        <w:t xml:space="preserve">ranks geographic areas across Australia according to the socioeconomic characteristics of the population. </w:t>
      </w:r>
      <w:r w:rsidR="005F12EC">
        <w:t xml:space="preserve">ABS produces area-based </w:t>
      </w:r>
      <w:proofErr w:type="spellStart"/>
      <w:r w:rsidR="005F12EC">
        <w:t>quantiles</w:t>
      </w:r>
      <w:proofErr w:type="spellEnd"/>
      <w:r w:rsidR="005F12EC">
        <w:t xml:space="preserve"> </w:t>
      </w:r>
      <w:r w:rsidR="002D5C09">
        <w:t>(</w:t>
      </w:r>
      <w:r w:rsidR="00BB7DDD">
        <w:t xml:space="preserve">the </w:t>
      </w:r>
      <w:r w:rsidR="000449AB">
        <w:t xml:space="preserve">term used </w:t>
      </w:r>
      <w:r w:rsidR="000449AB">
        <w:lastRenderedPageBreak/>
        <w:t xml:space="preserve">to </w:t>
      </w:r>
      <w:r w:rsidR="002E35DA">
        <w:t>collective</w:t>
      </w:r>
      <w:r w:rsidR="000449AB">
        <w:t>ly</w:t>
      </w:r>
      <w:r w:rsidR="00BB7DDD">
        <w:t xml:space="preserve"> descri</w:t>
      </w:r>
      <w:r w:rsidR="000449AB">
        <w:t>be</w:t>
      </w:r>
      <w:r w:rsidR="00BB7DDD">
        <w:t xml:space="preserve"> measure</w:t>
      </w:r>
      <w:r w:rsidR="000449AB">
        <w:t>s</w:t>
      </w:r>
      <w:r w:rsidR="00BB7DDD">
        <w:t xml:space="preserve"> </w:t>
      </w:r>
      <w:r w:rsidR="000449AB">
        <w:t xml:space="preserve">such as </w:t>
      </w:r>
      <w:r w:rsidR="002D5C09">
        <w:t>percentiles</w:t>
      </w:r>
      <w:r w:rsidR="00BB7DDD">
        <w:t xml:space="preserve"> and </w:t>
      </w:r>
      <w:proofErr w:type="spellStart"/>
      <w:r w:rsidR="00BB7DDD">
        <w:t>deciles</w:t>
      </w:r>
      <w:proofErr w:type="spellEnd"/>
      <w:r w:rsidR="002D5C09">
        <w:t xml:space="preserve">) </w:t>
      </w:r>
      <w:r w:rsidR="005F12EC">
        <w:t>which are calculated based on dividing the number of areas into equal groups</w:t>
      </w:r>
      <w:r w:rsidR="00F01A49">
        <w:t xml:space="preserve"> (ABS 2011)</w:t>
      </w:r>
      <w:r w:rsidR="005F12EC">
        <w:t>.</w:t>
      </w:r>
    </w:p>
    <w:p w:rsidR="00520814" w:rsidRDefault="00520814" w:rsidP="00520814">
      <w:pPr>
        <w:pStyle w:val="BodyText"/>
      </w:pPr>
      <w:r w:rsidRPr="00F47246">
        <w:t xml:space="preserve">The </w:t>
      </w:r>
      <w:proofErr w:type="spellStart"/>
      <w:r w:rsidRPr="00F47246">
        <w:t>SEIFA</w:t>
      </w:r>
      <w:proofErr w:type="spellEnd"/>
      <w:r w:rsidRPr="00F47246">
        <w:t xml:space="preserve"> Index of Relative Socio-economic Disadvantage (</w:t>
      </w:r>
      <w:proofErr w:type="spellStart"/>
      <w:r w:rsidRPr="00F47246">
        <w:t>SEIFA</w:t>
      </w:r>
      <w:proofErr w:type="spellEnd"/>
      <w:r w:rsidRPr="00F47246">
        <w:t xml:space="preserve"> </w:t>
      </w:r>
      <w:proofErr w:type="spellStart"/>
      <w:r w:rsidRPr="00F47246">
        <w:t>IRSD</w:t>
      </w:r>
      <w:proofErr w:type="spellEnd"/>
      <w:r w:rsidRPr="00F47246">
        <w:t xml:space="preserve">) is one of the four </w:t>
      </w:r>
      <w:proofErr w:type="spellStart"/>
      <w:r w:rsidRPr="00F47246">
        <w:t>SEIFA</w:t>
      </w:r>
      <w:proofErr w:type="spellEnd"/>
      <w:r w:rsidRPr="00F47246">
        <w:t xml:space="preserve"> </w:t>
      </w:r>
      <w:r w:rsidR="004D0D3B">
        <w:t>indices</w:t>
      </w:r>
      <w:r w:rsidRPr="00F47246">
        <w:t>. It is a general socioeconomic index that summarises a range of information about the economic and social resources of people and households within an area.</w:t>
      </w:r>
      <w:r w:rsidR="002001F1">
        <w:t xml:space="preserve"> </w:t>
      </w:r>
      <w:r w:rsidRPr="00F47246">
        <w:t xml:space="preserve">The </w:t>
      </w:r>
      <w:proofErr w:type="spellStart"/>
      <w:r w:rsidRPr="00F47246">
        <w:t>SEIFA</w:t>
      </w:r>
      <w:proofErr w:type="spellEnd"/>
      <w:r w:rsidRPr="00F47246">
        <w:t xml:space="preserve"> </w:t>
      </w:r>
      <w:proofErr w:type="spellStart"/>
      <w:r w:rsidRPr="00F47246">
        <w:t>IRSD</w:t>
      </w:r>
      <w:proofErr w:type="spellEnd"/>
      <w:r w:rsidRPr="00F47246">
        <w:t xml:space="preserve"> focuses on relative disadvantage, whereas other </w:t>
      </w:r>
      <w:proofErr w:type="spellStart"/>
      <w:r w:rsidRPr="00F47246">
        <w:t>SEIFA</w:t>
      </w:r>
      <w:proofErr w:type="spellEnd"/>
      <w:r w:rsidRPr="00F47246">
        <w:t xml:space="preserve"> indices focus on other aspects of SES.</w:t>
      </w:r>
      <w:r w:rsidR="00092831">
        <w:t xml:space="preserve"> </w:t>
      </w:r>
      <w:proofErr w:type="spellStart"/>
      <w:r w:rsidRPr="00F47246">
        <w:t>SEIFA</w:t>
      </w:r>
      <w:proofErr w:type="spellEnd"/>
      <w:r w:rsidRPr="00F47246">
        <w:t xml:space="preserve"> </w:t>
      </w:r>
      <w:proofErr w:type="spellStart"/>
      <w:r w:rsidRPr="00F47246">
        <w:t>IRSD</w:t>
      </w:r>
      <w:proofErr w:type="spellEnd"/>
      <w:r w:rsidRPr="00F47246">
        <w:t xml:space="preserve"> scores indicate average scores of all people living in an area and are useful for distinguishing between areas. A lower score indicates that an area is relatively disadvantaged compared to an area with a higher score — but it does not mean that everyone in the area is necessarily disadvantaged. Similarly, a high </w:t>
      </w:r>
      <w:proofErr w:type="spellStart"/>
      <w:r w:rsidRPr="00F47246">
        <w:t>SEIFA</w:t>
      </w:r>
      <w:proofErr w:type="spellEnd"/>
      <w:r w:rsidRPr="00F47246">
        <w:t xml:space="preserve"> score does not mean that there are no disadvantaged residents in that area (ABS 2006). </w:t>
      </w:r>
      <w:proofErr w:type="spellStart"/>
      <w:r w:rsidRPr="00F47246">
        <w:t>SEIFA</w:t>
      </w:r>
      <w:proofErr w:type="spellEnd"/>
      <w:r w:rsidRPr="00F47246">
        <w:t xml:space="preserve"> </w:t>
      </w:r>
      <w:proofErr w:type="spellStart"/>
      <w:r w:rsidRPr="00F47246">
        <w:t>IRSD</w:t>
      </w:r>
      <w:proofErr w:type="spellEnd"/>
      <w:r w:rsidRPr="00F47246">
        <w:t xml:space="preserve"> rankings can be grouped into quintiles, from the most disadvantaged areas (quintile 1) to the least disadvantaged areas (quintile 5). </w:t>
      </w:r>
    </w:p>
    <w:p w:rsidR="00DE4B4B" w:rsidRDefault="00386E4E" w:rsidP="00386E4E">
      <w:pPr>
        <w:pStyle w:val="BodyText"/>
      </w:pPr>
      <w:proofErr w:type="spellStart"/>
      <w:r w:rsidRPr="00F47246">
        <w:t>SEIFA</w:t>
      </w:r>
      <w:proofErr w:type="spellEnd"/>
      <w:r w:rsidRPr="00F47246">
        <w:t>-based measures provide a snapshot of areas at a point in time.</w:t>
      </w:r>
      <w:r>
        <w:t xml:space="preserve"> The </w:t>
      </w:r>
      <w:proofErr w:type="spellStart"/>
      <w:r>
        <w:t>SEIFA</w:t>
      </w:r>
      <w:proofErr w:type="spellEnd"/>
      <w:r>
        <w:t xml:space="preserve"> </w:t>
      </w:r>
      <w:r w:rsidRPr="00F47246">
        <w:t xml:space="preserve"> </w:t>
      </w:r>
      <w:r w:rsidR="00DE4B4B">
        <w:t xml:space="preserve">indices based on the </w:t>
      </w:r>
      <w:r>
        <w:t xml:space="preserve">2011 </w:t>
      </w:r>
      <w:r w:rsidR="00DE4B4B">
        <w:t>C</w:t>
      </w:r>
      <w:r>
        <w:t xml:space="preserve">ensus </w:t>
      </w:r>
      <w:r w:rsidR="008208FF">
        <w:t>were</w:t>
      </w:r>
      <w:r>
        <w:t xml:space="preserve"> released on 28 March 2013</w:t>
      </w:r>
      <w:r w:rsidR="00757965">
        <w:t xml:space="preserve"> (tables </w:t>
      </w:r>
      <w:proofErr w:type="spellStart"/>
      <w:r w:rsidR="00757965">
        <w:t>AA.23</w:t>
      </w:r>
      <w:proofErr w:type="spellEnd"/>
      <w:r w:rsidR="00757965">
        <w:t xml:space="preserve"> and </w:t>
      </w:r>
      <w:proofErr w:type="spellStart"/>
      <w:r w:rsidR="00757965">
        <w:t>AA.24</w:t>
      </w:r>
      <w:proofErr w:type="spellEnd"/>
      <w:r w:rsidR="00757965">
        <w:t>)</w:t>
      </w:r>
      <w:r>
        <w:t xml:space="preserve">. </w:t>
      </w:r>
      <w:r w:rsidR="00EC1188">
        <w:t xml:space="preserve">For the 2011 </w:t>
      </w:r>
      <w:proofErr w:type="spellStart"/>
      <w:r w:rsidR="00EC1188">
        <w:t>SEIFA</w:t>
      </w:r>
      <w:proofErr w:type="spellEnd"/>
      <w:r w:rsidR="00EC1188">
        <w:t xml:space="preserve"> </w:t>
      </w:r>
      <w:proofErr w:type="spellStart"/>
      <w:r w:rsidR="00EC1188">
        <w:t>IRSD</w:t>
      </w:r>
      <w:proofErr w:type="spellEnd"/>
      <w:r w:rsidR="004D0D3B">
        <w:t>,</w:t>
      </w:r>
      <w:r w:rsidR="00EC1188">
        <w:t xml:space="preserve"> Indigenous status was removed as a data item. However, it is not anticipated to have a significant impact on </w:t>
      </w:r>
      <w:proofErr w:type="spellStart"/>
      <w:r w:rsidR="00EC1188">
        <w:t>SEIFA</w:t>
      </w:r>
      <w:proofErr w:type="spellEnd"/>
      <w:r w:rsidR="00EC1188">
        <w:t xml:space="preserve"> </w:t>
      </w:r>
      <w:proofErr w:type="spellStart"/>
      <w:r w:rsidR="00EC1188">
        <w:t>IRSD</w:t>
      </w:r>
      <w:proofErr w:type="spellEnd"/>
      <w:r w:rsidR="00EC1188">
        <w:t xml:space="preserve"> over time.</w:t>
      </w:r>
    </w:p>
    <w:p w:rsidR="003C643E" w:rsidRPr="006A26F8" w:rsidRDefault="003C643E" w:rsidP="003C643E">
      <w:pPr>
        <w:pStyle w:val="BodyText"/>
      </w:pPr>
      <w:r w:rsidRPr="003C643E">
        <w:t xml:space="preserve">For the 2011 Census, changes to the underlying geographical classification also </w:t>
      </w:r>
      <w:r w:rsidRPr="006A26F8">
        <w:t>occurred</w:t>
      </w:r>
      <w:r w:rsidR="00EC1188">
        <w:t xml:space="preserve"> (see section </w:t>
      </w:r>
      <w:proofErr w:type="spellStart"/>
      <w:r w:rsidR="00EC1188">
        <w:t>A.3</w:t>
      </w:r>
      <w:proofErr w:type="spellEnd"/>
      <w:r w:rsidR="00EC1188">
        <w:t xml:space="preserve"> above)</w:t>
      </w:r>
      <w:r w:rsidRPr="006A26F8">
        <w:t xml:space="preserve">. </w:t>
      </w:r>
      <w:proofErr w:type="spellStart"/>
      <w:r w:rsidRPr="006A26F8">
        <w:t>SEIFA</w:t>
      </w:r>
      <w:proofErr w:type="spellEnd"/>
      <w:r w:rsidRPr="006A26F8">
        <w:t xml:space="preserve"> 2011 is released according to </w:t>
      </w:r>
      <w:r w:rsidR="004D0D3B">
        <w:t xml:space="preserve">a </w:t>
      </w:r>
      <w:r w:rsidRPr="006A26F8">
        <w:t>new geographical framework</w:t>
      </w:r>
      <w:r w:rsidR="00EC1188">
        <w:t xml:space="preserve"> </w:t>
      </w:r>
      <w:r w:rsidR="004D0D3B">
        <w:t>—</w:t>
      </w:r>
      <w:r w:rsidR="004D0D3B" w:rsidRPr="006A26F8">
        <w:t xml:space="preserve"> </w:t>
      </w:r>
      <w:r w:rsidRPr="006A26F8">
        <w:t xml:space="preserve">the </w:t>
      </w:r>
      <w:proofErr w:type="spellStart"/>
      <w:r w:rsidRPr="006A26F8">
        <w:t>ASGS</w:t>
      </w:r>
      <w:proofErr w:type="spellEnd"/>
      <w:r w:rsidR="00EC1188">
        <w:t xml:space="preserve"> </w:t>
      </w:r>
      <w:r w:rsidR="004D0D3B">
        <w:t>—</w:t>
      </w:r>
      <w:r w:rsidR="004D0D3B" w:rsidRPr="006A26F8">
        <w:t xml:space="preserve"> </w:t>
      </w:r>
      <w:r w:rsidRPr="006A26F8">
        <w:t xml:space="preserve">a change from past versions of </w:t>
      </w:r>
      <w:proofErr w:type="spellStart"/>
      <w:r w:rsidRPr="006A26F8">
        <w:t>SEIFA</w:t>
      </w:r>
      <w:proofErr w:type="spellEnd"/>
      <w:r w:rsidRPr="006A26F8">
        <w:t xml:space="preserve">, which used the </w:t>
      </w:r>
      <w:proofErr w:type="spellStart"/>
      <w:r w:rsidRPr="006A26F8">
        <w:t>ASGC</w:t>
      </w:r>
      <w:proofErr w:type="spellEnd"/>
      <w:r w:rsidRPr="006A26F8">
        <w:t xml:space="preserve">. For this cycle of </w:t>
      </w:r>
      <w:r w:rsidR="00EC1188">
        <w:t>the Reports</w:t>
      </w:r>
      <w:r w:rsidRPr="006A26F8">
        <w:t>, changes to the approach to matching postcodes to the new geography has confounded the results for some administrative data, creating a break in the time series in some circumstances.</w:t>
      </w:r>
    </w:p>
    <w:p w:rsidR="00EC1188" w:rsidRDefault="003C643E" w:rsidP="00206CC7">
      <w:pPr>
        <w:pStyle w:val="BodyText"/>
      </w:pPr>
      <w:r w:rsidRPr="003C643E">
        <w:t xml:space="preserve">Where administrative data are available at the postcode level, the ABS previously provided a concordance between postcodes and the geographic unit of Statistical Local Area (SLA), with each SLA having an assigned 2006 </w:t>
      </w:r>
      <w:proofErr w:type="spellStart"/>
      <w:r w:rsidRPr="003C643E">
        <w:t>SEIFA</w:t>
      </w:r>
      <w:proofErr w:type="spellEnd"/>
      <w:r w:rsidRPr="003C643E">
        <w:t xml:space="preserve"> </w:t>
      </w:r>
      <w:proofErr w:type="spellStart"/>
      <w:r w:rsidRPr="003C643E">
        <w:t>IRSD</w:t>
      </w:r>
      <w:proofErr w:type="spellEnd"/>
      <w:r w:rsidRPr="003C643E">
        <w:t xml:space="preserve"> score. For this cycle of reporting, the ABS provides a concordance for postcode to the geographic unit of Statistical Area </w:t>
      </w:r>
      <w:r w:rsidR="000547D9">
        <w:t xml:space="preserve">Level </w:t>
      </w:r>
      <w:r w:rsidRPr="003C643E">
        <w:t>2 (</w:t>
      </w:r>
      <w:proofErr w:type="spellStart"/>
      <w:r w:rsidRPr="003C643E">
        <w:t>SA2</w:t>
      </w:r>
      <w:proofErr w:type="spellEnd"/>
      <w:r w:rsidRPr="003C643E">
        <w:t xml:space="preserve">), with each </w:t>
      </w:r>
      <w:proofErr w:type="spellStart"/>
      <w:r w:rsidRPr="003C643E">
        <w:t>SA2</w:t>
      </w:r>
      <w:proofErr w:type="spellEnd"/>
      <w:r w:rsidRPr="003C643E">
        <w:t xml:space="preserve"> having an assigned 2011 </w:t>
      </w:r>
      <w:proofErr w:type="spellStart"/>
      <w:r w:rsidRPr="003C643E">
        <w:t>SEIFA</w:t>
      </w:r>
      <w:proofErr w:type="spellEnd"/>
      <w:r w:rsidRPr="003C643E">
        <w:t xml:space="preserve"> </w:t>
      </w:r>
      <w:proofErr w:type="spellStart"/>
      <w:r w:rsidRPr="003C643E">
        <w:t>IRSD</w:t>
      </w:r>
      <w:proofErr w:type="spellEnd"/>
      <w:r w:rsidRPr="003C643E">
        <w:t xml:space="preserve"> score. A change from using SLA to the smaller </w:t>
      </w:r>
      <w:proofErr w:type="spellStart"/>
      <w:r w:rsidRPr="003C643E">
        <w:t>SA2</w:t>
      </w:r>
      <w:proofErr w:type="spellEnd"/>
      <w:r w:rsidRPr="003C643E">
        <w:t xml:space="preserve"> has led to different results (mainly for Quintile 1) and created a break in the time series. This issue may affect some administrative data for this current cycle of reporting where data series previously used SLA as the geographic unit for </w:t>
      </w:r>
      <w:proofErr w:type="spellStart"/>
      <w:r w:rsidRPr="003C643E">
        <w:t>SEIFA</w:t>
      </w:r>
      <w:proofErr w:type="spellEnd"/>
      <w:r w:rsidR="00EC1188">
        <w:t xml:space="preserve"> </w:t>
      </w:r>
      <w:proofErr w:type="spellStart"/>
      <w:r w:rsidR="00EC1188">
        <w:t>IRSD</w:t>
      </w:r>
      <w:proofErr w:type="spellEnd"/>
      <w:r w:rsidRPr="003C643E">
        <w:t>.</w:t>
      </w:r>
      <w:r w:rsidR="00EC1188">
        <w:t xml:space="preserve"> </w:t>
      </w:r>
      <w:r w:rsidR="004D0D3B">
        <w:t>T</w:t>
      </w:r>
      <w:r w:rsidR="00347FAD">
        <w:t>h</w:t>
      </w:r>
      <w:r w:rsidR="00EC1188">
        <w:t xml:space="preserve">e </w:t>
      </w:r>
      <w:proofErr w:type="spellStart"/>
      <w:r w:rsidR="00EC1188">
        <w:t>AIHW</w:t>
      </w:r>
      <w:proofErr w:type="spellEnd"/>
      <w:r w:rsidR="00EC1188">
        <w:t xml:space="preserve"> has produced comparative tables for </w:t>
      </w:r>
      <w:r w:rsidR="004D0D3B">
        <w:t>this</w:t>
      </w:r>
      <w:r w:rsidR="00EC1188">
        <w:t xml:space="preserve"> appendix using the geographic areas of both SLA and </w:t>
      </w:r>
      <w:proofErr w:type="spellStart"/>
      <w:r w:rsidR="00EC1188">
        <w:t>SA2</w:t>
      </w:r>
      <w:proofErr w:type="spellEnd"/>
      <w:r w:rsidR="00EC1188">
        <w:t xml:space="preserve"> to show any impact of changed geography on </w:t>
      </w:r>
      <w:proofErr w:type="spellStart"/>
      <w:r w:rsidR="00EC1188">
        <w:t>SEIFA</w:t>
      </w:r>
      <w:proofErr w:type="spellEnd"/>
      <w:r w:rsidR="00EC1188">
        <w:t xml:space="preserve"> </w:t>
      </w:r>
      <w:proofErr w:type="spellStart"/>
      <w:r w:rsidR="00EC1188">
        <w:t>IRSD</w:t>
      </w:r>
      <w:proofErr w:type="spellEnd"/>
      <w:r w:rsidR="00EC1188">
        <w:t xml:space="preserve"> results </w:t>
      </w:r>
      <w:r w:rsidR="001A51B6">
        <w:t>(</w:t>
      </w:r>
      <w:r w:rsidR="00EC1188">
        <w:t xml:space="preserve">tables </w:t>
      </w:r>
      <w:proofErr w:type="spellStart"/>
      <w:r w:rsidR="00EC1188">
        <w:t>AA.21</w:t>
      </w:r>
      <w:proofErr w:type="spellEnd"/>
      <w:r w:rsidR="00EC1188">
        <w:t xml:space="preserve"> and </w:t>
      </w:r>
      <w:proofErr w:type="spellStart"/>
      <w:r w:rsidR="00EC1188">
        <w:t>AA.22</w:t>
      </w:r>
      <w:proofErr w:type="spellEnd"/>
      <w:r w:rsidR="001A51B6">
        <w:t>)</w:t>
      </w:r>
      <w:r w:rsidR="00EC1188">
        <w:t>.</w:t>
      </w:r>
    </w:p>
    <w:p w:rsidR="00A37D97" w:rsidRDefault="00386E4E" w:rsidP="00A12234">
      <w:pPr>
        <w:pStyle w:val="BodyText"/>
      </w:pPr>
      <w:r w:rsidRPr="00F47246">
        <w:lastRenderedPageBreak/>
        <w:t xml:space="preserve">The ABS does not recommend comparing </w:t>
      </w:r>
      <w:proofErr w:type="spellStart"/>
      <w:r w:rsidRPr="00F47246">
        <w:t>SEIFA</w:t>
      </w:r>
      <w:proofErr w:type="spellEnd"/>
      <w:r w:rsidRPr="00F47246">
        <w:t xml:space="preserve"> over time, but notes that if such comparisons are required</w:t>
      </w:r>
      <w:r w:rsidR="00825458">
        <w:t xml:space="preserve"> (for </w:t>
      </w:r>
      <w:proofErr w:type="spellStart"/>
      <w:r w:rsidR="00EC1188">
        <w:t>SEIFA</w:t>
      </w:r>
      <w:proofErr w:type="spellEnd"/>
      <w:r w:rsidR="00EC1188">
        <w:t xml:space="preserve"> data produced on a comparable geography</w:t>
      </w:r>
      <w:r w:rsidR="00825458">
        <w:t>)</w:t>
      </w:r>
      <w:r w:rsidRPr="00F47246">
        <w:t xml:space="preserve">, the top </w:t>
      </w:r>
      <w:r w:rsidR="0090351B">
        <w:t xml:space="preserve">or </w:t>
      </w:r>
      <w:r w:rsidRPr="00F47246">
        <w:t>bottom</w:t>
      </w:r>
      <w:r w:rsidR="0090351B">
        <w:t xml:space="preserve"> </w:t>
      </w:r>
      <w:proofErr w:type="spellStart"/>
      <w:r w:rsidR="0090351B">
        <w:t>quantiles</w:t>
      </w:r>
      <w:proofErr w:type="spellEnd"/>
      <w:r w:rsidR="0090351B">
        <w:t xml:space="preserve"> (such as</w:t>
      </w:r>
      <w:r w:rsidRPr="00F47246">
        <w:t xml:space="preserve"> </w:t>
      </w:r>
      <w:proofErr w:type="spellStart"/>
      <w:r w:rsidRPr="00F47246">
        <w:t>deciles</w:t>
      </w:r>
      <w:proofErr w:type="spellEnd"/>
      <w:r w:rsidR="0026279A">
        <w:t xml:space="preserve"> or percentiles</w:t>
      </w:r>
      <w:r w:rsidRPr="00F47246">
        <w:t>) should be compared (ABS </w:t>
      </w:r>
      <w:proofErr w:type="spellStart"/>
      <w:r w:rsidRPr="00F47246">
        <w:t>2008a</w:t>
      </w:r>
      <w:proofErr w:type="spellEnd"/>
      <w:r w:rsidR="0090351B">
        <w:t>, 2011</w:t>
      </w:r>
      <w:r w:rsidR="00D40A7E">
        <w:t>).</w:t>
      </w:r>
    </w:p>
    <w:p w:rsidR="004C365D" w:rsidRDefault="004C365D" w:rsidP="004C365D">
      <w:pPr>
        <w:pStyle w:val="Heading4"/>
      </w:pPr>
      <w:r>
        <w:t xml:space="preserve">Alternative </w:t>
      </w:r>
      <w:r w:rsidR="00CE6A53">
        <w:t xml:space="preserve">approaches to measuring disadvantage </w:t>
      </w:r>
    </w:p>
    <w:p w:rsidR="00A7201F" w:rsidRPr="003C705C" w:rsidRDefault="00A7201F" w:rsidP="00386E4E">
      <w:pPr>
        <w:pStyle w:val="BodyText"/>
      </w:pPr>
      <w:r>
        <w:t>In the N</w:t>
      </w:r>
      <w:r w:rsidR="00783EE4">
        <w:t>As</w:t>
      </w:r>
      <w:r>
        <w:t xml:space="preserve"> all jurisdictions ‘are committed to addressing the issue of social inclusion, including responding to Indigenous </w:t>
      </w:r>
      <w:r w:rsidRPr="003C705C">
        <w:t>disadvantage’</w:t>
      </w:r>
      <w:r w:rsidR="00842AD1">
        <w:t xml:space="preserve"> </w:t>
      </w:r>
      <w:r w:rsidRPr="003C705C">
        <w:t>(</w:t>
      </w:r>
      <w:r w:rsidR="003C705C" w:rsidRPr="003C705C">
        <w:t xml:space="preserve">for example, </w:t>
      </w:r>
      <w:r w:rsidR="00283D68">
        <w:t>COAG </w:t>
      </w:r>
      <w:r w:rsidR="003C705C" w:rsidRPr="003C705C">
        <w:t>2012</w:t>
      </w:r>
      <w:r w:rsidRPr="003C705C">
        <w:t>).</w:t>
      </w:r>
    </w:p>
    <w:p w:rsidR="004C365D" w:rsidRDefault="004C365D" w:rsidP="00386E4E">
      <w:pPr>
        <w:pStyle w:val="BodyText"/>
      </w:pPr>
      <w:proofErr w:type="spellStart"/>
      <w:r>
        <w:t>SEIFA</w:t>
      </w:r>
      <w:proofErr w:type="spellEnd"/>
      <w:r w:rsidR="00A7201F">
        <w:t xml:space="preserve"> </w:t>
      </w:r>
      <w:proofErr w:type="spellStart"/>
      <w:r w:rsidR="00A7201F">
        <w:t>IRSD</w:t>
      </w:r>
      <w:proofErr w:type="spellEnd"/>
      <w:r w:rsidR="00A7201F">
        <w:t xml:space="preserve"> (a measure of SES) provides</w:t>
      </w:r>
      <w:r>
        <w:t xml:space="preserve"> one way of measuring disadvantage amongst the population. Other concepts that measure disadvantage include:</w:t>
      </w:r>
    </w:p>
    <w:p w:rsidR="00A22F9D" w:rsidRDefault="00A22F9D" w:rsidP="00A22F9D">
      <w:pPr>
        <w:pStyle w:val="ListBullet"/>
      </w:pPr>
      <w:r>
        <w:t>social inclusion/social exclusion — the extent to which an individual participates in society</w:t>
      </w:r>
    </w:p>
    <w:p w:rsidR="004C365D" w:rsidRDefault="004C365D" w:rsidP="004C365D">
      <w:pPr>
        <w:pStyle w:val="ListBullet"/>
      </w:pPr>
      <w:r>
        <w:t>poverty —</w:t>
      </w:r>
      <w:r w:rsidR="00842AD1">
        <w:t xml:space="preserve"> </w:t>
      </w:r>
      <w:r>
        <w:t>lack of access to economic resources</w:t>
      </w:r>
    </w:p>
    <w:p w:rsidR="004C365D" w:rsidRDefault="004C365D" w:rsidP="004C365D">
      <w:pPr>
        <w:pStyle w:val="ListBullet"/>
      </w:pPr>
      <w:r>
        <w:t>wellbeing — health and sufficiency in all aspects of life</w:t>
      </w:r>
    </w:p>
    <w:p w:rsidR="004C365D" w:rsidRDefault="004C365D" w:rsidP="004C365D">
      <w:pPr>
        <w:pStyle w:val="ListBullet"/>
      </w:pPr>
      <w:r>
        <w:t xml:space="preserve">human development </w:t>
      </w:r>
      <w:r w:rsidR="003E7FC2">
        <w:t xml:space="preserve">— capabilities created through access to basic health care and education </w:t>
      </w:r>
      <w:r>
        <w:t xml:space="preserve">(ABS </w:t>
      </w:r>
      <w:proofErr w:type="spellStart"/>
      <w:r>
        <w:t>2012b</w:t>
      </w:r>
      <w:proofErr w:type="spellEnd"/>
      <w:r>
        <w:t>).</w:t>
      </w:r>
    </w:p>
    <w:p w:rsidR="00F42DC0" w:rsidRDefault="00A22F9D" w:rsidP="00F42DC0">
      <w:pPr>
        <w:pStyle w:val="BodyText"/>
      </w:pPr>
      <w:r>
        <w:t>A person who is s</w:t>
      </w:r>
      <w:r w:rsidR="00F42DC0">
        <w:t>ocial</w:t>
      </w:r>
      <w:r>
        <w:t>ly</w:t>
      </w:r>
      <w:r w:rsidR="00F42DC0">
        <w:t xml:space="preserve"> </w:t>
      </w:r>
      <w:r>
        <w:t xml:space="preserve">included has the resources, opportunities and capabilities they need to learn, work, engage and have a voice. Multiple disadvantage may put people at risk of social exclusion. Social inclusion </w:t>
      </w:r>
      <w:r w:rsidR="003361B1">
        <w:t xml:space="preserve">may be </w:t>
      </w:r>
      <w:r>
        <w:t>measured using a rang</w:t>
      </w:r>
      <w:r w:rsidR="00BD1920">
        <w:t xml:space="preserve">e of </w:t>
      </w:r>
      <w:r w:rsidR="00BD1920" w:rsidRPr="003C705C">
        <w:t>indicators (Aus</w:t>
      </w:r>
      <w:r w:rsidR="003C705C" w:rsidRPr="003C705C">
        <w:t xml:space="preserve">tralian </w:t>
      </w:r>
      <w:r w:rsidR="00BD1920" w:rsidRPr="003C705C">
        <w:t>Gov</w:t>
      </w:r>
      <w:r w:rsidR="003C705C" w:rsidRPr="003C705C">
        <w:t>ernment</w:t>
      </w:r>
      <w:r w:rsidR="00BD1920" w:rsidRPr="003C705C">
        <w:t xml:space="preserve"> 2012).</w:t>
      </w:r>
    </w:p>
    <w:p w:rsidR="00411ACF" w:rsidRPr="003C705C" w:rsidRDefault="00411ACF" w:rsidP="00F42DC0">
      <w:pPr>
        <w:pStyle w:val="BodyText"/>
      </w:pPr>
      <w:r>
        <w:t xml:space="preserve">Additional data on </w:t>
      </w:r>
      <w:r w:rsidR="003361B1">
        <w:t>the</w:t>
      </w:r>
      <w:r w:rsidR="008308F4">
        <w:t xml:space="preserve"> </w:t>
      </w:r>
      <w:r w:rsidR="006C4B69">
        <w:t xml:space="preserve">unemployment rate and participation rate </w:t>
      </w:r>
      <w:r w:rsidR="008308F4">
        <w:t xml:space="preserve">are available in tables </w:t>
      </w:r>
      <w:proofErr w:type="spellStart"/>
      <w:r w:rsidR="008308F4">
        <w:t>AA.3</w:t>
      </w:r>
      <w:r w:rsidR="00863678">
        <w:t>2</w:t>
      </w:r>
      <w:proofErr w:type="spellEnd"/>
      <w:r w:rsidR="008308F4">
        <w:t xml:space="preserve"> and </w:t>
      </w:r>
      <w:proofErr w:type="spellStart"/>
      <w:r w:rsidR="008308F4">
        <w:t>AA.3</w:t>
      </w:r>
      <w:r w:rsidR="00863678">
        <w:t>3</w:t>
      </w:r>
      <w:proofErr w:type="spellEnd"/>
      <w:r w:rsidRPr="00411ACF">
        <w:t>.</w:t>
      </w:r>
      <w:r w:rsidR="009D1EF4">
        <w:t xml:space="preserve"> Data ha</w:t>
      </w:r>
      <w:r w:rsidR="003361B1">
        <w:t>ve</w:t>
      </w:r>
      <w:r w:rsidR="009D1EF4">
        <w:t xml:space="preserve"> been revised back to 2009 to reflect </w:t>
      </w:r>
      <w:r w:rsidR="003361B1">
        <w:t>changes to the ABS</w:t>
      </w:r>
      <w:r w:rsidR="009D1EF4">
        <w:t xml:space="preserve"> method for estimating short term population projections</w:t>
      </w:r>
      <w:r w:rsidR="003361B1">
        <w:t>. (The ABS now projects</w:t>
      </w:r>
      <w:r w:rsidR="005873B1">
        <w:t xml:space="preserve"> the most recent </w:t>
      </w:r>
      <w:proofErr w:type="spellStart"/>
      <w:r w:rsidR="005873B1">
        <w:t>ERP</w:t>
      </w:r>
      <w:proofErr w:type="spellEnd"/>
      <w:r w:rsidR="005873B1">
        <w:t xml:space="preserve"> forward nine months, rather than projecting forward one year.</w:t>
      </w:r>
      <w:r w:rsidR="003361B1">
        <w:t>)</w:t>
      </w:r>
      <w:r w:rsidR="00474FCF">
        <w:t xml:space="preserve"> From 2014</w:t>
      </w:r>
      <w:r w:rsidR="003361B1">
        <w:t>,</w:t>
      </w:r>
      <w:r w:rsidR="00474FCF">
        <w:t xml:space="preserve"> benchmark revisions will be quarterly and apply to the previous 24</w:t>
      </w:r>
      <w:r w:rsidR="00877886">
        <w:t> </w:t>
      </w:r>
      <w:r w:rsidR="00474FCF">
        <w:t xml:space="preserve">months. All data will be revised in January 2014 to reflect the recast </w:t>
      </w:r>
      <w:proofErr w:type="spellStart"/>
      <w:r w:rsidR="00474FCF">
        <w:t>ERP</w:t>
      </w:r>
      <w:proofErr w:type="spellEnd"/>
      <w:r w:rsidR="00474FCF">
        <w:t xml:space="preserve"> (see </w:t>
      </w:r>
      <w:r w:rsidR="00877886">
        <w:t xml:space="preserve">section </w:t>
      </w:r>
      <w:proofErr w:type="spellStart"/>
      <w:r w:rsidR="00474FCF">
        <w:t>A.2</w:t>
      </w:r>
      <w:proofErr w:type="spellEnd"/>
      <w:r w:rsidR="00474FCF">
        <w:t>).</w:t>
      </w:r>
    </w:p>
    <w:p w:rsidR="003254BE" w:rsidRPr="00F47246" w:rsidRDefault="003254BE" w:rsidP="003254BE">
      <w:pPr>
        <w:pStyle w:val="Heading2"/>
      </w:pPr>
      <w:bookmarkStart w:id="5" w:name="begin"/>
      <w:bookmarkEnd w:id="5"/>
      <w:proofErr w:type="spellStart"/>
      <w:r w:rsidRPr="00F47246">
        <w:t>A.</w:t>
      </w:r>
      <w:r w:rsidRPr="00F47246">
        <w:fldChar w:fldCharType="begin"/>
      </w:r>
      <w:r w:rsidRPr="00F47246">
        <w:instrText xml:space="preserve"> COMMENTS  \* MERGEFORMAT </w:instrText>
      </w:r>
      <w:r w:rsidRPr="00F47246">
        <w:fldChar w:fldCharType="end"/>
      </w:r>
      <w:bookmarkStart w:id="6" w:name="OLE_LINK1"/>
      <w:r w:rsidRPr="00F47246">
        <w:fldChar w:fldCharType="begin"/>
      </w:r>
      <w:r w:rsidRPr="00F47246">
        <w:instrText xml:space="preserve"> SEQ Heading2 </w:instrText>
      </w:r>
      <w:r w:rsidRPr="00F47246">
        <w:fldChar w:fldCharType="separate"/>
      </w:r>
      <w:r w:rsidR="00856D3A">
        <w:rPr>
          <w:noProof/>
        </w:rPr>
        <w:t>5</w:t>
      </w:r>
      <w:proofErr w:type="spellEnd"/>
      <w:r w:rsidRPr="00F47246">
        <w:fldChar w:fldCharType="end"/>
      </w:r>
      <w:bookmarkEnd w:id="6"/>
      <w:r w:rsidRPr="00F47246">
        <w:tab/>
        <w:t>Statistical concepts used in the Reports</w:t>
      </w:r>
    </w:p>
    <w:p w:rsidR="003254BE" w:rsidRPr="00F47246" w:rsidRDefault="003254BE" w:rsidP="003254BE">
      <w:pPr>
        <w:pStyle w:val="BodyText"/>
      </w:pPr>
      <w:r w:rsidRPr="00F47246">
        <w:t xml:space="preserve">A summary of the statistical concepts used in the Reports is provided in this section. For more details refer to the Statistical Appendix in the </w:t>
      </w:r>
      <w:r w:rsidRPr="00F47246">
        <w:rPr>
          <w:i/>
        </w:rPr>
        <w:t>Report on Government Services</w:t>
      </w:r>
      <w:r w:rsidR="00F06B70" w:rsidRPr="00F47246">
        <w:rPr>
          <w:i/>
        </w:rPr>
        <w:t xml:space="preserve"> 201</w:t>
      </w:r>
      <w:r w:rsidR="004622A1">
        <w:rPr>
          <w:i/>
        </w:rPr>
        <w:t>3</w:t>
      </w:r>
      <w:r w:rsidRPr="00F47246">
        <w:t xml:space="preserve"> (</w:t>
      </w:r>
      <w:proofErr w:type="spellStart"/>
      <w:r w:rsidRPr="00F47246">
        <w:t>SCRGSP</w:t>
      </w:r>
      <w:proofErr w:type="spellEnd"/>
      <w:r w:rsidR="004552BD" w:rsidRPr="00F47246">
        <w:t> </w:t>
      </w:r>
      <w:r w:rsidR="008E5FCD" w:rsidRPr="00F47246">
        <w:t>201</w:t>
      </w:r>
      <w:r w:rsidR="004622A1">
        <w:t>3</w:t>
      </w:r>
      <w:r w:rsidRPr="00F47246">
        <w:t>).</w:t>
      </w:r>
    </w:p>
    <w:p w:rsidR="003254BE" w:rsidRPr="00F47246" w:rsidRDefault="003254BE" w:rsidP="003254BE">
      <w:pPr>
        <w:pStyle w:val="Heading3"/>
      </w:pPr>
      <w:r w:rsidRPr="00F47246">
        <w:lastRenderedPageBreak/>
        <w:t>Reliability of estimates</w:t>
      </w:r>
    </w:p>
    <w:p w:rsidR="003254BE" w:rsidRPr="00F47246" w:rsidRDefault="003254BE" w:rsidP="003254BE">
      <w:pPr>
        <w:pStyle w:val="BodyText"/>
      </w:pPr>
      <w:r w:rsidRPr="00F47246">
        <w:t xml:space="preserve">Data for some performance indicators in the Reports are based on samples, either from surveys or from a selection of observations from, for example, administrative databases. The potential for sampling error — that is, the error that occurs by chance because the data are obtained from a sample and not the entire population </w:t>
      </w:r>
      <w:r w:rsidR="00B7445C">
        <w:t xml:space="preserve"> </w:t>
      </w:r>
      <w:r w:rsidRPr="00F47246">
        <w:t>— means that the reported estimates may not accurately reflect the true value.</w:t>
      </w:r>
    </w:p>
    <w:p w:rsidR="003254BE" w:rsidRPr="00F47246" w:rsidRDefault="003254BE" w:rsidP="003254BE">
      <w:pPr>
        <w:pStyle w:val="BodyText"/>
      </w:pPr>
      <w:r w:rsidRPr="00F47246">
        <w:t>These Reports indicate the reliability of estimates based on samples by reporting either relative standard errors (</w:t>
      </w:r>
      <w:proofErr w:type="spellStart"/>
      <w:r w:rsidRPr="00F47246">
        <w:t>RSEs</w:t>
      </w:r>
      <w:proofErr w:type="spellEnd"/>
      <w:r w:rsidRPr="00F47246">
        <w:t>) or confidence intervals (</w:t>
      </w:r>
      <w:proofErr w:type="spellStart"/>
      <w:r w:rsidRPr="00F47246">
        <w:t>CIs</w:t>
      </w:r>
      <w:proofErr w:type="spellEnd"/>
      <w:r w:rsidRPr="00F47246">
        <w:t xml:space="preserve">). </w:t>
      </w:r>
      <w:proofErr w:type="spellStart"/>
      <w:r w:rsidRPr="00F47246">
        <w:t>RSEs</w:t>
      </w:r>
      <w:proofErr w:type="spellEnd"/>
      <w:r w:rsidRPr="00F47246">
        <w:t xml:space="preserve"> and </w:t>
      </w:r>
      <w:proofErr w:type="spellStart"/>
      <w:r w:rsidRPr="00F47246">
        <w:t>CIs</w:t>
      </w:r>
      <w:proofErr w:type="spellEnd"/>
      <w:r w:rsidRPr="00F47246">
        <w:t xml:space="preserve"> are calculated based on the standard error (SE). The larger the SE, </w:t>
      </w:r>
      <w:proofErr w:type="spellStart"/>
      <w:r w:rsidRPr="00F47246">
        <w:t>RSE</w:t>
      </w:r>
      <w:proofErr w:type="spellEnd"/>
      <w:r w:rsidRPr="00F47246">
        <w:t xml:space="preserve"> or </w:t>
      </w:r>
      <w:proofErr w:type="spellStart"/>
      <w:r w:rsidRPr="00F47246">
        <w:t>CIs</w:t>
      </w:r>
      <w:proofErr w:type="spellEnd"/>
      <w:r w:rsidRPr="00F47246">
        <w:t>, the less reliable is the estimate as an indicator for the whole population (ABS 20</w:t>
      </w:r>
      <w:r w:rsidR="00B9024C" w:rsidRPr="00F47246">
        <w:t>10</w:t>
      </w:r>
      <w:r w:rsidR="00F638D3">
        <w:t>,</w:t>
      </w:r>
      <w:r w:rsidRPr="00F47246">
        <w:t xml:space="preserve"> </w:t>
      </w:r>
      <w:proofErr w:type="spellStart"/>
      <w:r w:rsidRPr="00F47246">
        <w:t>2008</w:t>
      </w:r>
      <w:r w:rsidR="00B9024C" w:rsidRPr="00F47246">
        <w:t>b</w:t>
      </w:r>
      <w:proofErr w:type="spellEnd"/>
      <w:r w:rsidRPr="00F47246">
        <w:t>).</w:t>
      </w:r>
    </w:p>
    <w:p w:rsidR="003254BE" w:rsidRPr="000972FD" w:rsidRDefault="003254BE" w:rsidP="003254BE">
      <w:pPr>
        <w:pStyle w:val="Heading4"/>
      </w:pPr>
      <w:r w:rsidRPr="000972FD">
        <w:t>Standard</w:t>
      </w:r>
      <w:r w:rsidRPr="000972FD">
        <w:rPr>
          <w:i w:val="0"/>
        </w:rPr>
        <w:t xml:space="preserve"> </w:t>
      </w:r>
      <w:r w:rsidRPr="000972FD">
        <w:rPr>
          <w:rStyle w:val="Heading4Char"/>
          <w:i/>
        </w:rPr>
        <w:t>e</w:t>
      </w:r>
      <w:r w:rsidRPr="000972FD">
        <w:t>rror</w:t>
      </w:r>
    </w:p>
    <w:p w:rsidR="003254BE" w:rsidRPr="00F47246" w:rsidRDefault="003254BE" w:rsidP="00814B10">
      <w:pPr>
        <w:pStyle w:val="BodyText"/>
      </w:pPr>
      <w:r w:rsidRPr="00F47246">
        <w:t>The SE measures the sampling error of an estimate. (There can also be non</w:t>
      </w:r>
      <w:r w:rsidR="002F64FD" w:rsidRPr="00F47246">
        <w:noBreakHyphen/>
      </w:r>
      <w:r w:rsidRPr="00F47246">
        <w:t xml:space="preserve">sampling error </w:t>
      </w:r>
      <w:r w:rsidR="009E66CE" w:rsidRPr="00F47246">
        <w:t xml:space="preserve">— for example, </w:t>
      </w:r>
      <w:r w:rsidRPr="00F47246">
        <w:t>systematic biases</w:t>
      </w:r>
      <w:r w:rsidR="009E66CE" w:rsidRPr="00F47246">
        <w:t xml:space="preserve"> —</w:t>
      </w:r>
      <w:r w:rsidRPr="00F47246">
        <w:t xml:space="preserve"> in the data.) There are several types of SE. A commonly used type of SE in th</w:t>
      </w:r>
      <w:r w:rsidR="00504D9E">
        <w:t>ese</w:t>
      </w:r>
      <w:r w:rsidRPr="00F47246">
        <w:t xml:space="preserve"> Report</w:t>
      </w:r>
      <w:r w:rsidR="00504D9E">
        <w:t>s</w:t>
      </w:r>
      <w:r w:rsidRPr="00F47246">
        <w:t xml:space="preserve"> is the SE of the mean (average). The SE measures how much the estimated mean value may differ from the true population mean value.</w:t>
      </w:r>
    </w:p>
    <w:p w:rsidR="003254BE" w:rsidRPr="00F47246" w:rsidRDefault="003254BE" w:rsidP="003254BE">
      <w:pPr>
        <w:pStyle w:val="Heading4"/>
      </w:pPr>
      <w:r w:rsidRPr="00F47246">
        <w:t>Relative standard error</w:t>
      </w:r>
    </w:p>
    <w:p w:rsidR="003254BE" w:rsidRPr="00F47246" w:rsidRDefault="003254BE" w:rsidP="003254BE">
      <w:pPr>
        <w:pStyle w:val="BodyText"/>
      </w:pPr>
      <w:r w:rsidRPr="00F47246">
        <w:t xml:space="preserve">The </w:t>
      </w:r>
      <w:proofErr w:type="spellStart"/>
      <w:r w:rsidRPr="00F47246">
        <w:t>RSE</w:t>
      </w:r>
      <w:proofErr w:type="spellEnd"/>
      <w:r w:rsidRPr="00F47246">
        <w:t xml:space="preserve"> is used to indicate the reliability of an estimate. The </w:t>
      </w:r>
      <w:proofErr w:type="spellStart"/>
      <w:r w:rsidRPr="00F47246">
        <w:t>RSE</w:t>
      </w:r>
      <w:proofErr w:type="spellEnd"/>
      <w:r w:rsidRPr="00F47246">
        <w:t xml:space="preserve"> shows the size of the error, relative to the estimate, and is derived by dividing the SE of the estimate, by the estimate. </w:t>
      </w:r>
    </w:p>
    <w:p w:rsidR="003254BE" w:rsidRPr="00F47246" w:rsidRDefault="003254BE" w:rsidP="003254BE">
      <w:pPr>
        <w:pStyle w:val="BodyText"/>
      </w:pPr>
      <w:r w:rsidRPr="00F47246">
        <w:t xml:space="preserve">The </w:t>
      </w:r>
      <w:proofErr w:type="spellStart"/>
      <w:r w:rsidRPr="00F47246">
        <w:t>RSE</w:t>
      </w:r>
      <w:proofErr w:type="spellEnd"/>
      <w:r w:rsidRPr="00F47246">
        <w:t xml:space="preserve"> is useful for comparing the size of the SE across different sample estimates. As with the SE, the higher the </w:t>
      </w:r>
      <w:proofErr w:type="spellStart"/>
      <w:r w:rsidRPr="00F47246">
        <w:t>RSE</w:t>
      </w:r>
      <w:proofErr w:type="spellEnd"/>
      <w:r w:rsidRPr="00F47246">
        <w:t>, the less confidence there is that the estimate from the sample is close to the true value of the population mean.</w:t>
      </w:r>
    </w:p>
    <w:p w:rsidR="003254BE" w:rsidRPr="00F47246" w:rsidRDefault="003254BE" w:rsidP="003254BE">
      <w:pPr>
        <w:pStyle w:val="BodyText"/>
      </w:pPr>
      <w:r w:rsidRPr="00F47246">
        <w:t xml:space="preserve">A rule of thumb adopted in the Reports is that estimates with an </w:t>
      </w:r>
      <w:proofErr w:type="spellStart"/>
      <w:r w:rsidRPr="00F47246">
        <w:t>RSE</w:t>
      </w:r>
      <w:proofErr w:type="spellEnd"/>
      <w:r w:rsidRPr="00F47246">
        <w:t xml:space="preserve"> between</w:t>
      </w:r>
      <w:r w:rsidR="00504D9E">
        <w:t xml:space="preserve"> 2</w:t>
      </w:r>
      <w:r w:rsidRPr="00F47246">
        <w:t>5</w:t>
      </w:r>
      <w:r w:rsidR="00504D9E">
        <w:t xml:space="preserve"> </w:t>
      </w:r>
      <w:r w:rsidR="008E6F87" w:rsidRPr="00F47246">
        <w:t xml:space="preserve">and </w:t>
      </w:r>
      <w:r w:rsidRPr="00F47246">
        <w:t xml:space="preserve">50 per cent are to be used with caution and estimates with an </w:t>
      </w:r>
      <w:proofErr w:type="spellStart"/>
      <w:r w:rsidRPr="00F47246">
        <w:t>RSE</w:t>
      </w:r>
      <w:proofErr w:type="spellEnd"/>
      <w:r w:rsidRPr="00F47246">
        <w:t xml:space="preserve"> greater than 50 per cent are considered too unreliable for general use.</w:t>
      </w:r>
    </w:p>
    <w:p w:rsidR="003254BE" w:rsidRPr="00F47246" w:rsidRDefault="003254BE" w:rsidP="003254BE">
      <w:pPr>
        <w:pStyle w:val="Heading4"/>
      </w:pPr>
      <w:r w:rsidRPr="00F47246">
        <w:t>Confidence intervals</w:t>
      </w:r>
    </w:p>
    <w:p w:rsidR="003254BE" w:rsidRPr="00F47246" w:rsidRDefault="003254BE" w:rsidP="003254BE">
      <w:pPr>
        <w:pStyle w:val="BodyText"/>
      </w:pPr>
      <w:r w:rsidRPr="00F47246">
        <w:t xml:space="preserve">Confidence intervals (CI) are used to indicate the reliability of an estimate. A CI is a specified interval, with the sample statistic at the centre, within which the corresponding population value can be said to lie with a given level of confidence </w:t>
      </w:r>
      <w:r w:rsidRPr="00F47246">
        <w:lastRenderedPageBreak/>
        <w:t xml:space="preserve">(ABS </w:t>
      </w:r>
      <w:proofErr w:type="spellStart"/>
      <w:r w:rsidRPr="00F47246">
        <w:t>2008</w:t>
      </w:r>
      <w:r w:rsidR="00B9024C" w:rsidRPr="00F47246">
        <w:t>b</w:t>
      </w:r>
      <w:proofErr w:type="spellEnd"/>
      <w:r w:rsidRPr="00F47246">
        <w:t xml:space="preserve">). Increasing the desired confidence level will widen the </w:t>
      </w:r>
      <w:proofErr w:type="spellStart"/>
      <w:r w:rsidRPr="00F47246">
        <w:t>CIs</w:t>
      </w:r>
      <w:proofErr w:type="spellEnd"/>
      <w:r w:rsidRPr="00F47246">
        <w:t xml:space="preserve">. </w:t>
      </w:r>
      <w:proofErr w:type="spellStart"/>
      <w:r w:rsidRPr="00F47246">
        <w:t>CIs</w:t>
      </w:r>
      <w:proofErr w:type="spellEnd"/>
      <w:r w:rsidRPr="00F47246">
        <w:t xml:space="preserve"> are useful because a range, rather than a single estimate, is more likely to encompass the real figure for the population value being estimated.</w:t>
      </w:r>
    </w:p>
    <w:p w:rsidR="003254BE" w:rsidRPr="00F47246" w:rsidRDefault="003254BE" w:rsidP="00814B10">
      <w:pPr>
        <w:pStyle w:val="BodyText"/>
      </w:pPr>
      <w:proofErr w:type="spellStart"/>
      <w:r w:rsidRPr="00F47246">
        <w:t>CIs</w:t>
      </w:r>
      <w:proofErr w:type="spellEnd"/>
      <w:r w:rsidRPr="00F47246">
        <w:t xml:space="preserve"> are calculated from the population estimate and its associated SE. The most commonly used CI is calculated for </w:t>
      </w:r>
      <w:r w:rsidR="008B27D8" w:rsidRPr="00F47246">
        <w:t xml:space="preserve">95 per cent </w:t>
      </w:r>
      <w:r w:rsidRPr="00F47246">
        <w:t>levels of p</w:t>
      </w:r>
      <w:r w:rsidR="008B27D8" w:rsidRPr="00F47246">
        <w:t>robability (where 95 per </w:t>
      </w:r>
      <w:r w:rsidRPr="00F47246">
        <w:t>cent reflects</w:t>
      </w:r>
      <w:r w:rsidR="001877D1" w:rsidRPr="00F47246">
        <w:t xml:space="preserve"> that</w:t>
      </w:r>
      <w:r w:rsidRPr="00F47246">
        <w:t xml:space="preserve"> the estimate </w:t>
      </w:r>
      <w:r w:rsidR="009E66CE" w:rsidRPr="00F47246">
        <w:t xml:space="preserve">is within </w:t>
      </w:r>
      <w:r w:rsidRPr="00F47246">
        <w:t xml:space="preserve">plus and minus approximately two times the SE). For example, if the estimate from a survey was that 628 300 people report having their needs fully met by a government service, and the associated SE of the estimate was 10 600 people, then the </w:t>
      </w:r>
      <w:r w:rsidR="008B27D8" w:rsidRPr="00F47246">
        <w:t xml:space="preserve">95 per cent </w:t>
      </w:r>
      <w:r w:rsidRPr="00F47246">
        <w:t xml:space="preserve">CI would be calculated by: </w:t>
      </w:r>
    </w:p>
    <w:p w:rsidR="003254BE" w:rsidRPr="00F47246" w:rsidRDefault="003254BE" w:rsidP="003044AC">
      <w:pPr>
        <w:pStyle w:val="BodyText"/>
        <w:ind w:left="360"/>
      </w:pPr>
      <w:r w:rsidRPr="00F47246">
        <w:t xml:space="preserve">lower confidence limit = 628 300 – (2 x 10 600) = 628 300 – 21 200 = 607 100 </w:t>
      </w:r>
    </w:p>
    <w:p w:rsidR="003254BE" w:rsidRPr="00F47246" w:rsidRDefault="003254BE" w:rsidP="003044AC">
      <w:pPr>
        <w:pStyle w:val="BodyText"/>
        <w:ind w:left="360"/>
      </w:pPr>
      <w:r w:rsidRPr="00F47246">
        <w:t>upper confidence limit = 628 300 + (2 x 10 600) = 628 300 + 21 200 = 649 500</w:t>
      </w:r>
    </w:p>
    <w:p w:rsidR="003254BE" w:rsidRPr="00F47246" w:rsidRDefault="003254BE" w:rsidP="003254BE">
      <w:pPr>
        <w:pStyle w:val="BodyText"/>
      </w:pPr>
      <w:r w:rsidRPr="00F47246">
        <w:t xml:space="preserve">This indicates that, at the </w:t>
      </w:r>
      <w:r w:rsidR="008B27D8" w:rsidRPr="00F47246">
        <w:t xml:space="preserve">95 per cent </w:t>
      </w:r>
      <w:r w:rsidRPr="00F47246">
        <w:t>confidence level, the true number of people who perceive that their needs are met by a government service is between 607</w:t>
      </w:r>
      <w:r w:rsidR="00F1066C">
        <w:t> </w:t>
      </w:r>
      <w:r w:rsidRPr="00F47246">
        <w:t>100 and 649</w:t>
      </w:r>
      <w:r w:rsidR="00F1066C">
        <w:t> </w:t>
      </w:r>
      <w:r w:rsidRPr="00F47246">
        <w:t xml:space="preserve">500. </w:t>
      </w:r>
    </w:p>
    <w:p w:rsidR="003254BE" w:rsidRPr="00F47246" w:rsidRDefault="003254BE" w:rsidP="003254BE">
      <w:pPr>
        <w:pStyle w:val="BodyText"/>
      </w:pPr>
      <w:r w:rsidRPr="00F47246">
        <w:t xml:space="preserve">The smaller the SE of the estimate, the narrower the </w:t>
      </w:r>
      <w:proofErr w:type="spellStart"/>
      <w:r w:rsidRPr="00F47246">
        <w:t>CIs</w:t>
      </w:r>
      <w:proofErr w:type="spellEnd"/>
      <w:r w:rsidRPr="00F47246">
        <w:t xml:space="preserve"> and the closer the estimate can be expected to be to the true value.</w:t>
      </w:r>
    </w:p>
    <w:p w:rsidR="003254BE" w:rsidRPr="00F47246" w:rsidRDefault="003254BE" w:rsidP="003254BE">
      <w:pPr>
        <w:pStyle w:val="BodyText"/>
      </w:pPr>
      <w:r w:rsidRPr="00F47246">
        <w:t xml:space="preserve">Confidence intervals also test for statistical differences between sample results (ABS </w:t>
      </w:r>
      <w:proofErr w:type="spellStart"/>
      <w:r w:rsidRPr="00F47246">
        <w:t>2008</w:t>
      </w:r>
      <w:r w:rsidR="00B9024C" w:rsidRPr="00F47246">
        <w:t>b</w:t>
      </w:r>
      <w:proofErr w:type="spellEnd"/>
      <w:r w:rsidRPr="00F47246">
        <w:t>). For example, assume survey data estimated a result of 30</w:t>
      </w:r>
      <w:r w:rsidR="008B27D8" w:rsidRPr="00F47246">
        <w:t> </w:t>
      </w:r>
      <w:r w:rsidRPr="00F47246">
        <w:t>per</w:t>
      </w:r>
      <w:r w:rsidR="008B27D8" w:rsidRPr="00F47246">
        <w:t> </w:t>
      </w:r>
      <w:r w:rsidRPr="00F47246">
        <w:t>cent of people for jurisdiction A who perceived that their needs were met by government services, with a 95</w:t>
      </w:r>
      <w:r w:rsidR="008B27D8" w:rsidRPr="00F47246">
        <w:t> per </w:t>
      </w:r>
      <w:r w:rsidRPr="00F47246">
        <w:t>cent CI of ± 5</w:t>
      </w:r>
      <w:r w:rsidR="008B27D8" w:rsidRPr="00F47246">
        <w:t> </w:t>
      </w:r>
      <w:r w:rsidRPr="00F47246">
        <w:t>per</w:t>
      </w:r>
      <w:r w:rsidR="008B27D8" w:rsidRPr="00F47246">
        <w:t> </w:t>
      </w:r>
      <w:r w:rsidRPr="00F47246">
        <w:t>cent, and a result of 25</w:t>
      </w:r>
      <w:r w:rsidR="008B27D8" w:rsidRPr="00F47246">
        <w:t> </w:t>
      </w:r>
      <w:r w:rsidRPr="00F47246">
        <w:t>per</w:t>
      </w:r>
      <w:r w:rsidR="008B27D8" w:rsidRPr="00F47246">
        <w:t> </w:t>
      </w:r>
      <w:r w:rsidRPr="00F47246">
        <w:t xml:space="preserve">cent for jurisdiction B, with a </w:t>
      </w:r>
      <w:r w:rsidR="008B27D8" w:rsidRPr="00F47246">
        <w:t xml:space="preserve">95 per cent </w:t>
      </w:r>
      <w:r w:rsidRPr="00F47246">
        <w:t xml:space="preserve">CI of ± 10 per cent. These results imply that we can be </w:t>
      </w:r>
      <w:r w:rsidR="008B27D8" w:rsidRPr="00F47246">
        <w:t xml:space="preserve">95 per cent </w:t>
      </w:r>
      <w:r w:rsidRPr="00F47246">
        <w:t>sure the true result for jurisdiction A lies between 25 and 35</w:t>
      </w:r>
      <w:r w:rsidR="008B27D8" w:rsidRPr="00F47246">
        <w:t> </w:t>
      </w:r>
      <w:r w:rsidRPr="00F47246">
        <w:t>per</w:t>
      </w:r>
      <w:r w:rsidR="008B27D8" w:rsidRPr="00F47246">
        <w:t> </w:t>
      </w:r>
      <w:r w:rsidRPr="00F47246">
        <w:t>cent, and the true result for jurisdiction B people lies between 15 and 35</w:t>
      </w:r>
      <w:r w:rsidR="008B27D8" w:rsidRPr="00F47246">
        <w:t> </w:t>
      </w:r>
      <w:r w:rsidRPr="00F47246">
        <w:t>per</w:t>
      </w:r>
      <w:r w:rsidR="008B27D8" w:rsidRPr="00F47246">
        <w:t> </w:t>
      </w:r>
      <w:r w:rsidRPr="00F47246">
        <w:t>cent. As these two ranges overlap, it cannot be said with confidence that the results for jurisdiction A and jurisdiction B are statistically different.</w:t>
      </w:r>
    </w:p>
    <w:p w:rsidR="007A2A4C" w:rsidRPr="00F47246" w:rsidRDefault="00504D9E" w:rsidP="00DB33EE">
      <w:pPr>
        <w:pStyle w:val="Heading3"/>
      </w:pPr>
      <w:r>
        <w:t>Variability in administrative data</w:t>
      </w:r>
    </w:p>
    <w:p w:rsidR="007A2A4C" w:rsidRPr="00F47246" w:rsidRDefault="007A2A4C" w:rsidP="00814B10">
      <w:pPr>
        <w:pStyle w:val="BodyText"/>
      </w:pPr>
      <w:r w:rsidRPr="00F47246">
        <w:t>Rates derived from administrative data are not subject to sampling error but may still be subject to natural random variation, especially for small counts. A 95</w:t>
      </w:r>
      <w:r w:rsidR="003C00F3" w:rsidRPr="00F47246">
        <w:t> per cent</w:t>
      </w:r>
      <w:r w:rsidRPr="00F47246">
        <w:t xml:space="preserve"> confidence interval for an estimate is a range of values which is very likely (95</w:t>
      </w:r>
      <w:r w:rsidR="003C00F3" w:rsidRPr="00F47246">
        <w:t> </w:t>
      </w:r>
      <w:r w:rsidRPr="00F47246">
        <w:t>times out of 100) to contain the true value. Where the confidence intervals</w:t>
      </w:r>
      <w:r w:rsidR="003C00F3" w:rsidRPr="00F47246">
        <w:t xml:space="preserve"> of two estimates</w:t>
      </w:r>
      <w:r w:rsidRPr="00F47246">
        <w:t xml:space="preserve"> do not overlap</w:t>
      </w:r>
      <w:r w:rsidR="002F64FD" w:rsidRPr="00F47246">
        <w:t>,</w:t>
      </w:r>
      <w:r w:rsidRPr="00F47246">
        <w:t xml:space="preserve"> it can be concluded that there is a statistically significant difference between the two</w:t>
      </w:r>
      <w:r w:rsidR="003C00F3" w:rsidRPr="00F47246">
        <w:t xml:space="preserve"> estimates</w:t>
      </w:r>
      <w:r w:rsidRPr="00F47246">
        <w:t xml:space="preserve">. </w:t>
      </w:r>
    </w:p>
    <w:p w:rsidR="007A2A4C" w:rsidRPr="00F47246" w:rsidRDefault="007A2A4C" w:rsidP="00814B10">
      <w:pPr>
        <w:pStyle w:val="BodyText"/>
      </w:pPr>
      <w:r w:rsidRPr="00F47246">
        <w:lastRenderedPageBreak/>
        <w:t>Typically in the standard method</w:t>
      </w:r>
      <w:r w:rsidR="002F64FD" w:rsidRPr="00F47246">
        <w:t xml:space="preserve"> (used in </w:t>
      </w:r>
      <w:proofErr w:type="spellStart"/>
      <w:r w:rsidR="002F64FD" w:rsidRPr="00F47246">
        <w:t>AIHW</w:t>
      </w:r>
      <w:proofErr w:type="spellEnd"/>
      <w:r w:rsidR="002F64FD" w:rsidRPr="00F47246">
        <w:t xml:space="preserve"> publications)</w:t>
      </w:r>
      <w:r w:rsidRPr="00F47246">
        <w:t>, the observed rate is assumed to have natural variability in the numerator count (</w:t>
      </w:r>
      <w:r w:rsidR="003C00F3" w:rsidRPr="00F47246">
        <w:t xml:space="preserve">for example, </w:t>
      </w:r>
      <w:r w:rsidRPr="00F47246">
        <w:t xml:space="preserve">deaths, hospital visits) but not in the population denominator count. Also, the rate is assumed to have been generated from a </w:t>
      </w:r>
      <w:r w:rsidR="002F64FD" w:rsidRPr="00F47246">
        <w:t xml:space="preserve">normal </w:t>
      </w:r>
      <w:r w:rsidRPr="00F47246">
        <w:t xml:space="preserve">distribution </w:t>
      </w:r>
      <w:r w:rsidR="002F64FD" w:rsidRPr="00F47246">
        <w:t>(‘</w:t>
      </w:r>
      <w:r w:rsidRPr="00F47246">
        <w:t>Bell curve</w:t>
      </w:r>
      <w:r w:rsidR="002F64FD" w:rsidRPr="00F47246">
        <w:t xml:space="preserve">’). </w:t>
      </w:r>
      <w:r w:rsidRPr="00F47246">
        <w:t xml:space="preserve">Random variation in the numerator count is assumed to be centred around the true value </w:t>
      </w:r>
      <w:r w:rsidR="003C00F3" w:rsidRPr="00F47246">
        <w:t>—</w:t>
      </w:r>
      <w:r w:rsidRPr="00F47246">
        <w:t xml:space="preserve"> </w:t>
      </w:r>
      <w:r w:rsidR="003C00F3" w:rsidRPr="00F47246">
        <w:t>that is,</w:t>
      </w:r>
      <w:r w:rsidRPr="00F47246">
        <w:t xml:space="preserve"> there is no systematic bias.</w:t>
      </w:r>
      <w:r w:rsidR="002F64FD" w:rsidRPr="00F47246">
        <w:t xml:space="preserve"> More information on the standard method can be sourced from </w:t>
      </w:r>
      <w:r w:rsidR="002F64FD" w:rsidRPr="00F47246">
        <w:rPr>
          <w:i/>
        </w:rPr>
        <w:t xml:space="preserve">Statistical methods in cancer research </w:t>
      </w:r>
      <w:r w:rsidR="002F64FD" w:rsidRPr="00F47246">
        <w:t xml:space="preserve">by </w:t>
      </w:r>
      <w:proofErr w:type="spellStart"/>
      <w:r w:rsidR="002F64FD" w:rsidRPr="00F47246">
        <w:t>Breslow</w:t>
      </w:r>
      <w:proofErr w:type="spellEnd"/>
      <w:r w:rsidR="002F64FD" w:rsidRPr="00F47246">
        <w:t xml:space="preserve"> and Day (1987).</w:t>
      </w:r>
    </w:p>
    <w:p w:rsidR="003254BE" w:rsidRPr="00F47246" w:rsidRDefault="003254BE" w:rsidP="003254BE">
      <w:pPr>
        <w:pStyle w:val="Heading3"/>
      </w:pPr>
      <w:r w:rsidRPr="00F47246">
        <w:t>Population measures</w:t>
      </w:r>
    </w:p>
    <w:p w:rsidR="00504D9E" w:rsidRDefault="0062615A" w:rsidP="00BF11ED">
      <w:pPr>
        <w:pStyle w:val="Heading4"/>
      </w:pPr>
      <w:r>
        <w:t>Representative time period</w:t>
      </w:r>
    </w:p>
    <w:p w:rsidR="003254BE" w:rsidRPr="00F47246" w:rsidRDefault="003254BE" w:rsidP="003254BE">
      <w:pPr>
        <w:pStyle w:val="BodyText"/>
      </w:pPr>
      <w:r w:rsidRPr="00F47246">
        <w:t>M</w:t>
      </w:r>
      <w:r w:rsidR="008E5FCD" w:rsidRPr="00F47246">
        <w:t>any m</w:t>
      </w:r>
      <w:r w:rsidRPr="00F47246">
        <w:t xml:space="preserve">easures </w:t>
      </w:r>
      <w:r w:rsidR="008E5FCD" w:rsidRPr="00F47246">
        <w:t xml:space="preserve">in the Reports are </w:t>
      </w:r>
      <w:r w:rsidRPr="00F47246">
        <w:t>expressed per person (that is, as a proportion of the population). This is to make it easier to compare performance across jurisdictions</w:t>
      </w:r>
      <w:r w:rsidR="00504D9E">
        <w:t xml:space="preserve"> where the different population size can influence performance</w:t>
      </w:r>
      <w:r w:rsidRPr="00F47246">
        <w:t xml:space="preserve">. </w:t>
      </w:r>
    </w:p>
    <w:p w:rsidR="003254BE" w:rsidRPr="00F47246" w:rsidRDefault="003254BE" w:rsidP="003254BE">
      <w:pPr>
        <w:pStyle w:val="BodyText"/>
      </w:pPr>
      <w:r w:rsidRPr="00F47246">
        <w:t xml:space="preserve">The Reports include </w:t>
      </w:r>
      <w:r w:rsidR="00504D9E">
        <w:t xml:space="preserve">performance </w:t>
      </w:r>
      <w:r w:rsidRPr="00F47246">
        <w:t>data</w:t>
      </w:r>
      <w:r w:rsidR="00504D9E">
        <w:t xml:space="preserve"> that covers a full 12 month period</w:t>
      </w:r>
      <w:r w:rsidRPr="00F47246">
        <w:t>. Population data are available quarterly. As the population changes over time, an issue arises as to which population figure to use</w:t>
      </w:r>
      <w:r w:rsidR="00504D9E">
        <w:t xml:space="preserve"> </w:t>
      </w:r>
      <w:r w:rsidRPr="00F47246">
        <w:t xml:space="preserve">— that at the start of the period, at the end of the period, or some average level. </w:t>
      </w:r>
      <w:r w:rsidR="0062615A">
        <w:t>M</w:t>
      </w:r>
      <w:r w:rsidR="008E5FCD" w:rsidRPr="00F47246">
        <w:t xml:space="preserve">ost indicators </w:t>
      </w:r>
      <w:r w:rsidR="0062615A">
        <w:t xml:space="preserve">in </w:t>
      </w:r>
      <w:r w:rsidR="008E5FCD" w:rsidRPr="00F47246">
        <w:t>t</w:t>
      </w:r>
      <w:r w:rsidRPr="00F47246">
        <w:t xml:space="preserve">he Reports use </w:t>
      </w:r>
      <w:proofErr w:type="spellStart"/>
      <w:r w:rsidRPr="00F47246">
        <w:t>mid</w:t>
      </w:r>
      <w:r w:rsidR="008E5FCD" w:rsidRPr="00F47246">
        <w:t>-</w:t>
      </w:r>
      <w:r w:rsidRPr="00F47246">
        <w:t>point</w:t>
      </w:r>
      <w:proofErr w:type="spellEnd"/>
      <w:r w:rsidRPr="00F47246">
        <w:t xml:space="preserve"> population data </w:t>
      </w:r>
      <w:r w:rsidR="008E5FCD" w:rsidRPr="00F47246">
        <w:t>(</w:t>
      </w:r>
      <w:r w:rsidRPr="00F47246">
        <w:t xml:space="preserve">using the </w:t>
      </w:r>
      <w:proofErr w:type="spellStart"/>
      <w:r w:rsidRPr="00F47246">
        <w:t>mid</w:t>
      </w:r>
      <w:r w:rsidR="00504D9E">
        <w:t>-</w:t>
      </w:r>
      <w:r w:rsidRPr="00F47246">
        <w:t>point</w:t>
      </w:r>
      <w:proofErr w:type="spellEnd"/>
      <w:r w:rsidRPr="00F47246">
        <w:t xml:space="preserve"> </w:t>
      </w:r>
      <w:r w:rsidR="008E5FCD" w:rsidRPr="00F47246">
        <w:t xml:space="preserve">— </w:t>
      </w:r>
      <w:r w:rsidRPr="00F47246">
        <w:t>second quarter for calendar year or fourth quarter for financial year</w:t>
      </w:r>
      <w:r w:rsidR="008E5FCD" w:rsidRPr="00F47246">
        <w:t xml:space="preserve"> — </w:t>
      </w:r>
      <w:r w:rsidRPr="00F47246">
        <w:t>as a proxy for the average population level</w:t>
      </w:r>
      <w:r w:rsidR="008E5FCD" w:rsidRPr="00F47246">
        <w:t>)</w:t>
      </w:r>
      <w:r w:rsidRPr="00F47246">
        <w:t xml:space="preserve">. However, </w:t>
      </w:r>
      <w:r w:rsidR="0062615A">
        <w:t xml:space="preserve">some of the </w:t>
      </w:r>
      <w:proofErr w:type="spellStart"/>
      <w:r w:rsidRPr="00F47246">
        <w:t>the</w:t>
      </w:r>
      <w:proofErr w:type="spellEnd"/>
      <w:r w:rsidRPr="00F47246">
        <w:t xml:space="preserve"> indicators in the </w:t>
      </w:r>
      <w:r w:rsidR="0062615A">
        <w:t xml:space="preserve">Reports </w:t>
      </w:r>
      <w:r w:rsidRPr="00F47246">
        <w:t>use</w:t>
      </w:r>
      <w:r w:rsidR="008E5FCD" w:rsidRPr="00F47246">
        <w:t xml:space="preserve"> data from</w:t>
      </w:r>
      <w:r w:rsidRPr="00F47246">
        <w:t xml:space="preserve"> the beginning of the reference period (identified in the data sources for relevant tables).</w:t>
      </w:r>
    </w:p>
    <w:p w:rsidR="003044AC" w:rsidRPr="00F47246" w:rsidRDefault="003044AC" w:rsidP="003044AC">
      <w:pPr>
        <w:pStyle w:val="Heading4"/>
      </w:pPr>
      <w:bookmarkStart w:id="7" w:name="_Ref335220102"/>
      <w:r w:rsidRPr="00F47246">
        <w:t>Average Annual Growth Rate (</w:t>
      </w:r>
      <w:proofErr w:type="spellStart"/>
      <w:r w:rsidRPr="00F47246">
        <w:t>AAGR</w:t>
      </w:r>
      <w:proofErr w:type="spellEnd"/>
      <w:r w:rsidRPr="00F47246">
        <w:t>)</w:t>
      </w:r>
      <w:bookmarkEnd w:id="7"/>
    </w:p>
    <w:p w:rsidR="003044AC" w:rsidRPr="00F47246" w:rsidRDefault="003044AC" w:rsidP="003254BE">
      <w:pPr>
        <w:pStyle w:val="BodyText"/>
      </w:pPr>
      <w:r w:rsidRPr="00F47246">
        <w:t xml:space="preserve">The </w:t>
      </w:r>
      <w:proofErr w:type="spellStart"/>
      <w:r w:rsidRPr="00F47246">
        <w:t>AAGR</w:t>
      </w:r>
      <w:proofErr w:type="spellEnd"/>
      <w:r w:rsidRPr="00F47246">
        <w:t xml:space="preserve"> is the uniform growth rate that would need to have applied each year for the value in the first year to grow to the value in the final year of the period of analysis. This method is also called a compound annual growth rate, as it allows for the ‘cumulative’ effect of growth in later periods ‘compounding’ growth in earlier periods. The formula for calculating a compound annual growth rate is in box</w:t>
      </w:r>
      <w:r w:rsidR="008B27D8" w:rsidRPr="00F47246">
        <w:t> </w:t>
      </w:r>
      <w:proofErr w:type="spellStart"/>
      <w:r w:rsidRPr="00F47246">
        <w:t>A.1</w:t>
      </w:r>
      <w:proofErr w:type="spellEnd"/>
      <w:r w:rsidRPr="00F47246">
        <w:t>.</w:t>
      </w:r>
    </w:p>
    <w:p w:rsidR="003044AC" w:rsidRPr="00F47246" w:rsidRDefault="003044A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044AC" w:rsidRPr="00F47246">
        <w:tc>
          <w:tcPr>
            <w:tcW w:w="8771" w:type="dxa"/>
            <w:tcBorders>
              <w:top w:val="single" w:sz="6" w:space="0" w:color="auto"/>
              <w:bottom w:val="nil"/>
            </w:tcBorders>
          </w:tcPr>
          <w:p w:rsidR="003044AC" w:rsidRPr="00F47246" w:rsidRDefault="003044AC">
            <w:pPr>
              <w:pStyle w:val="BoxTitle"/>
            </w:pPr>
            <w:r w:rsidRPr="00F47246">
              <w:rPr>
                <w:b w:val="0"/>
              </w:rPr>
              <w:t xml:space="preserve">Box </w:t>
            </w:r>
            <w:proofErr w:type="spellStart"/>
            <w:r w:rsidR="0032769F" w:rsidRPr="00F47246">
              <w:rPr>
                <w:b w:val="0"/>
              </w:rPr>
              <w:t>A.</w:t>
            </w:r>
            <w:r w:rsidRPr="00F47246">
              <w:rPr>
                <w:b w:val="0"/>
              </w:rPr>
              <w:fldChar w:fldCharType="begin"/>
            </w:r>
            <w:r w:rsidRPr="00F47246">
              <w:rPr>
                <w:b w:val="0"/>
              </w:rPr>
              <w:instrText xml:space="preserve"> COMMENTS  \* MERGEFORMAT </w:instrText>
            </w:r>
            <w:r w:rsidRPr="00F47246">
              <w:rPr>
                <w:b w:val="0"/>
              </w:rPr>
              <w:fldChar w:fldCharType="end"/>
            </w:r>
            <w:r w:rsidRPr="00F47246">
              <w:rPr>
                <w:b w:val="0"/>
              </w:rPr>
              <w:fldChar w:fldCharType="begin"/>
            </w:r>
            <w:r w:rsidRPr="00F47246">
              <w:rPr>
                <w:b w:val="0"/>
              </w:rPr>
              <w:instrText xml:space="preserve"> SEQ Box \* ARABIC </w:instrText>
            </w:r>
            <w:r w:rsidRPr="00F47246">
              <w:rPr>
                <w:b w:val="0"/>
              </w:rPr>
              <w:fldChar w:fldCharType="separate"/>
            </w:r>
            <w:r w:rsidR="00856D3A">
              <w:rPr>
                <w:b w:val="0"/>
                <w:noProof/>
              </w:rPr>
              <w:t>1</w:t>
            </w:r>
            <w:proofErr w:type="spellEnd"/>
            <w:r w:rsidRPr="00F47246">
              <w:rPr>
                <w:b w:val="0"/>
              </w:rPr>
              <w:fldChar w:fldCharType="end"/>
            </w:r>
            <w:r w:rsidRPr="00F47246">
              <w:tab/>
            </w:r>
            <w:proofErr w:type="spellStart"/>
            <w:r w:rsidRPr="00F47246">
              <w:t>AAGR</w:t>
            </w:r>
            <w:proofErr w:type="spellEnd"/>
            <w:r w:rsidRPr="00F47246">
              <w:t xml:space="preserve"> formula</w:t>
            </w:r>
          </w:p>
        </w:tc>
      </w:tr>
      <w:tr w:rsidR="003044AC" w:rsidRPr="00F47246">
        <w:trPr>
          <w:cantSplit/>
        </w:trPr>
        <w:tc>
          <w:tcPr>
            <w:tcW w:w="8771" w:type="dxa"/>
            <w:tcBorders>
              <w:top w:val="nil"/>
              <w:left w:val="single" w:sz="6" w:space="0" w:color="auto"/>
              <w:bottom w:val="nil"/>
              <w:right w:val="single" w:sz="6" w:space="0" w:color="auto"/>
            </w:tcBorders>
          </w:tcPr>
          <w:p w:rsidR="003044AC" w:rsidRPr="00F47246" w:rsidRDefault="003044AC" w:rsidP="003044AC">
            <w:pPr>
              <w:pStyle w:val="Box"/>
            </w:pPr>
            <w:r w:rsidRPr="00F47246">
              <w:t>The formula for calculating a compound annual growth rate (</w:t>
            </w:r>
            <w:proofErr w:type="spellStart"/>
            <w:r w:rsidRPr="00F47246">
              <w:t>AAGR</w:t>
            </w:r>
            <w:proofErr w:type="spellEnd"/>
            <w:r w:rsidRPr="00F47246">
              <w:t>) is:</w:t>
            </w:r>
          </w:p>
          <w:p w:rsidR="003044AC" w:rsidRPr="00F47246" w:rsidRDefault="003044AC" w:rsidP="003044AC">
            <w:pPr>
              <w:pStyle w:val="Box"/>
            </w:pPr>
            <w:r w:rsidRPr="00F47246">
              <w:rPr>
                <w:position w:val="-94"/>
              </w:rPr>
              <w:object w:dxaOrig="4580" w:dyaOrig="2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00.5pt" o:ole="">
                  <v:imagedata r:id="rId8" o:title=""/>
                </v:shape>
                <o:OLEObject Type="Embed" ProgID="Equation.3" ShapeID="_x0000_i1025" DrawAspect="Content" ObjectID="_1464502029" r:id="rId9"/>
              </w:object>
            </w:r>
          </w:p>
          <w:p w:rsidR="003044AC" w:rsidRPr="00F47246" w:rsidRDefault="003044AC" w:rsidP="003044AC">
            <w:pPr>
              <w:pStyle w:val="Box"/>
            </w:pPr>
            <w:r w:rsidRPr="00F47246">
              <w:t>where:</w:t>
            </w:r>
          </w:p>
          <w:p w:rsidR="003044AC" w:rsidRPr="00F47246" w:rsidRDefault="003044AC" w:rsidP="003044AC">
            <w:pPr>
              <w:pStyle w:val="Box"/>
            </w:pPr>
            <w:r w:rsidRPr="00F47246">
              <w:rPr>
                <w:position w:val="-18"/>
              </w:rPr>
              <w:object w:dxaOrig="380" w:dyaOrig="340">
                <v:shape id="_x0000_i1026" type="#_x0000_t75" style="width:18.75pt;height:16.5pt" o:ole="">
                  <v:imagedata r:id="rId10" o:title=""/>
                </v:shape>
                <o:OLEObject Type="Embed" ProgID="Equation.3" ShapeID="_x0000_i1026" DrawAspect="Content" ObjectID="_1464502030" r:id="rId11"/>
              </w:object>
            </w:r>
            <w:r w:rsidRPr="00F47246">
              <w:t xml:space="preserve"> is the value in the initial period</w:t>
            </w:r>
          </w:p>
          <w:p w:rsidR="003044AC" w:rsidRPr="00F47246" w:rsidRDefault="003044AC" w:rsidP="003044AC">
            <w:pPr>
              <w:pStyle w:val="Box"/>
            </w:pPr>
            <w:r w:rsidRPr="00F47246">
              <w:rPr>
                <w:position w:val="-18"/>
              </w:rPr>
              <w:object w:dxaOrig="400" w:dyaOrig="340">
                <v:shape id="_x0000_i1027" type="#_x0000_t75" style="width:19.5pt;height:16.5pt" o:ole="">
                  <v:imagedata r:id="rId12" o:title=""/>
                </v:shape>
                <o:OLEObject Type="Embed" ProgID="Equation.3" ShapeID="_x0000_i1027" DrawAspect="Content" ObjectID="_1464502031" r:id="rId13"/>
              </w:object>
            </w:r>
            <w:r w:rsidRPr="00F47246">
              <w:t xml:space="preserve"> is the value in the last period</w:t>
            </w:r>
          </w:p>
          <w:p w:rsidR="003044AC" w:rsidRPr="00F47246" w:rsidRDefault="003044AC" w:rsidP="003044AC">
            <w:pPr>
              <w:pStyle w:val="Box"/>
            </w:pPr>
            <w:r w:rsidRPr="00F47246">
              <w:rPr>
                <w:position w:val="-12"/>
              </w:rPr>
              <w:object w:dxaOrig="400" w:dyaOrig="279">
                <v:shape id="_x0000_i1028" type="#_x0000_t75" style="width:19.5pt;height:13.5pt" o:ole="">
                  <v:imagedata r:id="rId14" o:title=""/>
                </v:shape>
                <o:OLEObject Type="Embed" ProgID="Equation.3" ShapeID="_x0000_i1028" DrawAspect="Content" ObjectID="_1464502032" r:id="rId15"/>
              </w:object>
            </w:r>
            <w:r w:rsidRPr="00F47246">
              <w:t xml:space="preserve"> is the number of periods.</w:t>
            </w:r>
          </w:p>
        </w:tc>
      </w:tr>
      <w:tr w:rsidR="003044AC" w:rsidRPr="00F47246">
        <w:trPr>
          <w:cantSplit/>
        </w:trPr>
        <w:tc>
          <w:tcPr>
            <w:tcW w:w="8771" w:type="dxa"/>
            <w:tcBorders>
              <w:top w:val="nil"/>
              <w:left w:val="single" w:sz="6" w:space="0" w:color="auto"/>
              <w:bottom w:val="single" w:sz="6" w:space="0" w:color="auto"/>
              <w:right w:val="single" w:sz="6" w:space="0" w:color="auto"/>
            </w:tcBorders>
          </w:tcPr>
          <w:p w:rsidR="003044AC" w:rsidRPr="00F47246" w:rsidRDefault="003044AC">
            <w:pPr>
              <w:pStyle w:val="Box"/>
              <w:spacing w:before="0" w:line="120" w:lineRule="exact"/>
            </w:pPr>
          </w:p>
        </w:tc>
      </w:tr>
      <w:tr w:rsidR="003044AC" w:rsidRPr="00F47246">
        <w:tc>
          <w:tcPr>
            <w:tcW w:w="8771" w:type="dxa"/>
            <w:tcBorders>
              <w:top w:val="nil"/>
              <w:left w:val="nil"/>
              <w:bottom w:val="nil"/>
              <w:right w:val="nil"/>
            </w:tcBorders>
          </w:tcPr>
          <w:p w:rsidR="003044AC" w:rsidRPr="00F47246" w:rsidRDefault="003044AC">
            <w:pPr>
              <w:pStyle w:val="Box"/>
              <w:keepNext w:val="0"/>
              <w:spacing w:before="60" w:after="60" w:line="80" w:lineRule="exact"/>
              <w:rPr>
                <w:b/>
                <w:color w:val="FF00FF"/>
                <w:sz w:val="14"/>
              </w:rPr>
            </w:pPr>
          </w:p>
        </w:tc>
      </w:tr>
    </w:tbl>
    <w:p w:rsidR="003254BE" w:rsidRPr="00F47246" w:rsidRDefault="003254BE" w:rsidP="003254BE">
      <w:pPr>
        <w:pStyle w:val="Heading3"/>
      </w:pPr>
      <w:r w:rsidRPr="00F47246">
        <w:t>Age standardisation of data</w:t>
      </w:r>
    </w:p>
    <w:p w:rsidR="00C31DA9" w:rsidRDefault="00C31DA9" w:rsidP="006943B0">
      <w:pPr>
        <w:pStyle w:val="BodyText"/>
        <w:tabs>
          <w:tab w:val="left" w:pos="2700"/>
        </w:tabs>
      </w:pPr>
      <w:r>
        <w:t xml:space="preserve">Until recently, the ABS and the </w:t>
      </w:r>
      <w:proofErr w:type="spellStart"/>
      <w:r>
        <w:t>AIHW</w:t>
      </w:r>
      <w:proofErr w:type="spellEnd"/>
      <w:r>
        <w:t xml:space="preserve"> </w:t>
      </w:r>
      <w:r w:rsidRPr="00C31DA9">
        <w:t>have indicated that the standard population in Australia should be the Estimated Resident Population (Australia's official population est</w:t>
      </w:r>
      <w:r>
        <w:t>imate) for the years ending in ‘</w:t>
      </w:r>
      <w:r w:rsidRPr="00C31DA9">
        <w:t>1</w:t>
      </w:r>
      <w:r>
        <w:t>’</w:t>
      </w:r>
      <w:r w:rsidRPr="00C31DA9">
        <w:t xml:space="preserve"> (e.g. 2001 and 2011) and that it should be updated every 10 years. </w:t>
      </w:r>
    </w:p>
    <w:p w:rsidR="00A140F8" w:rsidRDefault="00C31DA9" w:rsidP="006943B0">
      <w:pPr>
        <w:pStyle w:val="BodyText"/>
        <w:tabs>
          <w:tab w:val="left" w:pos="2700"/>
        </w:tabs>
      </w:pPr>
      <w:r>
        <w:t xml:space="preserve">In March 2013, the ABS and </w:t>
      </w:r>
      <w:proofErr w:type="spellStart"/>
      <w:r>
        <w:t>AIHW</w:t>
      </w:r>
      <w:proofErr w:type="spellEnd"/>
      <w:r>
        <w:t xml:space="preserve"> have </w:t>
      </w:r>
      <w:r w:rsidR="006A4E16">
        <w:t xml:space="preserve">recommended that </w:t>
      </w:r>
      <w:r w:rsidRPr="00C31DA9">
        <w:t xml:space="preserve">the standard population be revised every 25 years instead of every 10 years, which would reduce the frequency of revisions without reducing the effectiveness of age-standardised comparisons. This would also align the revision cycle with what demographers generally consider to be the timespan of a generation. </w:t>
      </w:r>
      <w:r>
        <w:t xml:space="preserve">The next revision is anticipated to be in </w:t>
      </w:r>
      <w:r w:rsidR="006A4E16">
        <w:t>2026</w:t>
      </w:r>
      <w:r>
        <w:t xml:space="preserve"> (ABS </w:t>
      </w:r>
      <w:proofErr w:type="spellStart"/>
      <w:r>
        <w:t>2013</w:t>
      </w:r>
      <w:r w:rsidR="003912C6">
        <w:t>e</w:t>
      </w:r>
      <w:proofErr w:type="spellEnd"/>
      <w:r>
        <w:t>)</w:t>
      </w:r>
      <w:r w:rsidR="00454EB1">
        <w:t>.</w:t>
      </w:r>
    </w:p>
    <w:p w:rsidR="00BD5662" w:rsidRPr="00F47246" w:rsidRDefault="00BD5662" w:rsidP="00BD5662">
      <w:pPr>
        <w:pStyle w:val="Heading4"/>
      </w:pPr>
      <w:r w:rsidRPr="00F47246">
        <w:t>Rationale for age standardisation of data</w:t>
      </w:r>
    </w:p>
    <w:p w:rsidR="00BD5662" w:rsidRPr="00F47246" w:rsidRDefault="00BD5662" w:rsidP="00BD5662">
      <w:pPr>
        <w:pStyle w:val="BodyText"/>
      </w:pPr>
      <w:r w:rsidRPr="00F47246">
        <w:t xml:space="preserve">The age profile of Australians varies across jurisdictions, periods of time, geographic areas and/or population sub-groups (for example, between Indigenous and non-Indigenous populations). Variations in age profiles can affect the likelihood of using a particular service (such as a public hospital) or particular ‘events’ occurring (such as death, incidence of disease or incarceration). Age standardisation adjusts for the effect of variations in age profiles when comparing service usage, or rates of particular events, across different populations. </w:t>
      </w:r>
    </w:p>
    <w:p w:rsidR="00BD5662" w:rsidRPr="00F47246" w:rsidRDefault="00BD5662" w:rsidP="00BD5662">
      <w:pPr>
        <w:pStyle w:val="BodyText"/>
      </w:pPr>
      <w:r w:rsidRPr="00F47246">
        <w:lastRenderedPageBreak/>
        <w:t xml:space="preserve">While age standardised data are useful for making comparisons across populations, crude (non-adjusted) data are used when reporting on the current situation for a specific population, to reflect the actual levels or service usage or rates of events. </w:t>
      </w:r>
    </w:p>
    <w:p w:rsidR="00BD5662" w:rsidRPr="00F47246" w:rsidRDefault="00BD5662" w:rsidP="00BD5662">
      <w:pPr>
        <w:pStyle w:val="Heading4"/>
      </w:pPr>
      <w:r w:rsidRPr="00F47246">
        <w:t>Calculating age</w:t>
      </w:r>
      <w:r w:rsidR="00AE11C8">
        <w:t>-</w:t>
      </w:r>
      <w:r w:rsidRPr="00F47246">
        <w:t>standardised rates and principl</w:t>
      </w:r>
      <w:r w:rsidR="00AE11C8">
        <w:t>e</w:t>
      </w:r>
      <w:r w:rsidRPr="00F47246">
        <w:t>s</w:t>
      </w:r>
    </w:p>
    <w:p w:rsidR="00BD5662" w:rsidRPr="00F47246" w:rsidRDefault="00BD5662" w:rsidP="00BD5662">
      <w:pPr>
        <w:pStyle w:val="BodyText"/>
      </w:pPr>
      <w:r w:rsidRPr="00F47246">
        <w:t xml:space="preserve">The ABS and </w:t>
      </w:r>
      <w:proofErr w:type="spellStart"/>
      <w:r w:rsidRPr="00F47246">
        <w:t>AIHW</w:t>
      </w:r>
      <w:proofErr w:type="spellEnd"/>
      <w:r w:rsidRPr="00F47246">
        <w:t xml:space="preserve"> have agreed to a set of principles for undertaking </w:t>
      </w:r>
      <w:r w:rsidRPr="00F47246">
        <w:br/>
        <w:t>age-standardisation when reporting Indigenous data. All data in the Reports are age</w:t>
      </w:r>
      <w:r w:rsidR="00AE11C8">
        <w:noBreakHyphen/>
      </w:r>
      <w:r w:rsidRPr="00F47246">
        <w:t>standardised using the direct method employing the principals set out below. For further information on how the principles have been applied to the data reported, please see the Data Quality Statements for relevant indicators.</w:t>
      </w:r>
    </w:p>
    <w:p w:rsidR="00BD5662" w:rsidRPr="00F47246" w:rsidRDefault="00BD5662" w:rsidP="00BD5662">
      <w:pPr>
        <w:pStyle w:val="BodyText"/>
      </w:pPr>
      <w:r w:rsidRPr="00F47246">
        <w:t>The direct method has four steps:</w:t>
      </w:r>
    </w:p>
    <w:p w:rsidR="00BD5662" w:rsidRPr="00F47246" w:rsidRDefault="003C00F3" w:rsidP="00BD5662">
      <w:pPr>
        <w:pStyle w:val="ListNumber"/>
      </w:pPr>
      <w:r w:rsidRPr="00F47246">
        <w:t>c</w:t>
      </w:r>
      <w:r w:rsidR="00BD5662" w:rsidRPr="00F47246">
        <w:t>alculate the age</w:t>
      </w:r>
      <w:r w:rsidR="00AE11C8">
        <w:t>-</w:t>
      </w:r>
      <w:r w:rsidR="00BD5662" w:rsidRPr="00F47246">
        <w:t>specific rate for each age group</w:t>
      </w:r>
    </w:p>
    <w:p w:rsidR="00BD5662" w:rsidRPr="00F47246" w:rsidRDefault="00BD5662" w:rsidP="00BD5662">
      <w:pPr>
        <w:pStyle w:val="ListNumber"/>
      </w:pPr>
      <w:r w:rsidRPr="00F47246">
        <w:t>multiply the age-specific rate by the corresponding standard population for each age group</w:t>
      </w:r>
    </w:p>
    <w:p w:rsidR="00BD5662" w:rsidRPr="00F47246" w:rsidRDefault="003C00F3" w:rsidP="00BD5662">
      <w:pPr>
        <w:pStyle w:val="ListNumber"/>
      </w:pPr>
      <w:r w:rsidRPr="00F47246">
        <w:t>s</w:t>
      </w:r>
      <w:r w:rsidR="00BD5662" w:rsidRPr="00F47246">
        <w:t>um across the age groups and divide this sum by the total of the standard population to give the age-standardised rate</w:t>
      </w:r>
    </w:p>
    <w:p w:rsidR="00BD5662" w:rsidRPr="00F47246" w:rsidRDefault="003C00F3" w:rsidP="00BD5662">
      <w:pPr>
        <w:pStyle w:val="ListNumber"/>
      </w:pPr>
      <w:r w:rsidRPr="00F47246">
        <w:t>c</w:t>
      </w:r>
      <w:r w:rsidR="00BD5662" w:rsidRPr="00F47246">
        <w:t>onvert this to a rate per 1000 or per 100 000 as appropriate.</w:t>
      </w:r>
    </w:p>
    <w:p w:rsidR="00DE20BE" w:rsidRPr="00F47246" w:rsidRDefault="00BD5662" w:rsidP="00BD5662">
      <w:pPr>
        <w:pStyle w:val="BodyText"/>
      </w:pPr>
      <w:r w:rsidRPr="00F47246">
        <w:t xml:space="preserve">Before undertaking age-standardisation, analysts must investigate the data being used to understand the age-specific distribution and any limitations that may impact on the results. </w:t>
      </w:r>
    </w:p>
    <w:p w:rsidR="00BD5662" w:rsidRPr="00F47246" w:rsidRDefault="00BD5662" w:rsidP="00803E18">
      <w:pPr>
        <w:pStyle w:val="BodyText"/>
      </w:pPr>
      <w:r w:rsidRPr="00F47246">
        <w:t xml:space="preserve">Principle 1: The standard population used </w:t>
      </w:r>
      <w:r w:rsidR="00A43F5C">
        <w:t xml:space="preserve">will now be contingent on the frequency of the standardisation. </w:t>
      </w:r>
    </w:p>
    <w:p w:rsidR="00BD5662" w:rsidRPr="00F47246" w:rsidRDefault="00BD5662" w:rsidP="00BD5662">
      <w:pPr>
        <w:pStyle w:val="BodyText"/>
      </w:pPr>
      <w:r w:rsidRPr="00F47246">
        <w:t>Principle 2: If the denominator is less than 30 in any one age group, then do not attempt to produce age-standardised rates.</w:t>
      </w:r>
    </w:p>
    <w:p w:rsidR="00BD5662" w:rsidRPr="00F47246" w:rsidRDefault="00BD5662" w:rsidP="00BD5662">
      <w:pPr>
        <w:pStyle w:val="BodyText"/>
        <w:numPr>
          <w:ilvl w:val="0"/>
          <w:numId w:val="16"/>
        </w:numPr>
      </w:pPr>
      <w:r w:rsidRPr="00F47246">
        <w:t>Age</w:t>
      </w:r>
      <w:r w:rsidR="003C00F3" w:rsidRPr="00F47246">
        <w:t xml:space="preserve"> </w:t>
      </w:r>
      <w:r w:rsidRPr="00F47246">
        <w:t>groups may be collapsed to obtain a denominator of 30 or more (provided that this is in accordance with principle 3 and 4)</w:t>
      </w:r>
      <w:r w:rsidR="003C00F3" w:rsidRPr="00F47246">
        <w:t>.</w:t>
      </w:r>
    </w:p>
    <w:p w:rsidR="00BD5662" w:rsidRPr="00F47246" w:rsidRDefault="00BD5662" w:rsidP="00BD5662">
      <w:pPr>
        <w:pStyle w:val="BodyText"/>
      </w:pPr>
      <w:r w:rsidRPr="00F47246">
        <w:t xml:space="preserve">Principle 3: If the total number of Indigenous deaths is less than 20, then do not attempt to produce age-standardised rates. </w:t>
      </w:r>
    </w:p>
    <w:p w:rsidR="00BD5662" w:rsidRPr="00F47246" w:rsidRDefault="00BD5662" w:rsidP="00BD5662">
      <w:pPr>
        <w:pStyle w:val="BodyText"/>
        <w:numPr>
          <w:ilvl w:val="0"/>
          <w:numId w:val="16"/>
        </w:numPr>
      </w:pPr>
      <w:r w:rsidRPr="00F47246">
        <w:t xml:space="preserve">Combining several years of data, or aggregating jurisdictions should be considered to obtain a total of 20 or more deaths. </w:t>
      </w:r>
    </w:p>
    <w:p w:rsidR="00BD5662" w:rsidRPr="00F47246" w:rsidRDefault="00BD5662" w:rsidP="00BD5662">
      <w:pPr>
        <w:pStyle w:val="BodyText"/>
        <w:numPr>
          <w:ilvl w:val="0"/>
          <w:numId w:val="16"/>
        </w:numPr>
      </w:pPr>
      <w:r w:rsidRPr="00F47246">
        <w:t xml:space="preserve">If this does not meet the purpose (i.e. data are required for time series or jurisdictional comparisons), or does not result in greater than 20 deaths in </w:t>
      </w:r>
      <w:r w:rsidRPr="00F47246">
        <w:lastRenderedPageBreak/>
        <w:t>total, then other measures and contextual information should be reported instead of age-standardised rates which could include total number of deaths, crude rates, age-specific rates, age-specific rate ratios and median age at death.</w:t>
      </w:r>
    </w:p>
    <w:p w:rsidR="00BD5662" w:rsidRPr="00F47246" w:rsidRDefault="00BD5662" w:rsidP="00BD5662">
      <w:pPr>
        <w:pStyle w:val="BodyText"/>
      </w:pPr>
      <w:r w:rsidRPr="00F47246">
        <w:t>Principle 4: Age-standardised rates should be calculated using the five year age groupings of 0</w:t>
      </w:r>
      <w:r w:rsidR="003C00F3" w:rsidRPr="00F47246">
        <w:t>–</w:t>
      </w:r>
      <w:r w:rsidRPr="00F47246">
        <w:t xml:space="preserve">4 to 75+ (provided Principles 2 and 3 for denominator and numerator are met). </w:t>
      </w:r>
    </w:p>
    <w:p w:rsidR="00BD5662" w:rsidRPr="00F47246" w:rsidRDefault="00BD5662" w:rsidP="00BD5662">
      <w:pPr>
        <w:pStyle w:val="BodyText"/>
        <w:numPr>
          <w:ilvl w:val="0"/>
          <w:numId w:val="16"/>
        </w:numPr>
      </w:pPr>
      <w:r w:rsidRPr="00F47246">
        <w:t>10 year age groups may be used to overcome small numbers (20 year age groups are too wide and should not be used)</w:t>
      </w:r>
      <w:r w:rsidR="00837FCA" w:rsidRPr="00F47246">
        <w:t>.</w:t>
      </w:r>
    </w:p>
    <w:p w:rsidR="00BD5662" w:rsidRPr="00F47246" w:rsidRDefault="00BD5662" w:rsidP="00BD5662">
      <w:pPr>
        <w:pStyle w:val="BodyText"/>
      </w:pPr>
      <w:r w:rsidRPr="00F47246">
        <w:t>Principle 5: Additional contextual information (most importantly age-specific rates and ratios) should be provided in addition to age-standardised rates when:</w:t>
      </w:r>
    </w:p>
    <w:p w:rsidR="00BD5662" w:rsidRPr="00F47246" w:rsidRDefault="00BD5662" w:rsidP="00BD5662">
      <w:pPr>
        <w:pStyle w:val="BodyText"/>
        <w:numPr>
          <w:ilvl w:val="0"/>
          <w:numId w:val="15"/>
        </w:numPr>
      </w:pPr>
      <w:r w:rsidRPr="00F47246">
        <w:t xml:space="preserve">the age standardised rates and rate ratios lie largely outside the range of the age-specific rates and rate ratios </w:t>
      </w:r>
    </w:p>
    <w:p w:rsidR="00BD5662" w:rsidRPr="00F47246" w:rsidRDefault="00BD5662" w:rsidP="00BD5662">
      <w:pPr>
        <w:pStyle w:val="BodyText"/>
        <w:numPr>
          <w:ilvl w:val="0"/>
          <w:numId w:val="15"/>
        </w:numPr>
      </w:pPr>
      <w:r w:rsidRPr="00F47246">
        <w:t>the pattern of age specific rates of the Indigenous and non-Indigenous populations differ substantially (</w:t>
      </w:r>
      <w:r w:rsidR="003C00F3" w:rsidRPr="00F47246">
        <w:t>for example,</w:t>
      </w:r>
      <w:r w:rsidRPr="00F47246">
        <w:t xml:space="preserve"> deaths from a certain cause concentrate on younger ages for Indigenous population while for non</w:t>
      </w:r>
      <w:r w:rsidR="003C00F3" w:rsidRPr="00F47246">
        <w:noBreakHyphen/>
      </w:r>
      <w:r w:rsidRPr="00F47246">
        <w:t>Indigenous they may occur at older ages)</w:t>
      </w:r>
    </w:p>
    <w:p w:rsidR="00BD5662" w:rsidRPr="00F47246" w:rsidRDefault="00BD5662" w:rsidP="00BD5662">
      <w:pPr>
        <w:pStyle w:val="BodyText"/>
        <w:numPr>
          <w:ilvl w:val="0"/>
          <w:numId w:val="15"/>
        </w:numPr>
      </w:pPr>
      <w:r w:rsidRPr="00F47246">
        <w:t>the age-specific death rates depart from the assumption of a uniform increase in death with age (</w:t>
      </w:r>
      <w:r w:rsidR="003C00F3" w:rsidRPr="00F47246">
        <w:t>for example,</w:t>
      </w:r>
      <w:r w:rsidRPr="00F47246">
        <w:t xml:space="preserve"> injury which peaks in the young adult to middle-ages and certain cancers amenable to treatment for some age groups)</w:t>
      </w:r>
    </w:p>
    <w:p w:rsidR="00BD5662" w:rsidRPr="00F47246" w:rsidRDefault="00BD5662" w:rsidP="00BD5662">
      <w:pPr>
        <w:pStyle w:val="BodyText"/>
        <w:numPr>
          <w:ilvl w:val="0"/>
          <w:numId w:val="15"/>
        </w:numPr>
      </w:pPr>
      <w:r w:rsidRPr="00F47246">
        <w:t>the condition of interest is largely confined to a specific age range</w:t>
      </w:r>
      <w:r w:rsidR="00AF187D" w:rsidRPr="00F47246">
        <w:t xml:space="preserve"> </w:t>
      </w:r>
      <w:r w:rsidRPr="00F47246">
        <w:t>(</w:t>
      </w:r>
      <w:r w:rsidR="003C00F3" w:rsidRPr="00F47246">
        <w:t>for example,</w:t>
      </w:r>
      <w:r w:rsidRPr="00F47246">
        <w:t xml:space="preserve"> </w:t>
      </w:r>
      <w:proofErr w:type="spellStart"/>
      <w:r w:rsidRPr="00F47246">
        <w:t>STIs</w:t>
      </w:r>
      <w:proofErr w:type="spellEnd"/>
      <w:r w:rsidRPr="00F47246">
        <w:t>, and women who give birth). In such instances,</w:t>
      </w:r>
      <w:r w:rsidR="00841EC2" w:rsidRPr="00F47246">
        <w:t xml:space="preserve"> age</w:t>
      </w:r>
      <w:r w:rsidR="00841EC2" w:rsidRPr="00F47246">
        <w:noBreakHyphen/>
      </w:r>
      <w:r w:rsidRPr="00F47246">
        <w:t>standardisation could be restricted to include the age groups within this age range only.</w:t>
      </w:r>
    </w:p>
    <w:p w:rsidR="00BD5662" w:rsidRPr="00F47246" w:rsidRDefault="00BD5662" w:rsidP="00315C71">
      <w:pPr>
        <w:pStyle w:val="BodyText"/>
      </w:pPr>
      <w:r w:rsidRPr="00F47246">
        <w:t>Principle 6: For conditions restricted to a specific age group (</w:t>
      </w:r>
      <w:r w:rsidR="003C00F3" w:rsidRPr="00F47246">
        <w:t>for example,</w:t>
      </w:r>
      <w:r w:rsidRPr="00F47246">
        <w:t xml:space="preserve"> conditions originating in the perinatal period and SIDS), it is recommended to report the age-specific rate for the age</w:t>
      </w:r>
      <w:r w:rsidR="003C00F3" w:rsidRPr="00F47246">
        <w:t xml:space="preserve"> </w:t>
      </w:r>
      <w:r w:rsidRPr="00F47246">
        <w:t>group</w:t>
      </w:r>
      <w:r w:rsidR="00841EC2" w:rsidRPr="00F47246">
        <w:t xml:space="preserve"> of interest instead of the age</w:t>
      </w:r>
      <w:r w:rsidR="00841EC2" w:rsidRPr="00F47246">
        <w:noBreakHyphen/>
      </w:r>
      <w:r w:rsidRPr="00F47246">
        <w:t>standardised rate.</w:t>
      </w:r>
    </w:p>
    <w:p w:rsidR="00BD5662" w:rsidRPr="00F47246" w:rsidRDefault="00BD5662" w:rsidP="008A6FEB">
      <w:pPr>
        <w:pStyle w:val="BodyText"/>
        <w:keepNext/>
      </w:pPr>
      <w:r w:rsidRPr="00F47246">
        <w:t xml:space="preserve">Notes regarding </w:t>
      </w:r>
      <w:r w:rsidR="008A6FEB" w:rsidRPr="00F47246">
        <w:t xml:space="preserve">the </w:t>
      </w:r>
      <w:r w:rsidRPr="00F47246">
        <w:t>application of these principles</w:t>
      </w:r>
      <w:r w:rsidR="008A6FEB" w:rsidRPr="00F47246">
        <w:t>:</w:t>
      </w:r>
    </w:p>
    <w:p w:rsidR="00BD5662" w:rsidRPr="00F47246" w:rsidRDefault="00BD5662" w:rsidP="003C00F3">
      <w:pPr>
        <w:pStyle w:val="ListNumber"/>
        <w:numPr>
          <w:ilvl w:val="0"/>
          <w:numId w:val="17"/>
        </w:numPr>
      </w:pPr>
      <w:r w:rsidRPr="00F47246">
        <w:t xml:space="preserve">Analysts should apply these principles keeping in mind that a consistent time series will need to be maintained and valid comparisons ensured. The guidelines should not result in a widely different methodology being used for data being compared across time or across jurisdictions. Analysts should make decisions </w:t>
      </w:r>
      <w:r w:rsidRPr="00F47246">
        <w:lastRenderedPageBreak/>
        <w:t xml:space="preserve">regarding the application of these principles based on an assessment of the data from the outset of their analyses. </w:t>
      </w:r>
    </w:p>
    <w:p w:rsidR="00BD5662" w:rsidRPr="00F47246" w:rsidRDefault="00BD5662" w:rsidP="003C00F3">
      <w:pPr>
        <w:pStyle w:val="ListNumber"/>
        <w:numPr>
          <w:ilvl w:val="0"/>
          <w:numId w:val="17"/>
        </w:numPr>
      </w:pPr>
      <w:r w:rsidRPr="00F47246">
        <w:t>These principles may need to be reviewed at some point in the future in order to take into account any changes in Indigenous mortality and Indigenous population estimates. A sensible time for such a review would be to coincide with a change of standard population (</w:t>
      </w:r>
      <w:r w:rsidR="003C00F3" w:rsidRPr="00F47246">
        <w:t>that is,</w:t>
      </w:r>
      <w:r w:rsidRPr="00F47246">
        <w:t xml:space="preserve"> every 10 years).</w:t>
      </w:r>
    </w:p>
    <w:p w:rsidR="00BD5662" w:rsidRPr="00F47246" w:rsidRDefault="00BD5662" w:rsidP="00BD5662">
      <w:pPr>
        <w:pStyle w:val="Heading4"/>
      </w:pPr>
      <w:r w:rsidRPr="00F47246">
        <w:t>Pri</w:t>
      </w:r>
      <w:r w:rsidR="00334AD8">
        <w:t xml:space="preserve">nciples for calculating the top </w:t>
      </w:r>
      <w:r w:rsidR="002F64FD" w:rsidRPr="00F47246">
        <w:t>diagnoses</w:t>
      </w:r>
      <w:r w:rsidR="00334AD8">
        <w:t xml:space="preserve"> and causes</w:t>
      </w:r>
      <w:r w:rsidRPr="00F47246">
        <w:t xml:space="preserve"> for hospital and mortality data</w:t>
      </w:r>
    </w:p>
    <w:p w:rsidR="007A2A4C" w:rsidRPr="00F47246" w:rsidRDefault="00BD5662" w:rsidP="00814B10">
      <w:pPr>
        <w:pStyle w:val="BodyText"/>
      </w:pPr>
      <w:r w:rsidRPr="00F47246">
        <w:t>Causes</w:t>
      </w:r>
      <w:r w:rsidR="002F64FD" w:rsidRPr="00F47246">
        <w:t xml:space="preserve"> or </w:t>
      </w:r>
      <w:r w:rsidRPr="00F47246">
        <w:t>diagnos</w:t>
      </w:r>
      <w:r w:rsidR="003C00F3" w:rsidRPr="00F47246">
        <w:t>e</w:t>
      </w:r>
      <w:r w:rsidRPr="00F47246">
        <w:t xml:space="preserve">s are listed from highest to lowest Indigenous crude numbers for the most recent </w:t>
      </w:r>
      <w:r w:rsidR="00AE11C8">
        <w:t>aggregate-</w:t>
      </w:r>
      <w:r w:rsidRPr="00F47246">
        <w:t>year combined period</w:t>
      </w:r>
      <w:r w:rsidR="002F64FD" w:rsidRPr="00F47246">
        <w:t xml:space="preserve"> (depending on the indicator specifications)</w:t>
      </w:r>
      <w:r w:rsidRPr="00F47246">
        <w:t>. The top 5</w:t>
      </w:r>
      <w:r w:rsidR="0068780B" w:rsidRPr="00F47246">
        <w:t> </w:t>
      </w:r>
      <w:r w:rsidR="002F64FD" w:rsidRPr="00F47246">
        <w:t>or</w:t>
      </w:r>
      <w:r w:rsidR="0068780B" w:rsidRPr="00F47246">
        <w:t> </w:t>
      </w:r>
      <w:r w:rsidRPr="00F47246">
        <w:t>6</w:t>
      </w:r>
      <w:r w:rsidR="0068780B" w:rsidRPr="00F47246">
        <w:t> </w:t>
      </w:r>
      <w:r w:rsidRPr="00F47246">
        <w:t>causes</w:t>
      </w:r>
      <w:r w:rsidR="002F64FD" w:rsidRPr="00F47246">
        <w:t xml:space="preserve"> or </w:t>
      </w:r>
      <w:r w:rsidRPr="00F47246">
        <w:t>diagnos</w:t>
      </w:r>
      <w:r w:rsidR="003C00F3" w:rsidRPr="00F47246">
        <w:t>e</w:t>
      </w:r>
      <w:r w:rsidRPr="00F47246">
        <w:t xml:space="preserve">s need to be re-assessed each reporting period. If a change is identified, data may be </w:t>
      </w:r>
      <w:proofErr w:type="spellStart"/>
      <w:r w:rsidRPr="00F47246">
        <w:t>backcast</w:t>
      </w:r>
      <w:proofErr w:type="spellEnd"/>
      <w:r w:rsidRPr="00F47246">
        <w:t xml:space="preserve"> to the baseline year for the most recent set of top 5</w:t>
      </w:r>
      <w:r w:rsidR="0068780B" w:rsidRPr="00F47246">
        <w:t> </w:t>
      </w:r>
      <w:r w:rsidR="002F64FD" w:rsidRPr="00F47246">
        <w:t>or</w:t>
      </w:r>
      <w:r w:rsidR="0068780B" w:rsidRPr="00F47246">
        <w:t> </w:t>
      </w:r>
      <w:r w:rsidRPr="00F47246">
        <w:t>6</w:t>
      </w:r>
      <w:r w:rsidR="0068780B" w:rsidRPr="00F47246">
        <w:t> </w:t>
      </w:r>
      <w:r w:rsidRPr="00F47246">
        <w:t>causes</w:t>
      </w:r>
      <w:r w:rsidR="002F64FD" w:rsidRPr="00F47246">
        <w:t xml:space="preserve"> or </w:t>
      </w:r>
      <w:r w:rsidRPr="00F47246">
        <w:t>diagnos</w:t>
      </w:r>
      <w:r w:rsidR="003C00F3" w:rsidRPr="00F47246">
        <w:t>e</w:t>
      </w:r>
      <w:r w:rsidRPr="00F47246">
        <w:t>s to ensure a consistent time series</w:t>
      </w:r>
      <w:r w:rsidR="007A2A4C" w:rsidRPr="00F47246">
        <w:t>.</w:t>
      </w:r>
    </w:p>
    <w:p w:rsidR="005603B7" w:rsidRDefault="005603B7">
      <w:pPr>
        <w:rPr>
          <w:b/>
          <w:sz w:val="32"/>
          <w:szCs w:val="20"/>
        </w:rPr>
      </w:pPr>
      <w:r>
        <w:br w:type="page"/>
      </w:r>
    </w:p>
    <w:p w:rsidR="0023682F" w:rsidRPr="000972FD" w:rsidRDefault="00F50704" w:rsidP="0023682F">
      <w:pPr>
        <w:pStyle w:val="Heading2"/>
      </w:pPr>
      <w:proofErr w:type="spellStart"/>
      <w:r w:rsidRPr="000972FD">
        <w:lastRenderedPageBreak/>
        <w:t>A.</w:t>
      </w:r>
      <w:r>
        <w:fldChar w:fldCharType="begin"/>
      </w:r>
      <w:r>
        <w:instrText xml:space="preserve"> COMMENTS  \* MERGEFORMAT </w:instrText>
      </w:r>
      <w:r>
        <w:fldChar w:fldCharType="end"/>
      </w:r>
      <w:r w:rsidR="00757965">
        <w:fldChar w:fldCharType="begin"/>
      </w:r>
      <w:r w:rsidR="00757965">
        <w:instrText xml:space="preserve"> SEQ Heading2 </w:instrText>
      </w:r>
      <w:r w:rsidR="00757965">
        <w:fldChar w:fldCharType="separate"/>
      </w:r>
      <w:r w:rsidR="00856D3A">
        <w:rPr>
          <w:noProof/>
        </w:rPr>
        <w:t>6</w:t>
      </w:r>
      <w:proofErr w:type="spellEnd"/>
      <w:r w:rsidR="00757965">
        <w:rPr>
          <w:noProof/>
        </w:rPr>
        <w:fldChar w:fldCharType="end"/>
      </w:r>
      <w:r>
        <w:tab/>
      </w:r>
      <w:r w:rsidRPr="000972FD">
        <w:fldChar w:fldCharType="begin"/>
      </w:r>
      <w:r w:rsidRPr="000972FD">
        <w:instrText xml:space="preserve"> COMMENTS  \* MERGEFORMAT </w:instrText>
      </w:r>
      <w:r w:rsidRPr="000972FD">
        <w:fldChar w:fldCharType="end"/>
      </w:r>
      <w:r w:rsidR="0023682F" w:rsidRPr="000972FD">
        <w:t>References</w:t>
      </w:r>
    </w:p>
    <w:p w:rsidR="000972FD" w:rsidRDefault="0023682F" w:rsidP="000972FD">
      <w:pPr>
        <w:pStyle w:val="Reference"/>
      </w:pPr>
      <w:r w:rsidRPr="00A154C2">
        <w:t xml:space="preserve">ABS (Australian Bureau of Statistics) </w:t>
      </w:r>
      <w:r w:rsidR="000972FD">
        <w:t>2006</w:t>
      </w:r>
      <w:r w:rsidR="000972FD" w:rsidRPr="000972FD">
        <w:t xml:space="preserve">, </w:t>
      </w:r>
      <w:r w:rsidR="000972FD" w:rsidRPr="000972FD">
        <w:rPr>
          <w:i/>
        </w:rPr>
        <w:t>Research Paper: Socio-Economic Indexes for Areas: Introduction, Use and Future directions</w:t>
      </w:r>
      <w:r w:rsidR="000972FD" w:rsidRPr="000972FD">
        <w:t>, Cat. no. 1351.0.55.015, Canberra.</w:t>
      </w:r>
    </w:p>
    <w:p w:rsidR="00664540" w:rsidRPr="000972FD" w:rsidRDefault="00664540" w:rsidP="00664540">
      <w:pPr>
        <w:pStyle w:val="Reference"/>
      </w:pPr>
      <w:r w:rsidRPr="000972FD">
        <w:t>—— </w:t>
      </w:r>
      <w:proofErr w:type="spellStart"/>
      <w:r w:rsidRPr="000972FD">
        <w:t>2008a</w:t>
      </w:r>
      <w:proofErr w:type="spellEnd"/>
      <w:r w:rsidRPr="000972FD">
        <w:t xml:space="preserve">, </w:t>
      </w:r>
      <w:r w:rsidRPr="000972FD">
        <w:rPr>
          <w:i/>
        </w:rPr>
        <w:t>Information Paper: An Introduction to Socio-Economic Indexes for Areas (</w:t>
      </w:r>
      <w:proofErr w:type="spellStart"/>
      <w:r w:rsidRPr="000972FD">
        <w:rPr>
          <w:i/>
        </w:rPr>
        <w:t>SEIFA</w:t>
      </w:r>
      <w:proofErr w:type="spellEnd"/>
      <w:r w:rsidRPr="000972FD">
        <w:rPr>
          <w:i/>
        </w:rPr>
        <w:t>), 2006</w:t>
      </w:r>
      <w:r w:rsidRPr="000972FD">
        <w:t xml:space="preserve">, Cat. no. 2039.0, Canberra. </w:t>
      </w:r>
    </w:p>
    <w:p w:rsidR="00664540" w:rsidRPr="000972FD" w:rsidRDefault="00664540" w:rsidP="00664540">
      <w:pPr>
        <w:pStyle w:val="Reference"/>
      </w:pPr>
      <w:r w:rsidRPr="000972FD">
        <w:t>—— </w:t>
      </w:r>
      <w:proofErr w:type="spellStart"/>
      <w:r w:rsidRPr="000972FD">
        <w:t>2008b</w:t>
      </w:r>
      <w:proofErr w:type="spellEnd"/>
      <w:r w:rsidRPr="000972FD">
        <w:t xml:space="preserve">, </w:t>
      </w:r>
      <w:r w:rsidRPr="000972FD">
        <w:rPr>
          <w:i/>
        </w:rPr>
        <w:t>Confidence Intervals</w:t>
      </w:r>
      <w:r w:rsidRPr="000972FD">
        <w:t xml:space="preserve">, </w:t>
      </w:r>
      <w:proofErr w:type="spellStart"/>
      <w:r w:rsidRPr="000972FD">
        <w:t>www.abs.gov.au</w:t>
      </w:r>
      <w:proofErr w:type="spellEnd"/>
      <w:r w:rsidRPr="000972FD">
        <w:t>/</w:t>
      </w:r>
      <w:proofErr w:type="spellStart"/>
      <w:r w:rsidRPr="000972FD">
        <w:t>AUSSTATS</w:t>
      </w:r>
      <w:proofErr w:type="spellEnd"/>
      <w:r w:rsidRPr="000972FD">
        <w:t>/abs@.</w:t>
      </w:r>
      <w:proofErr w:type="spellStart"/>
      <w:r w:rsidRPr="000972FD">
        <w:t>nsf</w:t>
      </w:r>
      <w:proofErr w:type="spellEnd"/>
      <w:r w:rsidRPr="000972FD">
        <w:t xml:space="preserve">/ ProductsbyReleaseDate/8BDFEF442F3901B0CA2572E500833358?OpenDocument#Confidence%20Intervals (accessed </w:t>
      </w:r>
      <w:r w:rsidR="00A20894">
        <w:t>11 September 2013</w:t>
      </w:r>
      <w:r w:rsidRPr="000972FD">
        <w:t>).</w:t>
      </w:r>
    </w:p>
    <w:p w:rsidR="00BF11ED" w:rsidRPr="00BF11ED" w:rsidRDefault="000972FD" w:rsidP="00E55440">
      <w:pPr>
        <w:pStyle w:val="Reference"/>
      </w:pPr>
      <w:r w:rsidRPr="000972FD">
        <w:t>—— </w:t>
      </w:r>
      <w:r w:rsidR="00BF11ED">
        <w:t>2009,</w:t>
      </w:r>
      <w:r>
        <w:rPr>
          <w:i/>
        </w:rPr>
        <w:t> </w:t>
      </w:r>
      <w:r w:rsidR="00BF11ED">
        <w:rPr>
          <w:i/>
        </w:rPr>
        <w:t>Population Estimates: Concepts, Sources and Methods</w:t>
      </w:r>
      <w:r w:rsidR="00BF11ED">
        <w:t>, Cat. No. 3228.0.55.001, Canberra.</w:t>
      </w:r>
    </w:p>
    <w:p w:rsidR="009C3438" w:rsidRDefault="009C3438" w:rsidP="00A12234">
      <w:pPr>
        <w:pStyle w:val="Reference"/>
      </w:pPr>
      <w:r w:rsidRPr="00E42A44">
        <w:t>——</w:t>
      </w:r>
      <w:r>
        <w:t> </w:t>
      </w:r>
      <w:r w:rsidR="00CB2202">
        <w:t>2010</w:t>
      </w:r>
      <w:r w:rsidRPr="00E42A44">
        <w:t xml:space="preserve">, </w:t>
      </w:r>
      <w:r w:rsidRPr="00CB2202">
        <w:t>Literacy Stats: What is a Standard Error and Relative Standard Error?</w:t>
      </w:r>
      <w:r w:rsidRPr="00E42A44">
        <w:t xml:space="preserve">, </w:t>
      </w:r>
      <w:hyperlink r:id="rId16" w:history="1">
        <w:r w:rsidRPr="00CB2202">
          <w:t>www.abs.gov.au/websitedbs/d3310114.nsf/Home/What+is+a</w:t>
        </w:r>
      </w:hyperlink>
      <w:r>
        <w:t>+Standard</w:t>
      </w:r>
      <w:r w:rsidRPr="00C27F7C">
        <w:t>+Error+and+Relative+Standard+Error,+Relia</w:t>
      </w:r>
      <w:r>
        <w:t>bility+of+estimates+for+Labour+</w:t>
      </w:r>
      <w:r w:rsidRPr="00C27F7C">
        <w:t>Force+data</w:t>
      </w:r>
      <w:r w:rsidRPr="00E42A44">
        <w:t xml:space="preserve"> (</w:t>
      </w:r>
      <w:r w:rsidR="00A20894" w:rsidRPr="000972FD">
        <w:t xml:space="preserve">accessed </w:t>
      </w:r>
      <w:r w:rsidR="00A20894">
        <w:t>11 September 2013</w:t>
      </w:r>
      <w:r w:rsidRPr="00E42A44">
        <w:t>).</w:t>
      </w:r>
    </w:p>
    <w:p w:rsidR="005F10C0" w:rsidRPr="00B9024C" w:rsidRDefault="005F10C0" w:rsidP="00A12234">
      <w:pPr>
        <w:pStyle w:val="Reference"/>
      </w:pPr>
      <w:r w:rsidRPr="000972FD">
        <w:t>—— </w:t>
      </w:r>
      <w:r>
        <w:t>2011</w:t>
      </w:r>
      <w:r w:rsidRPr="000972FD">
        <w:t xml:space="preserve">, </w:t>
      </w:r>
      <w:r>
        <w:rPr>
          <w:i/>
        </w:rPr>
        <w:t>Technical</w:t>
      </w:r>
      <w:r w:rsidRPr="000972FD">
        <w:rPr>
          <w:i/>
        </w:rPr>
        <w:t xml:space="preserve"> Paper</w:t>
      </w:r>
      <w:r>
        <w:rPr>
          <w:i/>
        </w:rPr>
        <w:t>: Socio-Economic Indexes for Areas (</w:t>
      </w:r>
      <w:proofErr w:type="spellStart"/>
      <w:r>
        <w:rPr>
          <w:i/>
        </w:rPr>
        <w:t>SEIFA</w:t>
      </w:r>
      <w:proofErr w:type="spellEnd"/>
      <w:r>
        <w:rPr>
          <w:i/>
        </w:rPr>
        <w:t xml:space="preserve">), </w:t>
      </w:r>
      <w:r w:rsidR="00D40A7E">
        <w:t>Cat. No. 2033</w:t>
      </w:r>
      <w:r>
        <w:t>.0.55.001, Canberra.</w:t>
      </w:r>
    </w:p>
    <w:p w:rsidR="00A154C2" w:rsidRPr="00993CBE" w:rsidRDefault="00BF11ED" w:rsidP="00A12234">
      <w:pPr>
        <w:pStyle w:val="Reference"/>
      </w:pPr>
      <w:r w:rsidRPr="00993CBE">
        <w:t xml:space="preserve">—— </w:t>
      </w:r>
      <w:proofErr w:type="spellStart"/>
      <w:r w:rsidR="00A154C2" w:rsidRPr="00993CBE">
        <w:t>2012</w:t>
      </w:r>
      <w:r w:rsidR="00F42DC0" w:rsidRPr="00993CBE">
        <w:t>a</w:t>
      </w:r>
      <w:proofErr w:type="spellEnd"/>
      <w:r w:rsidR="00A154C2" w:rsidRPr="00993CBE">
        <w:t xml:space="preserve">, </w:t>
      </w:r>
      <w:r w:rsidR="00A154C2" w:rsidRPr="00993CBE">
        <w:rPr>
          <w:i/>
        </w:rPr>
        <w:t xml:space="preserve">Census of Population and Housing — </w:t>
      </w:r>
      <w:r w:rsidR="001438F0" w:rsidRPr="00993CBE">
        <w:rPr>
          <w:i/>
        </w:rPr>
        <w:t xml:space="preserve">Basic Community </w:t>
      </w:r>
      <w:r w:rsidR="00A154C2" w:rsidRPr="00993CBE">
        <w:rPr>
          <w:i/>
        </w:rPr>
        <w:t>Profile</w:t>
      </w:r>
      <w:r w:rsidR="00A154C2" w:rsidRPr="00993CBE">
        <w:t xml:space="preserve">, </w:t>
      </w:r>
      <w:r w:rsidR="006327D8" w:rsidRPr="006327D8">
        <w:t>http://www.abs.gov.au/websitedbs/censushome.nsf/home/communityprofiles?opendocument&amp;navpos=230</w:t>
      </w:r>
      <w:r w:rsidR="006327D8">
        <w:t xml:space="preserve"> </w:t>
      </w:r>
      <w:r w:rsidR="00A154C2" w:rsidRPr="00993CBE">
        <w:t>(accessed 1</w:t>
      </w:r>
      <w:r w:rsidR="00A20894">
        <w:t>1</w:t>
      </w:r>
      <w:r w:rsidR="00545BEE">
        <w:t> </w:t>
      </w:r>
      <w:r w:rsidR="00A154C2" w:rsidRPr="00993CBE">
        <w:t>September</w:t>
      </w:r>
      <w:r w:rsidR="00545BEE">
        <w:t> </w:t>
      </w:r>
      <w:r w:rsidR="00A154C2" w:rsidRPr="00993CBE">
        <w:t>201</w:t>
      </w:r>
      <w:r w:rsidR="00A20894">
        <w:t>3</w:t>
      </w:r>
      <w:r w:rsidR="00A154C2" w:rsidRPr="00993CBE">
        <w:t>).</w:t>
      </w:r>
    </w:p>
    <w:p w:rsidR="00F42DC0" w:rsidRDefault="00F42DC0" w:rsidP="00E55440">
      <w:pPr>
        <w:pStyle w:val="Reference"/>
      </w:pPr>
      <w:r>
        <w:t xml:space="preserve">—— </w:t>
      </w:r>
      <w:proofErr w:type="spellStart"/>
      <w:r>
        <w:t>2012b</w:t>
      </w:r>
      <w:proofErr w:type="spellEnd"/>
      <w:r>
        <w:t xml:space="preserve">, </w:t>
      </w:r>
      <w:r>
        <w:rPr>
          <w:i/>
        </w:rPr>
        <w:t>Information Paper: Measures of Socioeconomic Status</w:t>
      </w:r>
      <w:r>
        <w:t>, Cat. no. 1244.0.55.001, Canberra.</w:t>
      </w:r>
    </w:p>
    <w:p w:rsidR="00F07E7F" w:rsidRDefault="00F07E7F" w:rsidP="006327D8">
      <w:pPr>
        <w:pStyle w:val="Reference"/>
        <w:jc w:val="left"/>
      </w:pPr>
      <w:r>
        <w:t xml:space="preserve">—— undated </w:t>
      </w:r>
      <w:r w:rsidR="006327D8" w:rsidRPr="00993CBE">
        <w:t>(accessed 1</w:t>
      </w:r>
      <w:r w:rsidR="006327D8">
        <w:t>1 </w:t>
      </w:r>
      <w:r w:rsidR="006327D8" w:rsidRPr="00993CBE">
        <w:t>September</w:t>
      </w:r>
      <w:r w:rsidR="006327D8">
        <w:t> </w:t>
      </w:r>
      <w:r w:rsidR="006327D8" w:rsidRPr="00993CBE">
        <w:t>201</w:t>
      </w:r>
      <w:r w:rsidR="006327D8">
        <w:t xml:space="preserve">3), </w:t>
      </w:r>
      <w:r>
        <w:t>Statistical Geography Fact Sheet</w:t>
      </w:r>
      <w:r w:rsidR="006327D8">
        <w:t>s:</w:t>
      </w:r>
      <w:r>
        <w:t xml:space="preserve"> </w:t>
      </w:r>
      <w:r w:rsidR="006327D8">
        <w:br/>
      </w:r>
      <w:r w:rsidR="001A51B6">
        <w:t xml:space="preserve">– </w:t>
      </w:r>
      <w:r>
        <w:t xml:space="preserve">Changes to </w:t>
      </w:r>
      <w:r w:rsidR="006327D8">
        <w:t>G</w:t>
      </w:r>
      <w:r>
        <w:t xml:space="preserve">eographic </w:t>
      </w:r>
      <w:r w:rsidR="006327D8">
        <w:t>A</w:t>
      </w:r>
      <w:r>
        <w:t>reas between Censuses</w:t>
      </w:r>
      <w:r w:rsidR="006327D8">
        <w:t xml:space="preserve"> – Fact Sheet</w:t>
      </w:r>
      <w:r w:rsidR="006327D8">
        <w:br/>
      </w:r>
      <w:r w:rsidR="001A51B6">
        <w:t xml:space="preserve">– </w:t>
      </w:r>
      <w:r w:rsidR="006327D8">
        <w:t xml:space="preserve">Time Series – Fact Sheet </w:t>
      </w:r>
      <w:r w:rsidR="00A20894" w:rsidRPr="00A20894">
        <w:t>http://www.abs.gov.au/websitedbs/D3310114.nsf/home/ASGS+Fact+Sheets</w:t>
      </w:r>
    </w:p>
    <w:p w:rsidR="008151F7" w:rsidRDefault="006847D5" w:rsidP="008151F7">
      <w:pPr>
        <w:pStyle w:val="Reference"/>
      </w:pPr>
      <w:r w:rsidRPr="000972FD">
        <w:t>—— </w:t>
      </w:r>
      <w:r>
        <w:t>2013</w:t>
      </w:r>
      <w:r w:rsidRPr="000972FD">
        <w:t xml:space="preserve">, </w:t>
      </w:r>
      <w:r>
        <w:rPr>
          <w:i/>
        </w:rPr>
        <w:t xml:space="preserve">Australian Demographic Statistics, Dec 2012, </w:t>
      </w:r>
      <w:r>
        <w:t>Cat. No. 3101.0, Canberra.</w:t>
      </w:r>
    </w:p>
    <w:p w:rsidR="008151F7" w:rsidRDefault="008151F7" w:rsidP="00803E18">
      <w:pPr>
        <w:pStyle w:val="ListNumber2"/>
      </w:pPr>
      <w:r>
        <w:t>Feature Article 1: Final rebasing of Australia’s population estimates, September quarter 2006 – June quarter 2011</w:t>
      </w:r>
    </w:p>
    <w:p w:rsidR="008151F7" w:rsidRDefault="008151F7" w:rsidP="00803E18">
      <w:pPr>
        <w:pStyle w:val="ListNumber2"/>
      </w:pPr>
      <w:r>
        <w:t xml:space="preserve">Feature Article 2: Recasting 20 Years of </w:t>
      </w:r>
      <w:proofErr w:type="spellStart"/>
      <w:r>
        <w:t>ERP</w:t>
      </w:r>
      <w:proofErr w:type="spellEnd"/>
    </w:p>
    <w:p w:rsidR="00C31DA9" w:rsidRDefault="008151F7" w:rsidP="00803E18">
      <w:pPr>
        <w:pStyle w:val="ListNumber2"/>
      </w:pPr>
      <w:r>
        <w:t>Feature Article 4: Advice on the transition to rebased population estimates for National Agreement reporting</w:t>
      </w:r>
    </w:p>
    <w:p w:rsidR="00140E10" w:rsidRPr="00F42DC0" w:rsidRDefault="00140E10" w:rsidP="006A7B98">
      <w:pPr>
        <w:pStyle w:val="BodyText"/>
        <w:ind w:left="426" w:hanging="426"/>
      </w:pPr>
      <w:r w:rsidRPr="000972FD">
        <w:t>—— </w:t>
      </w:r>
      <w:proofErr w:type="spellStart"/>
      <w:r>
        <w:t>2013d</w:t>
      </w:r>
      <w:proofErr w:type="spellEnd"/>
      <w:r w:rsidRPr="000972FD">
        <w:t xml:space="preserve">, </w:t>
      </w:r>
      <w:r w:rsidRPr="00140E10">
        <w:rPr>
          <w:i/>
        </w:rPr>
        <w:t>Population Projections, Australia, 2012</w:t>
      </w:r>
      <w:r>
        <w:rPr>
          <w:i/>
        </w:rPr>
        <w:t xml:space="preserve"> (base) to 210</w:t>
      </w:r>
      <w:r w:rsidRPr="00140E10">
        <w:rPr>
          <w:i/>
        </w:rPr>
        <w:t>1</w:t>
      </w:r>
      <w:r>
        <w:t>, Cat. No. 3222.0, Canberra.</w:t>
      </w:r>
    </w:p>
    <w:p w:rsidR="00C40586" w:rsidRDefault="00C40586" w:rsidP="002332B3">
      <w:pPr>
        <w:pStyle w:val="ListNumber"/>
        <w:numPr>
          <w:ilvl w:val="0"/>
          <w:numId w:val="0"/>
        </w:numPr>
        <w:ind w:left="340" w:hanging="340"/>
      </w:pPr>
      <w:r w:rsidRPr="000972FD">
        <w:lastRenderedPageBreak/>
        <w:t>—— </w:t>
      </w:r>
      <w:proofErr w:type="spellStart"/>
      <w:r>
        <w:t>2013</w:t>
      </w:r>
      <w:r w:rsidR="00140E10">
        <w:t>e</w:t>
      </w:r>
      <w:proofErr w:type="spellEnd"/>
      <w:r w:rsidRPr="000972FD">
        <w:t xml:space="preserve">, </w:t>
      </w:r>
      <w:r w:rsidR="00140E10">
        <w:t xml:space="preserve">Feature Article: Which population to use for age standardisation?, </w:t>
      </w:r>
      <w:r w:rsidRPr="002332B3">
        <w:rPr>
          <w:i/>
        </w:rPr>
        <w:t>Australian Demographic Statistics</w:t>
      </w:r>
      <w:r>
        <w:t xml:space="preserve">, </w:t>
      </w:r>
      <w:r w:rsidR="002332B3" w:rsidRPr="002332B3">
        <w:rPr>
          <w:i/>
        </w:rPr>
        <w:t xml:space="preserve">Mar </w:t>
      </w:r>
      <w:r w:rsidRPr="002332B3">
        <w:rPr>
          <w:i/>
        </w:rPr>
        <w:t>201</w:t>
      </w:r>
      <w:r w:rsidR="002332B3" w:rsidRPr="002332B3">
        <w:rPr>
          <w:i/>
        </w:rPr>
        <w:t>3</w:t>
      </w:r>
      <w:r>
        <w:t>, Cat. No. 3101.0, Canberra.</w:t>
      </w:r>
    </w:p>
    <w:p w:rsidR="00A22F9D" w:rsidRPr="00A22F9D" w:rsidRDefault="00A22F9D" w:rsidP="00FD4302">
      <w:pPr>
        <w:pStyle w:val="Reference"/>
      </w:pPr>
      <w:r w:rsidRPr="00A22F9D">
        <w:t xml:space="preserve">Australian Government 2012, </w:t>
      </w:r>
      <w:r>
        <w:rPr>
          <w:i/>
        </w:rPr>
        <w:t>Social Inclusion in Australia: How Australia is Faring—2</w:t>
      </w:r>
      <w:r w:rsidRPr="00A22F9D">
        <w:rPr>
          <w:i/>
          <w:vertAlign w:val="superscript"/>
        </w:rPr>
        <w:t>nd</w:t>
      </w:r>
      <w:r>
        <w:rPr>
          <w:i/>
        </w:rPr>
        <w:t xml:space="preserve"> Edition</w:t>
      </w:r>
      <w:r>
        <w:t>, Canberra.</w:t>
      </w:r>
    </w:p>
    <w:p w:rsidR="002D41D7" w:rsidRDefault="002D41D7" w:rsidP="002D41D7">
      <w:pPr>
        <w:pStyle w:val="Reference"/>
      </w:pPr>
      <w:proofErr w:type="spellStart"/>
      <w:r>
        <w:t>Breslow</w:t>
      </w:r>
      <w:proofErr w:type="spellEnd"/>
      <w:r>
        <w:t xml:space="preserve">, N. and Day, N. 1987 </w:t>
      </w:r>
      <w:r w:rsidRPr="002F64FD">
        <w:rPr>
          <w:i/>
        </w:rPr>
        <w:t xml:space="preserve">Statistical </w:t>
      </w:r>
      <w:r>
        <w:rPr>
          <w:i/>
        </w:rPr>
        <w:t>M</w:t>
      </w:r>
      <w:r w:rsidRPr="002F64FD">
        <w:rPr>
          <w:i/>
        </w:rPr>
        <w:t xml:space="preserve">ethods in </w:t>
      </w:r>
      <w:r>
        <w:rPr>
          <w:i/>
        </w:rPr>
        <w:t>C</w:t>
      </w:r>
      <w:r w:rsidRPr="002F64FD">
        <w:rPr>
          <w:i/>
        </w:rPr>
        <w:t xml:space="preserve">ancer </w:t>
      </w:r>
      <w:r>
        <w:rPr>
          <w:i/>
        </w:rPr>
        <w:t>R</w:t>
      </w:r>
      <w:r w:rsidRPr="002F64FD">
        <w:rPr>
          <w:i/>
        </w:rPr>
        <w:t>esearch</w:t>
      </w:r>
      <w:r>
        <w:rPr>
          <w:i/>
        </w:rPr>
        <w:t>,</w:t>
      </w:r>
      <w:r w:rsidRPr="003D1424">
        <w:t xml:space="preserve"> </w:t>
      </w:r>
      <w:r>
        <w:t xml:space="preserve">WHO </w:t>
      </w:r>
      <w:r w:rsidRPr="003D1424">
        <w:t>International Agency for Research on Cancer</w:t>
      </w:r>
      <w:r>
        <w:t>, Lyon.</w:t>
      </w:r>
    </w:p>
    <w:p w:rsidR="003C705C" w:rsidRDefault="000972FD" w:rsidP="00404659">
      <w:pPr>
        <w:pStyle w:val="Reference"/>
        <w:jc w:val="left"/>
      </w:pPr>
      <w:r>
        <w:t>COAG</w:t>
      </w:r>
      <w:r w:rsidR="003C705C">
        <w:t xml:space="preserve"> 2012, </w:t>
      </w:r>
      <w:r w:rsidR="0044018C" w:rsidRPr="001969C7">
        <w:t>National Agreements</w:t>
      </w:r>
      <w:r w:rsidR="00404659">
        <w:t>,</w:t>
      </w:r>
      <w:r w:rsidR="003C705C">
        <w:t xml:space="preserve"> </w:t>
      </w:r>
      <w:hyperlink r:id="rId17" w:history="1">
        <w:r w:rsidR="003C705C" w:rsidRPr="000245AB">
          <w:t>www.federalfinancialrelations.gov.au/content/national_agreements.aspx</w:t>
        </w:r>
      </w:hyperlink>
      <w:r w:rsidR="003C705C" w:rsidRPr="0003304D">
        <w:t xml:space="preserve"> </w:t>
      </w:r>
      <w:r w:rsidR="003C705C">
        <w:t xml:space="preserve">(accessed </w:t>
      </w:r>
      <w:r w:rsidR="003C705C" w:rsidRPr="003817F6">
        <w:t>1</w:t>
      </w:r>
      <w:r w:rsidR="00FC7720">
        <w:t>1</w:t>
      </w:r>
      <w:r w:rsidR="003C705C">
        <w:t> </w:t>
      </w:r>
      <w:r w:rsidR="003C705C" w:rsidRPr="003817F6">
        <w:t>September 201</w:t>
      </w:r>
      <w:r w:rsidR="00FC7720">
        <w:t>3</w:t>
      </w:r>
      <w:r w:rsidR="003C705C">
        <w:t>).</w:t>
      </w:r>
    </w:p>
    <w:p w:rsidR="008F5623" w:rsidRPr="003A6A70" w:rsidRDefault="00D035FB" w:rsidP="006C4318">
      <w:pPr>
        <w:pStyle w:val="Reference"/>
      </w:pPr>
      <w:r w:rsidRPr="003A6A70">
        <w:t>PC (Productivity Commission) 201</w:t>
      </w:r>
      <w:r w:rsidR="001F30E9" w:rsidRPr="003A6A70">
        <w:t>1</w:t>
      </w:r>
      <w:r w:rsidR="008F5623" w:rsidRPr="003A6A70">
        <w:t xml:space="preserve">, </w:t>
      </w:r>
      <w:r w:rsidR="008F5623" w:rsidRPr="003A6A70">
        <w:rPr>
          <w:i/>
        </w:rPr>
        <w:t>Disability Care and Support</w:t>
      </w:r>
      <w:r w:rsidR="008F5623" w:rsidRPr="003A6A70">
        <w:t>, Report no. 54, Canberra.</w:t>
      </w:r>
    </w:p>
    <w:p w:rsidR="0009627E" w:rsidRPr="007A1D85" w:rsidRDefault="009D6522" w:rsidP="000A6DD2">
      <w:pPr>
        <w:pStyle w:val="Reference"/>
      </w:pPr>
      <w:proofErr w:type="spellStart"/>
      <w:r w:rsidRPr="003A6A70">
        <w:t>SCRGSP</w:t>
      </w:r>
      <w:proofErr w:type="spellEnd"/>
      <w:r w:rsidRPr="003A6A70">
        <w:t xml:space="preserve"> </w:t>
      </w:r>
      <w:r w:rsidR="004556BD" w:rsidRPr="003A6A70">
        <w:t xml:space="preserve">(Steering Committee for the Review of Government Service Provision) </w:t>
      </w:r>
      <w:r w:rsidR="004552BD" w:rsidRPr="007A1D85">
        <w:t>201</w:t>
      </w:r>
      <w:r w:rsidR="002F4201">
        <w:t>3</w:t>
      </w:r>
      <w:r w:rsidRPr="007A1D85">
        <w:t xml:space="preserve">, </w:t>
      </w:r>
      <w:r w:rsidR="0009627E" w:rsidRPr="007A1D85">
        <w:rPr>
          <w:i/>
        </w:rPr>
        <w:t>Re</w:t>
      </w:r>
      <w:r w:rsidR="006A5F2F" w:rsidRPr="007A1D85">
        <w:rPr>
          <w:i/>
        </w:rPr>
        <w:t>port on Government Services 201</w:t>
      </w:r>
      <w:r w:rsidR="002F4201">
        <w:rPr>
          <w:i/>
        </w:rPr>
        <w:t>3</w:t>
      </w:r>
      <w:r w:rsidR="0009627E" w:rsidRPr="007A1D85">
        <w:rPr>
          <w:i/>
        </w:rPr>
        <w:t xml:space="preserve">, </w:t>
      </w:r>
      <w:r w:rsidR="0009627E" w:rsidRPr="007A1D85">
        <w:t>Productivity Commission, Canberra.</w:t>
      </w:r>
    </w:p>
    <w:p w:rsidR="000A6DD2" w:rsidRPr="00BF6E3A" w:rsidRDefault="0023682F" w:rsidP="000A6DD2">
      <w:pPr>
        <w:pStyle w:val="Reference"/>
      </w:pPr>
      <w:r w:rsidRPr="00BF6E3A">
        <w:t>Treasury (Department of Treasury) 2010,</w:t>
      </w:r>
      <w:r w:rsidRPr="00BF6E3A">
        <w:rPr>
          <w:i/>
        </w:rPr>
        <w:t xml:space="preserve"> </w:t>
      </w:r>
      <w:r w:rsidR="0050232D" w:rsidRPr="00BF6E3A">
        <w:rPr>
          <w:i/>
        </w:rPr>
        <w:t>Australia to 2050: Future Challenges</w:t>
      </w:r>
      <w:r w:rsidR="00BF6E3A">
        <w:t xml:space="preserve">, </w:t>
      </w:r>
      <w:proofErr w:type="spellStart"/>
      <w:r w:rsidR="00BF6E3A" w:rsidRPr="00BF6E3A">
        <w:t>archive.treasury.gov.au</w:t>
      </w:r>
      <w:proofErr w:type="spellEnd"/>
      <w:r w:rsidR="00BF6E3A" w:rsidRPr="00BF6E3A">
        <w:t>/</w:t>
      </w:r>
      <w:proofErr w:type="spellStart"/>
      <w:r w:rsidR="00BF6E3A" w:rsidRPr="00BF6E3A">
        <w:t>igr</w:t>
      </w:r>
      <w:proofErr w:type="spellEnd"/>
      <w:r w:rsidR="00BF6E3A" w:rsidRPr="00BF6E3A">
        <w:t>/</w:t>
      </w:r>
      <w:proofErr w:type="spellStart"/>
      <w:r w:rsidR="00BF6E3A" w:rsidRPr="00BF6E3A">
        <w:t>igr2010</w:t>
      </w:r>
      <w:proofErr w:type="spellEnd"/>
      <w:r w:rsidR="00BF6E3A" w:rsidRPr="00BF6E3A">
        <w:t>/report/pdf/</w:t>
      </w:r>
      <w:proofErr w:type="spellStart"/>
      <w:r w:rsidR="00BF6E3A" w:rsidRPr="00BF6E3A">
        <w:t>IGR_2010.pdf</w:t>
      </w:r>
      <w:proofErr w:type="spellEnd"/>
      <w:r w:rsidR="000A6DD2" w:rsidRPr="00BF6E3A">
        <w:t xml:space="preserve"> (accessed</w:t>
      </w:r>
      <w:r w:rsidR="00BF6E3A">
        <w:t> </w:t>
      </w:r>
      <w:r w:rsidR="00FC7720">
        <w:t>11</w:t>
      </w:r>
      <w:r w:rsidR="00BF6E3A">
        <w:t> September 201</w:t>
      </w:r>
      <w:r w:rsidR="00FC7720">
        <w:t>3</w:t>
      </w:r>
      <w:r w:rsidR="000A6DD2" w:rsidRPr="00BF6E3A">
        <w:t>)</w:t>
      </w:r>
      <w:r w:rsidR="006C4318" w:rsidRPr="00BF6E3A">
        <w:t>.</w:t>
      </w:r>
    </w:p>
    <w:p w:rsidR="000A55A7" w:rsidRPr="00DC6F9C" w:rsidRDefault="000A55A7" w:rsidP="00DC6F9C">
      <w:pPr>
        <w:pStyle w:val="Heading2"/>
      </w:pPr>
      <w:r w:rsidRPr="00F47246">
        <w:br w:type="page"/>
      </w:r>
      <w:proofErr w:type="spellStart"/>
      <w:r w:rsidR="00F50704" w:rsidRPr="00DC6F9C">
        <w:lastRenderedPageBreak/>
        <w:t>A.</w:t>
      </w:r>
      <w:r w:rsidR="00F50704">
        <w:fldChar w:fldCharType="begin"/>
      </w:r>
      <w:r w:rsidR="00F50704">
        <w:instrText xml:space="preserve"> COMMENTS  \* MERGEFORMAT </w:instrText>
      </w:r>
      <w:r w:rsidR="00F50704">
        <w:fldChar w:fldCharType="end"/>
      </w:r>
      <w:r w:rsidR="00757965">
        <w:fldChar w:fldCharType="begin"/>
      </w:r>
      <w:r w:rsidR="00757965">
        <w:instrText xml:space="preserve"> SEQ Heading2 </w:instrText>
      </w:r>
      <w:r w:rsidR="00757965">
        <w:fldChar w:fldCharType="separate"/>
      </w:r>
      <w:r w:rsidR="00856D3A">
        <w:rPr>
          <w:noProof/>
        </w:rPr>
        <w:t>7</w:t>
      </w:r>
      <w:proofErr w:type="spellEnd"/>
      <w:r w:rsidR="00757965">
        <w:rPr>
          <w:noProof/>
        </w:rPr>
        <w:fldChar w:fldCharType="end"/>
      </w:r>
      <w:r w:rsidR="00F50704">
        <w:tab/>
      </w:r>
      <w:r w:rsidRPr="00DC6F9C">
        <w:t>Acronyms and abbreviations</w:t>
      </w:r>
    </w:p>
    <w:p w:rsidR="000A55A7" w:rsidRPr="00DC6F9C" w:rsidRDefault="000A55A7" w:rsidP="000A55A7">
      <w:pPr>
        <w:pStyle w:val="Abbreviation"/>
      </w:pPr>
      <w:proofErr w:type="spellStart"/>
      <w:r w:rsidRPr="00DC6F9C">
        <w:t>AAGR</w:t>
      </w:r>
      <w:proofErr w:type="spellEnd"/>
      <w:r w:rsidRPr="00DC6F9C">
        <w:tab/>
        <w:t>Average Annual Growth Rate</w:t>
      </w:r>
    </w:p>
    <w:p w:rsidR="000A55A7" w:rsidRPr="00DC6F9C" w:rsidRDefault="000A55A7" w:rsidP="000A55A7">
      <w:pPr>
        <w:pStyle w:val="Abbreviation"/>
      </w:pPr>
      <w:r w:rsidRPr="00DC6F9C">
        <w:t>ABS</w:t>
      </w:r>
      <w:r w:rsidRPr="00DC6F9C">
        <w:tab/>
        <w:t>Australian Bureau of Statistics</w:t>
      </w:r>
    </w:p>
    <w:p w:rsidR="000A55A7" w:rsidRDefault="000A55A7" w:rsidP="000A55A7">
      <w:pPr>
        <w:pStyle w:val="Abbreviation"/>
      </w:pPr>
      <w:r w:rsidRPr="00DC6F9C">
        <w:t>ACT</w:t>
      </w:r>
      <w:r w:rsidRPr="00DC6F9C">
        <w:tab/>
        <w:t>Australian Capital Territory</w:t>
      </w:r>
    </w:p>
    <w:p w:rsidR="00404197" w:rsidRDefault="00404197" w:rsidP="000A55A7">
      <w:pPr>
        <w:pStyle w:val="Abbreviation"/>
      </w:pPr>
      <w:proofErr w:type="spellStart"/>
      <w:r>
        <w:t>ASGC</w:t>
      </w:r>
      <w:proofErr w:type="spellEnd"/>
      <w:r>
        <w:tab/>
        <w:t xml:space="preserve">Australian Standard Geographical Classification </w:t>
      </w:r>
    </w:p>
    <w:p w:rsidR="00404197" w:rsidRPr="00DC6F9C" w:rsidRDefault="00404197" w:rsidP="000A55A7">
      <w:pPr>
        <w:pStyle w:val="Abbreviation"/>
      </w:pPr>
      <w:proofErr w:type="spellStart"/>
      <w:r>
        <w:t>ASGS</w:t>
      </w:r>
      <w:proofErr w:type="spellEnd"/>
      <w:r>
        <w:tab/>
        <w:t>Australian Statistical Geography Standard</w:t>
      </w:r>
    </w:p>
    <w:p w:rsidR="000A55A7" w:rsidRPr="00DC6F9C" w:rsidRDefault="000A55A7" w:rsidP="000A55A7">
      <w:pPr>
        <w:pStyle w:val="Abbreviation"/>
      </w:pPr>
      <w:r w:rsidRPr="00DC6F9C">
        <w:t>Aust</w:t>
      </w:r>
      <w:r w:rsidRPr="00DC6F9C">
        <w:tab/>
        <w:t>Australia</w:t>
      </w:r>
    </w:p>
    <w:p w:rsidR="000A55A7" w:rsidRPr="00DC6F9C" w:rsidRDefault="000A55A7" w:rsidP="000A55A7">
      <w:pPr>
        <w:pStyle w:val="Abbreviation"/>
      </w:pPr>
      <w:r w:rsidRPr="00DC6F9C">
        <w:t>CI</w:t>
      </w:r>
      <w:r w:rsidRPr="00DC6F9C">
        <w:tab/>
        <w:t>confidence interval</w:t>
      </w:r>
    </w:p>
    <w:p w:rsidR="000A55A7" w:rsidRPr="00DC6F9C" w:rsidRDefault="000A55A7" w:rsidP="000A55A7">
      <w:pPr>
        <w:pStyle w:val="Abbreviation"/>
      </w:pPr>
      <w:r w:rsidRPr="00DC6F9C">
        <w:t>COAG</w:t>
      </w:r>
      <w:r w:rsidRPr="00DC6F9C">
        <w:tab/>
        <w:t>Council of Australian Governments</w:t>
      </w:r>
    </w:p>
    <w:p w:rsidR="000A55A7" w:rsidRPr="00DC6F9C" w:rsidRDefault="000A55A7" w:rsidP="000A55A7">
      <w:pPr>
        <w:pStyle w:val="Abbreviation"/>
      </w:pPr>
      <w:proofErr w:type="spellStart"/>
      <w:r w:rsidRPr="00DC6F9C">
        <w:t>ERP</w:t>
      </w:r>
      <w:proofErr w:type="spellEnd"/>
      <w:r w:rsidRPr="00DC6F9C">
        <w:tab/>
        <w:t>estimated resident population</w:t>
      </w:r>
    </w:p>
    <w:p w:rsidR="000A55A7" w:rsidRPr="00DC6F9C" w:rsidRDefault="000A55A7" w:rsidP="000A55A7">
      <w:pPr>
        <w:pStyle w:val="Abbreviation"/>
      </w:pPr>
      <w:proofErr w:type="spellStart"/>
      <w:r w:rsidRPr="00DC6F9C">
        <w:t>IRSD</w:t>
      </w:r>
      <w:proofErr w:type="spellEnd"/>
      <w:r w:rsidRPr="00DC6F9C">
        <w:tab/>
        <w:t>Index of Relative Social Disadvantage</w:t>
      </w:r>
    </w:p>
    <w:p w:rsidR="000A55A7" w:rsidRPr="00DC6F9C" w:rsidRDefault="000A55A7" w:rsidP="000A55A7">
      <w:pPr>
        <w:pStyle w:val="Abbreviation"/>
      </w:pPr>
      <w:proofErr w:type="spellStart"/>
      <w:r w:rsidRPr="00DC6F9C">
        <w:t>na</w:t>
      </w:r>
      <w:proofErr w:type="spellEnd"/>
      <w:r w:rsidRPr="00DC6F9C">
        <w:tab/>
        <w:t>not available</w:t>
      </w:r>
    </w:p>
    <w:p w:rsidR="000A55A7" w:rsidRPr="00DC6F9C" w:rsidRDefault="000A55A7" w:rsidP="000A55A7">
      <w:pPr>
        <w:pStyle w:val="Abbreviation"/>
      </w:pPr>
      <w:r w:rsidRPr="00DC6F9C">
        <w:t>np</w:t>
      </w:r>
      <w:r w:rsidRPr="00DC6F9C">
        <w:tab/>
        <w:t>not published</w:t>
      </w:r>
    </w:p>
    <w:p w:rsidR="000A55A7" w:rsidRPr="00DC6F9C" w:rsidRDefault="000A55A7" w:rsidP="000A55A7">
      <w:pPr>
        <w:pStyle w:val="Abbreviation"/>
      </w:pPr>
      <w:r w:rsidRPr="00DC6F9C">
        <w:t>NSW</w:t>
      </w:r>
      <w:r w:rsidRPr="00DC6F9C">
        <w:tab/>
        <w:t>New South Wales</w:t>
      </w:r>
    </w:p>
    <w:p w:rsidR="000A55A7" w:rsidRPr="00DC6F9C" w:rsidRDefault="000A55A7" w:rsidP="000A55A7">
      <w:pPr>
        <w:pStyle w:val="Abbreviation"/>
      </w:pPr>
      <w:r w:rsidRPr="00DC6F9C">
        <w:t>NT</w:t>
      </w:r>
      <w:r w:rsidRPr="00DC6F9C">
        <w:tab/>
        <w:t>Northern Territory</w:t>
      </w:r>
    </w:p>
    <w:p w:rsidR="000A55A7" w:rsidRPr="00DC6F9C" w:rsidRDefault="000A55A7" w:rsidP="000A55A7">
      <w:pPr>
        <w:pStyle w:val="Abbreviation"/>
      </w:pPr>
      <w:r w:rsidRPr="00DC6F9C">
        <w:t>Qld</w:t>
      </w:r>
      <w:r w:rsidRPr="00DC6F9C">
        <w:tab/>
        <w:t>Queensland</w:t>
      </w:r>
    </w:p>
    <w:p w:rsidR="000A55A7" w:rsidRPr="00DC6F9C" w:rsidRDefault="000A55A7" w:rsidP="000A55A7">
      <w:pPr>
        <w:pStyle w:val="Abbreviation"/>
      </w:pPr>
      <w:proofErr w:type="spellStart"/>
      <w:r w:rsidRPr="00DC6F9C">
        <w:t>RSE</w:t>
      </w:r>
      <w:proofErr w:type="spellEnd"/>
      <w:r w:rsidRPr="00DC6F9C">
        <w:tab/>
        <w:t>relative standard error</w:t>
      </w:r>
    </w:p>
    <w:p w:rsidR="000A55A7" w:rsidRDefault="000A55A7" w:rsidP="000A55A7">
      <w:pPr>
        <w:pStyle w:val="Abbreviation"/>
      </w:pPr>
      <w:r w:rsidRPr="00DC6F9C">
        <w:t>SA</w:t>
      </w:r>
      <w:r w:rsidRPr="00DC6F9C">
        <w:tab/>
        <w:t>South Australia</w:t>
      </w:r>
    </w:p>
    <w:p w:rsidR="00404197" w:rsidRPr="00DC6F9C" w:rsidRDefault="00404197" w:rsidP="000A55A7">
      <w:pPr>
        <w:pStyle w:val="Abbreviation"/>
      </w:pPr>
      <w:proofErr w:type="spellStart"/>
      <w:r>
        <w:t>SA2</w:t>
      </w:r>
      <w:proofErr w:type="spellEnd"/>
      <w:r>
        <w:tab/>
        <w:t>Statistical Area Level 2</w:t>
      </w:r>
    </w:p>
    <w:p w:rsidR="000A55A7" w:rsidRDefault="000A55A7" w:rsidP="000A55A7">
      <w:pPr>
        <w:pStyle w:val="Abbreviation"/>
      </w:pPr>
      <w:proofErr w:type="spellStart"/>
      <w:r w:rsidRPr="00DC6F9C">
        <w:t>SDAC</w:t>
      </w:r>
      <w:proofErr w:type="spellEnd"/>
      <w:r w:rsidRPr="00DC6F9C">
        <w:tab/>
        <w:t>Survey of Disability, Ageing and Carers</w:t>
      </w:r>
    </w:p>
    <w:p w:rsidR="00404197" w:rsidRPr="00DC6F9C" w:rsidRDefault="00404197" w:rsidP="000A55A7">
      <w:pPr>
        <w:pStyle w:val="Abbreviation"/>
      </w:pPr>
      <w:r>
        <w:t>SLA</w:t>
      </w:r>
      <w:r>
        <w:tab/>
        <w:t>Statistical Local Area</w:t>
      </w:r>
    </w:p>
    <w:p w:rsidR="000A55A7" w:rsidRPr="00DC6F9C" w:rsidRDefault="000A55A7" w:rsidP="000A55A7">
      <w:pPr>
        <w:pStyle w:val="Abbreviation"/>
      </w:pPr>
      <w:r w:rsidRPr="00DC6F9C">
        <w:t>SE</w:t>
      </w:r>
      <w:r w:rsidRPr="00DC6F9C">
        <w:tab/>
      </w:r>
      <w:r w:rsidR="00010D4A">
        <w:t>s</w:t>
      </w:r>
      <w:r w:rsidRPr="00DC6F9C">
        <w:t>tandard error</w:t>
      </w:r>
    </w:p>
    <w:p w:rsidR="000A55A7" w:rsidRPr="00DC6F9C" w:rsidRDefault="000A55A7" w:rsidP="000A55A7">
      <w:pPr>
        <w:pStyle w:val="Abbreviation"/>
      </w:pPr>
      <w:proofErr w:type="spellStart"/>
      <w:r w:rsidRPr="00DC6F9C">
        <w:t>SEIFA</w:t>
      </w:r>
      <w:proofErr w:type="spellEnd"/>
      <w:r w:rsidRPr="00DC6F9C">
        <w:tab/>
        <w:t>Socio</w:t>
      </w:r>
      <w:r w:rsidR="00A047FC">
        <w:t>-</w:t>
      </w:r>
      <w:r w:rsidRPr="00DC6F9C">
        <w:t>economic Indexes for Areas</w:t>
      </w:r>
    </w:p>
    <w:p w:rsidR="000A55A7" w:rsidRPr="00DC6F9C" w:rsidRDefault="000A55A7" w:rsidP="000A55A7">
      <w:pPr>
        <w:pStyle w:val="Abbreviation"/>
      </w:pPr>
      <w:r w:rsidRPr="00DC6F9C">
        <w:t>SES</w:t>
      </w:r>
      <w:r w:rsidRPr="00DC6F9C">
        <w:tab/>
        <w:t>socioeconomic status</w:t>
      </w:r>
    </w:p>
    <w:p w:rsidR="000A55A7" w:rsidRPr="00DC6F9C" w:rsidRDefault="000A55A7" w:rsidP="000A55A7">
      <w:pPr>
        <w:pStyle w:val="Abbreviation"/>
      </w:pPr>
      <w:r w:rsidRPr="00DC6F9C">
        <w:t>Tas</w:t>
      </w:r>
      <w:r w:rsidRPr="00DC6F9C">
        <w:tab/>
        <w:t>Tasmania</w:t>
      </w:r>
    </w:p>
    <w:p w:rsidR="000A55A7" w:rsidRPr="00DC6F9C" w:rsidRDefault="000A55A7" w:rsidP="000A55A7">
      <w:pPr>
        <w:pStyle w:val="Abbreviation"/>
      </w:pPr>
      <w:r w:rsidRPr="00DC6F9C">
        <w:t>Vic</w:t>
      </w:r>
      <w:r w:rsidRPr="00DC6F9C">
        <w:tab/>
        <w:t>Victoria</w:t>
      </w:r>
    </w:p>
    <w:p w:rsidR="000A55A7" w:rsidRPr="00B7445C" w:rsidRDefault="000A55A7" w:rsidP="000A55A7">
      <w:pPr>
        <w:pStyle w:val="Abbreviation"/>
        <w:rPr>
          <w:rStyle w:val="DraftingNote"/>
          <w:b w:val="0"/>
          <w:color w:val="auto"/>
          <w:u w:val="none"/>
        </w:rPr>
      </w:pPr>
      <w:r w:rsidRPr="00DC6F9C">
        <w:t>WA</w:t>
      </w:r>
      <w:r w:rsidRPr="00DC6F9C">
        <w:tab/>
        <w:t>Western Australia</w:t>
      </w:r>
    </w:p>
    <w:p w:rsidR="00306484" w:rsidRPr="00F47246" w:rsidRDefault="00306484" w:rsidP="00306484">
      <w:pPr>
        <w:pStyle w:val="Reference"/>
      </w:pPr>
    </w:p>
    <w:sectPr w:rsidR="00306484" w:rsidRPr="00F47246" w:rsidSect="005540DB">
      <w:headerReference w:type="even" r:id="rId18"/>
      <w:headerReference w:type="default" r:id="rId19"/>
      <w:footerReference w:type="even" r:id="rId20"/>
      <w:footerReference w:type="default" r:id="rId21"/>
      <w:pgSz w:w="11907" w:h="16840" w:code="9"/>
      <w:pgMar w:top="1985" w:right="1304" w:bottom="1418" w:left="1814" w:header="1701" w:footer="56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AF7" w:rsidRDefault="00575AF7">
      <w:r>
        <w:separator/>
      </w:r>
    </w:p>
  </w:endnote>
  <w:endnote w:type="continuationSeparator" w:id="0">
    <w:p w:rsidR="00575AF7" w:rsidRDefault="005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575AF7">
      <w:trPr>
        <w:trHeight w:hRule="exact" w:val="740"/>
      </w:trPr>
      <w:tc>
        <w:tcPr>
          <w:tcW w:w="510" w:type="dxa"/>
          <w:tcBorders>
            <w:top w:val="single" w:sz="6" w:space="0" w:color="auto"/>
          </w:tcBorders>
        </w:tcPr>
        <w:p w:rsidR="00575AF7" w:rsidRDefault="00575AF7" w:rsidP="0019293B">
          <w:pPr>
            <w:pStyle w:val="Footer"/>
            <w:tabs>
              <w:tab w:val="left" w:pos="0"/>
            </w:tabs>
            <w:ind w:right="0"/>
            <w:rPr>
              <w:rStyle w:val="PageNumber"/>
            </w:rPr>
          </w:pPr>
          <w:proofErr w:type="spellStart"/>
          <w:r>
            <w:rPr>
              <w:rStyle w:val="PageNumber"/>
            </w:rPr>
            <w:t>A.</w:t>
          </w:r>
          <w:proofErr w:type="spellEnd"/>
          <w:r>
            <w:rPr>
              <w:rStyle w:val="PageNumber"/>
            </w:rPr>
            <w:fldChar w:fldCharType="begin"/>
          </w:r>
          <w:r>
            <w:rPr>
              <w:rStyle w:val="PageNumber"/>
            </w:rPr>
            <w:instrText xml:space="preserve">PAGE  </w:instrText>
          </w:r>
          <w:r>
            <w:rPr>
              <w:rStyle w:val="PageNumber"/>
            </w:rPr>
            <w:fldChar w:fldCharType="separate"/>
          </w:r>
          <w:r w:rsidR="00BA1DD7">
            <w:rPr>
              <w:rStyle w:val="PageNumber"/>
              <w:noProof/>
            </w:rPr>
            <w:t>8</w:t>
          </w:r>
          <w:r>
            <w:rPr>
              <w:rStyle w:val="PageNumber"/>
            </w:rPr>
            <w:fldChar w:fldCharType="end"/>
          </w:r>
        </w:p>
      </w:tc>
      <w:tc>
        <w:tcPr>
          <w:tcW w:w="1644" w:type="dxa"/>
          <w:tcBorders>
            <w:top w:val="single" w:sz="6" w:space="0" w:color="auto"/>
          </w:tcBorders>
        </w:tcPr>
        <w:p w:rsidR="00575AF7" w:rsidRDefault="00575AF7" w:rsidP="0019293B">
          <w:pPr>
            <w:pStyle w:val="Footer"/>
          </w:pPr>
          <w:proofErr w:type="spellStart"/>
          <w:r>
            <w:t>SCRGSP</w:t>
          </w:r>
          <w:proofErr w:type="spellEnd"/>
          <w:r>
            <w:t xml:space="preserve"> REPORT TO crc DECEMBER 2013</w:t>
          </w:r>
        </w:p>
      </w:tc>
      <w:tc>
        <w:tcPr>
          <w:tcW w:w="6634" w:type="dxa"/>
        </w:tcPr>
        <w:p w:rsidR="00575AF7" w:rsidRDefault="00575AF7" w:rsidP="0019293B">
          <w:pPr>
            <w:pStyle w:val="Footer"/>
          </w:pPr>
        </w:p>
      </w:tc>
    </w:tr>
  </w:tbl>
  <w:p w:rsidR="00575AF7" w:rsidRDefault="00575AF7"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575AF7">
      <w:trPr>
        <w:trHeight w:hRule="exact" w:val="740"/>
      </w:trPr>
      <w:tc>
        <w:tcPr>
          <w:tcW w:w="6634" w:type="dxa"/>
        </w:tcPr>
        <w:p w:rsidR="00575AF7" w:rsidRDefault="00575AF7">
          <w:pPr>
            <w:pStyle w:val="Footer"/>
            <w:ind w:right="360" w:firstLine="360"/>
          </w:pPr>
        </w:p>
      </w:tc>
      <w:tc>
        <w:tcPr>
          <w:tcW w:w="1644" w:type="dxa"/>
          <w:tcBorders>
            <w:top w:val="single" w:sz="6" w:space="0" w:color="auto"/>
          </w:tcBorders>
        </w:tcPr>
        <w:p w:rsidR="00575AF7" w:rsidRDefault="002A0E82">
          <w:pPr>
            <w:pStyle w:val="Footer"/>
          </w:pPr>
          <w:fldSimple w:instr=" TITLE  \* MERGEFORMAT ">
            <w:r w:rsidR="00856D3A">
              <w:t>Appendix</w:t>
            </w:r>
          </w:fldSimple>
        </w:p>
      </w:tc>
      <w:tc>
        <w:tcPr>
          <w:tcW w:w="510" w:type="dxa"/>
          <w:tcBorders>
            <w:top w:val="single" w:sz="6" w:space="0" w:color="auto"/>
          </w:tcBorders>
        </w:tcPr>
        <w:p w:rsidR="00575AF7" w:rsidRDefault="00575AF7">
          <w:pPr>
            <w:pStyle w:val="Footer"/>
            <w:jc w:val="right"/>
          </w:pPr>
          <w:proofErr w:type="spellStart"/>
          <w:r>
            <w:rPr>
              <w:rStyle w:val="PageNumber"/>
            </w:rPr>
            <w:t>A.</w:t>
          </w:r>
          <w:proofErr w:type="spellEnd"/>
          <w:r>
            <w:rPr>
              <w:rStyle w:val="PageNumber"/>
            </w:rPr>
            <w:fldChar w:fldCharType="begin"/>
          </w:r>
          <w:r>
            <w:rPr>
              <w:rStyle w:val="PageNumber"/>
            </w:rPr>
            <w:instrText xml:space="preserve">PAGE  </w:instrText>
          </w:r>
          <w:r>
            <w:rPr>
              <w:rStyle w:val="PageNumber"/>
            </w:rPr>
            <w:fldChar w:fldCharType="separate"/>
          </w:r>
          <w:r w:rsidR="00BA1DD7">
            <w:rPr>
              <w:rStyle w:val="PageNumber"/>
              <w:noProof/>
            </w:rPr>
            <w:t>1</w:t>
          </w:r>
          <w:r>
            <w:rPr>
              <w:rStyle w:val="PageNumber"/>
            </w:rPr>
            <w:fldChar w:fldCharType="end"/>
          </w:r>
        </w:p>
      </w:tc>
    </w:tr>
  </w:tbl>
  <w:p w:rsidR="00575AF7" w:rsidRDefault="00575AF7" w:rsidP="00B727DE">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AF7" w:rsidRDefault="00575AF7">
      <w:r>
        <w:separator/>
      </w:r>
    </w:p>
  </w:footnote>
  <w:footnote w:type="continuationSeparator" w:id="0">
    <w:p w:rsidR="00575AF7" w:rsidRDefault="00575AF7">
      <w:r>
        <w:continuationSeparator/>
      </w:r>
    </w:p>
  </w:footnote>
  <w:footnote w:id="1">
    <w:p w:rsidR="00575AF7" w:rsidRPr="00803E18" w:rsidRDefault="00575AF7">
      <w:pPr>
        <w:pStyle w:val="FootnoteText"/>
        <w:rPr>
          <w:lang w:val="en-US"/>
        </w:rPr>
      </w:pPr>
      <w:r>
        <w:rPr>
          <w:rStyle w:val="FootnoteReference"/>
        </w:rPr>
        <w:footnoteRef/>
      </w:r>
      <w:r>
        <w:t xml:space="preserve"> More information can be found in the ABS Feature Article 1: Final rebasing of Australia’s population estimates, September quarter 2006 – June quarter 2011, Cat. No. 3101.0.</w:t>
      </w:r>
    </w:p>
  </w:footnote>
  <w:footnote w:id="2">
    <w:p w:rsidR="00575AF7" w:rsidRPr="001350E3" w:rsidRDefault="00575AF7" w:rsidP="00E37EDC">
      <w:pPr>
        <w:pStyle w:val="FootnoteText"/>
        <w:rPr>
          <w:lang w:val="en-US"/>
        </w:rPr>
      </w:pPr>
      <w:r>
        <w:rPr>
          <w:rStyle w:val="FootnoteReference"/>
        </w:rPr>
        <w:footnoteRef/>
      </w:r>
      <w:r>
        <w:t xml:space="preserve"> See ABS Feature Article 2: Recasting 20 Years of </w:t>
      </w:r>
      <w:proofErr w:type="spellStart"/>
      <w:r>
        <w:t>ERP</w:t>
      </w:r>
      <w:proofErr w:type="spellEnd"/>
      <w:r>
        <w:t>, Cat. No. 3101.0.</w:t>
      </w:r>
    </w:p>
  </w:footnote>
  <w:footnote w:id="3">
    <w:p w:rsidR="00575AF7" w:rsidRDefault="00575AF7">
      <w:pPr>
        <w:pStyle w:val="FootnoteText"/>
      </w:pPr>
      <w:r>
        <w:rPr>
          <w:rStyle w:val="FootnoteReference"/>
        </w:rPr>
        <w:footnoteRef/>
      </w:r>
      <w:r>
        <w:t xml:space="preserve"> The calculation of </w:t>
      </w:r>
      <w:proofErr w:type="spellStart"/>
      <w:r>
        <w:t>AAGR</w:t>
      </w:r>
      <w:proofErr w:type="spellEnd"/>
      <w:r>
        <w:t xml:space="preserve"> is explained on page </w:t>
      </w:r>
      <w:proofErr w:type="spellStart"/>
      <w:r>
        <w:t>A.</w:t>
      </w:r>
      <w:r>
        <w:rPr>
          <w:noProof/>
        </w:rPr>
        <w:t>14</w:t>
      </w:r>
      <w:proofErr w:type="spellEnd"/>
      <w:r>
        <w:t>.</w:t>
      </w:r>
    </w:p>
  </w:footnote>
  <w:footnote w:id="4">
    <w:p w:rsidR="00575AF7" w:rsidRPr="00803E18" w:rsidRDefault="00575AF7" w:rsidP="00E704B4">
      <w:pPr>
        <w:pStyle w:val="FootnoteText"/>
        <w:jc w:val="left"/>
        <w:rPr>
          <w:lang w:val="en-US"/>
        </w:rPr>
      </w:pPr>
      <w:r>
        <w:rPr>
          <w:rStyle w:val="FootnoteReference"/>
        </w:rPr>
        <w:footnoteRef/>
      </w:r>
      <w:r>
        <w:t xml:space="preserve"> For further information see ABS Statistical Geography Fact Sheet – Changes to geographic areas between Censuses </w:t>
      </w:r>
      <w:r w:rsidRPr="003C0250">
        <w:t>http://www.abs.gov.au/websitedbs/D3310114.nsf/home/ASGS+Fact+Sheets</w:t>
      </w:r>
      <w:r w:rsidDel="003C0250">
        <w:t xml:space="preserve"> </w:t>
      </w:r>
      <w:r>
        <w:t>, (</w:t>
      </w:r>
      <w:r w:rsidRPr="00993CBE">
        <w:t>accessed 1</w:t>
      </w:r>
      <w:r>
        <w:t>1 </w:t>
      </w:r>
      <w:r w:rsidRPr="00993CBE">
        <w:t>September</w:t>
      </w:r>
      <w:r>
        <w:t> </w:t>
      </w:r>
      <w:r w:rsidRPr="00993CBE">
        <w:t>201</w:t>
      </w:r>
      <w:r>
        <w:t>3)</w:t>
      </w:r>
    </w:p>
  </w:footnote>
  <w:footnote w:id="5">
    <w:p w:rsidR="00575AF7" w:rsidRPr="00803E18" w:rsidRDefault="00575AF7">
      <w:pPr>
        <w:pStyle w:val="FootnoteText"/>
        <w:rPr>
          <w:lang w:val="en-US"/>
        </w:rPr>
      </w:pPr>
      <w:r>
        <w:rPr>
          <w:rStyle w:val="FootnoteReference"/>
        </w:rPr>
        <w:footnoteRef/>
      </w:r>
      <w:r>
        <w:t xml:space="preserve"> For further information see ABS Statistical Geography Fact Sheet –Time Series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575AF7">
      <w:tc>
        <w:tcPr>
          <w:tcW w:w="2155" w:type="dxa"/>
          <w:tcBorders>
            <w:top w:val="single" w:sz="24" w:space="0" w:color="auto"/>
          </w:tcBorders>
        </w:tcPr>
        <w:p w:rsidR="00575AF7" w:rsidRDefault="00575AF7" w:rsidP="0019293B">
          <w:pPr>
            <w:pStyle w:val="HeaderEven"/>
          </w:pPr>
        </w:p>
      </w:tc>
      <w:tc>
        <w:tcPr>
          <w:tcW w:w="6634" w:type="dxa"/>
          <w:tcBorders>
            <w:top w:val="single" w:sz="6" w:space="0" w:color="auto"/>
          </w:tcBorders>
        </w:tcPr>
        <w:p w:rsidR="00575AF7" w:rsidRDefault="00575AF7" w:rsidP="00EC0123">
          <w:pPr>
            <w:pStyle w:val="Header"/>
            <w:jc w:val="right"/>
          </w:pPr>
        </w:p>
      </w:tc>
    </w:tr>
  </w:tbl>
  <w:p w:rsidR="00575AF7" w:rsidRDefault="00575AF7"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75AF7">
      <w:tc>
        <w:tcPr>
          <w:tcW w:w="6634" w:type="dxa"/>
          <w:tcBorders>
            <w:top w:val="single" w:sz="6" w:space="0" w:color="auto"/>
          </w:tcBorders>
        </w:tcPr>
        <w:p w:rsidR="00575AF7" w:rsidRPr="00DF728E" w:rsidRDefault="00575AF7" w:rsidP="00EC0123">
          <w:pPr>
            <w:pStyle w:val="Header"/>
          </w:pPr>
        </w:p>
      </w:tc>
      <w:tc>
        <w:tcPr>
          <w:tcW w:w="2155" w:type="dxa"/>
          <w:tcBorders>
            <w:top w:val="single" w:sz="24" w:space="0" w:color="auto"/>
          </w:tcBorders>
        </w:tcPr>
        <w:p w:rsidR="00575AF7" w:rsidRDefault="00575AF7" w:rsidP="00E669E2">
          <w:pPr>
            <w:pStyle w:val="HeaderOdd"/>
          </w:pPr>
        </w:p>
      </w:tc>
    </w:tr>
  </w:tbl>
  <w:p w:rsidR="00575AF7" w:rsidRDefault="00575AF7"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3422337"/>
    <w:multiLevelType w:val="hybridMultilevel"/>
    <w:tmpl w:val="2C9CC3BC"/>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1">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2">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07057F34"/>
    <w:multiLevelType w:val="singleLevel"/>
    <w:tmpl w:val="ED98921A"/>
    <w:lvl w:ilvl="0">
      <w:start w:val="1"/>
      <w:numFmt w:val="decimal"/>
      <w:lvlText w:val="%1."/>
      <w:legacy w:legacy="1" w:legacySpace="0" w:legacyIndent="340"/>
      <w:lvlJc w:val="left"/>
      <w:pPr>
        <w:ind w:left="340" w:hanging="340"/>
      </w:pPr>
    </w:lvl>
  </w:abstractNum>
  <w:abstractNum w:abstractNumId="14">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8">
    <w:nsid w:val="1B537E7A"/>
    <w:multiLevelType w:val="hybridMultilevel"/>
    <w:tmpl w:val="D96206C4"/>
    <w:lvl w:ilvl="0" w:tplc="D2443A4E">
      <w:start w:val="5"/>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0">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3">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nsid w:val="4D493F2A"/>
    <w:multiLevelType w:val="hybridMultilevel"/>
    <w:tmpl w:val="D5E4497C"/>
    <w:lvl w:ilvl="0" w:tplc="690085FC">
      <w:start w:val="4"/>
      <w:numFmt w:val="bullet"/>
      <w:lvlText w:val="—"/>
      <w:lvlJc w:val="left"/>
      <w:pPr>
        <w:tabs>
          <w:tab w:val="num" w:pos="750"/>
        </w:tabs>
        <w:ind w:left="750" w:hanging="390"/>
      </w:pPr>
      <w:rPr>
        <w:rFonts w:ascii="Times New Roman" w:eastAsia="Times New Roman" w:hAnsi="Times New Roman" w:cs="Times New Roman" w:hint="default"/>
      </w:rPr>
    </w:lvl>
    <w:lvl w:ilvl="1" w:tplc="8C424DA6">
      <w:numFmt w:val="bullet"/>
      <w:lvlText w:val=""/>
      <w:lvlJc w:val="left"/>
      <w:pPr>
        <w:tabs>
          <w:tab w:val="num" w:pos="1440"/>
        </w:tabs>
        <w:ind w:left="1440" w:hanging="360"/>
      </w:pPr>
      <w:rPr>
        <w:rFonts w:ascii="Wingdings" w:eastAsia="Times New Roman" w:hAnsi="Wingdings"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1F74561"/>
    <w:multiLevelType w:val="singleLevel"/>
    <w:tmpl w:val="ED98921A"/>
    <w:lvl w:ilvl="0">
      <w:start w:val="1"/>
      <w:numFmt w:val="decimal"/>
      <w:lvlText w:val="%1."/>
      <w:legacy w:legacy="1" w:legacySpace="0" w:legacyIndent="340"/>
      <w:lvlJc w:val="left"/>
      <w:pPr>
        <w:ind w:left="340" w:hanging="340"/>
      </w:pPr>
    </w:lvl>
  </w:abstractNum>
  <w:abstractNum w:abstractNumId="2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9">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0">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3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2">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3">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nsid w:val="5A096576"/>
    <w:multiLevelType w:val="singleLevel"/>
    <w:tmpl w:val="ED98921A"/>
    <w:lvl w:ilvl="0">
      <w:start w:val="1"/>
      <w:numFmt w:val="decimal"/>
      <w:lvlText w:val="%1."/>
      <w:legacy w:legacy="1" w:legacySpace="0" w:legacyIndent="340"/>
      <w:lvlJc w:val="left"/>
      <w:pPr>
        <w:ind w:left="340" w:hanging="340"/>
      </w:pPr>
    </w:lvl>
  </w:abstractNum>
  <w:abstractNum w:abstractNumId="35">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0055F7F"/>
    <w:multiLevelType w:val="singleLevel"/>
    <w:tmpl w:val="ED98921A"/>
    <w:lvl w:ilvl="0">
      <w:start w:val="1"/>
      <w:numFmt w:val="decimal"/>
      <w:lvlText w:val="%1."/>
      <w:legacy w:legacy="1" w:legacySpace="0" w:legacyIndent="340"/>
      <w:lvlJc w:val="left"/>
      <w:pPr>
        <w:ind w:left="340" w:hanging="340"/>
      </w:pPr>
    </w:lvl>
  </w:abstractNum>
  <w:abstractNum w:abstractNumId="37">
    <w:nsid w:val="608E741E"/>
    <w:multiLevelType w:val="singleLevel"/>
    <w:tmpl w:val="ED98921A"/>
    <w:lvl w:ilvl="0">
      <w:start w:val="1"/>
      <w:numFmt w:val="decimal"/>
      <w:lvlText w:val="%1."/>
      <w:legacy w:legacy="1" w:legacySpace="0" w:legacyIndent="340"/>
      <w:lvlJc w:val="left"/>
      <w:pPr>
        <w:ind w:left="340" w:hanging="340"/>
      </w:pPr>
    </w:lvl>
  </w:abstractNum>
  <w:abstractNum w:abstractNumId="38">
    <w:nsid w:val="61320C1E"/>
    <w:multiLevelType w:val="singleLevel"/>
    <w:tmpl w:val="C444122C"/>
    <w:lvl w:ilvl="0">
      <w:start w:val="1"/>
      <w:numFmt w:val="decimal"/>
      <w:lvlText w:val="%1."/>
      <w:legacy w:legacy="1" w:legacySpace="0" w:legacyIndent="284"/>
      <w:lvlJc w:val="left"/>
      <w:pPr>
        <w:ind w:left="284" w:hanging="284"/>
      </w:pPr>
    </w:lvl>
  </w:abstractNum>
  <w:abstractNum w:abstractNumId="39">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4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1">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2">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3">
    <w:nsid w:val="74495461"/>
    <w:multiLevelType w:val="hybridMultilevel"/>
    <w:tmpl w:val="ADF04FDE"/>
    <w:lvl w:ilvl="0" w:tplc="3400667A">
      <w:start w:val="4"/>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6">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7">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8">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1"/>
  </w:num>
  <w:num w:numId="3">
    <w:abstractNumId w:val="46"/>
  </w:num>
  <w:num w:numId="4">
    <w:abstractNumId w:val="7"/>
  </w:num>
  <w:num w:numId="5">
    <w:abstractNumId w:val="28"/>
  </w:num>
  <w:num w:numId="6">
    <w:abstractNumId w:val="10"/>
  </w:num>
  <w:num w:numId="7">
    <w:abstractNumId w:val="40"/>
  </w:num>
  <w:num w:numId="8">
    <w:abstractNumId w:val="31"/>
  </w:num>
  <w:num w:numId="9">
    <w:abstractNumId w:val="47"/>
  </w:num>
  <w:num w:numId="10">
    <w:abstractNumId w:val="17"/>
  </w:num>
  <w:num w:numId="11">
    <w:abstractNumId w:val="29"/>
  </w:num>
  <w:num w:numId="12">
    <w:abstractNumId w:val="16"/>
  </w:num>
  <w:num w:numId="13">
    <w:abstractNumId w:val="15"/>
  </w:num>
  <w:num w:numId="14">
    <w:abstractNumId w:val="19"/>
  </w:num>
  <w:num w:numId="15">
    <w:abstractNumId w:val="9"/>
  </w:num>
  <w:num w:numId="16">
    <w:abstractNumId w:val="2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4"/>
  </w:num>
  <w:num w:numId="20">
    <w:abstractNumId w:val="33"/>
  </w:num>
  <w:num w:numId="21">
    <w:abstractNumId w:val="43"/>
  </w:num>
  <w:num w:numId="22">
    <w:abstractNumId w:val="5"/>
  </w:num>
  <w:num w:numId="23">
    <w:abstractNumId w:val="3"/>
  </w:num>
  <w:num w:numId="24">
    <w:abstractNumId w:val="2"/>
  </w:num>
  <w:num w:numId="25">
    <w:abstractNumId w:val="4"/>
  </w:num>
  <w:num w:numId="26">
    <w:abstractNumId w:val="1"/>
  </w:num>
  <w:num w:numId="27">
    <w:abstractNumId w:val="0"/>
  </w:num>
  <w:num w:numId="28">
    <w:abstractNumId w:val="13"/>
  </w:num>
  <w:num w:numId="29">
    <w:abstractNumId w:val="37"/>
  </w:num>
  <w:num w:numId="30">
    <w:abstractNumId w:val="39"/>
  </w:num>
  <w:num w:numId="31">
    <w:abstractNumId w:val="27"/>
  </w:num>
  <w:num w:numId="32">
    <w:abstractNumId w:val="30"/>
  </w:num>
  <w:num w:numId="33">
    <w:abstractNumId w:val="32"/>
  </w:num>
  <w:num w:numId="34">
    <w:abstractNumId w:val="45"/>
  </w:num>
  <w:num w:numId="35">
    <w:abstractNumId w:val="36"/>
  </w:num>
  <w:num w:numId="36">
    <w:abstractNumId w:val="41"/>
  </w:num>
  <w:num w:numId="37">
    <w:abstractNumId w:val="42"/>
  </w:num>
  <w:num w:numId="38">
    <w:abstractNumId w:val="34"/>
  </w:num>
  <w:num w:numId="39">
    <w:abstractNumId w:val="23"/>
  </w:num>
  <w:num w:numId="40">
    <w:abstractNumId w:val="48"/>
  </w:num>
  <w:num w:numId="41">
    <w:abstractNumId w:val="8"/>
  </w:num>
  <w:num w:numId="42">
    <w:abstractNumId w:val="20"/>
  </w:num>
  <w:num w:numId="43">
    <w:abstractNumId w:val="44"/>
  </w:num>
  <w:num w:numId="44">
    <w:abstractNumId w:val="35"/>
  </w:num>
  <w:num w:numId="45">
    <w:abstractNumId w:val="14"/>
  </w:num>
  <w:num w:numId="46">
    <w:abstractNumId w:val="38"/>
  </w:num>
  <w:num w:numId="47">
    <w:abstractNumId w:val="25"/>
  </w:num>
  <w:num w:numId="48">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9">
    <w:abstractNumId w:val="12"/>
  </w:num>
  <w:num w:numId="5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proofState w:spelling="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A"/>
    <w:docVar w:name="FindingOptions" w:val="1"/>
    <w:docVar w:name="RecOptions" w:val="111"/>
    <w:docVar w:name="ShortChapterTitle" w:val="Appendix"/>
    <w:docVar w:name="ShortReportTitle" w:val="SCRGSP REPORT TO CRC DECEMBER 2010"/>
  </w:docVars>
  <w:rsids>
    <w:rsidRoot w:val="00985D5F"/>
    <w:rsid w:val="00000418"/>
    <w:rsid w:val="00003DC3"/>
    <w:rsid w:val="00004AB7"/>
    <w:rsid w:val="00004BA5"/>
    <w:rsid w:val="00006434"/>
    <w:rsid w:val="00010D4A"/>
    <w:rsid w:val="0001357A"/>
    <w:rsid w:val="00016EF8"/>
    <w:rsid w:val="0001738E"/>
    <w:rsid w:val="00024ADC"/>
    <w:rsid w:val="00026A2E"/>
    <w:rsid w:val="00026D78"/>
    <w:rsid w:val="00031137"/>
    <w:rsid w:val="00031AF1"/>
    <w:rsid w:val="0003664B"/>
    <w:rsid w:val="00037466"/>
    <w:rsid w:val="00040B6F"/>
    <w:rsid w:val="0004111F"/>
    <w:rsid w:val="0004143B"/>
    <w:rsid w:val="00044400"/>
    <w:rsid w:val="00044678"/>
    <w:rsid w:val="00044912"/>
    <w:rsid w:val="000449AB"/>
    <w:rsid w:val="00045B56"/>
    <w:rsid w:val="00046812"/>
    <w:rsid w:val="0005095D"/>
    <w:rsid w:val="00053A9C"/>
    <w:rsid w:val="000547D9"/>
    <w:rsid w:val="00054F49"/>
    <w:rsid w:val="0005656F"/>
    <w:rsid w:val="00057D24"/>
    <w:rsid w:val="000625A3"/>
    <w:rsid w:val="00064EB2"/>
    <w:rsid w:val="000666E0"/>
    <w:rsid w:val="00070B5F"/>
    <w:rsid w:val="000712AF"/>
    <w:rsid w:val="0007150B"/>
    <w:rsid w:val="0007151A"/>
    <w:rsid w:val="000722A7"/>
    <w:rsid w:val="00073980"/>
    <w:rsid w:val="00073A9B"/>
    <w:rsid w:val="0007553E"/>
    <w:rsid w:val="00077ED8"/>
    <w:rsid w:val="00082CDD"/>
    <w:rsid w:val="0008391A"/>
    <w:rsid w:val="000864D4"/>
    <w:rsid w:val="000864F8"/>
    <w:rsid w:val="00087DE8"/>
    <w:rsid w:val="000905DF"/>
    <w:rsid w:val="0009245A"/>
    <w:rsid w:val="00092831"/>
    <w:rsid w:val="000938F5"/>
    <w:rsid w:val="00094ECB"/>
    <w:rsid w:val="0009627E"/>
    <w:rsid w:val="000972FD"/>
    <w:rsid w:val="0009744F"/>
    <w:rsid w:val="0009779F"/>
    <w:rsid w:val="000A471B"/>
    <w:rsid w:val="000A5026"/>
    <w:rsid w:val="000A55A7"/>
    <w:rsid w:val="000A5C88"/>
    <w:rsid w:val="000A6B3B"/>
    <w:rsid w:val="000A6C9D"/>
    <w:rsid w:val="000A6DD2"/>
    <w:rsid w:val="000A7404"/>
    <w:rsid w:val="000B29D5"/>
    <w:rsid w:val="000B52A2"/>
    <w:rsid w:val="000B601B"/>
    <w:rsid w:val="000B64D7"/>
    <w:rsid w:val="000B6C56"/>
    <w:rsid w:val="000B765F"/>
    <w:rsid w:val="000B7C4E"/>
    <w:rsid w:val="000C12BA"/>
    <w:rsid w:val="000C207E"/>
    <w:rsid w:val="000C275C"/>
    <w:rsid w:val="000C3ADD"/>
    <w:rsid w:val="000C54EC"/>
    <w:rsid w:val="000C56DD"/>
    <w:rsid w:val="000C7050"/>
    <w:rsid w:val="000C7505"/>
    <w:rsid w:val="000D03FC"/>
    <w:rsid w:val="000D4E9E"/>
    <w:rsid w:val="000D5938"/>
    <w:rsid w:val="000D6D66"/>
    <w:rsid w:val="000E0F50"/>
    <w:rsid w:val="000E1D31"/>
    <w:rsid w:val="000E5CC0"/>
    <w:rsid w:val="000F038C"/>
    <w:rsid w:val="000F0625"/>
    <w:rsid w:val="000F086C"/>
    <w:rsid w:val="000F20CC"/>
    <w:rsid w:val="000F391B"/>
    <w:rsid w:val="000F5653"/>
    <w:rsid w:val="000F6053"/>
    <w:rsid w:val="000F6685"/>
    <w:rsid w:val="000F6760"/>
    <w:rsid w:val="000F690B"/>
    <w:rsid w:val="000F6981"/>
    <w:rsid w:val="000F78A0"/>
    <w:rsid w:val="00102566"/>
    <w:rsid w:val="0010620E"/>
    <w:rsid w:val="0010679D"/>
    <w:rsid w:val="00110116"/>
    <w:rsid w:val="00111930"/>
    <w:rsid w:val="00112F04"/>
    <w:rsid w:val="00116B9A"/>
    <w:rsid w:val="00120968"/>
    <w:rsid w:val="001211F3"/>
    <w:rsid w:val="00121976"/>
    <w:rsid w:val="00121FEB"/>
    <w:rsid w:val="00123CA3"/>
    <w:rsid w:val="0012426A"/>
    <w:rsid w:val="00126EB8"/>
    <w:rsid w:val="00130FCF"/>
    <w:rsid w:val="0013417F"/>
    <w:rsid w:val="001363AA"/>
    <w:rsid w:val="00137AE4"/>
    <w:rsid w:val="00137FAD"/>
    <w:rsid w:val="001405A7"/>
    <w:rsid w:val="00140C68"/>
    <w:rsid w:val="00140E10"/>
    <w:rsid w:val="00142A49"/>
    <w:rsid w:val="001438F0"/>
    <w:rsid w:val="001461DE"/>
    <w:rsid w:val="00146751"/>
    <w:rsid w:val="00147559"/>
    <w:rsid w:val="00150525"/>
    <w:rsid w:val="00152179"/>
    <w:rsid w:val="00154080"/>
    <w:rsid w:val="0015462D"/>
    <w:rsid w:val="001551A7"/>
    <w:rsid w:val="00155766"/>
    <w:rsid w:val="00157CF6"/>
    <w:rsid w:val="00164D4D"/>
    <w:rsid w:val="00171FBC"/>
    <w:rsid w:val="001730FB"/>
    <w:rsid w:val="001742D1"/>
    <w:rsid w:val="00176500"/>
    <w:rsid w:val="001768BB"/>
    <w:rsid w:val="0017738A"/>
    <w:rsid w:val="001819E5"/>
    <w:rsid w:val="00181F64"/>
    <w:rsid w:val="001837CA"/>
    <w:rsid w:val="00184922"/>
    <w:rsid w:val="00186D4E"/>
    <w:rsid w:val="001877D1"/>
    <w:rsid w:val="0019293B"/>
    <w:rsid w:val="00193A74"/>
    <w:rsid w:val="00195B0F"/>
    <w:rsid w:val="001969C7"/>
    <w:rsid w:val="00197462"/>
    <w:rsid w:val="001977A7"/>
    <w:rsid w:val="001A1217"/>
    <w:rsid w:val="001A44BE"/>
    <w:rsid w:val="001A51B6"/>
    <w:rsid w:val="001A6D51"/>
    <w:rsid w:val="001A7CCD"/>
    <w:rsid w:val="001B16D8"/>
    <w:rsid w:val="001B34CC"/>
    <w:rsid w:val="001B3C1A"/>
    <w:rsid w:val="001B7D9D"/>
    <w:rsid w:val="001C02CC"/>
    <w:rsid w:val="001C0865"/>
    <w:rsid w:val="001C3ABA"/>
    <w:rsid w:val="001C67E5"/>
    <w:rsid w:val="001D1A5A"/>
    <w:rsid w:val="001D35B6"/>
    <w:rsid w:val="001D63CE"/>
    <w:rsid w:val="001D6E6D"/>
    <w:rsid w:val="001E071A"/>
    <w:rsid w:val="001E6C4C"/>
    <w:rsid w:val="001E6F08"/>
    <w:rsid w:val="001E7BE8"/>
    <w:rsid w:val="001F0248"/>
    <w:rsid w:val="001F1298"/>
    <w:rsid w:val="001F30E9"/>
    <w:rsid w:val="001F61D6"/>
    <w:rsid w:val="001F7948"/>
    <w:rsid w:val="002001F1"/>
    <w:rsid w:val="002002C6"/>
    <w:rsid w:val="00202C2C"/>
    <w:rsid w:val="00204580"/>
    <w:rsid w:val="0020629D"/>
    <w:rsid w:val="00206CC7"/>
    <w:rsid w:val="00207863"/>
    <w:rsid w:val="002110BB"/>
    <w:rsid w:val="002134AA"/>
    <w:rsid w:val="00213BD5"/>
    <w:rsid w:val="00213F6A"/>
    <w:rsid w:val="00214A79"/>
    <w:rsid w:val="00214FE9"/>
    <w:rsid w:val="0021555E"/>
    <w:rsid w:val="00215BA3"/>
    <w:rsid w:val="0021752C"/>
    <w:rsid w:val="00221630"/>
    <w:rsid w:val="00222733"/>
    <w:rsid w:val="002243AB"/>
    <w:rsid w:val="00224411"/>
    <w:rsid w:val="00226411"/>
    <w:rsid w:val="00230EA8"/>
    <w:rsid w:val="002332B3"/>
    <w:rsid w:val="00235F39"/>
    <w:rsid w:val="0023682F"/>
    <w:rsid w:val="00240BCB"/>
    <w:rsid w:val="002419EA"/>
    <w:rsid w:val="00242279"/>
    <w:rsid w:val="00244EDA"/>
    <w:rsid w:val="00247C53"/>
    <w:rsid w:val="00247F6E"/>
    <w:rsid w:val="002510BD"/>
    <w:rsid w:val="00254BBB"/>
    <w:rsid w:val="002551C4"/>
    <w:rsid w:val="002578EC"/>
    <w:rsid w:val="00262703"/>
    <w:rsid w:val="0026279A"/>
    <w:rsid w:val="00262E2C"/>
    <w:rsid w:val="00262F64"/>
    <w:rsid w:val="002631F4"/>
    <w:rsid w:val="002668AA"/>
    <w:rsid w:val="00266B81"/>
    <w:rsid w:val="00270186"/>
    <w:rsid w:val="00270949"/>
    <w:rsid w:val="002712B8"/>
    <w:rsid w:val="00272C03"/>
    <w:rsid w:val="0027483D"/>
    <w:rsid w:val="00274A75"/>
    <w:rsid w:val="002755BB"/>
    <w:rsid w:val="00277010"/>
    <w:rsid w:val="00277808"/>
    <w:rsid w:val="00277B29"/>
    <w:rsid w:val="00281F2E"/>
    <w:rsid w:val="00282241"/>
    <w:rsid w:val="00283D68"/>
    <w:rsid w:val="00284C73"/>
    <w:rsid w:val="00285AA3"/>
    <w:rsid w:val="002867C9"/>
    <w:rsid w:val="00287227"/>
    <w:rsid w:val="00290217"/>
    <w:rsid w:val="00290D07"/>
    <w:rsid w:val="00291989"/>
    <w:rsid w:val="00291B40"/>
    <w:rsid w:val="002A08D2"/>
    <w:rsid w:val="002A0954"/>
    <w:rsid w:val="002A0E82"/>
    <w:rsid w:val="002A4B13"/>
    <w:rsid w:val="002A4E74"/>
    <w:rsid w:val="002A50A5"/>
    <w:rsid w:val="002B04EC"/>
    <w:rsid w:val="002B0CDD"/>
    <w:rsid w:val="002B109B"/>
    <w:rsid w:val="002B213B"/>
    <w:rsid w:val="002B2A1C"/>
    <w:rsid w:val="002B2ED6"/>
    <w:rsid w:val="002B4008"/>
    <w:rsid w:val="002B5120"/>
    <w:rsid w:val="002B59EA"/>
    <w:rsid w:val="002B7761"/>
    <w:rsid w:val="002C061A"/>
    <w:rsid w:val="002C24A2"/>
    <w:rsid w:val="002C570F"/>
    <w:rsid w:val="002C631D"/>
    <w:rsid w:val="002C6C3A"/>
    <w:rsid w:val="002C71DD"/>
    <w:rsid w:val="002C72FF"/>
    <w:rsid w:val="002D0E8E"/>
    <w:rsid w:val="002D0E96"/>
    <w:rsid w:val="002D3379"/>
    <w:rsid w:val="002D3432"/>
    <w:rsid w:val="002D41D7"/>
    <w:rsid w:val="002D570D"/>
    <w:rsid w:val="002D5C09"/>
    <w:rsid w:val="002D62FD"/>
    <w:rsid w:val="002D6E32"/>
    <w:rsid w:val="002E1C89"/>
    <w:rsid w:val="002E35DA"/>
    <w:rsid w:val="002F1CE7"/>
    <w:rsid w:val="002F2252"/>
    <w:rsid w:val="002F39B7"/>
    <w:rsid w:val="002F4201"/>
    <w:rsid w:val="002F5566"/>
    <w:rsid w:val="002F64FD"/>
    <w:rsid w:val="002F79E4"/>
    <w:rsid w:val="00300150"/>
    <w:rsid w:val="00301189"/>
    <w:rsid w:val="003015DC"/>
    <w:rsid w:val="0030300C"/>
    <w:rsid w:val="003033E4"/>
    <w:rsid w:val="003044AC"/>
    <w:rsid w:val="00306484"/>
    <w:rsid w:val="0031078A"/>
    <w:rsid w:val="00312F38"/>
    <w:rsid w:val="0031355A"/>
    <w:rsid w:val="00315930"/>
    <w:rsid w:val="00315C71"/>
    <w:rsid w:val="003160C9"/>
    <w:rsid w:val="003168E2"/>
    <w:rsid w:val="00323E09"/>
    <w:rsid w:val="0032409E"/>
    <w:rsid w:val="003254BE"/>
    <w:rsid w:val="00325872"/>
    <w:rsid w:val="003263D1"/>
    <w:rsid w:val="003263FC"/>
    <w:rsid w:val="00326DDE"/>
    <w:rsid w:val="00327311"/>
    <w:rsid w:val="0032769F"/>
    <w:rsid w:val="00330251"/>
    <w:rsid w:val="00333932"/>
    <w:rsid w:val="00334AD8"/>
    <w:rsid w:val="003361B1"/>
    <w:rsid w:val="00340778"/>
    <w:rsid w:val="00341A08"/>
    <w:rsid w:val="00346531"/>
    <w:rsid w:val="00347FAD"/>
    <w:rsid w:val="003518AA"/>
    <w:rsid w:val="00351E3A"/>
    <w:rsid w:val="00352DF5"/>
    <w:rsid w:val="00353182"/>
    <w:rsid w:val="003553D0"/>
    <w:rsid w:val="00355509"/>
    <w:rsid w:val="003602E1"/>
    <w:rsid w:val="00360D8A"/>
    <w:rsid w:val="00361724"/>
    <w:rsid w:val="00361E53"/>
    <w:rsid w:val="00362FFD"/>
    <w:rsid w:val="003634B8"/>
    <w:rsid w:val="0036372A"/>
    <w:rsid w:val="003644DE"/>
    <w:rsid w:val="00367A27"/>
    <w:rsid w:val="003703CD"/>
    <w:rsid w:val="00371240"/>
    <w:rsid w:val="0037383D"/>
    <w:rsid w:val="00374731"/>
    <w:rsid w:val="00375C7C"/>
    <w:rsid w:val="003768CD"/>
    <w:rsid w:val="003769D2"/>
    <w:rsid w:val="0037751A"/>
    <w:rsid w:val="003822B5"/>
    <w:rsid w:val="00386E4E"/>
    <w:rsid w:val="00387505"/>
    <w:rsid w:val="003910CF"/>
    <w:rsid w:val="003912C6"/>
    <w:rsid w:val="00392B65"/>
    <w:rsid w:val="00392CC0"/>
    <w:rsid w:val="003A4285"/>
    <w:rsid w:val="003A4476"/>
    <w:rsid w:val="003A6A70"/>
    <w:rsid w:val="003B4589"/>
    <w:rsid w:val="003B4BEA"/>
    <w:rsid w:val="003B514C"/>
    <w:rsid w:val="003B7FF0"/>
    <w:rsid w:val="003C00F3"/>
    <w:rsid w:val="003C0250"/>
    <w:rsid w:val="003C38B5"/>
    <w:rsid w:val="003C5D99"/>
    <w:rsid w:val="003C643E"/>
    <w:rsid w:val="003C6800"/>
    <w:rsid w:val="003C705C"/>
    <w:rsid w:val="003D1137"/>
    <w:rsid w:val="003D1424"/>
    <w:rsid w:val="003D244B"/>
    <w:rsid w:val="003D4D3F"/>
    <w:rsid w:val="003E0BF5"/>
    <w:rsid w:val="003E2DEA"/>
    <w:rsid w:val="003E49A0"/>
    <w:rsid w:val="003E69BE"/>
    <w:rsid w:val="003E6EC9"/>
    <w:rsid w:val="003E771F"/>
    <w:rsid w:val="003E7FC2"/>
    <w:rsid w:val="003F0789"/>
    <w:rsid w:val="003F100E"/>
    <w:rsid w:val="003F4057"/>
    <w:rsid w:val="003F4F3B"/>
    <w:rsid w:val="003F63FB"/>
    <w:rsid w:val="003F65D5"/>
    <w:rsid w:val="003F6AE9"/>
    <w:rsid w:val="003F7477"/>
    <w:rsid w:val="003F7EE4"/>
    <w:rsid w:val="003F7EF3"/>
    <w:rsid w:val="00400CA3"/>
    <w:rsid w:val="00401882"/>
    <w:rsid w:val="00402E96"/>
    <w:rsid w:val="00404197"/>
    <w:rsid w:val="00404659"/>
    <w:rsid w:val="00405675"/>
    <w:rsid w:val="0040598F"/>
    <w:rsid w:val="004060F3"/>
    <w:rsid w:val="004070E5"/>
    <w:rsid w:val="00407210"/>
    <w:rsid w:val="0041007A"/>
    <w:rsid w:val="004100C8"/>
    <w:rsid w:val="00411352"/>
    <w:rsid w:val="00411ACF"/>
    <w:rsid w:val="00412ACE"/>
    <w:rsid w:val="0041442F"/>
    <w:rsid w:val="00415035"/>
    <w:rsid w:val="004162A9"/>
    <w:rsid w:val="00416663"/>
    <w:rsid w:val="0041772B"/>
    <w:rsid w:val="00417AF3"/>
    <w:rsid w:val="0042027D"/>
    <w:rsid w:val="00424224"/>
    <w:rsid w:val="00426130"/>
    <w:rsid w:val="00430FFA"/>
    <w:rsid w:val="00431249"/>
    <w:rsid w:val="00432A9F"/>
    <w:rsid w:val="004343C8"/>
    <w:rsid w:val="00434C19"/>
    <w:rsid w:val="00436B55"/>
    <w:rsid w:val="0044018C"/>
    <w:rsid w:val="004421E6"/>
    <w:rsid w:val="00442CE5"/>
    <w:rsid w:val="00443761"/>
    <w:rsid w:val="00443BA7"/>
    <w:rsid w:val="00444D88"/>
    <w:rsid w:val="00445ABF"/>
    <w:rsid w:val="00447281"/>
    <w:rsid w:val="00450810"/>
    <w:rsid w:val="00450C97"/>
    <w:rsid w:val="00452790"/>
    <w:rsid w:val="00452F94"/>
    <w:rsid w:val="00454C65"/>
    <w:rsid w:val="00454EB1"/>
    <w:rsid w:val="004552BD"/>
    <w:rsid w:val="0045543D"/>
    <w:rsid w:val="004556BD"/>
    <w:rsid w:val="004622A1"/>
    <w:rsid w:val="004625A4"/>
    <w:rsid w:val="004734B6"/>
    <w:rsid w:val="00474FCF"/>
    <w:rsid w:val="00476303"/>
    <w:rsid w:val="00477144"/>
    <w:rsid w:val="00477E25"/>
    <w:rsid w:val="00480EF8"/>
    <w:rsid w:val="00481AC4"/>
    <w:rsid w:val="00483D46"/>
    <w:rsid w:val="0048423B"/>
    <w:rsid w:val="00486B52"/>
    <w:rsid w:val="00490F94"/>
    <w:rsid w:val="004920EE"/>
    <w:rsid w:val="00493F32"/>
    <w:rsid w:val="00494503"/>
    <w:rsid w:val="0049459F"/>
    <w:rsid w:val="004951E4"/>
    <w:rsid w:val="00496D0A"/>
    <w:rsid w:val="00497DB3"/>
    <w:rsid w:val="00497DE3"/>
    <w:rsid w:val="004A3A71"/>
    <w:rsid w:val="004A3E74"/>
    <w:rsid w:val="004A497B"/>
    <w:rsid w:val="004A52AB"/>
    <w:rsid w:val="004A565C"/>
    <w:rsid w:val="004A5B47"/>
    <w:rsid w:val="004A5CB6"/>
    <w:rsid w:val="004A76B0"/>
    <w:rsid w:val="004B0343"/>
    <w:rsid w:val="004B07B8"/>
    <w:rsid w:val="004B217D"/>
    <w:rsid w:val="004B23D7"/>
    <w:rsid w:val="004B30E3"/>
    <w:rsid w:val="004B43AE"/>
    <w:rsid w:val="004B4C33"/>
    <w:rsid w:val="004B688C"/>
    <w:rsid w:val="004C2252"/>
    <w:rsid w:val="004C2BCE"/>
    <w:rsid w:val="004C30ED"/>
    <w:rsid w:val="004C365D"/>
    <w:rsid w:val="004C3B3D"/>
    <w:rsid w:val="004C524D"/>
    <w:rsid w:val="004C7F5D"/>
    <w:rsid w:val="004D0D3B"/>
    <w:rsid w:val="004D1A00"/>
    <w:rsid w:val="004D465F"/>
    <w:rsid w:val="004D5F9D"/>
    <w:rsid w:val="004E2B4C"/>
    <w:rsid w:val="004E6A92"/>
    <w:rsid w:val="004E7A40"/>
    <w:rsid w:val="004F166D"/>
    <w:rsid w:val="004F30F6"/>
    <w:rsid w:val="004F5C0A"/>
    <w:rsid w:val="004F7B78"/>
    <w:rsid w:val="004F7EC1"/>
    <w:rsid w:val="00500573"/>
    <w:rsid w:val="0050101A"/>
    <w:rsid w:val="0050232D"/>
    <w:rsid w:val="0050258A"/>
    <w:rsid w:val="005032AA"/>
    <w:rsid w:val="005032AB"/>
    <w:rsid w:val="00504594"/>
    <w:rsid w:val="00504D9E"/>
    <w:rsid w:val="00516806"/>
    <w:rsid w:val="0051746D"/>
    <w:rsid w:val="00520814"/>
    <w:rsid w:val="0052264D"/>
    <w:rsid w:val="0052287A"/>
    <w:rsid w:val="005247C2"/>
    <w:rsid w:val="00525DF8"/>
    <w:rsid w:val="00526C17"/>
    <w:rsid w:val="00530140"/>
    <w:rsid w:val="00530DE5"/>
    <w:rsid w:val="00531A6A"/>
    <w:rsid w:val="00533DDD"/>
    <w:rsid w:val="00534215"/>
    <w:rsid w:val="005410D5"/>
    <w:rsid w:val="00541D1D"/>
    <w:rsid w:val="00542014"/>
    <w:rsid w:val="0054343E"/>
    <w:rsid w:val="00544424"/>
    <w:rsid w:val="0054514A"/>
    <w:rsid w:val="00545BEE"/>
    <w:rsid w:val="00546249"/>
    <w:rsid w:val="00546921"/>
    <w:rsid w:val="00546A1F"/>
    <w:rsid w:val="00547031"/>
    <w:rsid w:val="0055216E"/>
    <w:rsid w:val="00552505"/>
    <w:rsid w:val="00552E2E"/>
    <w:rsid w:val="005540DB"/>
    <w:rsid w:val="00554E9B"/>
    <w:rsid w:val="005554E7"/>
    <w:rsid w:val="005566F8"/>
    <w:rsid w:val="00556737"/>
    <w:rsid w:val="00557804"/>
    <w:rsid w:val="00560358"/>
    <w:rsid w:val="005603B7"/>
    <w:rsid w:val="00560DD4"/>
    <w:rsid w:val="00560FEE"/>
    <w:rsid w:val="00561D8B"/>
    <w:rsid w:val="00563C54"/>
    <w:rsid w:val="00565699"/>
    <w:rsid w:val="005730CF"/>
    <w:rsid w:val="00574EC1"/>
    <w:rsid w:val="00575AF7"/>
    <w:rsid w:val="005767EA"/>
    <w:rsid w:val="00580A02"/>
    <w:rsid w:val="0058268C"/>
    <w:rsid w:val="00583C39"/>
    <w:rsid w:val="00583FC2"/>
    <w:rsid w:val="00585F93"/>
    <w:rsid w:val="005868F3"/>
    <w:rsid w:val="005871F4"/>
    <w:rsid w:val="005873B1"/>
    <w:rsid w:val="00587863"/>
    <w:rsid w:val="00587CA9"/>
    <w:rsid w:val="005909CF"/>
    <w:rsid w:val="005918D5"/>
    <w:rsid w:val="00591E71"/>
    <w:rsid w:val="0059367E"/>
    <w:rsid w:val="00594228"/>
    <w:rsid w:val="005944D6"/>
    <w:rsid w:val="00594690"/>
    <w:rsid w:val="00594ED1"/>
    <w:rsid w:val="005A0510"/>
    <w:rsid w:val="005A08D3"/>
    <w:rsid w:val="005A4A36"/>
    <w:rsid w:val="005A516A"/>
    <w:rsid w:val="005A5AEE"/>
    <w:rsid w:val="005A6B25"/>
    <w:rsid w:val="005B2DB2"/>
    <w:rsid w:val="005B2E29"/>
    <w:rsid w:val="005B574B"/>
    <w:rsid w:val="005B719C"/>
    <w:rsid w:val="005B7313"/>
    <w:rsid w:val="005C1B6E"/>
    <w:rsid w:val="005C48F3"/>
    <w:rsid w:val="005C62B5"/>
    <w:rsid w:val="005D220E"/>
    <w:rsid w:val="005D3188"/>
    <w:rsid w:val="005D4E1C"/>
    <w:rsid w:val="005D50AD"/>
    <w:rsid w:val="005D61F6"/>
    <w:rsid w:val="005D6410"/>
    <w:rsid w:val="005D6A5E"/>
    <w:rsid w:val="005D7A56"/>
    <w:rsid w:val="005E049E"/>
    <w:rsid w:val="005E3DED"/>
    <w:rsid w:val="005E7A93"/>
    <w:rsid w:val="005F1055"/>
    <w:rsid w:val="005F10C0"/>
    <w:rsid w:val="005F12EC"/>
    <w:rsid w:val="005F145C"/>
    <w:rsid w:val="005F158F"/>
    <w:rsid w:val="005F438C"/>
    <w:rsid w:val="005F7CE0"/>
    <w:rsid w:val="0060020E"/>
    <w:rsid w:val="006007D5"/>
    <w:rsid w:val="0060135A"/>
    <w:rsid w:val="00602FEA"/>
    <w:rsid w:val="0060350A"/>
    <w:rsid w:val="00603CBB"/>
    <w:rsid w:val="006050ED"/>
    <w:rsid w:val="006054BC"/>
    <w:rsid w:val="00605D1E"/>
    <w:rsid w:val="006067EC"/>
    <w:rsid w:val="006075DC"/>
    <w:rsid w:val="00607BF1"/>
    <w:rsid w:val="00611D3D"/>
    <w:rsid w:val="00611D71"/>
    <w:rsid w:val="00611DFE"/>
    <w:rsid w:val="006126DA"/>
    <w:rsid w:val="00617392"/>
    <w:rsid w:val="006213EC"/>
    <w:rsid w:val="006233AE"/>
    <w:rsid w:val="006234C1"/>
    <w:rsid w:val="0062615A"/>
    <w:rsid w:val="00626F40"/>
    <w:rsid w:val="00627CEE"/>
    <w:rsid w:val="00630090"/>
    <w:rsid w:val="00630490"/>
    <w:rsid w:val="00630D4D"/>
    <w:rsid w:val="006320A6"/>
    <w:rsid w:val="006327D8"/>
    <w:rsid w:val="00632A74"/>
    <w:rsid w:val="006337D2"/>
    <w:rsid w:val="00634C61"/>
    <w:rsid w:val="00635D39"/>
    <w:rsid w:val="00637E48"/>
    <w:rsid w:val="00640423"/>
    <w:rsid w:val="0064075C"/>
    <w:rsid w:val="00642D2D"/>
    <w:rsid w:val="006459F5"/>
    <w:rsid w:val="00646346"/>
    <w:rsid w:val="00651686"/>
    <w:rsid w:val="00652725"/>
    <w:rsid w:val="00652DA3"/>
    <w:rsid w:val="00656DE1"/>
    <w:rsid w:val="0065710E"/>
    <w:rsid w:val="00660D7C"/>
    <w:rsid w:val="00663A37"/>
    <w:rsid w:val="0066411D"/>
    <w:rsid w:val="00664540"/>
    <w:rsid w:val="006664CA"/>
    <w:rsid w:val="00666B5B"/>
    <w:rsid w:val="00671643"/>
    <w:rsid w:val="006721EE"/>
    <w:rsid w:val="0067328E"/>
    <w:rsid w:val="00673D0C"/>
    <w:rsid w:val="00674262"/>
    <w:rsid w:val="00674679"/>
    <w:rsid w:val="00675506"/>
    <w:rsid w:val="0067797F"/>
    <w:rsid w:val="0068390E"/>
    <w:rsid w:val="006847D5"/>
    <w:rsid w:val="006859A5"/>
    <w:rsid w:val="0068780B"/>
    <w:rsid w:val="00687AD6"/>
    <w:rsid w:val="00687FF8"/>
    <w:rsid w:val="00690415"/>
    <w:rsid w:val="00690F4E"/>
    <w:rsid w:val="0069256A"/>
    <w:rsid w:val="00693877"/>
    <w:rsid w:val="006943B0"/>
    <w:rsid w:val="006948E6"/>
    <w:rsid w:val="00695063"/>
    <w:rsid w:val="006A0561"/>
    <w:rsid w:val="006A1473"/>
    <w:rsid w:val="006A26F8"/>
    <w:rsid w:val="006A26FE"/>
    <w:rsid w:val="006A3702"/>
    <w:rsid w:val="006A4655"/>
    <w:rsid w:val="006A4DFE"/>
    <w:rsid w:val="006A4E16"/>
    <w:rsid w:val="006A53F8"/>
    <w:rsid w:val="006A5941"/>
    <w:rsid w:val="006A5DD1"/>
    <w:rsid w:val="006A5F2F"/>
    <w:rsid w:val="006A7B98"/>
    <w:rsid w:val="006A7BD6"/>
    <w:rsid w:val="006B05FA"/>
    <w:rsid w:val="006B078B"/>
    <w:rsid w:val="006C0513"/>
    <w:rsid w:val="006C34CA"/>
    <w:rsid w:val="006C4122"/>
    <w:rsid w:val="006C4318"/>
    <w:rsid w:val="006C47CC"/>
    <w:rsid w:val="006C4B69"/>
    <w:rsid w:val="006C50D8"/>
    <w:rsid w:val="006C63AA"/>
    <w:rsid w:val="006C7038"/>
    <w:rsid w:val="006C7A29"/>
    <w:rsid w:val="006D0AF6"/>
    <w:rsid w:val="006D1378"/>
    <w:rsid w:val="006D14C9"/>
    <w:rsid w:val="006D1E17"/>
    <w:rsid w:val="006D2D44"/>
    <w:rsid w:val="006D2F5D"/>
    <w:rsid w:val="006D7679"/>
    <w:rsid w:val="006E0DF2"/>
    <w:rsid w:val="006E1893"/>
    <w:rsid w:val="006E4837"/>
    <w:rsid w:val="006E7007"/>
    <w:rsid w:val="006E73EF"/>
    <w:rsid w:val="006F0354"/>
    <w:rsid w:val="006F1D97"/>
    <w:rsid w:val="006F610C"/>
    <w:rsid w:val="0070314D"/>
    <w:rsid w:val="00703E2D"/>
    <w:rsid w:val="00704FF0"/>
    <w:rsid w:val="007110D5"/>
    <w:rsid w:val="007114C1"/>
    <w:rsid w:val="00711EB8"/>
    <w:rsid w:val="00713988"/>
    <w:rsid w:val="00713B6C"/>
    <w:rsid w:val="00714386"/>
    <w:rsid w:val="00715F2B"/>
    <w:rsid w:val="007166FB"/>
    <w:rsid w:val="007167B8"/>
    <w:rsid w:val="0072165C"/>
    <w:rsid w:val="00721E4C"/>
    <w:rsid w:val="00722228"/>
    <w:rsid w:val="007228F0"/>
    <w:rsid w:val="00722B21"/>
    <w:rsid w:val="00723540"/>
    <w:rsid w:val="007244AB"/>
    <w:rsid w:val="00724E24"/>
    <w:rsid w:val="007274F9"/>
    <w:rsid w:val="00732C15"/>
    <w:rsid w:val="00734F36"/>
    <w:rsid w:val="0073623E"/>
    <w:rsid w:val="0073629D"/>
    <w:rsid w:val="0074215B"/>
    <w:rsid w:val="00742FAC"/>
    <w:rsid w:val="00745649"/>
    <w:rsid w:val="00746B04"/>
    <w:rsid w:val="00751A58"/>
    <w:rsid w:val="0075288A"/>
    <w:rsid w:val="00753036"/>
    <w:rsid w:val="00753241"/>
    <w:rsid w:val="007560FC"/>
    <w:rsid w:val="007564ED"/>
    <w:rsid w:val="00757965"/>
    <w:rsid w:val="00760249"/>
    <w:rsid w:val="007604BB"/>
    <w:rsid w:val="00761B70"/>
    <w:rsid w:val="00761D02"/>
    <w:rsid w:val="00762AEB"/>
    <w:rsid w:val="00762DFE"/>
    <w:rsid w:val="007635DA"/>
    <w:rsid w:val="0076730F"/>
    <w:rsid w:val="00773B2A"/>
    <w:rsid w:val="007762D1"/>
    <w:rsid w:val="007769DA"/>
    <w:rsid w:val="00777B7D"/>
    <w:rsid w:val="00780195"/>
    <w:rsid w:val="00780C32"/>
    <w:rsid w:val="0078206F"/>
    <w:rsid w:val="007831A5"/>
    <w:rsid w:val="00783EE4"/>
    <w:rsid w:val="0078452D"/>
    <w:rsid w:val="0078731B"/>
    <w:rsid w:val="007873C3"/>
    <w:rsid w:val="00787A54"/>
    <w:rsid w:val="0079042E"/>
    <w:rsid w:val="00792700"/>
    <w:rsid w:val="0079283F"/>
    <w:rsid w:val="00792CEB"/>
    <w:rsid w:val="00797C94"/>
    <w:rsid w:val="00797F49"/>
    <w:rsid w:val="007A0346"/>
    <w:rsid w:val="007A1CF1"/>
    <w:rsid w:val="007A1D85"/>
    <w:rsid w:val="007A21EB"/>
    <w:rsid w:val="007A2A4C"/>
    <w:rsid w:val="007A4584"/>
    <w:rsid w:val="007A46C9"/>
    <w:rsid w:val="007A5AA6"/>
    <w:rsid w:val="007A722A"/>
    <w:rsid w:val="007B4B08"/>
    <w:rsid w:val="007B7001"/>
    <w:rsid w:val="007C1237"/>
    <w:rsid w:val="007C2E26"/>
    <w:rsid w:val="007C36C9"/>
    <w:rsid w:val="007C3E02"/>
    <w:rsid w:val="007C417F"/>
    <w:rsid w:val="007C59B2"/>
    <w:rsid w:val="007C6525"/>
    <w:rsid w:val="007C6CF2"/>
    <w:rsid w:val="007D1B01"/>
    <w:rsid w:val="007D1B07"/>
    <w:rsid w:val="007D28BE"/>
    <w:rsid w:val="007D4A85"/>
    <w:rsid w:val="007D53AB"/>
    <w:rsid w:val="007D71D9"/>
    <w:rsid w:val="007E01E4"/>
    <w:rsid w:val="007E0F2B"/>
    <w:rsid w:val="007E2E8D"/>
    <w:rsid w:val="007E4101"/>
    <w:rsid w:val="007E57A5"/>
    <w:rsid w:val="007E777A"/>
    <w:rsid w:val="007E77D1"/>
    <w:rsid w:val="007E7E28"/>
    <w:rsid w:val="007E7FD1"/>
    <w:rsid w:val="007F12E2"/>
    <w:rsid w:val="007F1990"/>
    <w:rsid w:val="007F2537"/>
    <w:rsid w:val="007F4F49"/>
    <w:rsid w:val="007F515D"/>
    <w:rsid w:val="007F6617"/>
    <w:rsid w:val="007F7107"/>
    <w:rsid w:val="007F7593"/>
    <w:rsid w:val="007F7886"/>
    <w:rsid w:val="0080098B"/>
    <w:rsid w:val="00803E18"/>
    <w:rsid w:val="0081030F"/>
    <w:rsid w:val="00811845"/>
    <w:rsid w:val="0081285F"/>
    <w:rsid w:val="00814B10"/>
    <w:rsid w:val="00814DB6"/>
    <w:rsid w:val="008151F7"/>
    <w:rsid w:val="008156EA"/>
    <w:rsid w:val="00815DA2"/>
    <w:rsid w:val="00817192"/>
    <w:rsid w:val="00817738"/>
    <w:rsid w:val="0082087D"/>
    <w:rsid w:val="008208FF"/>
    <w:rsid w:val="008210B4"/>
    <w:rsid w:val="00823552"/>
    <w:rsid w:val="00823930"/>
    <w:rsid w:val="00823BCA"/>
    <w:rsid w:val="00825458"/>
    <w:rsid w:val="00827620"/>
    <w:rsid w:val="00827CE8"/>
    <w:rsid w:val="008308F4"/>
    <w:rsid w:val="00830B2A"/>
    <w:rsid w:val="008321A9"/>
    <w:rsid w:val="00832381"/>
    <w:rsid w:val="00832A2A"/>
    <w:rsid w:val="0083324F"/>
    <w:rsid w:val="008342F5"/>
    <w:rsid w:val="008379BB"/>
    <w:rsid w:val="00837EF1"/>
    <w:rsid w:val="00837FCA"/>
    <w:rsid w:val="0084060B"/>
    <w:rsid w:val="00840A5E"/>
    <w:rsid w:val="00840B16"/>
    <w:rsid w:val="00841012"/>
    <w:rsid w:val="00841EC2"/>
    <w:rsid w:val="00841FCA"/>
    <w:rsid w:val="00842414"/>
    <w:rsid w:val="00842AD1"/>
    <w:rsid w:val="0084370A"/>
    <w:rsid w:val="00844F8D"/>
    <w:rsid w:val="0084522E"/>
    <w:rsid w:val="00845734"/>
    <w:rsid w:val="00845D36"/>
    <w:rsid w:val="00845E90"/>
    <w:rsid w:val="00846EE8"/>
    <w:rsid w:val="00850DBD"/>
    <w:rsid w:val="00851C24"/>
    <w:rsid w:val="008529E9"/>
    <w:rsid w:val="00853438"/>
    <w:rsid w:val="00854F5A"/>
    <w:rsid w:val="00856D3A"/>
    <w:rsid w:val="00857179"/>
    <w:rsid w:val="0086082C"/>
    <w:rsid w:val="008608F8"/>
    <w:rsid w:val="0086109B"/>
    <w:rsid w:val="008612C6"/>
    <w:rsid w:val="00862FF2"/>
    <w:rsid w:val="00863678"/>
    <w:rsid w:val="00864ADC"/>
    <w:rsid w:val="00866890"/>
    <w:rsid w:val="008727E9"/>
    <w:rsid w:val="00876006"/>
    <w:rsid w:val="00876308"/>
    <w:rsid w:val="008777AD"/>
    <w:rsid w:val="00877886"/>
    <w:rsid w:val="00880153"/>
    <w:rsid w:val="00880F97"/>
    <w:rsid w:val="0088133A"/>
    <w:rsid w:val="00881786"/>
    <w:rsid w:val="00882087"/>
    <w:rsid w:val="00882CF7"/>
    <w:rsid w:val="00890E4B"/>
    <w:rsid w:val="00890FAB"/>
    <w:rsid w:val="0089185B"/>
    <w:rsid w:val="008924D3"/>
    <w:rsid w:val="0089285E"/>
    <w:rsid w:val="0089436C"/>
    <w:rsid w:val="008968AE"/>
    <w:rsid w:val="00897F52"/>
    <w:rsid w:val="008A1AC4"/>
    <w:rsid w:val="008A5F45"/>
    <w:rsid w:val="008A6FEB"/>
    <w:rsid w:val="008B0011"/>
    <w:rsid w:val="008B27D8"/>
    <w:rsid w:val="008B2CCA"/>
    <w:rsid w:val="008B45FC"/>
    <w:rsid w:val="008B4A15"/>
    <w:rsid w:val="008B5D8A"/>
    <w:rsid w:val="008B79E7"/>
    <w:rsid w:val="008C0012"/>
    <w:rsid w:val="008C33C4"/>
    <w:rsid w:val="008C48C5"/>
    <w:rsid w:val="008D0110"/>
    <w:rsid w:val="008D0F29"/>
    <w:rsid w:val="008D1081"/>
    <w:rsid w:val="008D28B8"/>
    <w:rsid w:val="008D3662"/>
    <w:rsid w:val="008D71CB"/>
    <w:rsid w:val="008E24AF"/>
    <w:rsid w:val="008E358F"/>
    <w:rsid w:val="008E460B"/>
    <w:rsid w:val="008E5FCD"/>
    <w:rsid w:val="008E69B6"/>
    <w:rsid w:val="008E6E84"/>
    <w:rsid w:val="008E6F87"/>
    <w:rsid w:val="008F1D2B"/>
    <w:rsid w:val="008F271F"/>
    <w:rsid w:val="008F3CFE"/>
    <w:rsid w:val="008F4BFB"/>
    <w:rsid w:val="008F4F3D"/>
    <w:rsid w:val="008F5231"/>
    <w:rsid w:val="008F53C3"/>
    <w:rsid w:val="008F5623"/>
    <w:rsid w:val="008F63DE"/>
    <w:rsid w:val="008F7CDE"/>
    <w:rsid w:val="009030BF"/>
    <w:rsid w:val="0090351B"/>
    <w:rsid w:val="00913127"/>
    <w:rsid w:val="009138F4"/>
    <w:rsid w:val="00913FCC"/>
    <w:rsid w:val="00914368"/>
    <w:rsid w:val="00914A6B"/>
    <w:rsid w:val="0091731E"/>
    <w:rsid w:val="0092002B"/>
    <w:rsid w:val="00921289"/>
    <w:rsid w:val="00921DF2"/>
    <w:rsid w:val="009228EA"/>
    <w:rsid w:val="009242FA"/>
    <w:rsid w:val="0092643F"/>
    <w:rsid w:val="0092649C"/>
    <w:rsid w:val="00931076"/>
    <w:rsid w:val="00932239"/>
    <w:rsid w:val="009345D9"/>
    <w:rsid w:val="00934629"/>
    <w:rsid w:val="0093488B"/>
    <w:rsid w:val="00934B15"/>
    <w:rsid w:val="00935E18"/>
    <w:rsid w:val="00936BA9"/>
    <w:rsid w:val="0093757A"/>
    <w:rsid w:val="00937EFE"/>
    <w:rsid w:val="00940718"/>
    <w:rsid w:val="0094191E"/>
    <w:rsid w:val="00942B62"/>
    <w:rsid w:val="00942B64"/>
    <w:rsid w:val="00945EB2"/>
    <w:rsid w:val="00947B8E"/>
    <w:rsid w:val="0095039E"/>
    <w:rsid w:val="00952455"/>
    <w:rsid w:val="009556A7"/>
    <w:rsid w:val="00956165"/>
    <w:rsid w:val="00956A0C"/>
    <w:rsid w:val="00956BD9"/>
    <w:rsid w:val="0096084F"/>
    <w:rsid w:val="009614F2"/>
    <w:rsid w:val="00961638"/>
    <w:rsid w:val="00962489"/>
    <w:rsid w:val="00962A5E"/>
    <w:rsid w:val="00962DD7"/>
    <w:rsid w:val="00965056"/>
    <w:rsid w:val="00967A54"/>
    <w:rsid w:val="0097007D"/>
    <w:rsid w:val="00971A29"/>
    <w:rsid w:val="009745AF"/>
    <w:rsid w:val="00975572"/>
    <w:rsid w:val="00975F2A"/>
    <w:rsid w:val="00976910"/>
    <w:rsid w:val="00976BE0"/>
    <w:rsid w:val="00985D5F"/>
    <w:rsid w:val="009869ED"/>
    <w:rsid w:val="009912F4"/>
    <w:rsid w:val="00992495"/>
    <w:rsid w:val="0099271B"/>
    <w:rsid w:val="0099304E"/>
    <w:rsid w:val="00993CBE"/>
    <w:rsid w:val="00994C48"/>
    <w:rsid w:val="009956F4"/>
    <w:rsid w:val="00996952"/>
    <w:rsid w:val="00997223"/>
    <w:rsid w:val="009A161A"/>
    <w:rsid w:val="009A2775"/>
    <w:rsid w:val="009B1A4C"/>
    <w:rsid w:val="009B37BE"/>
    <w:rsid w:val="009B562F"/>
    <w:rsid w:val="009B5E6A"/>
    <w:rsid w:val="009C028D"/>
    <w:rsid w:val="009C158B"/>
    <w:rsid w:val="009C16D2"/>
    <w:rsid w:val="009C1DF8"/>
    <w:rsid w:val="009C309B"/>
    <w:rsid w:val="009C3301"/>
    <w:rsid w:val="009C3438"/>
    <w:rsid w:val="009C35AB"/>
    <w:rsid w:val="009C7B90"/>
    <w:rsid w:val="009C7DAA"/>
    <w:rsid w:val="009D1EF4"/>
    <w:rsid w:val="009D3D9D"/>
    <w:rsid w:val="009D6522"/>
    <w:rsid w:val="009D6647"/>
    <w:rsid w:val="009D7B4A"/>
    <w:rsid w:val="009E2186"/>
    <w:rsid w:val="009E4FFA"/>
    <w:rsid w:val="009E59E4"/>
    <w:rsid w:val="009E66CE"/>
    <w:rsid w:val="009F2FC0"/>
    <w:rsid w:val="009F31F0"/>
    <w:rsid w:val="009F46C9"/>
    <w:rsid w:val="009F696D"/>
    <w:rsid w:val="009F69A0"/>
    <w:rsid w:val="009F6BC6"/>
    <w:rsid w:val="00A00C60"/>
    <w:rsid w:val="00A017BA"/>
    <w:rsid w:val="00A046B1"/>
    <w:rsid w:val="00A047FC"/>
    <w:rsid w:val="00A04C3F"/>
    <w:rsid w:val="00A04D20"/>
    <w:rsid w:val="00A05F67"/>
    <w:rsid w:val="00A11F60"/>
    <w:rsid w:val="00A12234"/>
    <w:rsid w:val="00A12693"/>
    <w:rsid w:val="00A1271B"/>
    <w:rsid w:val="00A13940"/>
    <w:rsid w:val="00A1402F"/>
    <w:rsid w:val="00A140F8"/>
    <w:rsid w:val="00A154C2"/>
    <w:rsid w:val="00A17328"/>
    <w:rsid w:val="00A20894"/>
    <w:rsid w:val="00A22A84"/>
    <w:rsid w:val="00A22F9D"/>
    <w:rsid w:val="00A235C3"/>
    <w:rsid w:val="00A236FA"/>
    <w:rsid w:val="00A2488A"/>
    <w:rsid w:val="00A25FA8"/>
    <w:rsid w:val="00A26AC9"/>
    <w:rsid w:val="00A2703A"/>
    <w:rsid w:val="00A27F46"/>
    <w:rsid w:val="00A309E0"/>
    <w:rsid w:val="00A31912"/>
    <w:rsid w:val="00A321E2"/>
    <w:rsid w:val="00A33DFF"/>
    <w:rsid w:val="00A35115"/>
    <w:rsid w:val="00A36538"/>
    <w:rsid w:val="00A37D0D"/>
    <w:rsid w:val="00A37D97"/>
    <w:rsid w:val="00A37ECA"/>
    <w:rsid w:val="00A40044"/>
    <w:rsid w:val="00A420CE"/>
    <w:rsid w:val="00A43317"/>
    <w:rsid w:val="00A43F5C"/>
    <w:rsid w:val="00A448CE"/>
    <w:rsid w:val="00A455FA"/>
    <w:rsid w:val="00A4629E"/>
    <w:rsid w:val="00A46B73"/>
    <w:rsid w:val="00A50C6C"/>
    <w:rsid w:val="00A51E97"/>
    <w:rsid w:val="00A520B4"/>
    <w:rsid w:val="00A53599"/>
    <w:rsid w:val="00A546A2"/>
    <w:rsid w:val="00A554AB"/>
    <w:rsid w:val="00A55BDC"/>
    <w:rsid w:val="00A5607F"/>
    <w:rsid w:val="00A56255"/>
    <w:rsid w:val="00A60BBA"/>
    <w:rsid w:val="00A62165"/>
    <w:rsid w:val="00A62206"/>
    <w:rsid w:val="00A7201F"/>
    <w:rsid w:val="00A73610"/>
    <w:rsid w:val="00A7620B"/>
    <w:rsid w:val="00A7643C"/>
    <w:rsid w:val="00A81ACC"/>
    <w:rsid w:val="00A81F68"/>
    <w:rsid w:val="00A85AF4"/>
    <w:rsid w:val="00A86234"/>
    <w:rsid w:val="00A86B10"/>
    <w:rsid w:val="00A8721A"/>
    <w:rsid w:val="00A94FA6"/>
    <w:rsid w:val="00A9736E"/>
    <w:rsid w:val="00A97649"/>
    <w:rsid w:val="00AA247D"/>
    <w:rsid w:val="00AA2700"/>
    <w:rsid w:val="00AA2AD9"/>
    <w:rsid w:val="00AA3603"/>
    <w:rsid w:val="00AA4E60"/>
    <w:rsid w:val="00AA6710"/>
    <w:rsid w:val="00AA7547"/>
    <w:rsid w:val="00AB0681"/>
    <w:rsid w:val="00AB1A83"/>
    <w:rsid w:val="00AB3B9C"/>
    <w:rsid w:val="00AB3F31"/>
    <w:rsid w:val="00AB5572"/>
    <w:rsid w:val="00AC16DC"/>
    <w:rsid w:val="00AC6C11"/>
    <w:rsid w:val="00AC6DD7"/>
    <w:rsid w:val="00AC7B16"/>
    <w:rsid w:val="00AD1217"/>
    <w:rsid w:val="00AD247F"/>
    <w:rsid w:val="00AD2687"/>
    <w:rsid w:val="00AD28E5"/>
    <w:rsid w:val="00AD36CD"/>
    <w:rsid w:val="00AD3AFB"/>
    <w:rsid w:val="00AD4700"/>
    <w:rsid w:val="00AD7891"/>
    <w:rsid w:val="00AE066E"/>
    <w:rsid w:val="00AE11C8"/>
    <w:rsid w:val="00AE4E61"/>
    <w:rsid w:val="00AE5C54"/>
    <w:rsid w:val="00AE5E65"/>
    <w:rsid w:val="00AF187D"/>
    <w:rsid w:val="00AF2F13"/>
    <w:rsid w:val="00AF4BB3"/>
    <w:rsid w:val="00AF796D"/>
    <w:rsid w:val="00B01F9C"/>
    <w:rsid w:val="00B07100"/>
    <w:rsid w:val="00B128F3"/>
    <w:rsid w:val="00B14581"/>
    <w:rsid w:val="00B149A1"/>
    <w:rsid w:val="00B20F9D"/>
    <w:rsid w:val="00B22C94"/>
    <w:rsid w:val="00B24CDB"/>
    <w:rsid w:val="00B25212"/>
    <w:rsid w:val="00B260CA"/>
    <w:rsid w:val="00B278BB"/>
    <w:rsid w:val="00B32B2E"/>
    <w:rsid w:val="00B33251"/>
    <w:rsid w:val="00B3426F"/>
    <w:rsid w:val="00B35B2F"/>
    <w:rsid w:val="00B37461"/>
    <w:rsid w:val="00B37F08"/>
    <w:rsid w:val="00B40ED9"/>
    <w:rsid w:val="00B412C7"/>
    <w:rsid w:val="00B42021"/>
    <w:rsid w:val="00B42B8B"/>
    <w:rsid w:val="00B46678"/>
    <w:rsid w:val="00B50DAC"/>
    <w:rsid w:val="00B51030"/>
    <w:rsid w:val="00B51EDC"/>
    <w:rsid w:val="00B52489"/>
    <w:rsid w:val="00B53E7E"/>
    <w:rsid w:val="00B5639D"/>
    <w:rsid w:val="00B57A6B"/>
    <w:rsid w:val="00B57DBD"/>
    <w:rsid w:val="00B57E03"/>
    <w:rsid w:val="00B6342E"/>
    <w:rsid w:val="00B653A2"/>
    <w:rsid w:val="00B67749"/>
    <w:rsid w:val="00B67D14"/>
    <w:rsid w:val="00B7113F"/>
    <w:rsid w:val="00B72590"/>
    <w:rsid w:val="00B727DE"/>
    <w:rsid w:val="00B7445C"/>
    <w:rsid w:val="00B74EA3"/>
    <w:rsid w:val="00B750C6"/>
    <w:rsid w:val="00B77CFD"/>
    <w:rsid w:val="00B80594"/>
    <w:rsid w:val="00B8136C"/>
    <w:rsid w:val="00B826A7"/>
    <w:rsid w:val="00B826C4"/>
    <w:rsid w:val="00B83EE2"/>
    <w:rsid w:val="00B84388"/>
    <w:rsid w:val="00B86E8E"/>
    <w:rsid w:val="00B872A3"/>
    <w:rsid w:val="00B878F2"/>
    <w:rsid w:val="00B87C2C"/>
    <w:rsid w:val="00B87CFF"/>
    <w:rsid w:val="00B9024C"/>
    <w:rsid w:val="00B90E7E"/>
    <w:rsid w:val="00B91FC3"/>
    <w:rsid w:val="00B953C2"/>
    <w:rsid w:val="00B96A6A"/>
    <w:rsid w:val="00B97014"/>
    <w:rsid w:val="00BA0A3C"/>
    <w:rsid w:val="00BA1DD7"/>
    <w:rsid w:val="00BA3486"/>
    <w:rsid w:val="00BA38AA"/>
    <w:rsid w:val="00BA3D96"/>
    <w:rsid w:val="00BA5E17"/>
    <w:rsid w:val="00BA73B6"/>
    <w:rsid w:val="00BA7FD5"/>
    <w:rsid w:val="00BB0EAA"/>
    <w:rsid w:val="00BB31B5"/>
    <w:rsid w:val="00BB4FCD"/>
    <w:rsid w:val="00BB52CD"/>
    <w:rsid w:val="00BB53A9"/>
    <w:rsid w:val="00BB78EC"/>
    <w:rsid w:val="00BB7D94"/>
    <w:rsid w:val="00BB7DDD"/>
    <w:rsid w:val="00BC1B31"/>
    <w:rsid w:val="00BC262C"/>
    <w:rsid w:val="00BC5749"/>
    <w:rsid w:val="00BC7379"/>
    <w:rsid w:val="00BC7FB7"/>
    <w:rsid w:val="00BD13EA"/>
    <w:rsid w:val="00BD14D7"/>
    <w:rsid w:val="00BD1920"/>
    <w:rsid w:val="00BD2852"/>
    <w:rsid w:val="00BD3928"/>
    <w:rsid w:val="00BD3C47"/>
    <w:rsid w:val="00BD4E7A"/>
    <w:rsid w:val="00BD5662"/>
    <w:rsid w:val="00BD5B53"/>
    <w:rsid w:val="00BD6F40"/>
    <w:rsid w:val="00BE10B6"/>
    <w:rsid w:val="00BE1595"/>
    <w:rsid w:val="00BE160D"/>
    <w:rsid w:val="00BE2623"/>
    <w:rsid w:val="00BE2C31"/>
    <w:rsid w:val="00BE3808"/>
    <w:rsid w:val="00BE57EE"/>
    <w:rsid w:val="00BF08BF"/>
    <w:rsid w:val="00BF11ED"/>
    <w:rsid w:val="00BF1266"/>
    <w:rsid w:val="00BF1A00"/>
    <w:rsid w:val="00BF4B0A"/>
    <w:rsid w:val="00BF4B52"/>
    <w:rsid w:val="00BF53AC"/>
    <w:rsid w:val="00BF6E3A"/>
    <w:rsid w:val="00C02B09"/>
    <w:rsid w:val="00C043FD"/>
    <w:rsid w:val="00C04E4A"/>
    <w:rsid w:val="00C05D30"/>
    <w:rsid w:val="00C062E9"/>
    <w:rsid w:val="00C06569"/>
    <w:rsid w:val="00C11485"/>
    <w:rsid w:val="00C11624"/>
    <w:rsid w:val="00C13674"/>
    <w:rsid w:val="00C13721"/>
    <w:rsid w:val="00C13896"/>
    <w:rsid w:val="00C15CE8"/>
    <w:rsid w:val="00C16B2B"/>
    <w:rsid w:val="00C20E4F"/>
    <w:rsid w:val="00C222C2"/>
    <w:rsid w:val="00C23C50"/>
    <w:rsid w:val="00C249B8"/>
    <w:rsid w:val="00C27BEF"/>
    <w:rsid w:val="00C27E3A"/>
    <w:rsid w:val="00C27E60"/>
    <w:rsid w:val="00C27F7C"/>
    <w:rsid w:val="00C31DA9"/>
    <w:rsid w:val="00C33C8E"/>
    <w:rsid w:val="00C33EA6"/>
    <w:rsid w:val="00C3447A"/>
    <w:rsid w:val="00C371B3"/>
    <w:rsid w:val="00C40586"/>
    <w:rsid w:val="00C41A33"/>
    <w:rsid w:val="00C42837"/>
    <w:rsid w:val="00C441D4"/>
    <w:rsid w:val="00C46EAE"/>
    <w:rsid w:val="00C46FF1"/>
    <w:rsid w:val="00C47AC5"/>
    <w:rsid w:val="00C53D42"/>
    <w:rsid w:val="00C543F4"/>
    <w:rsid w:val="00C54461"/>
    <w:rsid w:val="00C54A89"/>
    <w:rsid w:val="00C57274"/>
    <w:rsid w:val="00C57615"/>
    <w:rsid w:val="00C6291C"/>
    <w:rsid w:val="00C633CB"/>
    <w:rsid w:val="00C6387B"/>
    <w:rsid w:val="00C63DB0"/>
    <w:rsid w:val="00C71D88"/>
    <w:rsid w:val="00C72C7B"/>
    <w:rsid w:val="00C72E01"/>
    <w:rsid w:val="00C73161"/>
    <w:rsid w:val="00C7769E"/>
    <w:rsid w:val="00C816D3"/>
    <w:rsid w:val="00C875C9"/>
    <w:rsid w:val="00C8762C"/>
    <w:rsid w:val="00C87C5D"/>
    <w:rsid w:val="00C90B35"/>
    <w:rsid w:val="00C92044"/>
    <w:rsid w:val="00C92DEA"/>
    <w:rsid w:val="00C933FB"/>
    <w:rsid w:val="00C938F4"/>
    <w:rsid w:val="00C958BC"/>
    <w:rsid w:val="00CA00F9"/>
    <w:rsid w:val="00CA24E1"/>
    <w:rsid w:val="00CA25DB"/>
    <w:rsid w:val="00CA2961"/>
    <w:rsid w:val="00CA2EFC"/>
    <w:rsid w:val="00CA3435"/>
    <w:rsid w:val="00CA37AE"/>
    <w:rsid w:val="00CA4002"/>
    <w:rsid w:val="00CA6418"/>
    <w:rsid w:val="00CA6670"/>
    <w:rsid w:val="00CB2202"/>
    <w:rsid w:val="00CB3358"/>
    <w:rsid w:val="00CB5089"/>
    <w:rsid w:val="00CB50D7"/>
    <w:rsid w:val="00CB7177"/>
    <w:rsid w:val="00CC1998"/>
    <w:rsid w:val="00CC203E"/>
    <w:rsid w:val="00CC3EF1"/>
    <w:rsid w:val="00CC46D0"/>
    <w:rsid w:val="00CC4946"/>
    <w:rsid w:val="00CC4B36"/>
    <w:rsid w:val="00CC6C66"/>
    <w:rsid w:val="00CC74DE"/>
    <w:rsid w:val="00CD0063"/>
    <w:rsid w:val="00CD2E67"/>
    <w:rsid w:val="00CD50E4"/>
    <w:rsid w:val="00CD60C3"/>
    <w:rsid w:val="00CD7667"/>
    <w:rsid w:val="00CE1629"/>
    <w:rsid w:val="00CE2091"/>
    <w:rsid w:val="00CE295C"/>
    <w:rsid w:val="00CE2CEF"/>
    <w:rsid w:val="00CE50A3"/>
    <w:rsid w:val="00CE5962"/>
    <w:rsid w:val="00CE6A53"/>
    <w:rsid w:val="00CE72C3"/>
    <w:rsid w:val="00CE7ADB"/>
    <w:rsid w:val="00CF04EA"/>
    <w:rsid w:val="00CF1496"/>
    <w:rsid w:val="00CF2FCE"/>
    <w:rsid w:val="00CF631D"/>
    <w:rsid w:val="00D01169"/>
    <w:rsid w:val="00D035FB"/>
    <w:rsid w:val="00D04E96"/>
    <w:rsid w:val="00D05A15"/>
    <w:rsid w:val="00D0617D"/>
    <w:rsid w:val="00D06EB7"/>
    <w:rsid w:val="00D102CF"/>
    <w:rsid w:val="00D134CC"/>
    <w:rsid w:val="00D1537F"/>
    <w:rsid w:val="00D173D1"/>
    <w:rsid w:val="00D17DF4"/>
    <w:rsid w:val="00D20A67"/>
    <w:rsid w:val="00D21716"/>
    <w:rsid w:val="00D237A8"/>
    <w:rsid w:val="00D257CC"/>
    <w:rsid w:val="00D270A4"/>
    <w:rsid w:val="00D27DE5"/>
    <w:rsid w:val="00D325AF"/>
    <w:rsid w:val="00D33E4B"/>
    <w:rsid w:val="00D34E1B"/>
    <w:rsid w:val="00D3556F"/>
    <w:rsid w:val="00D40A7E"/>
    <w:rsid w:val="00D41977"/>
    <w:rsid w:val="00D43292"/>
    <w:rsid w:val="00D4551D"/>
    <w:rsid w:val="00D457B8"/>
    <w:rsid w:val="00D46D9F"/>
    <w:rsid w:val="00D50FC6"/>
    <w:rsid w:val="00D529C9"/>
    <w:rsid w:val="00D56F0D"/>
    <w:rsid w:val="00D60256"/>
    <w:rsid w:val="00D60E7C"/>
    <w:rsid w:val="00D620F2"/>
    <w:rsid w:val="00D638F5"/>
    <w:rsid w:val="00D63C1E"/>
    <w:rsid w:val="00D63D73"/>
    <w:rsid w:val="00D6483D"/>
    <w:rsid w:val="00D65BB2"/>
    <w:rsid w:val="00D66E1E"/>
    <w:rsid w:val="00D701DD"/>
    <w:rsid w:val="00D71098"/>
    <w:rsid w:val="00D75722"/>
    <w:rsid w:val="00D76B26"/>
    <w:rsid w:val="00D810DC"/>
    <w:rsid w:val="00D825B5"/>
    <w:rsid w:val="00D860AC"/>
    <w:rsid w:val="00D8635E"/>
    <w:rsid w:val="00D90967"/>
    <w:rsid w:val="00D92761"/>
    <w:rsid w:val="00D9333A"/>
    <w:rsid w:val="00D95AC8"/>
    <w:rsid w:val="00D97215"/>
    <w:rsid w:val="00D97B9D"/>
    <w:rsid w:val="00DA1D51"/>
    <w:rsid w:val="00DA26EB"/>
    <w:rsid w:val="00DA32CE"/>
    <w:rsid w:val="00DA52EF"/>
    <w:rsid w:val="00DB33EE"/>
    <w:rsid w:val="00DB5A89"/>
    <w:rsid w:val="00DB62D6"/>
    <w:rsid w:val="00DB67C9"/>
    <w:rsid w:val="00DB6F58"/>
    <w:rsid w:val="00DC09B4"/>
    <w:rsid w:val="00DC09E3"/>
    <w:rsid w:val="00DC0C95"/>
    <w:rsid w:val="00DC16A5"/>
    <w:rsid w:val="00DC1A88"/>
    <w:rsid w:val="00DC4FE0"/>
    <w:rsid w:val="00DC55EE"/>
    <w:rsid w:val="00DC6F9C"/>
    <w:rsid w:val="00DC73A6"/>
    <w:rsid w:val="00DD3728"/>
    <w:rsid w:val="00DD6509"/>
    <w:rsid w:val="00DD6580"/>
    <w:rsid w:val="00DE1490"/>
    <w:rsid w:val="00DE1731"/>
    <w:rsid w:val="00DE20BE"/>
    <w:rsid w:val="00DE22CD"/>
    <w:rsid w:val="00DE3069"/>
    <w:rsid w:val="00DE4B4B"/>
    <w:rsid w:val="00DE501C"/>
    <w:rsid w:val="00DE575B"/>
    <w:rsid w:val="00DE6E3E"/>
    <w:rsid w:val="00DF009C"/>
    <w:rsid w:val="00DF1CBD"/>
    <w:rsid w:val="00DF4D91"/>
    <w:rsid w:val="00DF728E"/>
    <w:rsid w:val="00E03B9A"/>
    <w:rsid w:val="00E11020"/>
    <w:rsid w:val="00E11C35"/>
    <w:rsid w:val="00E121F0"/>
    <w:rsid w:val="00E1317D"/>
    <w:rsid w:val="00E14A56"/>
    <w:rsid w:val="00E15CEB"/>
    <w:rsid w:val="00E17B8A"/>
    <w:rsid w:val="00E17C72"/>
    <w:rsid w:val="00E21E9A"/>
    <w:rsid w:val="00E22900"/>
    <w:rsid w:val="00E245AB"/>
    <w:rsid w:val="00E26238"/>
    <w:rsid w:val="00E276CE"/>
    <w:rsid w:val="00E30319"/>
    <w:rsid w:val="00E30B95"/>
    <w:rsid w:val="00E3212A"/>
    <w:rsid w:val="00E34C5B"/>
    <w:rsid w:val="00E34C7F"/>
    <w:rsid w:val="00E360E4"/>
    <w:rsid w:val="00E36F26"/>
    <w:rsid w:val="00E37EDC"/>
    <w:rsid w:val="00E42A44"/>
    <w:rsid w:val="00E42E43"/>
    <w:rsid w:val="00E42FAF"/>
    <w:rsid w:val="00E512EC"/>
    <w:rsid w:val="00E521B3"/>
    <w:rsid w:val="00E53E8F"/>
    <w:rsid w:val="00E5476D"/>
    <w:rsid w:val="00E55440"/>
    <w:rsid w:val="00E55550"/>
    <w:rsid w:val="00E57616"/>
    <w:rsid w:val="00E61BE1"/>
    <w:rsid w:val="00E62093"/>
    <w:rsid w:val="00E640B4"/>
    <w:rsid w:val="00E669E2"/>
    <w:rsid w:val="00E704B4"/>
    <w:rsid w:val="00E7309F"/>
    <w:rsid w:val="00E73C7C"/>
    <w:rsid w:val="00E740CB"/>
    <w:rsid w:val="00E75028"/>
    <w:rsid w:val="00E75861"/>
    <w:rsid w:val="00E76135"/>
    <w:rsid w:val="00E76908"/>
    <w:rsid w:val="00E80D0D"/>
    <w:rsid w:val="00E81425"/>
    <w:rsid w:val="00E815F8"/>
    <w:rsid w:val="00E81B16"/>
    <w:rsid w:val="00E83DBF"/>
    <w:rsid w:val="00E8481F"/>
    <w:rsid w:val="00E8631E"/>
    <w:rsid w:val="00E95A53"/>
    <w:rsid w:val="00E95B68"/>
    <w:rsid w:val="00E97843"/>
    <w:rsid w:val="00EA0A4B"/>
    <w:rsid w:val="00EA28EF"/>
    <w:rsid w:val="00EA35C2"/>
    <w:rsid w:val="00EA656C"/>
    <w:rsid w:val="00EA7264"/>
    <w:rsid w:val="00EA78F6"/>
    <w:rsid w:val="00EB24B9"/>
    <w:rsid w:val="00EB2CE6"/>
    <w:rsid w:val="00EB4BA3"/>
    <w:rsid w:val="00EB6112"/>
    <w:rsid w:val="00EB655D"/>
    <w:rsid w:val="00EC0123"/>
    <w:rsid w:val="00EC1044"/>
    <w:rsid w:val="00EC1188"/>
    <w:rsid w:val="00EC1886"/>
    <w:rsid w:val="00EC3802"/>
    <w:rsid w:val="00EC45E0"/>
    <w:rsid w:val="00EC5F1B"/>
    <w:rsid w:val="00EC72B1"/>
    <w:rsid w:val="00EC7967"/>
    <w:rsid w:val="00ED01E1"/>
    <w:rsid w:val="00ED42AB"/>
    <w:rsid w:val="00ED50A1"/>
    <w:rsid w:val="00EE1A1D"/>
    <w:rsid w:val="00EE2957"/>
    <w:rsid w:val="00EE4DE5"/>
    <w:rsid w:val="00EE605B"/>
    <w:rsid w:val="00EF09E6"/>
    <w:rsid w:val="00EF21C2"/>
    <w:rsid w:val="00EF3BD7"/>
    <w:rsid w:val="00EF7D7D"/>
    <w:rsid w:val="00F01A49"/>
    <w:rsid w:val="00F056FC"/>
    <w:rsid w:val="00F06B70"/>
    <w:rsid w:val="00F06C6C"/>
    <w:rsid w:val="00F07E7F"/>
    <w:rsid w:val="00F10337"/>
    <w:rsid w:val="00F1066C"/>
    <w:rsid w:val="00F109E1"/>
    <w:rsid w:val="00F10BB0"/>
    <w:rsid w:val="00F1145A"/>
    <w:rsid w:val="00F12294"/>
    <w:rsid w:val="00F135D8"/>
    <w:rsid w:val="00F13A86"/>
    <w:rsid w:val="00F14DF3"/>
    <w:rsid w:val="00F16FAF"/>
    <w:rsid w:val="00F2220D"/>
    <w:rsid w:val="00F24A1A"/>
    <w:rsid w:val="00F24B75"/>
    <w:rsid w:val="00F24D99"/>
    <w:rsid w:val="00F253F8"/>
    <w:rsid w:val="00F25764"/>
    <w:rsid w:val="00F25B6A"/>
    <w:rsid w:val="00F26E46"/>
    <w:rsid w:val="00F30F2E"/>
    <w:rsid w:val="00F31190"/>
    <w:rsid w:val="00F31299"/>
    <w:rsid w:val="00F33608"/>
    <w:rsid w:val="00F3534A"/>
    <w:rsid w:val="00F3686C"/>
    <w:rsid w:val="00F410FE"/>
    <w:rsid w:val="00F4126D"/>
    <w:rsid w:val="00F42A3A"/>
    <w:rsid w:val="00F42DC0"/>
    <w:rsid w:val="00F43BFA"/>
    <w:rsid w:val="00F4499F"/>
    <w:rsid w:val="00F469AB"/>
    <w:rsid w:val="00F47246"/>
    <w:rsid w:val="00F50704"/>
    <w:rsid w:val="00F56977"/>
    <w:rsid w:val="00F56CA2"/>
    <w:rsid w:val="00F574D9"/>
    <w:rsid w:val="00F60B09"/>
    <w:rsid w:val="00F61DBF"/>
    <w:rsid w:val="00F638D3"/>
    <w:rsid w:val="00F65925"/>
    <w:rsid w:val="00F711BB"/>
    <w:rsid w:val="00F72514"/>
    <w:rsid w:val="00F74BE4"/>
    <w:rsid w:val="00F75055"/>
    <w:rsid w:val="00F80A30"/>
    <w:rsid w:val="00F840FF"/>
    <w:rsid w:val="00F85325"/>
    <w:rsid w:val="00F85748"/>
    <w:rsid w:val="00F86501"/>
    <w:rsid w:val="00F87494"/>
    <w:rsid w:val="00F87573"/>
    <w:rsid w:val="00F90CF0"/>
    <w:rsid w:val="00F90D77"/>
    <w:rsid w:val="00F915A1"/>
    <w:rsid w:val="00F9642C"/>
    <w:rsid w:val="00F97566"/>
    <w:rsid w:val="00FA0545"/>
    <w:rsid w:val="00FA2A01"/>
    <w:rsid w:val="00FA2E19"/>
    <w:rsid w:val="00FA30A5"/>
    <w:rsid w:val="00FA56CD"/>
    <w:rsid w:val="00FA5F90"/>
    <w:rsid w:val="00FA677F"/>
    <w:rsid w:val="00FA6832"/>
    <w:rsid w:val="00FB00B7"/>
    <w:rsid w:val="00FB58C6"/>
    <w:rsid w:val="00FB7211"/>
    <w:rsid w:val="00FC0044"/>
    <w:rsid w:val="00FC2828"/>
    <w:rsid w:val="00FC2B88"/>
    <w:rsid w:val="00FC2BC5"/>
    <w:rsid w:val="00FC6028"/>
    <w:rsid w:val="00FC746F"/>
    <w:rsid w:val="00FC7720"/>
    <w:rsid w:val="00FD00CD"/>
    <w:rsid w:val="00FD1CBF"/>
    <w:rsid w:val="00FD22B1"/>
    <w:rsid w:val="00FD3C8E"/>
    <w:rsid w:val="00FD4302"/>
    <w:rsid w:val="00FD4A30"/>
    <w:rsid w:val="00FD534D"/>
    <w:rsid w:val="00FD65D3"/>
    <w:rsid w:val="00FD6BE6"/>
    <w:rsid w:val="00FE1ABD"/>
    <w:rsid w:val="00FE2323"/>
    <w:rsid w:val="00FE3CDF"/>
    <w:rsid w:val="00FE45FC"/>
    <w:rsid w:val="00FE48DD"/>
    <w:rsid w:val="00FE5546"/>
    <w:rsid w:val="00FE554F"/>
    <w:rsid w:val="00FE636F"/>
    <w:rsid w:val="00FF050E"/>
    <w:rsid w:val="00FF2153"/>
    <w:rsid w:val="00FF2A3F"/>
    <w:rsid w:val="00FF2C7B"/>
    <w:rsid w:val="00FF3B69"/>
    <w:rsid w:val="00FF3F37"/>
    <w:rsid w:val="00FF490D"/>
    <w:rsid w:val="00FF59F9"/>
    <w:rsid w:val="00FF60C5"/>
    <w:rsid w:val="00FF729E"/>
    <w:rsid w:val="00FF7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313"/>
    <w:rPr>
      <w:rFonts w:ascii="Arial" w:hAnsi="Arial"/>
      <w:sz w:val="24"/>
      <w:szCs w:val="24"/>
    </w:rPr>
  </w:style>
  <w:style w:type="paragraph" w:styleId="Heading1">
    <w:name w:val="heading 1"/>
    <w:basedOn w:val="BodyText"/>
    <w:next w:val="BodyText"/>
    <w:link w:val="Heading1Char"/>
    <w:rsid w:val="002A0E82"/>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2A0E8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2A0E82"/>
    <w:pPr>
      <w:spacing w:before="560" w:line="320" w:lineRule="exact"/>
      <w:ind w:left="0" w:firstLine="0"/>
      <w:outlineLvl w:val="2"/>
    </w:pPr>
    <w:rPr>
      <w:sz w:val="26"/>
    </w:rPr>
  </w:style>
  <w:style w:type="paragraph" w:styleId="Heading4">
    <w:name w:val="heading 4"/>
    <w:basedOn w:val="Heading3"/>
    <w:next w:val="BodyText"/>
    <w:link w:val="Heading4Char"/>
    <w:qFormat/>
    <w:rsid w:val="002A0E82"/>
    <w:pPr>
      <w:spacing w:before="480"/>
      <w:outlineLvl w:val="3"/>
    </w:pPr>
    <w:rPr>
      <w:b w:val="0"/>
      <w:i/>
      <w:sz w:val="24"/>
    </w:rPr>
  </w:style>
  <w:style w:type="paragraph" w:styleId="Heading5">
    <w:name w:val="heading 5"/>
    <w:basedOn w:val="Heading4"/>
    <w:next w:val="BodyText"/>
    <w:link w:val="Heading5Char"/>
    <w:qFormat/>
    <w:rsid w:val="002A0E82"/>
    <w:pPr>
      <w:outlineLvl w:val="4"/>
    </w:pPr>
    <w:rPr>
      <w:rFonts w:ascii="Times New Roman" w:hAnsi="Times New Roman"/>
      <w:sz w:val="26"/>
    </w:rPr>
  </w:style>
  <w:style w:type="paragraph" w:styleId="Heading6">
    <w:name w:val="heading 6"/>
    <w:basedOn w:val="BodyText"/>
    <w:next w:val="BodyText"/>
    <w:link w:val="Heading6Char"/>
    <w:rsid w:val="002A0E82"/>
    <w:pPr>
      <w:spacing w:after="60"/>
      <w:jc w:val="left"/>
      <w:outlineLvl w:val="5"/>
    </w:pPr>
    <w:rPr>
      <w:i/>
      <w:sz w:val="22"/>
    </w:rPr>
  </w:style>
  <w:style w:type="paragraph" w:styleId="Heading7">
    <w:name w:val="heading 7"/>
    <w:basedOn w:val="BodyText"/>
    <w:next w:val="BodyText"/>
    <w:link w:val="Heading7Char"/>
    <w:rsid w:val="002A0E82"/>
    <w:pPr>
      <w:spacing w:after="60" w:line="240" w:lineRule="auto"/>
      <w:jc w:val="left"/>
      <w:outlineLvl w:val="6"/>
    </w:pPr>
    <w:rPr>
      <w:rFonts w:ascii="Arial" w:hAnsi="Arial"/>
      <w:sz w:val="20"/>
    </w:rPr>
  </w:style>
  <w:style w:type="paragraph" w:styleId="Heading8">
    <w:name w:val="heading 8"/>
    <w:basedOn w:val="BodyText"/>
    <w:next w:val="BodyText"/>
    <w:link w:val="Heading8Char"/>
    <w:rsid w:val="002A0E82"/>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2A0E8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B73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7313"/>
  </w:style>
  <w:style w:type="paragraph" w:styleId="BodyText">
    <w:name w:val="Body Text"/>
    <w:link w:val="BodyTextChar"/>
    <w:qFormat/>
    <w:rsid w:val="002A0E82"/>
    <w:pPr>
      <w:spacing w:before="240" w:line="320" w:lineRule="atLeast"/>
      <w:jc w:val="both"/>
    </w:pPr>
    <w:rPr>
      <w:sz w:val="26"/>
    </w:rPr>
  </w:style>
  <w:style w:type="paragraph" w:styleId="Footer">
    <w:name w:val="footer"/>
    <w:basedOn w:val="BodyText"/>
    <w:link w:val="FooterChar"/>
    <w:semiHidden/>
    <w:rsid w:val="002A0E82"/>
    <w:pPr>
      <w:spacing w:before="80" w:line="200" w:lineRule="exact"/>
      <w:ind w:right="6"/>
      <w:jc w:val="left"/>
    </w:pPr>
    <w:rPr>
      <w:caps/>
      <w:spacing w:val="-4"/>
      <w:sz w:val="16"/>
    </w:rPr>
  </w:style>
  <w:style w:type="paragraph" w:customStyle="1" w:styleId="FooterEnd">
    <w:name w:val="Footer End"/>
    <w:basedOn w:val="Footer"/>
    <w:rsid w:val="002A0E82"/>
    <w:pPr>
      <w:spacing w:before="0" w:line="20" w:lineRule="exact"/>
    </w:pPr>
  </w:style>
  <w:style w:type="paragraph" w:styleId="Header">
    <w:name w:val="header"/>
    <w:basedOn w:val="BodyText"/>
    <w:link w:val="HeaderChar"/>
    <w:rsid w:val="002A0E82"/>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A0E82"/>
    <w:pPr>
      <w:spacing w:line="20" w:lineRule="exact"/>
    </w:pPr>
    <w:rPr>
      <w:sz w:val="16"/>
    </w:rPr>
  </w:style>
  <w:style w:type="paragraph" w:customStyle="1" w:styleId="HeaderEven">
    <w:name w:val="Header Even"/>
    <w:basedOn w:val="Header"/>
    <w:semiHidden/>
    <w:rsid w:val="002A0E82"/>
  </w:style>
  <w:style w:type="paragraph" w:customStyle="1" w:styleId="HeaderOdd">
    <w:name w:val="Header Odd"/>
    <w:basedOn w:val="Header"/>
    <w:semiHidden/>
    <w:rsid w:val="002A0E82"/>
  </w:style>
  <w:style w:type="character" w:styleId="PageNumber">
    <w:name w:val="page number"/>
    <w:basedOn w:val="DefaultParagraphFont"/>
    <w:rsid w:val="002A0E82"/>
    <w:rPr>
      <w:rFonts w:ascii="Arial" w:hAnsi="Arial"/>
      <w:b/>
      <w:sz w:val="16"/>
    </w:rPr>
  </w:style>
  <w:style w:type="paragraph" w:customStyle="1" w:styleId="Abbreviation">
    <w:name w:val="Abbreviation"/>
    <w:basedOn w:val="BodyText"/>
    <w:link w:val="AbbreviationChar"/>
    <w:rsid w:val="002A0E82"/>
    <w:pPr>
      <w:spacing w:before="120"/>
      <w:ind w:left="2381" w:hanging="2381"/>
      <w:jc w:val="left"/>
    </w:pPr>
  </w:style>
  <w:style w:type="paragraph" w:customStyle="1" w:styleId="Box">
    <w:name w:val="Box"/>
    <w:basedOn w:val="BodyText"/>
    <w:qFormat/>
    <w:rsid w:val="002A0E82"/>
    <w:pPr>
      <w:keepNext/>
      <w:spacing w:before="120" w:line="280" w:lineRule="atLeast"/>
    </w:pPr>
    <w:rPr>
      <w:rFonts w:ascii="Arial" w:hAnsi="Arial"/>
      <w:sz w:val="22"/>
    </w:rPr>
  </w:style>
  <w:style w:type="paragraph" w:customStyle="1" w:styleId="BoxContinued">
    <w:name w:val="Box Continued"/>
    <w:basedOn w:val="BodyText"/>
    <w:next w:val="BodyText"/>
    <w:semiHidden/>
    <w:rsid w:val="002A0E82"/>
    <w:pPr>
      <w:spacing w:before="180" w:line="220" w:lineRule="exact"/>
      <w:jc w:val="right"/>
    </w:pPr>
    <w:rPr>
      <w:rFonts w:ascii="Arial" w:hAnsi="Arial"/>
      <w:sz w:val="18"/>
    </w:rPr>
  </w:style>
  <w:style w:type="paragraph" w:customStyle="1" w:styleId="BoxHeading1">
    <w:name w:val="Box Heading 1"/>
    <w:basedOn w:val="BodyText"/>
    <w:next w:val="Box"/>
    <w:rsid w:val="002A0E82"/>
    <w:pPr>
      <w:keepNext/>
      <w:spacing w:before="200" w:line="280" w:lineRule="atLeast"/>
    </w:pPr>
    <w:rPr>
      <w:rFonts w:ascii="Arial" w:hAnsi="Arial"/>
      <w:b/>
      <w:sz w:val="22"/>
    </w:rPr>
  </w:style>
  <w:style w:type="paragraph" w:customStyle="1" w:styleId="BoxHeading2">
    <w:name w:val="Box Heading 2"/>
    <w:basedOn w:val="BoxHeading1"/>
    <w:next w:val="Normal"/>
    <w:rsid w:val="002A0E82"/>
    <w:rPr>
      <w:b w:val="0"/>
      <w:i/>
    </w:rPr>
  </w:style>
  <w:style w:type="paragraph" w:customStyle="1" w:styleId="BoxListBullet">
    <w:name w:val="Box List Bullet"/>
    <w:basedOn w:val="BodyText"/>
    <w:rsid w:val="002A0E82"/>
    <w:pPr>
      <w:keepNext/>
      <w:numPr>
        <w:numId w:val="1"/>
      </w:numPr>
      <w:spacing w:before="60" w:line="280" w:lineRule="atLeast"/>
    </w:pPr>
    <w:rPr>
      <w:rFonts w:ascii="Arial" w:hAnsi="Arial"/>
      <w:sz w:val="22"/>
    </w:rPr>
  </w:style>
  <w:style w:type="paragraph" w:customStyle="1" w:styleId="BoxListBullet2">
    <w:name w:val="Box List Bullet 2"/>
    <w:basedOn w:val="BodyText"/>
    <w:rsid w:val="002A0E82"/>
    <w:pPr>
      <w:keepNext/>
      <w:numPr>
        <w:numId w:val="2"/>
      </w:numPr>
      <w:spacing w:before="60" w:line="280" w:lineRule="atLeast"/>
    </w:pPr>
    <w:rPr>
      <w:rFonts w:ascii="Arial" w:hAnsi="Arial"/>
      <w:sz w:val="22"/>
    </w:rPr>
  </w:style>
  <w:style w:type="paragraph" w:customStyle="1" w:styleId="BoxListNumber">
    <w:name w:val="Box List Number"/>
    <w:basedOn w:val="BodyText"/>
    <w:rsid w:val="002A0E82"/>
    <w:pPr>
      <w:keepNext/>
      <w:numPr>
        <w:numId w:val="13"/>
      </w:numPr>
      <w:spacing w:before="60" w:line="280" w:lineRule="atLeast"/>
    </w:pPr>
    <w:rPr>
      <w:rFonts w:ascii="Arial" w:hAnsi="Arial"/>
      <w:sz w:val="22"/>
    </w:rPr>
  </w:style>
  <w:style w:type="paragraph" w:customStyle="1" w:styleId="BoxListNumber2">
    <w:name w:val="Box List Number 2"/>
    <w:basedOn w:val="BoxListNumber"/>
    <w:rsid w:val="002A0E82"/>
    <w:pPr>
      <w:numPr>
        <w:ilvl w:val="1"/>
      </w:numPr>
    </w:pPr>
  </w:style>
  <w:style w:type="paragraph" w:customStyle="1" w:styleId="BoxQuote">
    <w:name w:val="Box Quote"/>
    <w:basedOn w:val="BodyText"/>
    <w:next w:val="Box"/>
    <w:rsid w:val="002A0E82"/>
    <w:pPr>
      <w:keepNext/>
      <w:spacing w:before="60" w:line="260" w:lineRule="exact"/>
      <w:ind w:left="284"/>
    </w:pPr>
    <w:rPr>
      <w:rFonts w:ascii="Arial" w:hAnsi="Arial"/>
      <w:sz w:val="20"/>
    </w:rPr>
  </w:style>
  <w:style w:type="paragraph" w:customStyle="1" w:styleId="Note">
    <w:name w:val="Note"/>
    <w:basedOn w:val="BodyText"/>
    <w:next w:val="BodyText"/>
    <w:link w:val="NoteChar"/>
    <w:rsid w:val="002A0E82"/>
    <w:pPr>
      <w:keepLines/>
      <w:spacing w:before="80" w:line="220" w:lineRule="exact"/>
    </w:pPr>
    <w:rPr>
      <w:rFonts w:ascii="Arial" w:hAnsi="Arial"/>
      <w:sz w:val="18"/>
    </w:rPr>
  </w:style>
  <w:style w:type="paragraph" w:customStyle="1" w:styleId="Source">
    <w:name w:val="Source"/>
    <w:basedOn w:val="Note"/>
    <w:next w:val="BodyText"/>
    <w:link w:val="SourceChar"/>
    <w:rsid w:val="002A0E82"/>
    <w:pPr>
      <w:spacing w:after="120"/>
    </w:pPr>
  </w:style>
  <w:style w:type="paragraph" w:customStyle="1" w:styleId="BoxSource">
    <w:name w:val="Box Source"/>
    <w:basedOn w:val="Source"/>
    <w:next w:val="BodyText"/>
    <w:rsid w:val="002A0E82"/>
    <w:pPr>
      <w:spacing w:before="180" w:after="0"/>
    </w:pPr>
  </w:style>
  <w:style w:type="paragraph" w:customStyle="1" w:styleId="BoxSpace">
    <w:name w:val="Box Space"/>
    <w:basedOn w:val="BodyText"/>
    <w:rsid w:val="00545BEE"/>
    <w:pPr>
      <w:keepNext/>
      <w:spacing w:before="360" w:line="80" w:lineRule="exact"/>
      <w:jc w:val="left"/>
    </w:pPr>
  </w:style>
  <w:style w:type="paragraph" w:styleId="Caption">
    <w:name w:val="caption"/>
    <w:basedOn w:val="Normal"/>
    <w:next w:val="BodyText"/>
    <w:rsid w:val="002A0E82"/>
    <w:pPr>
      <w:keepNext/>
      <w:keepLines/>
      <w:spacing w:before="360" w:after="80" w:line="280" w:lineRule="exact"/>
      <w:ind w:left="1474" w:hanging="1474"/>
    </w:pPr>
    <w:rPr>
      <w:b/>
    </w:rPr>
  </w:style>
  <w:style w:type="paragraph" w:customStyle="1" w:styleId="BoxTitle">
    <w:name w:val="Box Title"/>
    <w:basedOn w:val="Caption"/>
    <w:next w:val="BoxSubtitle"/>
    <w:rsid w:val="002A0E82"/>
    <w:pPr>
      <w:spacing w:before="120" w:after="0"/>
      <w:ind w:left="1304" w:hanging="1304"/>
    </w:pPr>
  </w:style>
  <w:style w:type="paragraph" w:customStyle="1" w:styleId="BoxSubtitle">
    <w:name w:val="Box Subtitle"/>
    <w:basedOn w:val="BoxTitle"/>
    <w:next w:val="Normal"/>
    <w:rsid w:val="002A0E82"/>
    <w:pPr>
      <w:spacing w:after="80" w:line="200" w:lineRule="exact"/>
      <w:ind w:firstLine="0"/>
    </w:pPr>
    <w:rPr>
      <w:b w:val="0"/>
      <w:sz w:val="20"/>
    </w:rPr>
  </w:style>
  <w:style w:type="paragraph" w:customStyle="1" w:styleId="Chapter">
    <w:name w:val="Chapter"/>
    <w:basedOn w:val="Heading1"/>
    <w:next w:val="BodyText"/>
    <w:link w:val="ChapterChar"/>
    <w:semiHidden/>
    <w:rsid w:val="002A0E82"/>
    <w:pPr>
      <w:ind w:left="0" w:firstLine="0"/>
      <w:outlineLvl w:val="9"/>
    </w:pPr>
  </w:style>
  <w:style w:type="paragraph" w:customStyle="1" w:styleId="ChapterSummary">
    <w:name w:val="Chapter Summary"/>
    <w:basedOn w:val="BodyText"/>
    <w:rsid w:val="002A0E82"/>
    <w:pPr>
      <w:ind w:left="907"/>
    </w:pPr>
    <w:rPr>
      <w:rFonts w:ascii="Arial" w:hAnsi="Arial"/>
      <w:b/>
      <w:sz w:val="22"/>
    </w:rPr>
  </w:style>
  <w:style w:type="character" w:styleId="CommentReference">
    <w:name w:val="annotation reference"/>
    <w:basedOn w:val="DefaultParagraphFont"/>
    <w:semiHidden/>
    <w:rsid w:val="002A0E82"/>
    <w:rPr>
      <w:b/>
      <w:vanish/>
      <w:color w:val="FF00FF"/>
      <w:sz w:val="20"/>
    </w:rPr>
  </w:style>
  <w:style w:type="paragraph" w:styleId="CommentText">
    <w:name w:val="annotation text"/>
    <w:basedOn w:val="Normal"/>
    <w:link w:val="CommentTextChar"/>
    <w:semiHidden/>
    <w:rsid w:val="002A0E82"/>
    <w:pPr>
      <w:spacing w:before="120" w:line="240" w:lineRule="atLeast"/>
      <w:ind w:left="567" w:hanging="567"/>
    </w:pPr>
    <w:rPr>
      <w:sz w:val="20"/>
    </w:rPr>
  </w:style>
  <w:style w:type="paragraph" w:customStyle="1" w:styleId="Continued">
    <w:name w:val="Continued"/>
    <w:basedOn w:val="BoxContinued"/>
    <w:next w:val="BodyText"/>
    <w:rsid w:val="002A0E82"/>
  </w:style>
  <w:style w:type="character" w:customStyle="1" w:styleId="DocumentInfo">
    <w:name w:val="Document Info"/>
    <w:basedOn w:val="DefaultParagraphFont"/>
    <w:semiHidden/>
    <w:rsid w:val="002A0E82"/>
    <w:rPr>
      <w:rFonts w:ascii="Arial" w:hAnsi="Arial"/>
      <w:sz w:val="14"/>
    </w:rPr>
  </w:style>
  <w:style w:type="character" w:customStyle="1" w:styleId="DraftingNote">
    <w:name w:val="Drafting Note"/>
    <w:basedOn w:val="DefaultParagraphFont"/>
    <w:rsid w:val="002A0E82"/>
    <w:rPr>
      <w:b/>
      <w:color w:val="FF0000"/>
      <w:sz w:val="24"/>
      <w:u w:val="dotted"/>
    </w:rPr>
  </w:style>
  <w:style w:type="paragraph" w:customStyle="1" w:styleId="Figure">
    <w:name w:val="Figure"/>
    <w:basedOn w:val="BodyText"/>
    <w:rsid w:val="002A0E82"/>
    <w:pPr>
      <w:keepNext/>
      <w:spacing w:before="120" w:after="120" w:line="240" w:lineRule="atLeast"/>
      <w:jc w:val="center"/>
    </w:pPr>
  </w:style>
  <w:style w:type="paragraph" w:customStyle="1" w:styleId="FigureTitle">
    <w:name w:val="Figure Title"/>
    <w:basedOn w:val="Caption"/>
    <w:next w:val="Subtitle"/>
    <w:rsid w:val="002A0E82"/>
  </w:style>
  <w:style w:type="paragraph" w:styleId="Subtitle">
    <w:name w:val="Subtitle"/>
    <w:basedOn w:val="Caption"/>
    <w:link w:val="SubtitleChar"/>
    <w:rsid w:val="002A0E82"/>
    <w:pPr>
      <w:spacing w:before="0" w:line="200" w:lineRule="exact"/>
      <w:ind w:firstLine="0"/>
    </w:pPr>
    <w:rPr>
      <w:b w:val="0"/>
      <w:sz w:val="20"/>
    </w:rPr>
  </w:style>
  <w:style w:type="paragraph" w:customStyle="1" w:styleId="Finding">
    <w:name w:val="Finding"/>
    <w:basedOn w:val="BodyText"/>
    <w:rsid w:val="002A0E82"/>
    <w:pPr>
      <w:keepLines/>
      <w:spacing w:before="180"/>
    </w:pPr>
    <w:rPr>
      <w:i/>
    </w:rPr>
  </w:style>
  <w:style w:type="paragraph" w:customStyle="1" w:styleId="FindingBullet">
    <w:name w:val="Finding Bullet"/>
    <w:basedOn w:val="Finding"/>
    <w:rsid w:val="002A0E82"/>
    <w:pPr>
      <w:numPr>
        <w:numId w:val="3"/>
      </w:numPr>
      <w:spacing w:before="80"/>
    </w:pPr>
  </w:style>
  <w:style w:type="paragraph" w:customStyle="1" w:styleId="FindingNoTitle">
    <w:name w:val="Finding NoTitle"/>
    <w:basedOn w:val="Finding"/>
    <w:rsid w:val="002A0E82"/>
    <w:pPr>
      <w:spacing w:before="240"/>
    </w:pPr>
  </w:style>
  <w:style w:type="paragraph" w:customStyle="1" w:styleId="RecTitle">
    <w:name w:val="Rec Title"/>
    <w:basedOn w:val="BodyText"/>
    <w:next w:val="Normal"/>
    <w:rsid w:val="002A0E82"/>
    <w:pPr>
      <w:keepNext/>
      <w:keepLines/>
    </w:pPr>
    <w:rPr>
      <w:caps/>
      <w:sz w:val="20"/>
    </w:rPr>
  </w:style>
  <w:style w:type="paragraph" w:customStyle="1" w:styleId="FindingTitle">
    <w:name w:val="Finding Title"/>
    <w:basedOn w:val="RecTitle"/>
    <w:next w:val="Finding"/>
    <w:rsid w:val="002A0E82"/>
    <w:pPr>
      <w:framePr w:wrap="notBeside" w:hAnchor="text"/>
    </w:pPr>
  </w:style>
  <w:style w:type="character" w:styleId="FootnoteReference">
    <w:name w:val="footnote reference"/>
    <w:basedOn w:val="DefaultParagraphFont"/>
    <w:semiHidden/>
    <w:rsid w:val="002A0E82"/>
    <w:rPr>
      <w:rFonts w:ascii="Times New Roman" w:hAnsi="Times New Roman"/>
      <w:position w:val="6"/>
      <w:sz w:val="22"/>
      <w:vertAlign w:val="baseline"/>
    </w:rPr>
  </w:style>
  <w:style w:type="paragraph" w:styleId="FootnoteText">
    <w:name w:val="footnote text"/>
    <w:basedOn w:val="BodyText"/>
    <w:link w:val="FootnoteTextChar"/>
    <w:rsid w:val="002A0E82"/>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2A0E82"/>
    <w:pPr>
      <w:spacing w:before="360" w:after="120"/>
    </w:pPr>
    <w:rPr>
      <w:rFonts w:ascii="Arial" w:hAnsi="Arial"/>
      <w:sz w:val="24"/>
    </w:rPr>
  </w:style>
  <w:style w:type="paragraph" w:customStyle="1" w:styleId="Jurisdictioncommentsbodytext">
    <w:name w:val="Jurisdiction comments body text"/>
    <w:rsid w:val="002A0E82"/>
    <w:pPr>
      <w:spacing w:after="140"/>
      <w:jc w:val="both"/>
    </w:pPr>
    <w:rPr>
      <w:rFonts w:ascii="Arial" w:hAnsi="Arial"/>
      <w:sz w:val="24"/>
      <w:lang w:eastAsia="en-US"/>
    </w:rPr>
  </w:style>
  <w:style w:type="paragraph" w:customStyle="1" w:styleId="Jurisdictioncommentsheading">
    <w:name w:val="Jurisdiction comments heading"/>
    <w:rsid w:val="002A0E82"/>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A0E82"/>
    <w:pPr>
      <w:numPr>
        <w:numId w:val="4"/>
      </w:numPr>
      <w:spacing w:after="140"/>
      <w:jc w:val="both"/>
    </w:pPr>
    <w:rPr>
      <w:rFonts w:ascii="Arial" w:hAnsi="Arial"/>
      <w:sz w:val="24"/>
      <w:lang w:eastAsia="en-US"/>
    </w:rPr>
  </w:style>
  <w:style w:type="paragraph" w:styleId="ListBullet">
    <w:name w:val="List Bullet"/>
    <w:basedOn w:val="BodyText"/>
    <w:rsid w:val="002A0E82"/>
    <w:pPr>
      <w:numPr>
        <w:numId w:val="5"/>
      </w:numPr>
      <w:spacing w:before="120"/>
    </w:pPr>
  </w:style>
  <w:style w:type="paragraph" w:styleId="ListBullet2">
    <w:name w:val="List Bullet 2"/>
    <w:basedOn w:val="BodyText"/>
    <w:rsid w:val="002A0E82"/>
    <w:pPr>
      <w:numPr>
        <w:numId w:val="6"/>
      </w:numPr>
      <w:spacing w:before="120"/>
    </w:pPr>
  </w:style>
  <w:style w:type="paragraph" w:styleId="ListBullet3">
    <w:name w:val="List Bullet 3"/>
    <w:basedOn w:val="BodyText"/>
    <w:rsid w:val="002A0E82"/>
    <w:pPr>
      <w:numPr>
        <w:numId w:val="7"/>
      </w:numPr>
      <w:spacing w:before="120"/>
    </w:pPr>
  </w:style>
  <w:style w:type="paragraph" w:styleId="ListNumber">
    <w:name w:val="List Number"/>
    <w:basedOn w:val="BodyText"/>
    <w:rsid w:val="002A0E82"/>
    <w:pPr>
      <w:numPr>
        <w:numId w:val="12"/>
      </w:numPr>
      <w:spacing w:before="120"/>
    </w:pPr>
  </w:style>
  <w:style w:type="paragraph" w:styleId="ListNumber2">
    <w:name w:val="List Number 2"/>
    <w:basedOn w:val="ListNumber"/>
    <w:rsid w:val="002A0E82"/>
    <w:pPr>
      <w:numPr>
        <w:ilvl w:val="1"/>
      </w:numPr>
    </w:pPr>
  </w:style>
  <w:style w:type="paragraph" w:styleId="ListNumber3">
    <w:name w:val="List Number 3"/>
    <w:basedOn w:val="ListNumber2"/>
    <w:rsid w:val="002A0E82"/>
    <w:pPr>
      <w:numPr>
        <w:ilvl w:val="2"/>
      </w:numPr>
    </w:pPr>
  </w:style>
  <w:style w:type="character" w:customStyle="1" w:styleId="NoteLabel">
    <w:name w:val="Note Label"/>
    <w:basedOn w:val="DefaultParagraphFont"/>
    <w:rsid w:val="002A0E82"/>
    <w:rPr>
      <w:rFonts w:ascii="Arial" w:hAnsi="Arial"/>
      <w:b/>
      <w:position w:val="6"/>
      <w:sz w:val="18"/>
    </w:rPr>
  </w:style>
  <w:style w:type="paragraph" w:customStyle="1" w:styleId="PartDivider">
    <w:name w:val="Part Divider"/>
    <w:basedOn w:val="BodyText"/>
    <w:next w:val="BodyText"/>
    <w:semiHidden/>
    <w:rsid w:val="002A0E82"/>
    <w:pPr>
      <w:spacing w:before="0" w:line="40" w:lineRule="exact"/>
      <w:jc w:val="right"/>
    </w:pPr>
    <w:rPr>
      <w:smallCaps/>
      <w:sz w:val="16"/>
    </w:rPr>
  </w:style>
  <w:style w:type="paragraph" w:customStyle="1" w:styleId="PartNumber">
    <w:name w:val="Part Number"/>
    <w:basedOn w:val="BodyText"/>
    <w:next w:val="BodyText"/>
    <w:semiHidden/>
    <w:rsid w:val="002A0E82"/>
    <w:pPr>
      <w:spacing w:before="4000" w:line="320" w:lineRule="exact"/>
      <w:ind w:left="6634"/>
      <w:jc w:val="right"/>
    </w:pPr>
    <w:rPr>
      <w:smallCaps/>
      <w:spacing w:val="60"/>
      <w:sz w:val="32"/>
    </w:rPr>
  </w:style>
  <w:style w:type="paragraph" w:customStyle="1" w:styleId="PartTitle">
    <w:name w:val="Part Title"/>
    <w:basedOn w:val="BodyText"/>
    <w:semiHidden/>
    <w:rsid w:val="002A0E82"/>
    <w:pPr>
      <w:spacing w:before="160" w:after="1360" w:line="520" w:lineRule="exact"/>
      <w:ind w:right="2381"/>
      <w:jc w:val="right"/>
    </w:pPr>
    <w:rPr>
      <w:smallCaps/>
      <w:sz w:val="52"/>
    </w:rPr>
  </w:style>
  <w:style w:type="paragraph" w:styleId="Quote">
    <w:name w:val="Quote"/>
    <w:basedOn w:val="BodyText"/>
    <w:next w:val="BodyText"/>
    <w:link w:val="QuoteChar"/>
    <w:qFormat/>
    <w:rsid w:val="002A0E82"/>
    <w:pPr>
      <w:spacing w:before="120" w:line="280" w:lineRule="exact"/>
      <w:ind w:left="340"/>
    </w:pPr>
    <w:rPr>
      <w:sz w:val="24"/>
    </w:rPr>
  </w:style>
  <w:style w:type="paragraph" w:customStyle="1" w:styleId="QuoteBullet">
    <w:name w:val="Quote Bullet"/>
    <w:basedOn w:val="Quote"/>
    <w:rsid w:val="002A0E82"/>
    <w:pPr>
      <w:numPr>
        <w:numId w:val="8"/>
      </w:numPr>
    </w:pPr>
  </w:style>
  <w:style w:type="paragraph" w:customStyle="1" w:styleId="Rec">
    <w:name w:val="Rec"/>
    <w:basedOn w:val="BodyText"/>
    <w:rsid w:val="002A0E82"/>
    <w:pPr>
      <w:keepLines/>
      <w:spacing w:before="180"/>
    </w:pPr>
    <w:rPr>
      <w:b/>
      <w:i/>
    </w:rPr>
  </w:style>
  <w:style w:type="paragraph" w:customStyle="1" w:styleId="RecBullet">
    <w:name w:val="Rec Bullet"/>
    <w:basedOn w:val="Rec"/>
    <w:rsid w:val="002A0E82"/>
    <w:pPr>
      <w:numPr>
        <w:numId w:val="9"/>
      </w:numPr>
      <w:spacing w:before="80"/>
    </w:pPr>
  </w:style>
  <w:style w:type="paragraph" w:customStyle="1" w:styleId="RecB">
    <w:name w:val="RecB"/>
    <w:basedOn w:val="Normal"/>
    <w:rsid w:val="002A0E82"/>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2A0E82"/>
    <w:pPr>
      <w:numPr>
        <w:numId w:val="14"/>
      </w:numPr>
      <w:spacing w:before="80"/>
    </w:pPr>
  </w:style>
  <w:style w:type="paragraph" w:customStyle="1" w:styleId="RecBNoTitle">
    <w:name w:val="RecB NoTitle"/>
    <w:basedOn w:val="RecB"/>
    <w:rsid w:val="002A0E82"/>
    <w:pPr>
      <w:spacing w:before="240"/>
    </w:pPr>
  </w:style>
  <w:style w:type="paragraph" w:customStyle="1" w:styleId="Reference">
    <w:name w:val="Reference"/>
    <w:basedOn w:val="BodyText"/>
    <w:link w:val="ReferenceChar"/>
    <w:rsid w:val="002A0E82"/>
    <w:pPr>
      <w:spacing w:before="120"/>
      <w:ind w:left="340" w:hanging="340"/>
    </w:pPr>
  </w:style>
  <w:style w:type="paragraph" w:customStyle="1" w:styleId="SequenceInfo">
    <w:name w:val="Sequence Info"/>
    <w:basedOn w:val="BodyText"/>
    <w:semiHidden/>
    <w:rsid w:val="002A0E82"/>
    <w:rPr>
      <w:vanish/>
      <w:sz w:val="16"/>
    </w:rPr>
  </w:style>
  <w:style w:type="paragraph" w:customStyle="1" w:styleId="SideNote">
    <w:name w:val="Side Note"/>
    <w:basedOn w:val="BodyText"/>
    <w:next w:val="BodyText"/>
    <w:semiHidden/>
    <w:rsid w:val="002A0E82"/>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2A0E82"/>
    <w:pPr>
      <w:framePr w:wrap="around"/>
      <w:numPr>
        <w:numId w:val="10"/>
      </w:numPr>
      <w:tabs>
        <w:tab w:val="left" w:pos="227"/>
      </w:tabs>
    </w:pPr>
  </w:style>
  <w:style w:type="paragraph" w:customStyle="1" w:styleId="SideNoteGraphic">
    <w:name w:val="Side Note Graphic"/>
    <w:basedOn w:val="SideNote"/>
    <w:next w:val="BodyText"/>
    <w:semiHidden/>
    <w:rsid w:val="002A0E82"/>
    <w:pPr>
      <w:framePr w:wrap="around"/>
    </w:pPr>
  </w:style>
  <w:style w:type="paragraph" w:customStyle="1" w:styleId="TableBodyText">
    <w:name w:val="Table Body Text"/>
    <w:basedOn w:val="BodyText"/>
    <w:link w:val="TableBodyTextChar"/>
    <w:rsid w:val="002A0E82"/>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2A0E82"/>
    <w:pPr>
      <w:numPr>
        <w:numId w:val="11"/>
      </w:numPr>
      <w:jc w:val="left"/>
    </w:pPr>
  </w:style>
  <w:style w:type="paragraph" w:customStyle="1" w:styleId="TableColumnHeading">
    <w:name w:val="Table Column Heading"/>
    <w:basedOn w:val="TableBodyText"/>
    <w:rsid w:val="002A0E82"/>
    <w:pPr>
      <w:spacing w:before="80" w:after="80"/>
    </w:pPr>
    <w:rPr>
      <w:i/>
    </w:rPr>
  </w:style>
  <w:style w:type="paragraph" w:styleId="TOC2">
    <w:name w:val="toc 2"/>
    <w:basedOn w:val="BodyText"/>
    <w:semiHidden/>
    <w:rsid w:val="002A0E82"/>
    <w:pPr>
      <w:tabs>
        <w:tab w:val="right" w:pos="8789"/>
      </w:tabs>
      <w:ind w:left="510" w:right="851" w:hanging="510"/>
      <w:jc w:val="left"/>
    </w:pPr>
    <w:rPr>
      <w:b/>
    </w:rPr>
  </w:style>
  <w:style w:type="paragraph" w:styleId="TOC3">
    <w:name w:val="toc 3"/>
    <w:basedOn w:val="TOC2"/>
    <w:semiHidden/>
    <w:rsid w:val="002A0E82"/>
    <w:pPr>
      <w:spacing w:before="60"/>
      <w:ind w:left="1190" w:hanging="680"/>
    </w:pPr>
    <w:rPr>
      <w:b w:val="0"/>
    </w:rPr>
  </w:style>
  <w:style w:type="paragraph" w:styleId="TableofFigures">
    <w:name w:val="table of figures"/>
    <w:basedOn w:val="TOC3"/>
    <w:next w:val="BodyText"/>
    <w:semiHidden/>
    <w:rsid w:val="002A0E82"/>
    <w:pPr>
      <w:ind w:left="737" w:hanging="737"/>
    </w:pPr>
  </w:style>
  <w:style w:type="paragraph" w:customStyle="1" w:styleId="TableTitle">
    <w:name w:val="Table Title"/>
    <w:basedOn w:val="Caption"/>
    <w:next w:val="Subtitle"/>
    <w:rsid w:val="002A0E82"/>
  </w:style>
  <w:style w:type="paragraph" w:customStyle="1" w:styleId="TableUnitsRow">
    <w:name w:val="Table Units Row"/>
    <w:basedOn w:val="TableBodyText"/>
    <w:rsid w:val="002A0E82"/>
    <w:pPr>
      <w:spacing w:before="80" w:after="80"/>
    </w:pPr>
  </w:style>
  <w:style w:type="paragraph" w:styleId="TOC1">
    <w:name w:val="toc 1"/>
    <w:basedOn w:val="Normal"/>
    <w:next w:val="TOC2"/>
    <w:semiHidden/>
    <w:rsid w:val="002A0E82"/>
    <w:pPr>
      <w:tabs>
        <w:tab w:val="right" w:pos="8789"/>
      </w:tabs>
      <w:spacing w:before="480" w:after="60" w:line="320" w:lineRule="exact"/>
      <w:ind w:left="1191" w:right="851" w:hanging="1191"/>
    </w:pPr>
    <w:rPr>
      <w:b/>
      <w:caps/>
    </w:rPr>
  </w:style>
  <w:style w:type="paragraph" w:styleId="TOC4">
    <w:name w:val="toc 4"/>
    <w:basedOn w:val="TOC3"/>
    <w:semiHidden/>
    <w:rsid w:val="002A0E82"/>
    <w:pPr>
      <w:ind w:left="1191" w:firstLine="0"/>
    </w:pPr>
  </w:style>
  <w:style w:type="character" w:customStyle="1" w:styleId="Heading1Char">
    <w:name w:val="Heading 1 Char"/>
    <w:basedOn w:val="DefaultParagraphFont"/>
    <w:link w:val="Heading1"/>
    <w:rsid w:val="002A0E82"/>
    <w:rPr>
      <w:sz w:val="52"/>
    </w:rPr>
  </w:style>
  <w:style w:type="character" w:customStyle="1" w:styleId="ChapterChar">
    <w:name w:val="Chapter Char"/>
    <w:basedOn w:val="Heading1Char"/>
    <w:link w:val="Chapter"/>
    <w:semiHidden/>
    <w:rsid w:val="003254BE"/>
    <w:rPr>
      <w:sz w:val="52"/>
    </w:rPr>
  </w:style>
  <w:style w:type="character" w:customStyle="1" w:styleId="Heading2Char">
    <w:name w:val="Heading 2 Char"/>
    <w:basedOn w:val="DefaultParagraphFont"/>
    <w:link w:val="Heading2"/>
    <w:rsid w:val="002A0E82"/>
    <w:rPr>
      <w:rFonts w:ascii="Arial" w:hAnsi="Arial"/>
      <w:b/>
      <w:sz w:val="32"/>
    </w:rPr>
  </w:style>
  <w:style w:type="character" w:customStyle="1" w:styleId="Heading3Char">
    <w:name w:val="Heading 3 Char"/>
    <w:basedOn w:val="DefaultParagraphFont"/>
    <w:link w:val="Heading3"/>
    <w:rsid w:val="002A0E82"/>
    <w:rPr>
      <w:rFonts w:ascii="Arial" w:hAnsi="Arial"/>
      <w:b/>
      <w:sz w:val="26"/>
    </w:rPr>
  </w:style>
  <w:style w:type="character" w:customStyle="1" w:styleId="Heading4Char">
    <w:name w:val="Heading 4 Char"/>
    <w:basedOn w:val="DefaultParagraphFont"/>
    <w:link w:val="Heading4"/>
    <w:rsid w:val="002A0E82"/>
    <w:rPr>
      <w:rFonts w:ascii="Arial" w:hAnsi="Arial"/>
      <w:i/>
      <w:sz w:val="24"/>
    </w:rPr>
  </w:style>
  <w:style w:type="paragraph" w:styleId="BalloonText">
    <w:name w:val="Balloon Text"/>
    <w:basedOn w:val="Normal"/>
    <w:link w:val="BalloonTextChar"/>
    <w:rsid w:val="002A0E82"/>
    <w:rPr>
      <w:rFonts w:ascii="Tahoma" w:hAnsi="Tahoma" w:cs="Tahoma"/>
      <w:sz w:val="16"/>
      <w:szCs w:val="16"/>
    </w:rPr>
  </w:style>
  <w:style w:type="character" w:customStyle="1" w:styleId="BodyTextChar1">
    <w:name w:val="Body Text Char1"/>
    <w:rsid w:val="000C54EC"/>
    <w:rPr>
      <w:sz w:val="26"/>
    </w:rPr>
  </w:style>
  <w:style w:type="paragraph" w:styleId="CommentSubject">
    <w:name w:val="annotation subject"/>
    <w:basedOn w:val="CommentText"/>
    <w:next w:val="CommentText"/>
    <w:semiHidden/>
    <w:rsid w:val="00F33608"/>
    <w:pPr>
      <w:spacing w:before="0" w:line="240" w:lineRule="auto"/>
      <w:ind w:left="0" w:firstLine="0"/>
    </w:pPr>
    <w:rPr>
      <w:b/>
      <w:bCs/>
      <w:szCs w:val="20"/>
    </w:rPr>
  </w:style>
  <w:style w:type="character" w:customStyle="1" w:styleId="FootnoteTextChar">
    <w:name w:val="Footnote Text Char"/>
    <w:basedOn w:val="DefaultParagraphFont"/>
    <w:link w:val="FootnoteText"/>
    <w:rsid w:val="002A0E82"/>
    <w:rPr>
      <w:sz w:val="22"/>
    </w:rPr>
  </w:style>
  <w:style w:type="paragraph" w:styleId="EndnoteText">
    <w:name w:val="endnote text"/>
    <w:basedOn w:val="Normal"/>
    <w:semiHidden/>
    <w:rsid w:val="002B213B"/>
    <w:rPr>
      <w:sz w:val="20"/>
      <w:szCs w:val="20"/>
    </w:rPr>
  </w:style>
  <w:style w:type="character" w:styleId="EndnoteReference">
    <w:name w:val="endnote reference"/>
    <w:semiHidden/>
    <w:rsid w:val="002B213B"/>
    <w:rPr>
      <w:vertAlign w:val="superscript"/>
    </w:rPr>
  </w:style>
  <w:style w:type="character" w:customStyle="1" w:styleId="NoteChar">
    <w:name w:val="Note Char"/>
    <w:link w:val="Note"/>
    <w:rsid w:val="002D570D"/>
    <w:rPr>
      <w:rFonts w:ascii="Arial" w:hAnsi="Arial"/>
      <w:sz w:val="18"/>
    </w:rPr>
  </w:style>
  <w:style w:type="character" w:styleId="Hyperlink">
    <w:name w:val="Hyperlink"/>
    <w:rsid w:val="000A6DD2"/>
    <w:rPr>
      <w:color w:val="0000FF"/>
      <w:u w:val="single"/>
    </w:rPr>
  </w:style>
  <w:style w:type="character" w:customStyle="1" w:styleId="ReferenceChar">
    <w:name w:val="Reference Char"/>
    <w:basedOn w:val="BodyTextChar1"/>
    <w:link w:val="Reference"/>
    <w:rsid w:val="00D56F0D"/>
    <w:rPr>
      <w:sz w:val="26"/>
    </w:rPr>
  </w:style>
  <w:style w:type="character" w:customStyle="1" w:styleId="TableBodyTextChar">
    <w:name w:val="Table Body Text Char"/>
    <w:link w:val="TableBodyText"/>
    <w:rsid w:val="007873C3"/>
    <w:rPr>
      <w:rFonts w:ascii="Arial" w:hAnsi="Arial"/>
    </w:rPr>
  </w:style>
  <w:style w:type="character" w:styleId="FollowedHyperlink">
    <w:name w:val="FollowedHyperlink"/>
    <w:rsid w:val="00853438"/>
    <w:rPr>
      <w:color w:val="800080"/>
      <w:u w:val="single"/>
    </w:rPr>
  </w:style>
  <w:style w:type="character" w:customStyle="1" w:styleId="SourceChar">
    <w:name w:val="Source Char"/>
    <w:link w:val="Source"/>
    <w:rsid w:val="00CE2091"/>
    <w:rPr>
      <w:rFonts w:ascii="Arial" w:hAnsi="Arial"/>
      <w:sz w:val="18"/>
    </w:rPr>
  </w:style>
  <w:style w:type="paragraph" w:styleId="DocumentMap">
    <w:name w:val="Document Map"/>
    <w:basedOn w:val="Normal"/>
    <w:semiHidden/>
    <w:rsid w:val="00436B55"/>
    <w:pPr>
      <w:shd w:val="clear" w:color="auto" w:fill="000080"/>
    </w:pPr>
    <w:rPr>
      <w:rFonts w:ascii="Tahoma" w:hAnsi="Tahoma" w:cs="Tahoma"/>
      <w:sz w:val="20"/>
      <w:szCs w:val="20"/>
    </w:rPr>
  </w:style>
  <w:style w:type="character" w:styleId="Emphasis">
    <w:name w:val="Emphasis"/>
    <w:basedOn w:val="DefaultParagraphFont"/>
    <w:rsid w:val="002A0E82"/>
    <w:rPr>
      <w:i/>
      <w:iCs/>
    </w:rPr>
  </w:style>
  <w:style w:type="character" w:customStyle="1" w:styleId="BodyTextChar">
    <w:name w:val="Body Text Char"/>
    <w:basedOn w:val="DefaultParagraphFont"/>
    <w:link w:val="BodyText"/>
    <w:locked/>
    <w:rsid w:val="002A0E82"/>
    <w:rPr>
      <w:sz w:val="26"/>
    </w:rPr>
  </w:style>
  <w:style w:type="character" w:customStyle="1" w:styleId="AbbreviationChar">
    <w:name w:val="Abbreviation Char"/>
    <w:basedOn w:val="BodyTextChar"/>
    <w:link w:val="Abbreviation"/>
    <w:locked/>
    <w:rsid w:val="000A55A7"/>
    <w:rPr>
      <w:sz w:val="26"/>
    </w:rPr>
  </w:style>
  <w:style w:type="paragraph" w:customStyle="1" w:styleId="Heading2NotTOC">
    <w:name w:val="Heading 2 Not TOC"/>
    <w:basedOn w:val="Heading2"/>
    <w:next w:val="BodyText"/>
    <w:rsid w:val="000A55A7"/>
    <w:pPr>
      <w:outlineLvl w:val="9"/>
    </w:pPr>
  </w:style>
  <w:style w:type="paragraph" w:styleId="ListParagraph">
    <w:name w:val="List Paragraph"/>
    <w:basedOn w:val="Normal"/>
    <w:uiPriority w:val="34"/>
    <w:qFormat/>
    <w:rsid w:val="00D457B8"/>
    <w:pPr>
      <w:ind w:left="720"/>
    </w:pPr>
    <w:rPr>
      <w:rFonts w:ascii="Calibri" w:hAnsi="Calibri"/>
      <w:sz w:val="22"/>
      <w:szCs w:val="22"/>
      <w:lang w:eastAsia="en-US"/>
    </w:rPr>
  </w:style>
  <w:style w:type="paragraph" w:customStyle="1" w:styleId="Default">
    <w:name w:val="Default"/>
    <w:rsid w:val="006A26FE"/>
    <w:pPr>
      <w:autoSpaceDE w:val="0"/>
      <w:autoSpaceDN w:val="0"/>
      <w:adjustRightInd w:val="0"/>
    </w:pPr>
    <w:rPr>
      <w:rFonts w:ascii="Corbel" w:hAnsi="Corbel" w:cs="Corbel"/>
      <w:color w:val="000000"/>
      <w:sz w:val="24"/>
      <w:szCs w:val="24"/>
    </w:rPr>
  </w:style>
  <w:style w:type="paragraph" w:customStyle="1" w:styleId="RecBBullet2">
    <w:name w:val="RecB Bullet 2"/>
    <w:basedOn w:val="ListBullet2"/>
    <w:semiHidden/>
    <w:rsid w:val="002A0E82"/>
    <w:pPr>
      <w:numPr>
        <w:numId w:val="0"/>
      </w:numPr>
      <w:pBdr>
        <w:left w:val="single" w:sz="24" w:space="29" w:color="C0C0C0"/>
      </w:pBdr>
    </w:pPr>
    <w:rPr>
      <w:b/>
      <w:i/>
    </w:rPr>
  </w:style>
  <w:style w:type="character" w:customStyle="1" w:styleId="BalloonTextChar">
    <w:name w:val="Balloon Text Char"/>
    <w:basedOn w:val="DefaultParagraphFont"/>
    <w:link w:val="BalloonText"/>
    <w:rsid w:val="002A0E82"/>
    <w:rPr>
      <w:rFonts w:ascii="Tahoma" w:hAnsi="Tahoma" w:cs="Tahoma"/>
      <w:sz w:val="16"/>
      <w:szCs w:val="16"/>
    </w:rPr>
  </w:style>
  <w:style w:type="character" w:customStyle="1" w:styleId="SubtitleChar">
    <w:name w:val="Subtitle Char"/>
    <w:basedOn w:val="DefaultParagraphFont"/>
    <w:link w:val="Subtitle"/>
    <w:rsid w:val="002A0E82"/>
    <w:rPr>
      <w:rFonts w:ascii="Arial" w:hAnsi="Arial"/>
      <w:szCs w:val="24"/>
    </w:rPr>
  </w:style>
  <w:style w:type="paragraph" w:customStyle="1" w:styleId="BoxListBullet3">
    <w:name w:val="Box List Bullet 3"/>
    <w:basedOn w:val="ListBullet3"/>
    <w:rsid w:val="002A0E82"/>
    <w:pPr>
      <w:numPr>
        <w:numId w:val="20"/>
      </w:numPr>
      <w:tabs>
        <w:tab w:val="left" w:pos="907"/>
      </w:tabs>
      <w:spacing w:before="60" w:line="280" w:lineRule="atLeast"/>
    </w:pPr>
    <w:rPr>
      <w:rFonts w:ascii="Arial" w:hAnsi="Arial"/>
      <w:sz w:val="22"/>
    </w:rPr>
  </w:style>
  <w:style w:type="paragraph" w:customStyle="1" w:styleId="BoxQuoteBullet">
    <w:name w:val="Box Quote Bullet"/>
    <w:basedOn w:val="BoxQuote"/>
    <w:next w:val="Box"/>
    <w:rsid w:val="002A0E82"/>
    <w:pPr>
      <w:numPr>
        <w:numId w:val="18"/>
      </w:numPr>
    </w:pPr>
  </w:style>
  <w:style w:type="paragraph" w:customStyle="1" w:styleId="InformationRequestBullet">
    <w:name w:val="Information Request Bullet"/>
    <w:basedOn w:val="ListBullet"/>
    <w:next w:val="BodyText"/>
    <w:rsid w:val="002A0E82"/>
    <w:pPr>
      <w:numPr>
        <w:numId w:val="19"/>
      </w:numPr>
    </w:pPr>
    <w:rPr>
      <w:rFonts w:ascii="Arial" w:hAnsi="Arial"/>
      <w:i/>
      <w:sz w:val="24"/>
    </w:rPr>
  </w:style>
  <w:style w:type="paragraph" w:customStyle="1" w:styleId="BoxSpaceAbove">
    <w:name w:val="Box Space Above"/>
    <w:basedOn w:val="BodyText"/>
    <w:rsid w:val="002A0E82"/>
    <w:pPr>
      <w:keepNext/>
      <w:spacing w:before="360" w:line="80" w:lineRule="exact"/>
      <w:jc w:val="left"/>
    </w:pPr>
  </w:style>
  <w:style w:type="paragraph" w:customStyle="1" w:styleId="BoxSpaceBelow">
    <w:name w:val="Box Space Below"/>
    <w:basedOn w:val="Box"/>
    <w:rsid w:val="002A0E82"/>
    <w:pPr>
      <w:keepNext w:val="0"/>
      <w:spacing w:before="60" w:after="60" w:line="80" w:lineRule="exact"/>
    </w:pPr>
    <w:rPr>
      <w:sz w:val="14"/>
    </w:rPr>
  </w:style>
  <w:style w:type="character" w:customStyle="1" w:styleId="CommentTextChar">
    <w:name w:val="Comment Text Char"/>
    <w:basedOn w:val="DefaultParagraphFont"/>
    <w:link w:val="CommentText"/>
    <w:semiHidden/>
    <w:rsid w:val="002A0E82"/>
    <w:rPr>
      <w:szCs w:val="24"/>
    </w:rPr>
  </w:style>
  <w:style w:type="character" w:customStyle="1" w:styleId="FooterChar">
    <w:name w:val="Footer Char"/>
    <w:basedOn w:val="DefaultParagraphFont"/>
    <w:link w:val="Footer"/>
    <w:semiHidden/>
    <w:rsid w:val="002A0E82"/>
    <w:rPr>
      <w:caps/>
      <w:spacing w:val="-4"/>
      <w:sz w:val="16"/>
    </w:rPr>
  </w:style>
  <w:style w:type="character" w:customStyle="1" w:styleId="HeaderChar">
    <w:name w:val="Header Char"/>
    <w:basedOn w:val="DefaultParagraphFont"/>
    <w:link w:val="Header"/>
    <w:rsid w:val="002A0E82"/>
    <w:rPr>
      <w:rFonts w:ascii="Arial" w:hAnsi="Arial"/>
      <w:caps/>
      <w:sz w:val="26"/>
    </w:rPr>
  </w:style>
  <w:style w:type="character" w:customStyle="1" w:styleId="Heading5Char">
    <w:name w:val="Heading 5 Char"/>
    <w:basedOn w:val="DefaultParagraphFont"/>
    <w:link w:val="Heading5"/>
    <w:rsid w:val="002A0E82"/>
    <w:rPr>
      <w:i/>
      <w:sz w:val="26"/>
    </w:rPr>
  </w:style>
  <w:style w:type="character" w:customStyle="1" w:styleId="Heading6Char">
    <w:name w:val="Heading 6 Char"/>
    <w:basedOn w:val="DefaultParagraphFont"/>
    <w:link w:val="Heading6"/>
    <w:rsid w:val="002A0E82"/>
    <w:rPr>
      <w:i/>
      <w:sz w:val="22"/>
    </w:rPr>
  </w:style>
  <w:style w:type="character" w:customStyle="1" w:styleId="Heading7Char">
    <w:name w:val="Heading 7 Char"/>
    <w:basedOn w:val="DefaultParagraphFont"/>
    <w:link w:val="Heading7"/>
    <w:rsid w:val="002A0E82"/>
    <w:rPr>
      <w:rFonts w:ascii="Arial" w:hAnsi="Arial"/>
    </w:rPr>
  </w:style>
  <w:style w:type="character" w:customStyle="1" w:styleId="Heading8Char">
    <w:name w:val="Heading 8 Char"/>
    <w:basedOn w:val="DefaultParagraphFont"/>
    <w:link w:val="Heading8"/>
    <w:rsid w:val="002A0E82"/>
    <w:rPr>
      <w:rFonts w:ascii="Arial" w:hAnsi="Arial"/>
      <w:i/>
    </w:rPr>
  </w:style>
  <w:style w:type="character" w:customStyle="1" w:styleId="Heading9Char">
    <w:name w:val="Heading 9 Char"/>
    <w:basedOn w:val="DefaultParagraphFont"/>
    <w:link w:val="Heading9"/>
    <w:rsid w:val="002A0E82"/>
    <w:rPr>
      <w:rFonts w:ascii="Arial" w:hAnsi="Arial"/>
      <w:b/>
      <w:i/>
      <w:sz w:val="18"/>
    </w:rPr>
  </w:style>
  <w:style w:type="character" w:customStyle="1" w:styleId="QuoteChar">
    <w:name w:val="Quote Char"/>
    <w:basedOn w:val="DefaultParagraphFont"/>
    <w:link w:val="Quote"/>
    <w:rsid w:val="002A0E8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313"/>
    <w:rPr>
      <w:rFonts w:ascii="Arial" w:hAnsi="Arial"/>
      <w:sz w:val="24"/>
      <w:szCs w:val="24"/>
    </w:rPr>
  </w:style>
  <w:style w:type="paragraph" w:styleId="Heading1">
    <w:name w:val="heading 1"/>
    <w:basedOn w:val="BodyText"/>
    <w:next w:val="BodyText"/>
    <w:link w:val="Heading1Char"/>
    <w:rsid w:val="002A0E82"/>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2A0E8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2A0E82"/>
    <w:pPr>
      <w:spacing w:before="560" w:line="320" w:lineRule="exact"/>
      <w:ind w:left="0" w:firstLine="0"/>
      <w:outlineLvl w:val="2"/>
    </w:pPr>
    <w:rPr>
      <w:sz w:val="26"/>
    </w:rPr>
  </w:style>
  <w:style w:type="paragraph" w:styleId="Heading4">
    <w:name w:val="heading 4"/>
    <w:basedOn w:val="Heading3"/>
    <w:next w:val="BodyText"/>
    <w:link w:val="Heading4Char"/>
    <w:qFormat/>
    <w:rsid w:val="002A0E82"/>
    <w:pPr>
      <w:spacing w:before="480"/>
      <w:outlineLvl w:val="3"/>
    </w:pPr>
    <w:rPr>
      <w:b w:val="0"/>
      <w:i/>
      <w:sz w:val="24"/>
    </w:rPr>
  </w:style>
  <w:style w:type="paragraph" w:styleId="Heading5">
    <w:name w:val="heading 5"/>
    <w:basedOn w:val="Heading4"/>
    <w:next w:val="BodyText"/>
    <w:link w:val="Heading5Char"/>
    <w:qFormat/>
    <w:rsid w:val="002A0E82"/>
    <w:pPr>
      <w:outlineLvl w:val="4"/>
    </w:pPr>
    <w:rPr>
      <w:rFonts w:ascii="Times New Roman" w:hAnsi="Times New Roman"/>
      <w:sz w:val="26"/>
    </w:rPr>
  </w:style>
  <w:style w:type="paragraph" w:styleId="Heading6">
    <w:name w:val="heading 6"/>
    <w:basedOn w:val="BodyText"/>
    <w:next w:val="BodyText"/>
    <w:link w:val="Heading6Char"/>
    <w:rsid w:val="002A0E82"/>
    <w:pPr>
      <w:spacing w:after="60"/>
      <w:jc w:val="left"/>
      <w:outlineLvl w:val="5"/>
    </w:pPr>
    <w:rPr>
      <w:i/>
      <w:sz w:val="22"/>
    </w:rPr>
  </w:style>
  <w:style w:type="paragraph" w:styleId="Heading7">
    <w:name w:val="heading 7"/>
    <w:basedOn w:val="BodyText"/>
    <w:next w:val="BodyText"/>
    <w:link w:val="Heading7Char"/>
    <w:rsid w:val="002A0E82"/>
    <w:pPr>
      <w:spacing w:after="60" w:line="240" w:lineRule="auto"/>
      <w:jc w:val="left"/>
      <w:outlineLvl w:val="6"/>
    </w:pPr>
    <w:rPr>
      <w:rFonts w:ascii="Arial" w:hAnsi="Arial"/>
      <w:sz w:val="20"/>
    </w:rPr>
  </w:style>
  <w:style w:type="paragraph" w:styleId="Heading8">
    <w:name w:val="heading 8"/>
    <w:basedOn w:val="BodyText"/>
    <w:next w:val="BodyText"/>
    <w:link w:val="Heading8Char"/>
    <w:rsid w:val="002A0E82"/>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2A0E8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B73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7313"/>
  </w:style>
  <w:style w:type="paragraph" w:styleId="BodyText">
    <w:name w:val="Body Text"/>
    <w:link w:val="BodyTextChar"/>
    <w:qFormat/>
    <w:rsid w:val="002A0E82"/>
    <w:pPr>
      <w:spacing w:before="240" w:line="320" w:lineRule="atLeast"/>
      <w:jc w:val="both"/>
    </w:pPr>
    <w:rPr>
      <w:sz w:val="26"/>
    </w:rPr>
  </w:style>
  <w:style w:type="paragraph" w:styleId="Footer">
    <w:name w:val="footer"/>
    <w:basedOn w:val="BodyText"/>
    <w:link w:val="FooterChar"/>
    <w:semiHidden/>
    <w:rsid w:val="002A0E82"/>
    <w:pPr>
      <w:spacing w:before="80" w:line="200" w:lineRule="exact"/>
      <w:ind w:right="6"/>
      <w:jc w:val="left"/>
    </w:pPr>
    <w:rPr>
      <w:caps/>
      <w:spacing w:val="-4"/>
      <w:sz w:val="16"/>
    </w:rPr>
  </w:style>
  <w:style w:type="paragraph" w:customStyle="1" w:styleId="FooterEnd">
    <w:name w:val="Footer End"/>
    <w:basedOn w:val="Footer"/>
    <w:rsid w:val="002A0E82"/>
    <w:pPr>
      <w:spacing w:before="0" w:line="20" w:lineRule="exact"/>
    </w:pPr>
  </w:style>
  <w:style w:type="paragraph" w:styleId="Header">
    <w:name w:val="header"/>
    <w:basedOn w:val="BodyText"/>
    <w:link w:val="HeaderChar"/>
    <w:rsid w:val="002A0E82"/>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A0E82"/>
    <w:pPr>
      <w:spacing w:line="20" w:lineRule="exact"/>
    </w:pPr>
    <w:rPr>
      <w:sz w:val="16"/>
    </w:rPr>
  </w:style>
  <w:style w:type="paragraph" w:customStyle="1" w:styleId="HeaderEven">
    <w:name w:val="Header Even"/>
    <w:basedOn w:val="Header"/>
    <w:semiHidden/>
    <w:rsid w:val="002A0E82"/>
  </w:style>
  <w:style w:type="paragraph" w:customStyle="1" w:styleId="HeaderOdd">
    <w:name w:val="Header Odd"/>
    <w:basedOn w:val="Header"/>
    <w:semiHidden/>
    <w:rsid w:val="002A0E82"/>
  </w:style>
  <w:style w:type="character" w:styleId="PageNumber">
    <w:name w:val="page number"/>
    <w:basedOn w:val="DefaultParagraphFont"/>
    <w:rsid w:val="002A0E82"/>
    <w:rPr>
      <w:rFonts w:ascii="Arial" w:hAnsi="Arial"/>
      <w:b/>
      <w:sz w:val="16"/>
    </w:rPr>
  </w:style>
  <w:style w:type="paragraph" w:customStyle="1" w:styleId="Abbreviation">
    <w:name w:val="Abbreviation"/>
    <w:basedOn w:val="BodyText"/>
    <w:link w:val="AbbreviationChar"/>
    <w:rsid w:val="002A0E82"/>
    <w:pPr>
      <w:spacing w:before="120"/>
      <w:ind w:left="2381" w:hanging="2381"/>
      <w:jc w:val="left"/>
    </w:pPr>
  </w:style>
  <w:style w:type="paragraph" w:customStyle="1" w:styleId="Box">
    <w:name w:val="Box"/>
    <w:basedOn w:val="BodyText"/>
    <w:qFormat/>
    <w:rsid w:val="002A0E82"/>
    <w:pPr>
      <w:keepNext/>
      <w:spacing w:before="120" w:line="280" w:lineRule="atLeast"/>
    </w:pPr>
    <w:rPr>
      <w:rFonts w:ascii="Arial" w:hAnsi="Arial"/>
      <w:sz w:val="22"/>
    </w:rPr>
  </w:style>
  <w:style w:type="paragraph" w:customStyle="1" w:styleId="BoxContinued">
    <w:name w:val="Box Continued"/>
    <w:basedOn w:val="BodyText"/>
    <w:next w:val="BodyText"/>
    <w:semiHidden/>
    <w:rsid w:val="002A0E82"/>
    <w:pPr>
      <w:spacing w:before="180" w:line="220" w:lineRule="exact"/>
      <w:jc w:val="right"/>
    </w:pPr>
    <w:rPr>
      <w:rFonts w:ascii="Arial" w:hAnsi="Arial"/>
      <w:sz w:val="18"/>
    </w:rPr>
  </w:style>
  <w:style w:type="paragraph" w:customStyle="1" w:styleId="BoxHeading1">
    <w:name w:val="Box Heading 1"/>
    <w:basedOn w:val="BodyText"/>
    <w:next w:val="Box"/>
    <w:rsid w:val="002A0E82"/>
    <w:pPr>
      <w:keepNext/>
      <w:spacing w:before="200" w:line="280" w:lineRule="atLeast"/>
    </w:pPr>
    <w:rPr>
      <w:rFonts w:ascii="Arial" w:hAnsi="Arial"/>
      <w:b/>
      <w:sz w:val="22"/>
    </w:rPr>
  </w:style>
  <w:style w:type="paragraph" w:customStyle="1" w:styleId="BoxHeading2">
    <w:name w:val="Box Heading 2"/>
    <w:basedOn w:val="BoxHeading1"/>
    <w:next w:val="Normal"/>
    <w:rsid w:val="002A0E82"/>
    <w:rPr>
      <w:b w:val="0"/>
      <w:i/>
    </w:rPr>
  </w:style>
  <w:style w:type="paragraph" w:customStyle="1" w:styleId="BoxListBullet">
    <w:name w:val="Box List Bullet"/>
    <w:basedOn w:val="BodyText"/>
    <w:rsid w:val="002A0E82"/>
    <w:pPr>
      <w:keepNext/>
      <w:numPr>
        <w:numId w:val="1"/>
      </w:numPr>
      <w:spacing w:before="60" w:line="280" w:lineRule="atLeast"/>
    </w:pPr>
    <w:rPr>
      <w:rFonts w:ascii="Arial" w:hAnsi="Arial"/>
      <w:sz w:val="22"/>
    </w:rPr>
  </w:style>
  <w:style w:type="paragraph" w:customStyle="1" w:styleId="BoxListBullet2">
    <w:name w:val="Box List Bullet 2"/>
    <w:basedOn w:val="BodyText"/>
    <w:rsid w:val="002A0E82"/>
    <w:pPr>
      <w:keepNext/>
      <w:numPr>
        <w:numId w:val="2"/>
      </w:numPr>
      <w:spacing w:before="60" w:line="280" w:lineRule="atLeast"/>
    </w:pPr>
    <w:rPr>
      <w:rFonts w:ascii="Arial" w:hAnsi="Arial"/>
      <w:sz w:val="22"/>
    </w:rPr>
  </w:style>
  <w:style w:type="paragraph" w:customStyle="1" w:styleId="BoxListNumber">
    <w:name w:val="Box List Number"/>
    <w:basedOn w:val="BodyText"/>
    <w:rsid w:val="002A0E82"/>
    <w:pPr>
      <w:keepNext/>
      <w:numPr>
        <w:numId w:val="13"/>
      </w:numPr>
      <w:spacing w:before="60" w:line="280" w:lineRule="atLeast"/>
    </w:pPr>
    <w:rPr>
      <w:rFonts w:ascii="Arial" w:hAnsi="Arial"/>
      <w:sz w:val="22"/>
    </w:rPr>
  </w:style>
  <w:style w:type="paragraph" w:customStyle="1" w:styleId="BoxListNumber2">
    <w:name w:val="Box List Number 2"/>
    <w:basedOn w:val="BoxListNumber"/>
    <w:rsid w:val="002A0E82"/>
    <w:pPr>
      <w:numPr>
        <w:ilvl w:val="1"/>
      </w:numPr>
    </w:pPr>
  </w:style>
  <w:style w:type="paragraph" w:customStyle="1" w:styleId="BoxQuote">
    <w:name w:val="Box Quote"/>
    <w:basedOn w:val="BodyText"/>
    <w:next w:val="Box"/>
    <w:rsid w:val="002A0E82"/>
    <w:pPr>
      <w:keepNext/>
      <w:spacing w:before="60" w:line="260" w:lineRule="exact"/>
      <w:ind w:left="284"/>
    </w:pPr>
    <w:rPr>
      <w:rFonts w:ascii="Arial" w:hAnsi="Arial"/>
      <w:sz w:val="20"/>
    </w:rPr>
  </w:style>
  <w:style w:type="paragraph" w:customStyle="1" w:styleId="Note">
    <w:name w:val="Note"/>
    <w:basedOn w:val="BodyText"/>
    <w:next w:val="BodyText"/>
    <w:link w:val="NoteChar"/>
    <w:rsid w:val="002A0E82"/>
    <w:pPr>
      <w:keepLines/>
      <w:spacing w:before="80" w:line="220" w:lineRule="exact"/>
    </w:pPr>
    <w:rPr>
      <w:rFonts w:ascii="Arial" w:hAnsi="Arial"/>
      <w:sz w:val="18"/>
    </w:rPr>
  </w:style>
  <w:style w:type="paragraph" w:customStyle="1" w:styleId="Source">
    <w:name w:val="Source"/>
    <w:basedOn w:val="Note"/>
    <w:next w:val="BodyText"/>
    <w:link w:val="SourceChar"/>
    <w:rsid w:val="002A0E82"/>
    <w:pPr>
      <w:spacing w:after="120"/>
    </w:pPr>
  </w:style>
  <w:style w:type="paragraph" w:customStyle="1" w:styleId="BoxSource">
    <w:name w:val="Box Source"/>
    <w:basedOn w:val="Source"/>
    <w:next w:val="BodyText"/>
    <w:rsid w:val="002A0E82"/>
    <w:pPr>
      <w:spacing w:before="180" w:after="0"/>
    </w:pPr>
  </w:style>
  <w:style w:type="paragraph" w:customStyle="1" w:styleId="BoxSpace">
    <w:name w:val="Box Space"/>
    <w:basedOn w:val="BodyText"/>
    <w:rsid w:val="00545BEE"/>
    <w:pPr>
      <w:keepNext/>
      <w:spacing w:before="360" w:line="80" w:lineRule="exact"/>
      <w:jc w:val="left"/>
    </w:pPr>
  </w:style>
  <w:style w:type="paragraph" w:styleId="Caption">
    <w:name w:val="caption"/>
    <w:basedOn w:val="Normal"/>
    <w:next w:val="BodyText"/>
    <w:rsid w:val="002A0E82"/>
    <w:pPr>
      <w:keepNext/>
      <w:keepLines/>
      <w:spacing w:before="360" w:after="80" w:line="280" w:lineRule="exact"/>
      <w:ind w:left="1474" w:hanging="1474"/>
    </w:pPr>
    <w:rPr>
      <w:b/>
    </w:rPr>
  </w:style>
  <w:style w:type="paragraph" w:customStyle="1" w:styleId="BoxTitle">
    <w:name w:val="Box Title"/>
    <w:basedOn w:val="Caption"/>
    <w:next w:val="BoxSubtitle"/>
    <w:rsid w:val="002A0E82"/>
    <w:pPr>
      <w:spacing w:before="120" w:after="0"/>
      <w:ind w:left="1304" w:hanging="1304"/>
    </w:pPr>
  </w:style>
  <w:style w:type="paragraph" w:customStyle="1" w:styleId="BoxSubtitle">
    <w:name w:val="Box Subtitle"/>
    <w:basedOn w:val="BoxTitle"/>
    <w:next w:val="Normal"/>
    <w:rsid w:val="002A0E82"/>
    <w:pPr>
      <w:spacing w:after="80" w:line="200" w:lineRule="exact"/>
      <w:ind w:firstLine="0"/>
    </w:pPr>
    <w:rPr>
      <w:b w:val="0"/>
      <w:sz w:val="20"/>
    </w:rPr>
  </w:style>
  <w:style w:type="paragraph" w:customStyle="1" w:styleId="Chapter">
    <w:name w:val="Chapter"/>
    <w:basedOn w:val="Heading1"/>
    <w:next w:val="BodyText"/>
    <w:link w:val="ChapterChar"/>
    <w:semiHidden/>
    <w:rsid w:val="002A0E82"/>
    <w:pPr>
      <w:ind w:left="0" w:firstLine="0"/>
      <w:outlineLvl w:val="9"/>
    </w:pPr>
  </w:style>
  <w:style w:type="paragraph" w:customStyle="1" w:styleId="ChapterSummary">
    <w:name w:val="Chapter Summary"/>
    <w:basedOn w:val="BodyText"/>
    <w:rsid w:val="002A0E82"/>
    <w:pPr>
      <w:ind w:left="907"/>
    </w:pPr>
    <w:rPr>
      <w:rFonts w:ascii="Arial" w:hAnsi="Arial"/>
      <w:b/>
      <w:sz w:val="22"/>
    </w:rPr>
  </w:style>
  <w:style w:type="character" w:styleId="CommentReference">
    <w:name w:val="annotation reference"/>
    <w:basedOn w:val="DefaultParagraphFont"/>
    <w:semiHidden/>
    <w:rsid w:val="002A0E82"/>
    <w:rPr>
      <w:b/>
      <w:vanish/>
      <w:color w:val="FF00FF"/>
      <w:sz w:val="20"/>
    </w:rPr>
  </w:style>
  <w:style w:type="paragraph" w:styleId="CommentText">
    <w:name w:val="annotation text"/>
    <w:basedOn w:val="Normal"/>
    <w:link w:val="CommentTextChar"/>
    <w:semiHidden/>
    <w:rsid w:val="002A0E82"/>
    <w:pPr>
      <w:spacing w:before="120" w:line="240" w:lineRule="atLeast"/>
      <w:ind w:left="567" w:hanging="567"/>
    </w:pPr>
    <w:rPr>
      <w:sz w:val="20"/>
    </w:rPr>
  </w:style>
  <w:style w:type="paragraph" w:customStyle="1" w:styleId="Continued">
    <w:name w:val="Continued"/>
    <w:basedOn w:val="BoxContinued"/>
    <w:next w:val="BodyText"/>
    <w:rsid w:val="002A0E82"/>
  </w:style>
  <w:style w:type="character" w:customStyle="1" w:styleId="DocumentInfo">
    <w:name w:val="Document Info"/>
    <w:basedOn w:val="DefaultParagraphFont"/>
    <w:semiHidden/>
    <w:rsid w:val="002A0E82"/>
    <w:rPr>
      <w:rFonts w:ascii="Arial" w:hAnsi="Arial"/>
      <w:sz w:val="14"/>
    </w:rPr>
  </w:style>
  <w:style w:type="character" w:customStyle="1" w:styleId="DraftingNote">
    <w:name w:val="Drafting Note"/>
    <w:basedOn w:val="DefaultParagraphFont"/>
    <w:rsid w:val="002A0E82"/>
    <w:rPr>
      <w:b/>
      <w:color w:val="FF0000"/>
      <w:sz w:val="24"/>
      <w:u w:val="dotted"/>
    </w:rPr>
  </w:style>
  <w:style w:type="paragraph" w:customStyle="1" w:styleId="Figure">
    <w:name w:val="Figure"/>
    <w:basedOn w:val="BodyText"/>
    <w:rsid w:val="002A0E82"/>
    <w:pPr>
      <w:keepNext/>
      <w:spacing w:before="120" w:after="120" w:line="240" w:lineRule="atLeast"/>
      <w:jc w:val="center"/>
    </w:pPr>
  </w:style>
  <w:style w:type="paragraph" w:customStyle="1" w:styleId="FigureTitle">
    <w:name w:val="Figure Title"/>
    <w:basedOn w:val="Caption"/>
    <w:next w:val="Subtitle"/>
    <w:rsid w:val="002A0E82"/>
  </w:style>
  <w:style w:type="paragraph" w:styleId="Subtitle">
    <w:name w:val="Subtitle"/>
    <w:basedOn w:val="Caption"/>
    <w:link w:val="SubtitleChar"/>
    <w:rsid w:val="002A0E82"/>
    <w:pPr>
      <w:spacing w:before="0" w:line="200" w:lineRule="exact"/>
      <w:ind w:firstLine="0"/>
    </w:pPr>
    <w:rPr>
      <w:b w:val="0"/>
      <w:sz w:val="20"/>
    </w:rPr>
  </w:style>
  <w:style w:type="paragraph" w:customStyle="1" w:styleId="Finding">
    <w:name w:val="Finding"/>
    <w:basedOn w:val="BodyText"/>
    <w:rsid w:val="002A0E82"/>
    <w:pPr>
      <w:keepLines/>
      <w:spacing w:before="180"/>
    </w:pPr>
    <w:rPr>
      <w:i/>
    </w:rPr>
  </w:style>
  <w:style w:type="paragraph" w:customStyle="1" w:styleId="FindingBullet">
    <w:name w:val="Finding Bullet"/>
    <w:basedOn w:val="Finding"/>
    <w:rsid w:val="002A0E82"/>
    <w:pPr>
      <w:numPr>
        <w:numId w:val="3"/>
      </w:numPr>
      <w:spacing w:before="80"/>
    </w:pPr>
  </w:style>
  <w:style w:type="paragraph" w:customStyle="1" w:styleId="FindingNoTitle">
    <w:name w:val="Finding NoTitle"/>
    <w:basedOn w:val="Finding"/>
    <w:rsid w:val="002A0E82"/>
    <w:pPr>
      <w:spacing w:before="240"/>
    </w:pPr>
  </w:style>
  <w:style w:type="paragraph" w:customStyle="1" w:styleId="RecTitle">
    <w:name w:val="Rec Title"/>
    <w:basedOn w:val="BodyText"/>
    <w:next w:val="Normal"/>
    <w:rsid w:val="002A0E82"/>
    <w:pPr>
      <w:keepNext/>
      <w:keepLines/>
    </w:pPr>
    <w:rPr>
      <w:caps/>
      <w:sz w:val="20"/>
    </w:rPr>
  </w:style>
  <w:style w:type="paragraph" w:customStyle="1" w:styleId="FindingTitle">
    <w:name w:val="Finding Title"/>
    <w:basedOn w:val="RecTitle"/>
    <w:next w:val="Finding"/>
    <w:rsid w:val="002A0E82"/>
    <w:pPr>
      <w:framePr w:wrap="notBeside" w:hAnchor="text"/>
    </w:pPr>
  </w:style>
  <w:style w:type="character" w:styleId="FootnoteReference">
    <w:name w:val="footnote reference"/>
    <w:basedOn w:val="DefaultParagraphFont"/>
    <w:semiHidden/>
    <w:rsid w:val="002A0E82"/>
    <w:rPr>
      <w:rFonts w:ascii="Times New Roman" w:hAnsi="Times New Roman"/>
      <w:position w:val="6"/>
      <w:sz w:val="22"/>
      <w:vertAlign w:val="baseline"/>
    </w:rPr>
  </w:style>
  <w:style w:type="paragraph" w:styleId="FootnoteText">
    <w:name w:val="footnote text"/>
    <w:basedOn w:val="BodyText"/>
    <w:link w:val="FootnoteTextChar"/>
    <w:rsid w:val="002A0E82"/>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2A0E82"/>
    <w:pPr>
      <w:spacing w:before="360" w:after="120"/>
    </w:pPr>
    <w:rPr>
      <w:rFonts w:ascii="Arial" w:hAnsi="Arial"/>
      <w:sz w:val="24"/>
    </w:rPr>
  </w:style>
  <w:style w:type="paragraph" w:customStyle="1" w:styleId="Jurisdictioncommentsbodytext">
    <w:name w:val="Jurisdiction comments body text"/>
    <w:rsid w:val="002A0E82"/>
    <w:pPr>
      <w:spacing w:after="140"/>
      <w:jc w:val="both"/>
    </w:pPr>
    <w:rPr>
      <w:rFonts w:ascii="Arial" w:hAnsi="Arial"/>
      <w:sz w:val="24"/>
      <w:lang w:eastAsia="en-US"/>
    </w:rPr>
  </w:style>
  <w:style w:type="paragraph" w:customStyle="1" w:styleId="Jurisdictioncommentsheading">
    <w:name w:val="Jurisdiction comments heading"/>
    <w:rsid w:val="002A0E82"/>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A0E82"/>
    <w:pPr>
      <w:numPr>
        <w:numId w:val="4"/>
      </w:numPr>
      <w:spacing w:after="140"/>
      <w:jc w:val="both"/>
    </w:pPr>
    <w:rPr>
      <w:rFonts w:ascii="Arial" w:hAnsi="Arial"/>
      <w:sz w:val="24"/>
      <w:lang w:eastAsia="en-US"/>
    </w:rPr>
  </w:style>
  <w:style w:type="paragraph" w:styleId="ListBullet">
    <w:name w:val="List Bullet"/>
    <w:basedOn w:val="BodyText"/>
    <w:rsid w:val="002A0E82"/>
    <w:pPr>
      <w:numPr>
        <w:numId w:val="5"/>
      </w:numPr>
      <w:spacing w:before="120"/>
    </w:pPr>
  </w:style>
  <w:style w:type="paragraph" w:styleId="ListBullet2">
    <w:name w:val="List Bullet 2"/>
    <w:basedOn w:val="BodyText"/>
    <w:rsid w:val="002A0E82"/>
    <w:pPr>
      <w:numPr>
        <w:numId w:val="6"/>
      </w:numPr>
      <w:spacing w:before="120"/>
    </w:pPr>
  </w:style>
  <w:style w:type="paragraph" w:styleId="ListBullet3">
    <w:name w:val="List Bullet 3"/>
    <w:basedOn w:val="BodyText"/>
    <w:rsid w:val="002A0E82"/>
    <w:pPr>
      <w:numPr>
        <w:numId w:val="7"/>
      </w:numPr>
      <w:spacing w:before="120"/>
    </w:pPr>
  </w:style>
  <w:style w:type="paragraph" w:styleId="ListNumber">
    <w:name w:val="List Number"/>
    <w:basedOn w:val="BodyText"/>
    <w:rsid w:val="002A0E82"/>
    <w:pPr>
      <w:numPr>
        <w:numId w:val="12"/>
      </w:numPr>
      <w:spacing w:before="120"/>
    </w:pPr>
  </w:style>
  <w:style w:type="paragraph" w:styleId="ListNumber2">
    <w:name w:val="List Number 2"/>
    <w:basedOn w:val="ListNumber"/>
    <w:rsid w:val="002A0E82"/>
    <w:pPr>
      <w:numPr>
        <w:ilvl w:val="1"/>
      </w:numPr>
    </w:pPr>
  </w:style>
  <w:style w:type="paragraph" w:styleId="ListNumber3">
    <w:name w:val="List Number 3"/>
    <w:basedOn w:val="ListNumber2"/>
    <w:rsid w:val="002A0E82"/>
    <w:pPr>
      <w:numPr>
        <w:ilvl w:val="2"/>
      </w:numPr>
    </w:pPr>
  </w:style>
  <w:style w:type="character" w:customStyle="1" w:styleId="NoteLabel">
    <w:name w:val="Note Label"/>
    <w:basedOn w:val="DefaultParagraphFont"/>
    <w:rsid w:val="002A0E82"/>
    <w:rPr>
      <w:rFonts w:ascii="Arial" w:hAnsi="Arial"/>
      <w:b/>
      <w:position w:val="6"/>
      <w:sz w:val="18"/>
    </w:rPr>
  </w:style>
  <w:style w:type="paragraph" w:customStyle="1" w:styleId="PartDivider">
    <w:name w:val="Part Divider"/>
    <w:basedOn w:val="BodyText"/>
    <w:next w:val="BodyText"/>
    <w:semiHidden/>
    <w:rsid w:val="002A0E82"/>
    <w:pPr>
      <w:spacing w:before="0" w:line="40" w:lineRule="exact"/>
      <w:jc w:val="right"/>
    </w:pPr>
    <w:rPr>
      <w:smallCaps/>
      <w:sz w:val="16"/>
    </w:rPr>
  </w:style>
  <w:style w:type="paragraph" w:customStyle="1" w:styleId="PartNumber">
    <w:name w:val="Part Number"/>
    <w:basedOn w:val="BodyText"/>
    <w:next w:val="BodyText"/>
    <w:semiHidden/>
    <w:rsid w:val="002A0E82"/>
    <w:pPr>
      <w:spacing w:before="4000" w:line="320" w:lineRule="exact"/>
      <w:ind w:left="6634"/>
      <w:jc w:val="right"/>
    </w:pPr>
    <w:rPr>
      <w:smallCaps/>
      <w:spacing w:val="60"/>
      <w:sz w:val="32"/>
    </w:rPr>
  </w:style>
  <w:style w:type="paragraph" w:customStyle="1" w:styleId="PartTitle">
    <w:name w:val="Part Title"/>
    <w:basedOn w:val="BodyText"/>
    <w:semiHidden/>
    <w:rsid w:val="002A0E82"/>
    <w:pPr>
      <w:spacing w:before="160" w:after="1360" w:line="520" w:lineRule="exact"/>
      <w:ind w:right="2381"/>
      <w:jc w:val="right"/>
    </w:pPr>
    <w:rPr>
      <w:smallCaps/>
      <w:sz w:val="52"/>
    </w:rPr>
  </w:style>
  <w:style w:type="paragraph" w:styleId="Quote">
    <w:name w:val="Quote"/>
    <w:basedOn w:val="BodyText"/>
    <w:next w:val="BodyText"/>
    <w:link w:val="QuoteChar"/>
    <w:qFormat/>
    <w:rsid w:val="002A0E82"/>
    <w:pPr>
      <w:spacing w:before="120" w:line="280" w:lineRule="exact"/>
      <w:ind w:left="340"/>
    </w:pPr>
    <w:rPr>
      <w:sz w:val="24"/>
    </w:rPr>
  </w:style>
  <w:style w:type="paragraph" w:customStyle="1" w:styleId="QuoteBullet">
    <w:name w:val="Quote Bullet"/>
    <w:basedOn w:val="Quote"/>
    <w:rsid w:val="002A0E82"/>
    <w:pPr>
      <w:numPr>
        <w:numId w:val="8"/>
      </w:numPr>
    </w:pPr>
  </w:style>
  <w:style w:type="paragraph" w:customStyle="1" w:styleId="Rec">
    <w:name w:val="Rec"/>
    <w:basedOn w:val="BodyText"/>
    <w:rsid w:val="002A0E82"/>
    <w:pPr>
      <w:keepLines/>
      <w:spacing w:before="180"/>
    </w:pPr>
    <w:rPr>
      <w:b/>
      <w:i/>
    </w:rPr>
  </w:style>
  <w:style w:type="paragraph" w:customStyle="1" w:styleId="RecBullet">
    <w:name w:val="Rec Bullet"/>
    <w:basedOn w:val="Rec"/>
    <w:rsid w:val="002A0E82"/>
    <w:pPr>
      <w:numPr>
        <w:numId w:val="9"/>
      </w:numPr>
      <w:spacing w:before="80"/>
    </w:pPr>
  </w:style>
  <w:style w:type="paragraph" w:customStyle="1" w:styleId="RecB">
    <w:name w:val="RecB"/>
    <w:basedOn w:val="Normal"/>
    <w:rsid w:val="002A0E82"/>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2A0E82"/>
    <w:pPr>
      <w:numPr>
        <w:numId w:val="14"/>
      </w:numPr>
      <w:spacing w:before="80"/>
    </w:pPr>
  </w:style>
  <w:style w:type="paragraph" w:customStyle="1" w:styleId="RecBNoTitle">
    <w:name w:val="RecB NoTitle"/>
    <w:basedOn w:val="RecB"/>
    <w:rsid w:val="002A0E82"/>
    <w:pPr>
      <w:spacing w:before="240"/>
    </w:pPr>
  </w:style>
  <w:style w:type="paragraph" w:customStyle="1" w:styleId="Reference">
    <w:name w:val="Reference"/>
    <w:basedOn w:val="BodyText"/>
    <w:link w:val="ReferenceChar"/>
    <w:rsid w:val="002A0E82"/>
    <w:pPr>
      <w:spacing w:before="120"/>
      <w:ind w:left="340" w:hanging="340"/>
    </w:pPr>
  </w:style>
  <w:style w:type="paragraph" w:customStyle="1" w:styleId="SequenceInfo">
    <w:name w:val="Sequence Info"/>
    <w:basedOn w:val="BodyText"/>
    <w:semiHidden/>
    <w:rsid w:val="002A0E82"/>
    <w:rPr>
      <w:vanish/>
      <w:sz w:val="16"/>
    </w:rPr>
  </w:style>
  <w:style w:type="paragraph" w:customStyle="1" w:styleId="SideNote">
    <w:name w:val="Side Note"/>
    <w:basedOn w:val="BodyText"/>
    <w:next w:val="BodyText"/>
    <w:semiHidden/>
    <w:rsid w:val="002A0E82"/>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2A0E82"/>
    <w:pPr>
      <w:framePr w:wrap="around"/>
      <w:numPr>
        <w:numId w:val="10"/>
      </w:numPr>
      <w:tabs>
        <w:tab w:val="left" w:pos="227"/>
      </w:tabs>
    </w:pPr>
  </w:style>
  <w:style w:type="paragraph" w:customStyle="1" w:styleId="SideNoteGraphic">
    <w:name w:val="Side Note Graphic"/>
    <w:basedOn w:val="SideNote"/>
    <w:next w:val="BodyText"/>
    <w:semiHidden/>
    <w:rsid w:val="002A0E82"/>
    <w:pPr>
      <w:framePr w:wrap="around"/>
    </w:pPr>
  </w:style>
  <w:style w:type="paragraph" w:customStyle="1" w:styleId="TableBodyText">
    <w:name w:val="Table Body Text"/>
    <w:basedOn w:val="BodyText"/>
    <w:link w:val="TableBodyTextChar"/>
    <w:rsid w:val="002A0E82"/>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2A0E82"/>
    <w:pPr>
      <w:numPr>
        <w:numId w:val="11"/>
      </w:numPr>
      <w:jc w:val="left"/>
    </w:pPr>
  </w:style>
  <w:style w:type="paragraph" w:customStyle="1" w:styleId="TableColumnHeading">
    <w:name w:val="Table Column Heading"/>
    <w:basedOn w:val="TableBodyText"/>
    <w:rsid w:val="002A0E82"/>
    <w:pPr>
      <w:spacing w:before="80" w:after="80"/>
    </w:pPr>
    <w:rPr>
      <w:i/>
    </w:rPr>
  </w:style>
  <w:style w:type="paragraph" w:styleId="TOC2">
    <w:name w:val="toc 2"/>
    <w:basedOn w:val="BodyText"/>
    <w:semiHidden/>
    <w:rsid w:val="002A0E82"/>
    <w:pPr>
      <w:tabs>
        <w:tab w:val="right" w:pos="8789"/>
      </w:tabs>
      <w:ind w:left="510" w:right="851" w:hanging="510"/>
      <w:jc w:val="left"/>
    </w:pPr>
    <w:rPr>
      <w:b/>
    </w:rPr>
  </w:style>
  <w:style w:type="paragraph" w:styleId="TOC3">
    <w:name w:val="toc 3"/>
    <w:basedOn w:val="TOC2"/>
    <w:semiHidden/>
    <w:rsid w:val="002A0E82"/>
    <w:pPr>
      <w:spacing w:before="60"/>
      <w:ind w:left="1190" w:hanging="680"/>
    </w:pPr>
    <w:rPr>
      <w:b w:val="0"/>
    </w:rPr>
  </w:style>
  <w:style w:type="paragraph" w:styleId="TableofFigures">
    <w:name w:val="table of figures"/>
    <w:basedOn w:val="TOC3"/>
    <w:next w:val="BodyText"/>
    <w:semiHidden/>
    <w:rsid w:val="002A0E82"/>
    <w:pPr>
      <w:ind w:left="737" w:hanging="737"/>
    </w:pPr>
  </w:style>
  <w:style w:type="paragraph" w:customStyle="1" w:styleId="TableTitle">
    <w:name w:val="Table Title"/>
    <w:basedOn w:val="Caption"/>
    <w:next w:val="Subtitle"/>
    <w:rsid w:val="002A0E82"/>
  </w:style>
  <w:style w:type="paragraph" w:customStyle="1" w:styleId="TableUnitsRow">
    <w:name w:val="Table Units Row"/>
    <w:basedOn w:val="TableBodyText"/>
    <w:rsid w:val="002A0E82"/>
    <w:pPr>
      <w:spacing w:before="80" w:after="80"/>
    </w:pPr>
  </w:style>
  <w:style w:type="paragraph" w:styleId="TOC1">
    <w:name w:val="toc 1"/>
    <w:basedOn w:val="Normal"/>
    <w:next w:val="TOC2"/>
    <w:semiHidden/>
    <w:rsid w:val="002A0E82"/>
    <w:pPr>
      <w:tabs>
        <w:tab w:val="right" w:pos="8789"/>
      </w:tabs>
      <w:spacing w:before="480" w:after="60" w:line="320" w:lineRule="exact"/>
      <w:ind w:left="1191" w:right="851" w:hanging="1191"/>
    </w:pPr>
    <w:rPr>
      <w:b/>
      <w:caps/>
    </w:rPr>
  </w:style>
  <w:style w:type="paragraph" w:styleId="TOC4">
    <w:name w:val="toc 4"/>
    <w:basedOn w:val="TOC3"/>
    <w:semiHidden/>
    <w:rsid w:val="002A0E82"/>
    <w:pPr>
      <w:ind w:left="1191" w:firstLine="0"/>
    </w:pPr>
  </w:style>
  <w:style w:type="character" w:customStyle="1" w:styleId="Heading1Char">
    <w:name w:val="Heading 1 Char"/>
    <w:basedOn w:val="DefaultParagraphFont"/>
    <w:link w:val="Heading1"/>
    <w:rsid w:val="002A0E82"/>
    <w:rPr>
      <w:sz w:val="52"/>
    </w:rPr>
  </w:style>
  <w:style w:type="character" w:customStyle="1" w:styleId="ChapterChar">
    <w:name w:val="Chapter Char"/>
    <w:basedOn w:val="Heading1Char"/>
    <w:link w:val="Chapter"/>
    <w:semiHidden/>
    <w:rsid w:val="003254BE"/>
    <w:rPr>
      <w:sz w:val="52"/>
    </w:rPr>
  </w:style>
  <w:style w:type="character" w:customStyle="1" w:styleId="Heading2Char">
    <w:name w:val="Heading 2 Char"/>
    <w:basedOn w:val="DefaultParagraphFont"/>
    <w:link w:val="Heading2"/>
    <w:rsid w:val="002A0E82"/>
    <w:rPr>
      <w:rFonts w:ascii="Arial" w:hAnsi="Arial"/>
      <w:b/>
      <w:sz w:val="32"/>
    </w:rPr>
  </w:style>
  <w:style w:type="character" w:customStyle="1" w:styleId="Heading3Char">
    <w:name w:val="Heading 3 Char"/>
    <w:basedOn w:val="DefaultParagraphFont"/>
    <w:link w:val="Heading3"/>
    <w:rsid w:val="002A0E82"/>
    <w:rPr>
      <w:rFonts w:ascii="Arial" w:hAnsi="Arial"/>
      <w:b/>
      <w:sz w:val="26"/>
    </w:rPr>
  </w:style>
  <w:style w:type="character" w:customStyle="1" w:styleId="Heading4Char">
    <w:name w:val="Heading 4 Char"/>
    <w:basedOn w:val="DefaultParagraphFont"/>
    <w:link w:val="Heading4"/>
    <w:rsid w:val="002A0E82"/>
    <w:rPr>
      <w:rFonts w:ascii="Arial" w:hAnsi="Arial"/>
      <w:i/>
      <w:sz w:val="24"/>
    </w:rPr>
  </w:style>
  <w:style w:type="paragraph" w:styleId="BalloonText">
    <w:name w:val="Balloon Text"/>
    <w:basedOn w:val="Normal"/>
    <w:link w:val="BalloonTextChar"/>
    <w:rsid w:val="002A0E82"/>
    <w:rPr>
      <w:rFonts w:ascii="Tahoma" w:hAnsi="Tahoma" w:cs="Tahoma"/>
      <w:sz w:val="16"/>
      <w:szCs w:val="16"/>
    </w:rPr>
  </w:style>
  <w:style w:type="character" w:customStyle="1" w:styleId="BodyTextChar1">
    <w:name w:val="Body Text Char1"/>
    <w:rsid w:val="000C54EC"/>
    <w:rPr>
      <w:sz w:val="26"/>
    </w:rPr>
  </w:style>
  <w:style w:type="paragraph" w:styleId="CommentSubject">
    <w:name w:val="annotation subject"/>
    <w:basedOn w:val="CommentText"/>
    <w:next w:val="CommentText"/>
    <w:semiHidden/>
    <w:rsid w:val="00F33608"/>
    <w:pPr>
      <w:spacing w:before="0" w:line="240" w:lineRule="auto"/>
      <w:ind w:left="0" w:firstLine="0"/>
    </w:pPr>
    <w:rPr>
      <w:b/>
      <w:bCs/>
      <w:szCs w:val="20"/>
    </w:rPr>
  </w:style>
  <w:style w:type="character" w:customStyle="1" w:styleId="FootnoteTextChar">
    <w:name w:val="Footnote Text Char"/>
    <w:basedOn w:val="DefaultParagraphFont"/>
    <w:link w:val="FootnoteText"/>
    <w:rsid w:val="002A0E82"/>
    <w:rPr>
      <w:sz w:val="22"/>
    </w:rPr>
  </w:style>
  <w:style w:type="paragraph" w:styleId="EndnoteText">
    <w:name w:val="endnote text"/>
    <w:basedOn w:val="Normal"/>
    <w:semiHidden/>
    <w:rsid w:val="002B213B"/>
    <w:rPr>
      <w:sz w:val="20"/>
      <w:szCs w:val="20"/>
    </w:rPr>
  </w:style>
  <w:style w:type="character" w:styleId="EndnoteReference">
    <w:name w:val="endnote reference"/>
    <w:semiHidden/>
    <w:rsid w:val="002B213B"/>
    <w:rPr>
      <w:vertAlign w:val="superscript"/>
    </w:rPr>
  </w:style>
  <w:style w:type="character" w:customStyle="1" w:styleId="NoteChar">
    <w:name w:val="Note Char"/>
    <w:link w:val="Note"/>
    <w:rsid w:val="002D570D"/>
    <w:rPr>
      <w:rFonts w:ascii="Arial" w:hAnsi="Arial"/>
      <w:sz w:val="18"/>
    </w:rPr>
  </w:style>
  <w:style w:type="character" w:styleId="Hyperlink">
    <w:name w:val="Hyperlink"/>
    <w:rsid w:val="000A6DD2"/>
    <w:rPr>
      <w:color w:val="0000FF"/>
      <w:u w:val="single"/>
    </w:rPr>
  </w:style>
  <w:style w:type="character" w:customStyle="1" w:styleId="ReferenceChar">
    <w:name w:val="Reference Char"/>
    <w:basedOn w:val="BodyTextChar1"/>
    <w:link w:val="Reference"/>
    <w:rsid w:val="00D56F0D"/>
    <w:rPr>
      <w:sz w:val="26"/>
    </w:rPr>
  </w:style>
  <w:style w:type="character" w:customStyle="1" w:styleId="TableBodyTextChar">
    <w:name w:val="Table Body Text Char"/>
    <w:link w:val="TableBodyText"/>
    <w:rsid w:val="007873C3"/>
    <w:rPr>
      <w:rFonts w:ascii="Arial" w:hAnsi="Arial"/>
    </w:rPr>
  </w:style>
  <w:style w:type="character" w:styleId="FollowedHyperlink">
    <w:name w:val="FollowedHyperlink"/>
    <w:rsid w:val="00853438"/>
    <w:rPr>
      <w:color w:val="800080"/>
      <w:u w:val="single"/>
    </w:rPr>
  </w:style>
  <w:style w:type="character" w:customStyle="1" w:styleId="SourceChar">
    <w:name w:val="Source Char"/>
    <w:link w:val="Source"/>
    <w:rsid w:val="00CE2091"/>
    <w:rPr>
      <w:rFonts w:ascii="Arial" w:hAnsi="Arial"/>
      <w:sz w:val="18"/>
    </w:rPr>
  </w:style>
  <w:style w:type="paragraph" w:styleId="DocumentMap">
    <w:name w:val="Document Map"/>
    <w:basedOn w:val="Normal"/>
    <w:semiHidden/>
    <w:rsid w:val="00436B55"/>
    <w:pPr>
      <w:shd w:val="clear" w:color="auto" w:fill="000080"/>
    </w:pPr>
    <w:rPr>
      <w:rFonts w:ascii="Tahoma" w:hAnsi="Tahoma" w:cs="Tahoma"/>
      <w:sz w:val="20"/>
      <w:szCs w:val="20"/>
    </w:rPr>
  </w:style>
  <w:style w:type="character" w:styleId="Emphasis">
    <w:name w:val="Emphasis"/>
    <w:basedOn w:val="DefaultParagraphFont"/>
    <w:rsid w:val="002A0E82"/>
    <w:rPr>
      <w:i/>
      <w:iCs/>
    </w:rPr>
  </w:style>
  <w:style w:type="character" w:customStyle="1" w:styleId="BodyTextChar">
    <w:name w:val="Body Text Char"/>
    <w:basedOn w:val="DefaultParagraphFont"/>
    <w:link w:val="BodyText"/>
    <w:locked/>
    <w:rsid w:val="002A0E82"/>
    <w:rPr>
      <w:sz w:val="26"/>
    </w:rPr>
  </w:style>
  <w:style w:type="character" w:customStyle="1" w:styleId="AbbreviationChar">
    <w:name w:val="Abbreviation Char"/>
    <w:basedOn w:val="BodyTextChar"/>
    <w:link w:val="Abbreviation"/>
    <w:locked/>
    <w:rsid w:val="000A55A7"/>
    <w:rPr>
      <w:sz w:val="26"/>
    </w:rPr>
  </w:style>
  <w:style w:type="paragraph" w:customStyle="1" w:styleId="Heading2NotTOC">
    <w:name w:val="Heading 2 Not TOC"/>
    <w:basedOn w:val="Heading2"/>
    <w:next w:val="BodyText"/>
    <w:rsid w:val="000A55A7"/>
    <w:pPr>
      <w:outlineLvl w:val="9"/>
    </w:pPr>
  </w:style>
  <w:style w:type="paragraph" w:styleId="ListParagraph">
    <w:name w:val="List Paragraph"/>
    <w:basedOn w:val="Normal"/>
    <w:uiPriority w:val="34"/>
    <w:qFormat/>
    <w:rsid w:val="00D457B8"/>
    <w:pPr>
      <w:ind w:left="720"/>
    </w:pPr>
    <w:rPr>
      <w:rFonts w:ascii="Calibri" w:hAnsi="Calibri"/>
      <w:sz w:val="22"/>
      <w:szCs w:val="22"/>
      <w:lang w:eastAsia="en-US"/>
    </w:rPr>
  </w:style>
  <w:style w:type="paragraph" w:customStyle="1" w:styleId="Default">
    <w:name w:val="Default"/>
    <w:rsid w:val="006A26FE"/>
    <w:pPr>
      <w:autoSpaceDE w:val="0"/>
      <w:autoSpaceDN w:val="0"/>
      <w:adjustRightInd w:val="0"/>
    </w:pPr>
    <w:rPr>
      <w:rFonts w:ascii="Corbel" w:hAnsi="Corbel" w:cs="Corbel"/>
      <w:color w:val="000000"/>
      <w:sz w:val="24"/>
      <w:szCs w:val="24"/>
    </w:rPr>
  </w:style>
  <w:style w:type="paragraph" w:customStyle="1" w:styleId="RecBBullet2">
    <w:name w:val="RecB Bullet 2"/>
    <w:basedOn w:val="ListBullet2"/>
    <w:semiHidden/>
    <w:rsid w:val="002A0E82"/>
    <w:pPr>
      <w:numPr>
        <w:numId w:val="0"/>
      </w:numPr>
      <w:pBdr>
        <w:left w:val="single" w:sz="24" w:space="29" w:color="C0C0C0"/>
      </w:pBdr>
    </w:pPr>
    <w:rPr>
      <w:b/>
      <w:i/>
    </w:rPr>
  </w:style>
  <w:style w:type="character" w:customStyle="1" w:styleId="BalloonTextChar">
    <w:name w:val="Balloon Text Char"/>
    <w:basedOn w:val="DefaultParagraphFont"/>
    <w:link w:val="BalloonText"/>
    <w:rsid w:val="002A0E82"/>
    <w:rPr>
      <w:rFonts w:ascii="Tahoma" w:hAnsi="Tahoma" w:cs="Tahoma"/>
      <w:sz w:val="16"/>
      <w:szCs w:val="16"/>
    </w:rPr>
  </w:style>
  <w:style w:type="character" w:customStyle="1" w:styleId="SubtitleChar">
    <w:name w:val="Subtitle Char"/>
    <w:basedOn w:val="DefaultParagraphFont"/>
    <w:link w:val="Subtitle"/>
    <w:rsid w:val="002A0E82"/>
    <w:rPr>
      <w:rFonts w:ascii="Arial" w:hAnsi="Arial"/>
      <w:szCs w:val="24"/>
    </w:rPr>
  </w:style>
  <w:style w:type="paragraph" w:customStyle="1" w:styleId="BoxListBullet3">
    <w:name w:val="Box List Bullet 3"/>
    <w:basedOn w:val="ListBullet3"/>
    <w:rsid w:val="002A0E82"/>
    <w:pPr>
      <w:numPr>
        <w:numId w:val="20"/>
      </w:numPr>
      <w:tabs>
        <w:tab w:val="left" w:pos="907"/>
      </w:tabs>
      <w:spacing w:before="60" w:line="280" w:lineRule="atLeast"/>
    </w:pPr>
    <w:rPr>
      <w:rFonts w:ascii="Arial" w:hAnsi="Arial"/>
      <w:sz w:val="22"/>
    </w:rPr>
  </w:style>
  <w:style w:type="paragraph" w:customStyle="1" w:styleId="BoxQuoteBullet">
    <w:name w:val="Box Quote Bullet"/>
    <w:basedOn w:val="BoxQuote"/>
    <w:next w:val="Box"/>
    <w:rsid w:val="002A0E82"/>
    <w:pPr>
      <w:numPr>
        <w:numId w:val="18"/>
      </w:numPr>
    </w:pPr>
  </w:style>
  <w:style w:type="paragraph" w:customStyle="1" w:styleId="InformationRequestBullet">
    <w:name w:val="Information Request Bullet"/>
    <w:basedOn w:val="ListBullet"/>
    <w:next w:val="BodyText"/>
    <w:rsid w:val="002A0E82"/>
    <w:pPr>
      <w:numPr>
        <w:numId w:val="19"/>
      </w:numPr>
    </w:pPr>
    <w:rPr>
      <w:rFonts w:ascii="Arial" w:hAnsi="Arial"/>
      <w:i/>
      <w:sz w:val="24"/>
    </w:rPr>
  </w:style>
  <w:style w:type="paragraph" w:customStyle="1" w:styleId="BoxSpaceAbove">
    <w:name w:val="Box Space Above"/>
    <w:basedOn w:val="BodyText"/>
    <w:rsid w:val="002A0E82"/>
    <w:pPr>
      <w:keepNext/>
      <w:spacing w:before="360" w:line="80" w:lineRule="exact"/>
      <w:jc w:val="left"/>
    </w:pPr>
  </w:style>
  <w:style w:type="paragraph" w:customStyle="1" w:styleId="BoxSpaceBelow">
    <w:name w:val="Box Space Below"/>
    <w:basedOn w:val="Box"/>
    <w:rsid w:val="002A0E82"/>
    <w:pPr>
      <w:keepNext w:val="0"/>
      <w:spacing w:before="60" w:after="60" w:line="80" w:lineRule="exact"/>
    </w:pPr>
    <w:rPr>
      <w:sz w:val="14"/>
    </w:rPr>
  </w:style>
  <w:style w:type="character" w:customStyle="1" w:styleId="CommentTextChar">
    <w:name w:val="Comment Text Char"/>
    <w:basedOn w:val="DefaultParagraphFont"/>
    <w:link w:val="CommentText"/>
    <w:semiHidden/>
    <w:rsid w:val="002A0E82"/>
    <w:rPr>
      <w:szCs w:val="24"/>
    </w:rPr>
  </w:style>
  <w:style w:type="character" w:customStyle="1" w:styleId="FooterChar">
    <w:name w:val="Footer Char"/>
    <w:basedOn w:val="DefaultParagraphFont"/>
    <w:link w:val="Footer"/>
    <w:semiHidden/>
    <w:rsid w:val="002A0E82"/>
    <w:rPr>
      <w:caps/>
      <w:spacing w:val="-4"/>
      <w:sz w:val="16"/>
    </w:rPr>
  </w:style>
  <w:style w:type="character" w:customStyle="1" w:styleId="HeaderChar">
    <w:name w:val="Header Char"/>
    <w:basedOn w:val="DefaultParagraphFont"/>
    <w:link w:val="Header"/>
    <w:rsid w:val="002A0E82"/>
    <w:rPr>
      <w:rFonts w:ascii="Arial" w:hAnsi="Arial"/>
      <w:caps/>
      <w:sz w:val="26"/>
    </w:rPr>
  </w:style>
  <w:style w:type="character" w:customStyle="1" w:styleId="Heading5Char">
    <w:name w:val="Heading 5 Char"/>
    <w:basedOn w:val="DefaultParagraphFont"/>
    <w:link w:val="Heading5"/>
    <w:rsid w:val="002A0E82"/>
    <w:rPr>
      <w:i/>
      <w:sz w:val="26"/>
    </w:rPr>
  </w:style>
  <w:style w:type="character" w:customStyle="1" w:styleId="Heading6Char">
    <w:name w:val="Heading 6 Char"/>
    <w:basedOn w:val="DefaultParagraphFont"/>
    <w:link w:val="Heading6"/>
    <w:rsid w:val="002A0E82"/>
    <w:rPr>
      <w:i/>
      <w:sz w:val="22"/>
    </w:rPr>
  </w:style>
  <w:style w:type="character" w:customStyle="1" w:styleId="Heading7Char">
    <w:name w:val="Heading 7 Char"/>
    <w:basedOn w:val="DefaultParagraphFont"/>
    <w:link w:val="Heading7"/>
    <w:rsid w:val="002A0E82"/>
    <w:rPr>
      <w:rFonts w:ascii="Arial" w:hAnsi="Arial"/>
    </w:rPr>
  </w:style>
  <w:style w:type="character" w:customStyle="1" w:styleId="Heading8Char">
    <w:name w:val="Heading 8 Char"/>
    <w:basedOn w:val="DefaultParagraphFont"/>
    <w:link w:val="Heading8"/>
    <w:rsid w:val="002A0E82"/>
    <w:rPr>
      <w:rFonts w:ascii="Arial" w:hAnsi="Arial"/>
      <w:i/>
    </w:rPr>
  </w:style>
  <w:style w:type="character" w:customStyle="1" w:styleId="Heading9Char">
    <w:name w:val="Heading 9 Char"/>
    <w:basedOn w:val="DefaultParagraphFont"/>
    <w:link w:val="Heading9"/>
    <w:rsid w:val="002A0E82"/>
    <w:rPr>
      <w:rFonts w:ascii="Arial" w:hAnsi="Arial"/>
      <w:b/>
      <w:i/>
      <w:sz w:val="18"/>
    </w:rPr>
  </w:style>
  <w:style w:type="character" w:customStyle="1" w:styleId="QuoteChar">
    <w:name w:val="Quote Char"/>
    <w:basedOn w:val="DefaultParagraphFont"/>
    <w:link w:val="Quote"/>
    <w:rsid w:val="002A0E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84958">
      <w:bodyDiv w:val="1"/>
      <w:marLeft w:val="0"/>
      <w:marRight w:val="0"/>
      <w:marTop w:val="0"/>
      <w:marBottom w:val="0"/>
      <w:divBdr>
        <w:top w:val="none" w:sz="0" w:space="0" w:color="auto"/>
        <w:left w:val="none" w:sz="0" w:space="0" w:color="auto"/>
        <w:bottom w:val="none" w:sz="0" w:space="0" w:color="auto"/>
        <w:right w:val="none" w:sz="0" w:space="0" w:color="auto"/>
      </w:divBdr>
    </w:div>
    <w:div w:id="370417857">
      <w:bodyDiv w:val="1"/>
      <w:marLeft w:val="0"/>
      <w:marRight w:val="0"/>
      <w:marTop w:val="0"/>
      <w:marBottom w:val="0"/>
      <w:divBdr>
        <w:top w:val="none" w:sz="0" w:space="0" w:color="auto"/>
        <w:left w:val="none" w:sz="0" w:space="0" w:color="auto"/>
        <w:bottom w:val="none" w:sz="0" w:space="0" w:color="auto"/>
        <w:right w:val="none" w:sz="0" w:space="0" w:color="auto"/>
      </w:divBdr>
    </w:div>
    <w:div w:id="531111324">
      <w:bodyDiv w:val="1"/>
      <w:marLeft w:val="0"/>
      <w:marRight w:val="0"/>
      <w:marTop w:val="0"/>
      <w:marBottom w:val="0"/>
      <w:divBdr>
        <w:top w:val="none" w:sz="0" w:space="0" w:color="auto"/>
        <w:left w:val="none" w:sz="0" w:space="0" w:color="auto"/>
        <w:bottom w:val="none" w:sz="0" w:space="0" w:color="auto"/>
        <w:right w:val="none" w:sz="0" w:space="0" w:color="auto"/>
      </w:divBdr>
      <w:divsChild>
        <w:div w:id="141386960">
          <w:marLeft w:val="0"/>
          <w:marRight w:val="0"/>
          <w:marTop w:val="0"/>
          <w:marBottom w:val="0"/>
          <w:divBdr>
            <w:top w:val="none" w:sz="0" w:space="0" w:color="auto"/>
            <w:left w:val="none" w:sz="0" w:space="0" w:color="auto"/>
            <w:bottom w:val="none" w:sz="0" w:space="0" w:color="auto"/>
            <w:right w:val="none" w:sz="0" w:space="0" w:color="auto"/>
          </w:divBdr>
        </w:div>
      </w:divsChild>
    </w:div>
    <w:div w:id="561909617">
      <w:bodyDiv w:val="1"/>
      <w:marLeft w:val="0"/>
      <w:marRight w:val="0"/>
      <w:marTop w:val="0"/>
      <w:marBottom w:val="0"/>
      <w:divBdr>
        <w:top w:val="none" w:sz="0" w:space="0" w:color="auto"/>
        <w:left w:val="none" w:sz="0" w:space="0" w:color="auto"/>
        <w:bottom w:val="none" w:sz="0" w:space="0" w:color="auto"/>
        <w:right w:val="none" w:sz="0" w:space="0" w:color="auto"/>
      </w:divBdr>
    </w:div>
    <w:div w:id="774640250">
      <w:bodyDiv w:val="1"/>
      <w:marLeft w:val="0"/>
      <w:marRight w:val="0"/>
      <w:marTop w:val="0"/>
      <w:marBottom w:val="0"/>
      <w:divBdr>
        <w:top w:val="none" w:sz="0" w:space="0" w:color="auto"/>
        <w:left w:val="none" w:sz="0" w:space="0" w:color="auto"/>
        <w:bottom w:val="none" w:sz="0" w:space="0" w:color="auto"/>
        <w:right w:val="none" w:sz="0" w:space="0" w:color="auto"/>
      </w:divBdr>
    </w:div>
    <w:div w:id="836652453">
      <w:bodyDiv w:val="1"/>
      <w:marLeft w:val="0"/>
      <w:marRight w:val="0"/>
      <w:marTop w:val="0"/>
      <w:marBottom w:val="0"/>
      <w:divBdr>
        <w:top w:val="none" w:sz="0" w:space="0" w:color="auto"/>
        <w:left w:val="none" w:sz="0" w:space="0" w:color="auto"/>
        <w:bottom w:val="none" w:sz="0" w:space="0" w:color="auto"/>
        <w:right w:val="none" w:sz="0" w:space="0" w:color="auto"/>
      </w:divBdr>
    </w:div>
    <w:div w:id="1163396764">
      <w:bodyDiv w:val="1"/>
      <w:marLeft w:val="0"/>
      <w:marRight w:val="0"/>
      <w:marTop w:val="0"/>
      <w:marBottom w:val="0"/>
      <w:divBdr>
        <w:top w:val="none" w:sz="0" w:space="0" w:color="auto"/>
        <w:left w:val="none" w:sz="0" w:space="0" w:color="auto"/>
        <w:bottom w:val="none" w:sz="0" w:space="0" w:color="auto"/>
        <w:right w:val="none" w:sz="0" w:space="0" w:color="auto"/>
      </w:divBdr>
    </w:div>
    <w:div w:id="1224486727">
      <w:bodyDiv w:val="1"/>
      <w:marLeft w:val="0"/>
      <w:marRight w:val="0"/>
      <w:marTop w:val="0"/>
      <w:marBottom w:val="0"/>
      <w:divBdr>
        <w:top w:val="none" w:sz="0" w:space="0" w:color="auto"/>
        <w:left w:val="none" w:sz="0" w:space="0" w:color="auto"/>
        <w:bottom w:val="none" w:sz="0" w:space="0" w:color="auto"/>
        <w:right w:val="none" w:sz="0" w:space="0" w:color="auto"/>
      </w:divBdr>
    </w:div>
    <w:div w:id="1644652352">
      <w:bodyDiv w:val="1"/>
      <w:marLeft w:val="0"/>
      <w:marRight w:val="0"/>
      <w:marTop w:val="0"/>
      <w:marBottom w:val="0"/>
      <w:divBdr>
        <w:top w:val="none" w:sz="0" w:space="0" w:color="auto"/>
        <w:left w:val="none" w:sz="0" w:space="0" w:color="auto"/>
        <w:bottom w:val="none" w:sz="0" w:space="0" w:color="auto"/>
        <w:right w:val="none" w:sz="0" w:space="0" w:color="auto"/>
      </w:divBdr>
    </w:div>
    <w:div w:id="1803157648">
      <w:bodyDiv w:val="1"/>
      <w:marLeft w:val="0"/>
      <w:marRight w:val="0"/>
      <w:marTop w:val="0"/>
      <w:marBottom w:val="0"/>
      <w:divBdr>
        <w:top w:val="none" w:sz="0" w:space="0" w:color="auto"/>
        <w:left w:val="none" w:sz="0" w:space="0" w:color="auto"/>
        <w:bottom w:val="none" w:sz="0" w:space="0" w:color="auto"/>
        <w:right w:val="none" w:sz="0" w:space="0" w:color="auto"/>
      </w:divBdr>
    </w:div>
    <w:div w:id="211401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federalfinancialrelations.gov.au/content/national_agreements.aspx" TargetMode="External"/><Relationship Id="rId2" Type="http://schemas.openxmlformats.org/officeDocument/2006/relationships/styles" Target="styles.xml"/><Relationship Id="rId16" Type="http://schemas.openxmlformats.org/officeDocument/2006/relationships/hyperlink" Target="http://www.abs.gov.au/websitedbs/d3310114.nsf/Home/What+is+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5928</Words>
  <Characters>33100</Characters>
  <Application>Microsoft Office Word</Application>
  <DocSecurity>0</DocSecurity>
  <Lines>827</Lines>
  <Paragraphs>487</Paragraphs>
  <ScaleCrop>false</ScaleCrop>
  <HeadingPairs>
    <vt:vector size="2" baseType="variant">
      <vt:variant>
        <vt:lpstr>Title</vt:lpstr>
      </vt:variant>
      <vt:variant>
        <vt:i4>1</vt:i4>
      </vt:variant>
    </vt:vector>
  </HeadingPairs>
  <TitlesOfParts>
    <vt:vector size="1" baseType="lpstr">
      <vt:lpstr>National Agreement Performance Information 2011-12: Appendix</vt:lpstr>
    </vt:vector>
  </TitlesOfParts>
  <Company>Productivity Commission</Company>
  <LinksUpToDate>false</LinksUpToDate>
  <CharactersWithSpaces>38541</CharactersWithSpaces>
  <SharedDoc>false</SharedDoc>
  <HLinks>
    <vt:vector size="102" baseType="variant">
      <vt:variant>
        <vt:i4>5242889</vt:i4>
      </vt:variant>
      <vt:variant>
        <vt:i4>183</vt:i4>
      </vt:variant>
      <vt:variant>
        <vt:i4>0</vt:i4>
      </vt:variant>
      <vt:variant>
        <vt:i4>5</vt:i4>
      </vt:variant>
      <vt:variant>
        <vt:lpwstr>../2010-11 NAR Second Draft/Appendix/www.treasury.gov.au/igr/</vt:lpwstr>
      </vt:variant>
      <vt:variant>
        <vt:lpwstr/>
      </vt:variant>
      <vt:variant>
        <vt:i4>7471223</vt:i4>
      </vt:variant>
      <vt:variant>
        <vt:i4>180</vt:i4>
      </vt:variant>
      <vt:variant>
        <vt:i4>0</vt:i4>
      </vt:variant>
      <vt:variant>
        <vt:i4>5</vt:i4>
      </vt:variant>
      <vt:variant>
        <vt:lpwstr>http://www.oecd.org/social/family/database</vt:lpwstr>
      </vt:variant>
      <vt:variant>
        <vt:lpwstr/>
      </vt:variant>
      <vt:variant>
        <vt:i4>4128790</vt:i4>
      </vt:variant>
      <vt:variant>
        <vt:i4>177</vt:i4>
      </vt:variant>
      <vt:variant>
        <vt:i4>0</vt:i4>
      </vt:variant>
      <vt:variant>
        <vt:i4>5</vt:i4>
      </vt:variant>
      <vt:variant>
        <vt:lpwstr>../2010-11 NAR Second Draft/Appendix/www.dpmc.gov.au/publications/aga_reform/</vt:lpwstr>
      </vt:variant>
      <vt:variant>
        <vt:lpwstr/>
      </vt:variant>
      <vt:variant>
        <vt:i4>6291476</vt:i4>
      </vt:variant>
      <vt:variant>
        <vt:i4>174</vt:i4>
      </vt:variant>
      <vt:variant>
        <vt:i4>0</vt:i4>
      </vt:variant>
      <vt:variant>
        <vt:i4>5</vt:i4>
      </vt:variant>
      <vt:variant>
        <vt:lpwstr>http://www.centrelink.gov.au/ internet/internet.nsf/payments/age_rates.htm</vt:lpwstr>
      </vt:variant>
      <vt:variant>
        <vt:lpwstr/>
      </vt:variant>
      <vt:variant>
        <vt:i4>983049</vt:i4>
      </vt:variant>
      <vt:variant>
        <vt:i4>171</vt:i4>
      </vt:variant>
      <vt:variant>
        <vt:i4>0</vt:i4>
      </vt:variant>
      <vt:variant>
        <vt:i4>5</vt:i4>
      </vt:variant>
      <vt:variant>
        <vt:lpwstr>../2010-11 NAR Second Draft/Appendix/crcw.princeton.edu/workingpapers/WP08-11-FF.pdf</vt:lpwstr>
      </vt:variant>
      <vt:variant>
        <vt:lpwstr/>
      </vt:variant>
      <vt:variant>
        <vt:i4>3735576</vt:i4>
      </vt:variant>
      <vt:variant>
        <vt:i4>168</vt:i4>
      </vt:variant>
      <vt:variant>
        <vt:i4>0</vt:i4>
      </vt:variant>
      <vt:variant>
        <vt:i4>5</vt:i4>
      </vt:variant>
      <vt:variant>
        <vt:lpwstr>http://www.amazon.com/s/ref=ntt_athr_dp_sr_3?_encoding=UTF8&amp;sort=relevancerank&amp;search-alias=books&amp;ie=UTF8&amp;field-author=International%20Agency%20for%20Research%20on%20Cancer</vt:lpwstr>
      </vt:variant>
      <vt:variant>
        <vt:lpwstr/>
      </vt:variant>
      <vt:variant>
        <vt:i4>2162690</vt:i4>
      </vt:variant>
      <vt:variant>
        <vt:i4>165</vt:i4>
      </vt:variant>
      <vt:variant>
        <vt:i4>0</vt:i4>
      </vt:variant>
      <vt:variant>
        <vt:i4>5</vt:i4>
      </vt:variant>
      <vt:variant>
        <vt:lpwstr>http://www.abs.gov.au/AUSSTATS/ abs@.nsf/lookup/4704.0Chapter355Oct+2010</vt:lpwstr>
      </vt:variant>
      <vt:variant>
        <vt:lpwstr/>
      </vt:variant>
      <vt:variant>
        <vt:i4>5570644</vt:i4>
      </vt:variant>
      <vt:variant>
        <vt:i4>162</vt:i4>
      </vt:variant>
      <vt:variant>
        <vt:i4>0</vt:i4>
      </vt:variant>
      <vt:variant>
        <vt:i4>5</vt:i4>
      </vt:variant>
      <vt:variant>
        <vt:lpwstr>http://www.abs.gov.au/websitedbs/d3310114.nsf/Home/What+is+a+Standard +Error+and+Relative+Standard+Error,+Reliability+of+estimates+for+Labour+ Force+data</vt:lpwstr>
      </vt:variant>
      <vt:variant>
        <vt:lpwstr/>
      </vt:variant>
      <vt:variant>
        <vt:i4>1245274</vt:i4>
      </vt:variant>
      <vt:variant>
        <vt:i4>90</vt:i4>
      </vt:variant>
      <vt:variant>
        <vt:i4>0</vt:i4>
      </vt:variant>
      <vt:variant>
        <vt:i4>5</vt:i4>
      </vt:variant>
      <vt:variant>
        <vt:lpwstr>http://www.aihw.gov.au/publication-detail/?id=10737422718</vt:lpwstr>
      </vt:variant>
      <vt:variant>
        <vt:lpwstr/>
      </vt:variant>
      <vt:variant>
        <vt:i4>3932278</vt:i4>
      </vt:variant>
      <vt:variant>
        <vt:i4>87</vt:i4>
      </vt:variant>
      <vt:variant>
        <vt:i4>0</vt:i4>
      </vt:variant>
      <vt:variant>
        <vt:i4>5</vt:i4>
      </vt:variant>
      <vt:variant>
        <vt:lpwstr>http://www.ncver.edu.au/publications/2355.html</vt:lpwstr>
      </vt:variant>
      <vt:variant>
        <vt:lpwstr/>
      </vt:variant>
      <vt:variant>
        <vt:i4>1704031</vt:i4>
      </vt:variant>
      <vt:variant>
        <vt:i4>84</vt:i4>
      </vt:variant>
      <vt:variant>
        <vt:i4>0</vt:i4>
      </vt:variant>
      <vt:variant>
        <vt:i4>5</vt:i4>
      </vt:variant>
      <vt:variant>
        <vt:lpwstr>http://www.socialinclusion.gov.au/sites/www.socialinclusion.gov.au/files/publications/pdf/HAIF_report_final.pdf?zbrandid=2039&amp;zidType=CH&amp;zid=3176093&amp;zsubscriberId=500521955&amp;zbdom=http://aracy.informz.net</vt:lpwstr>
      </vt:variant>
      <vt:variant>
        <vt:lpwstr/>
      </vt:variant>
      <vt:variant>
        <vt:i4>5046375</vt:i4>
      </vt:variant>
      <vt:variant>
        <vt:i4>81</vt:i4>
      </vt:variant>
      <vt:variant>
        <vt:i4>0</vt:i4>
      </vt:variant>
      <vt:variant>
        <vt:i4>5</vt:i4>
      </vt:variant>
      <vt:variant>
        <vt:lpwstr>http://www.abs.gov.au/ausstats/abs@.nsf/mf/1351.0.55.038</vt:lpwstr>
      </vt:variant>
      <vt:variant>
        <vt:lpwstr/>
      </vt:variant>
      <vt:variant>
        <vt:i4>4718651</vt:i4>
      </vt:variant>
      <vt:variant>
        <vt:i4>78</vt:i4>
      </vt:variant>
      <vt:variant>
        <vt:i4>0</vt:i4>
      </vt:variant>
      <vt:variant>
        <vt:i4>5</vt:i4>
      </vt:variant>
      <vt:variant>
        <vt:lpwstr>http://www.ausstats.abs.gov.au/ausstats/subscriber.nsf/0/1D03ACBBD40275ADCA257A3900173E85/$File/65030_1.pdf</vt:lpwstr>
      </vt:variant>
      <vt:variant>
        <vt:lpwstr/>
      </vt:variant>
      <vt:variant>
        <vt:i4>7667782</vt:i4>
      </vt:variant>
      <vt:variant>
        <vt:i4>35</vt:i4>
      </vt:variant>
      <vt:variant>
        <vt:i4>0</vt:i4>
      </vt:variant>
      <vt:variant>
        <vt:i4>5</vt:i4>
      </vt:variant>
      <vt:variant>
        <vt:lpwstr>http://www.abs.gov.au/ausstats/abs@.nsf/mf/2075.0?OpenDocument</vt:lpwstr>
      </vt:variant>
      <vt:variant>
        <vt:lpwstr/>
      </vt:variant>
      <vt:variant>
        <vt:i4>7405640</vt:i4>
      </vt:variant>
      <vt:variant>
        <vt:i4>32</vt:i4>
      </vt:variant>
      <vt:variant>
        <vt:i4>0</vt:i4>
      </vt:variant>
      <vt:variant>
        <vt:i4>5</vt:i4>
      </vt:variant>
      <vt:variant>
        <vt:lpwstr>http://www.abs.gov.au/ausstats/abs@.nsf/Lookup/2075.0main+features32011</vt:lpwstr>
      </vt:variant>
      <vt:variant>
        <vt:lpwstr/>
      </vt:variant>
      <vt:variant>
        <vt:i4>4325484</vt:i4>
      </vt:variant>
      <vt:variant>
        <vt:i4>29</vt:i4>
      </vt:variant>
      <vt:variant>
        <vt:i4>0</vt:i4>
      </vt:variant>
      <vt:variant>
        <vt:i4>5</vt:i4>
      </vt:variant>
      <vt:variant>
        <vt:lpwstr>http://www.abs.gov.au/ausstats/abs@.nsf/mf/3238.0.55.003</vt:lpwstr>
      </vt:variant>
      <vt:variant>
        <vt:lpwstr/>
      </vt:variant>
      <vt:variant>
        <vt:i4>4128859</vt:i4>
      </vt:variant>
      <vt:variant>
        <vt:i4>10</vt:i4>
      </vt:variant>
      <vt:variant>
        <vt:i4>0</vt:i4>
      </vt:variant>
      <vt:variant>
        <vt:i4>5</vt:i4>
      </vt:variant>
      <vt:variant>
        <vt:lpwstr>http://www.abs.gov.au/ausstats/abs@.nsf/Latestproducts/3101.0Feature Article1Dec 2011?opendocument&amp;tabname=Summary&amp;prodno=3101.0&amp;issue=Dec%202011&amp;num=&amp;view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Agreement Performance Information 2011-12: Appendix</dc:title>
  <dc:subject/>
  <dc:creator>Steering Committee for the Review of Government Service Provision</dc:creator>
  <cp:keywords/>
  <cp:lastModifiedBy>Productivity Commission</cp:lastModifiedBy>
  <cp:revision>3</cp:revision>
  <dcterms:created xsi:type="dcterms:W3CDTF">2014-06-16T07:07:00Z</dcterms:created>
  <dcterms:modified xsi:type="dcterms:W3CDTF">2014-06-16T23:21:00Z</dcterms:modified>
  <cp:contentStatus/>
</cp:coreProperties>
</file>