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541C3" w:rsidP="00BD49B7">
      <w:pPr>
        <w:pStyle w:val="Heading1"/>
        <w:spacing w:before="0"/>
      </w:pPr>
      <w:bookmarkStart w:id="0" w:name="ChapterTitle"/>
      <w:r>
        <w:t>National Education Agreement performance reporting</w:t>
      </w:r>
      <w:bookmarkEnd w:id="0"/>
    </w:p>
    <w:p w:rsidR="00BD49B7" w:rsidRPr="00677C64" w:rsidRDefault="00BD49B7" w:rsidP="00BD49B7">
      <w:pPr>
        <w:pStyle w:val="BoxSpace"/>
      </w:pPr>
      <w:bookmarkStart w:id="1" w:name="begin"/>
      <w:bookmarkEnd w:id="1"/>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BD49B7" w:rsidRPr="009429FE" w:rsidTr="00E744B0">
        <w:tc>
          <w:tcPr>
            <w:tcW w:w="8771" w:type="dxa"/>
            <w:tcBorders>
              <w:bottom w:val="nil"/>
            </w:tcBorders>
            <w:shd w:val="clear" w:color="auto" w:fill="E6E6E6"/>
          </w:tcPr>
          <w:p w:rsidR="00BD49B7" w:rsidRPr="009429FE" w:rsidRDefault="00BD49B7" w:rsidP="000C42A3">
            <w:pPr>
              <w:pStyle w:val="BoxTitle"/>
            </w:pPr>
            <w:r w:rsidRPr="009429FE">
              <w:t>Attachment tables</w:t>
            </w:r>
          </w:p>
        </w:tc>
      </w:tr>
      <w:tr w:rsidR="00BD49B7" w:rsidRPr="009429FE" w:rsidTr="00E744B0">
        <w:trPr>
          <w:cantSplit/>
        </w:trPr>
        <w:tc>
          <w:tcPr>
            <w:tcW w:w="8771" w:type="dxa"/>
            <w:tcBorders>
              <w:top w:val="nil"/>
              <w:bottom w:val="nil"/>
            </w:tcBorders>
            <w:shd w:val="clear" w:color="auto" w:fill="E6E6E6"/>
          </w:tcPr>
          <w:p w:rsidR="00E744B0" w:rsidRPr="00E744B0" w:rsidRDefault="00BD49B7" w:rsidP="00E7126F">
            <w:pPr>
              <w:pStyle w:val="Box"/>
              <w:rPr>
                <w:rStyle w:val="DraftingNote"/>
                <w:b w:val="0"/>
                <w:color w:val="auto"/>
                <w:sz w:val="22"/>
                <w:u w:val="none"/>
              </w:rPr>
            </w:pPr>
            <w:r w:rsidRPr="00677C64">
              <w:t xml:space="preserve">Data for the performance indicators in this report are presented in a separate set of attachment tables. Attachment tables are identified in references throughout this report by a ‘NEA’ </w:t>
            </w:r>
            <w:r w:rsidR="00E7126F">
              <w:t>pre</w:t>
            </w:r>
            <w:r w:rsidRPr="00677C64">
              <w:t>fix (f</w:t>
            </w:r>
            <w:r w:rsidR="00E744B0">
              <w:t xml:space="preserve">or example, table </w:t>
            </w:r>
            <w:proofErr w:type="spellStart"/>
            <w:r w:rsidR="00E744B0">
              <w:t>NEA.1.3</w:t>
            </w:r>
            <w:proofErr w:type="spellEnd"/>
            <w:r w:rsidR="00E744B0">
              <w:t>) or a</w:t>
            </w:r>
            <w:r w:rsidRPr="00677C64">
              <w:t xml:space="preserve"> ‘NIRA’ </w:t>
            </w:r>
            <w:r w:rsidR="00E7126F">
              <w:t>pre</w:t>
            </w:r>
            <w:r w:rsidR="009B265B" w:rsidRPr="00677C64">
              <w:t>fix (for example, table </w:t>
            </w:r>
            <w:proofErr w:type="spellStart"/>
            <w:r w:rsidR="009B265B" w:rsidRPr="00677C64">
              <w:t>NIRA.</w:t>
            </w:r>
            <w:r w:rsidRPr="00677C64">
              <w:t>13.3</w:t>
            </w:r>
            <w:proofErr w:type="spellEnd"/>
            <w:r w:rsidRPr="00677C64">
              <w:t>). Tables beginning with ‘NEA’ represent attachment tables for NEA indicators, whilst tables beginning w</w:t>
            </w:r>
            <w:r w:rsidR="004E0029" w:rsidRPr="00677C64">
              <w:t>ith ‘NIRA’ represent atta</w:t>
            </w:r>
            <w:r w:rsidRPr="00677C64">
              <w:t xml:space="preserve">chment tables for </w:t>
            </w:r>
            <w:r w:rsidR="004E0029" w:rsidRPr="00677C64">
              <w:t>NIRA indicators related to NEA reporting.</w:t>
            </w:r>
          </w:p>
        </w:tc>
      </w:tr>
      <w:tr w:rsidR="00E744B0" w:rsidTr="00E744B0">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single" w:sz="6" w:space="0" w:color="auto"/>
              <w:right w:val="single" w:sz="6" w:space="0" w:color="auto"/>
            </w:tcBorders>
            <w:shd w:val="clear" w:color="auto" w:fill="E6E6E6"/>
          </w:tcPr>
          <w:p w:rsidR="00E744B0" w:rsidRDefault="00E744B0" w:rsidP="00107F4D">
            <w:pPr>
              <w:pStyle w:val="Box"/>
              <w:spacing w:before="0" w:line="120" w:lineRule="exact"/>
            </w:pPr>
          </w:p>
        </w:tc>
      </w:tr>
      <w:tr w:rsidR="00E744B0" w:rsidRPr="00E744B0" w:rsidTr="00107F4D">
        <w:tblPrEx>
          <w:tblBorders>
            <w:top w:val="single" w:sz="6" w:space="0" w:color="auto"/>
            <w:left w:val="single" w:sz="6" w:space="0" w:color="auto"/>
            <w:bottom w:val="single" w:sz="6" w:space="0" w:color="auto"/>
            <w:right w:val="single" w:sz="6" w:space="0" w:color="auto"/>
          </w:tblBorders>
        </w:tblPrEx>
        <w:tc>
          <w:tcPr>
            <w:tcW w:w="8771" w:type="dxa"/>
            <w:tcBorders>
              <w:top w:val="nil"/>
              <w:left w:val="nil"/>
              <w:bottom w:val="nil"/>
              <w:right w:val="nil"/>
            </w:tcBorders>
          </w:tcPr>
          <w:p w:rsidR="00E744B0" w:rsidRPr="00E744B0" w:rsidRDefault="00E744B0" w:rsidP="00107F4D">
            <w:pPr>
              <w:pStyle w:val="Box"/>
              <w:keepNext w:val="0"/>
              <w:spacing w:before="60" w:after="60" w:line="80" w:lineRule="exact"/>
              <w:rPr>
                <w:b/>
                <w:sz w:val="14"/>
              </w:rPr>
            </w:pPr>
          </w:p>
        </w:tc>
      </w:tr>
    </w:tbl>
    <w:p w:rsidR="00BD49B7" w:rsidRPr="00677C64" w:rsidRDefault="00BD49B7" w:rsidP="00BD49B7">
      <w:pPr>
        <w:pStyle w:val="Heading2"/>
        <w:rPr>
          <w:rStyle w:val="DraftingNote"/>
          <w:color w:val="auto"/>
        </w:rPr>
      </w:pPr>
      <w:bookmarkStart w:id="2" w:name="_Toc233901772"/>
      <w:r w:rsidRPr="00677C64">
        <w:t>About this report</w:t>
      </w:r>
      <w:bookmarkEnd w:id="2"/>
    </w:p>
    <w:p w:rsidR="00BD49B7" w:rsidRDefault="00BD49B7" w:rsidP="00BD49B7">
      <w:pPr>
        <w:pStyle w:val="Heading3"/>
      </w:pPr>
      <w:r>
        <w:t>Background to National Agreement reporting</w:t>
      </w:r>
    </w:p>
    <w:p w:rsidR="00E7126F" w:rsidRDefault="00E7126F" w:rsidP="00DD0FF7">
      <w:pPr>
        <w:pStyle w:val="BodyText"/>
      </w:pPr>
      <w:r>
        <w:t xml:space="preserve">In November 2008, the Council of Australian Governments (COAG) endorsed a new Intergovernmental Agreement on Federal </w:t>
      </w:r>
      <w:r w:rsidR="00FD41CF">
        <w:t>Financial Relations (IGA) (COAG </w:t>
      </w:r>
      <w:proofErr w:type="spellStart"/>
      <w:r>
        <w:t>2009</w:t>
      </w:r>
      <w:r w:rsidR="00637C8C">
        <w:t>a</w:t>
      </w:r>
      <w:proofErr w:type="spellEnd"/>
      <w:r>
        <w:t xml:space="preserve">). COAG reaffirmed its commitment to the IGA in August 2011 (COAG </w:t>
      </w:r>
      <w:proofErr w:type="spellStart"/>
      <w:r>
        <w:t>2011a</w:t>
      </w:r>
      <w:proofErr w:type="spellEnd"/>
      <w:r>
        <w:t xml:space="preserve">). The Standing Council for Federal Financial Relations (SCFFR) has general oversight of the operations of the IGA on behalf of COAG. [para. </w:t>
      </w:r>
      <w:proofErr w:type="spellStart"/>
      <w:r>
        <w:t>A4</w:t>
      </w:r>
      <w:proofErr w:type="spellEnd"/>
      <w:r>
        <w:t>(a)]</w:t>
      </w:r>
    </w:p>
    <w:p w:rsidR="00BD49B7" w:rsidRDefault="00BD49B7" w:rsidP="00F225AF">
      <w:pPr>
        <w:pStyle w:val="BodyText"/>
      </w:pPr>
      <w:r>
        <w:t>The IGA include</w:t>
      </w:r>
      <w:r w:rsidR="00E7126F">
        <w:t>s</w:t>
      </w:r>
      <w:r w:rsidR="00DE354D">
        <w:t xml:space="preserve"> six National Agreements (NAs):</w:t>
      </w:r>
    </w:p>
    <w:p w:rsidR="00BD49B7" w:rsidRPr="000C42A3" w:rsidRDefault="00BD49B7" w:rsidP="001A5FA3">
      <w:pPr>
        <w:pStyle w:val="ListBullet"/>
        <w:rPr>
          <w:i/>
        </w:rPr>
      </w:pPr>
      <w:r w:rsidRPr="000C42A3">
        <w:rPr>
          <w:i/>
        </w:rPr>
        <w:t>National Healthcare Agreement</w:t>
      </w:r>
    </w:p>
    <w:p w:rsidR="00BD49B7" w:rsidRPr="000C42A3" w:rsidRDefault="00BD49B7" w:rsidP="001A5FA3">
      <w:pPr>
        <w:pStyle w:val="ListBullet"/>
        <w:rPr>
          <w:i/>
        </w:rPr>
      </w:pPr>
      <w:r w:rsidRPr="000C42A3">
        <w:rPr>
          <w:i/>
        </w:rPr>
        <w:t>National Education Agreement</w:t>
      </w:r>
    </w:p>
    <w:p w:rsidR="00BD49B7" w:rsidRPr="000C42A3" w:rsidRDefault="00BD49B7" w:rsidP="001A5FA3">
      <w:pPr>
        <w:pStyle w:val="ListBullet"/>
        <w:rPr>
          <w:i/>
        </w:rPr>
      </w:pPr>
      <w:r w:rsidRPr="000C42A3">
        <w:rPr>
          <w:i/>
        </w:rPr>
        <w:t>National Agreement for Skills and Workforce Development</w:t>
      </w:r>
    </w:p>
    <w:p w:rsidR="00BD49B7" w:rsidRPr="000C42A3" w:rsidRDefault="00BD49B7" w:rsidP="001A5FA3">
      <w:pPr>
        <w:pStyle w:val="ListBullet"/>
        <w:rPr>
          <w:i/>
        </w:rPr>
      </w:pPr>
      <w:r w:rsidRPr="000C42A3">
        <w:rPr>
          <w:i/>
        </w:rPr>
        <w:t>National Affordable Housing Agreement</w:t>
      </w:r>
    </w:p>
    <w:p w:rsidR="00BD49B7" w:rsidRPr="000C42A3" w:rsidRDefault="00BD49B7" w:rsidP="001A5FA3">
      <w:pPr>
        <w:pStyle w:val="ListBullet"/>
        <w:rPr>
          <w:i/>
        </w:rPr>
      </w:pPr>
      <w:r w:rsidRPr="000C42A3">
        <w:rPr>
          <w:i/>
        </w:rPr>
        <w:t>National Disability Agreement</w:t>
      </w:r>
    </w:p>
    <w:p w:rsidR="00BD49B7" w:rsidRDefault="00BD49B7" w:rsidP="001A5FA3">
      <w:pPr>
        <w:pStyle w:val="ListBullet"/>
      </w:pPr>
      <w:r w:rsidRPr="000C42A3">
        <w:rPr>
          <w:i/>
        </w:rPr>
        <w:t>National Indigenous Reform Agreement</w:t>
      </w:r>
      <w:r>
        <w:t>.</w:t>
      </w:r>
    </w:p>
    <w:p w:rsidR="00BD49B7" w:rsidRDefault="00BD49B7" w:rsidP="00FF7ED9">
      <w:pPr>
        <w:pStyle w:val="BodyText"/>
      </w:pPr>
      <w:r w:rsidRPr="00D60719">
        <w:t xml:space="preserve">COAG has </w:t>
      </w:r>
      <w:r>
        <w:t xml:space="preserve">also </w:t>
      </w:r>
      <w:r w:rsidRPr="00D60719">
        <w:t>agreed to N</w:t>
      </w:r>
      <w:r>
        <w:t xml:space="preserve">ational </w:t>
      </w:r>
      <w:r w:rsidRPr="00D60719">
        <w:t>P</w:t>
      </w:r>
      <w:r>
        <w:t>artnership (NP)</w:t>
      </w:r>
      <w:r w:rsidRPr="00D60719">
        <w:t xml:space="preserve"> payments </w:t>
      </w:r>
      <w:r>
        <w:t>—</w:t>
      </w:r>
      <w:r w:rsidRPr="00D60719">
        <w:t xml:space="preserve"> to fund specific projects and to facilitate and/or reward </w:t>
      </w:r>
      <w:r>
        <w:t>s</w:t>
      </w:r>
      <w:r w:rsidRPr="00D60719">
        <w:t>tates</w:t>
      </w:r>
      <w:r>
        <w:t xml:space="preserve"> and territories</w:t>
      </w:r>
      <w:r w:rsidRPr="00D60719">
        <w:t xml:space="preserve"> that deliver on nationally</w:t>
      </w:r>
      <w:r>
        <w:rPr>
          <w:rFonts w:ascii="MS Mincho" w:eastAsia="MS Mincho" w:hAnsi="MS Mincho" w:cs="MS Mincho"/>
        </w:rPr>
        <w:t xml:space="preserve"> </w:t>
      </w:r>
      <w:r>
        <w:t>significant reforms.</w:t>
      </w:r>
    </w:p>
    <w:p w:rsidR="00BD49B7" w:rsidRDefault="00BD49B7" w:rsidP="00F225AF">
      <w:pPr>
        <w:pStyle w:val="BodyText"/>
      </w:pPr>
      <w:r>
        <w:lastRenderedPageBreak/>
        <w:t>Five of the NAs are associated with a national Specific Purpose Payment (</w:t>
      </w:r>
      <w:proofErr w:type="spellStart"/>
      <w:r>
        <w:t>SPP</w:t>
      </w:r>
      <w:proofErr w:type="spellEnd"/>
      <w:r>
        <w:t xml:space="preserve">) that can provide funding to the states and territories for the sector covered by the NA. These five </w:t>
      </w:r>
      <w:proofErr w:type="spellStart"/>
      <w:r>
        <w:t>SPPs</w:t>
      </w:r>
      <w:proofErr w:type="spellEnd"/>
      <w:r>
        <w:t xml:space="preserve"> cover schools, vocational education and training (VET), disability services, healthcare and affordable housing. The </w:t>
      </w:r>
      <w:r w:rsidRPr="009D6003">
        <w:rPr>
          <w:i/>
        </w:rPr>
        <w:t>National Indigenous Reform Agreement</w:t>
      </w:r>
      <w:r w:rsidR="00916A90">
        <w:t xml:space="preserve"> (NIRA)</w:t>
      </w:r>
      <w:r>
        <w:rPr>
          <w:i/>
        </w:rPr>
        <w:t xml:space="preserve"> </w:t>
      </w:r>
      <w:r>
        <w:t xml:space="preserve">is not associated with a </w:t>
      </w:r>
      <w:proofErr w:type="spellStart"/>
      <w:r>
        <w:t>SPP</w:t>
      </w:r>
      <w:proofErr w:type="spellEnd"/>
      <w:r>
        <w:t>, but draws together Indigenous elements from the other NAs and is associated with several NP agreements.</w:t>
      </w:r>
    </w:p>
    <w:p w:rsidR="00E7126F" w:rsidRDefault="00E7126F" w:rsidP="00E7126F">
      <w:pPr>
        <w:pStyle w:val="BodyText"/>
      </w:pPr>
      <w:r>
        <w:t>Under the reforms, each NA contains the objectives</w:t>
      </w:r>
      <w:r w:rsidR="00CA3656">
        <w:t xml:space="preserve"> and</w:t>
      </w:r>
      <w:r>
        <w:t xml:space="preserve"> outcomes for each sector, and clarifies the respective roles and responsibilities of the Commonwealth and the states and territories in the delivery of services. </w:t>
      </w:r>
      <w:r w:rsidR="00CA3656" w:rsidRPr="00B71D6A">
        <w:t>The NAs also contain a range of categories of performance information, variously named ‘outputs’, ‘progress measures’, ‘performance indicators’, ‘performance benchmarks’ and ‘targets’.</w:t>
      </w:r>
      <w:r w:rsidR="00CA3656">
        <w:t xml:space="preserve"> </w:t>
      </w:r>
      <w:r>
        <w:t>The performance of all governments in achieving mutually agreed outcomes and benchmarks specified in each NA will be monitored and assessed by the COAG Reform Council (CRC).</w:t>
      </w:r>
    </w:p>
    <w:p w:rsidR="00E7126F" w:rsidRDefault="00E7126F" w:rsidP="00E7126F">
      <w:pPr>
        <w:pStyle w:val="BodyText"/>
      </w:pPr>
      <w:r>
        <w:t xml:space="preserve">At its 7 December 2009 meeting, COAG agreed to a high level review of the NAs, NPs and implementation plans. On 13 February 2011, COAG noted a report on this review and agreed to further reviews of the performance indicator frameworks within each NA (COAG </w:t>
      </w:r>
      <w:proofErr w:type="spellStart"/>
      <w:r>
        <w:t>2011b</w:t>
      </w:r>
      <w:proofErr w:type="spellEnd"/>
      <w:r>
        <w:t>). The review of the NEA performance indicator framework is to be completed by 30 June 2012 (too late for inclusion in this report). It is anticipated that the outcomes from the review will be included in future cycles of NEA reporting.</w:t>
      </w:r>
    </w:p>
    <w:p w:rsidR="00BD49B7" w:rsidRDefault="00BD49B7" w:rsidP="001A5FA3">
      <w:pPr>
        <w:pStyle w:val="Heading3"/>
      </w:pPr>
      <w:r>
        <w:t>National Agreement reporting roles and responsibilities</w:t>
      </w:r>
    </w:p>
    <w:p w:rsidR="00BD49B7" w:rsidRDefault="00BD49B7" w:rsidP="00F225AF">
      <w:pPr>
        <w:pStyle w:val="BodyText"/>
      </w:pPr>
      <w:r>
        <w:t>The IGA states that:</w:t>
      </w:r>
    </w:p>
    <w:p w:rsidR="00BD49B7" w:rsidRPr="00AE4F77" w:rsidRDefault="00E7126F" w:rsidP="00BD49B7">
      <w:pPr>
        <w:pStyle w:val="Quote"/>
      </w:pPr>
      <w:r>
        <w:t>P</w:t>
      </w:r>
      <w:r w:rsidR="00BD49B7">
        <w:t xml:space="preserve">ara. </w:t>
      </w:r>
      <w:proofErr w:type="spellStart"/>
      <w:r w:rsidR="00BD49B7">
        <w:t>C5</w:t>
      </w:r>
      <w:proofErr w:type="spellEnd"/>
      <w:r w:rsidR="00BD49B7">
        <w:t xml:space="preserve"> </w:t>
      </w:r>
      <w:r w:rsidR="00BD49B7" w:rsidRPr="00CB69FF">
        <w:rPr>
          <w:i/>
        </w:rPr>
        <w:t>—</w:t>
      </w:r>
      <w:r w:rsidR="00BD49B7">
        <w:rPr>
          <w:i/>
        </w:rPr>
        <w:t xml:space="preserve"> </w:t>
      </w:r>
      <w:r w:rsidR="00BD49B7" w:rsidRPr="00AE4F77">
        <w:t>The performance reporting framework for the National Agreements is based on:</w:t>
      </w:r>
    </w:p>
    <w:p w:rsidR="00BD49B7" w:rsidRDefault="00BD49B7" w:rsidP="00D11E31">
      <w:pPr>
        <w:pStyle w:val="QuoteBullet"/>
        <w:numPr>
          <w:ilvl w:val="0"/>
          <w:numId w:val="13"/>
        </w:numPr>
        <w:ind w:hanging="340"/>
      </w:pPr>
      <w:r>
        <w:t>high-level performance indicators for each National Agreement;</w:t>
      </w:r>
    </w:p>
    <w:p w:rsidR="00BD49B7" w:rsidRDefault="00BD49B7" w:rsidP="00D11E31">
      <w:pPr>
        <w:pStyle w:val="QuoteBullet"/>
        <w:numPr>
          <w:ilvl w:val="0"/>
          <w:numId w:val="13"/>
        </w:numPr>
        <w:ind w:hanging="340"/>
      </w:pPr>
      <w:r>
        <w:t xml:space="preserve">the </w:t>
      </w:r>
      <w:r w:rsidRPr="00D766E1">
        <w:rPr>
          <w:i/>
        </w:rPr>
        <w:t xml:space="preserve">Steering Committee for the </w:t>
      </w:r>
      <w:r>
        <w:rPr>
          <w:i/>
        </w:rPr>
        <w:t>R</w:t>
      </w:r>
      <w:r w:rsidRPr="00D766E1">
        <w:rPr>
          <w:i/>
        </w:rPr>
        <w:t>eview of Government Service Provision</w:t>
      </w:r>
      <w:r>
        <w:t xml:space="preserve"> (the Steering Committee) having overall responsibility for collating the necessary performance data; and</w:t>
      </w:r>
    </w:p>
    <w:p w:rsidR="00BD49B7" w:rsidRDefault="00BD49B7" w:rsidP="00D11E31">
      <w:pPr>
        <w:pStyle w:val="QuoteBullet"/>
        <w:numPr>
          <w:ilvl w:val="0"/>
          <w:numId w:val="13"/>
        </w:numPr>
        <w:ind w:hanging="340"/>
      </w:pPr>
      <w:r>
        <w:t xml:space="preserve">the </w:t>
      </w:r>
      <w:r w:rsidR="00E7126F">
        <w:t xml:space="preserve">[CRC] </w:t>
      </w:r>
      <w:r>
        <w:t>publishing performance data relating to National Agreements, and National Partnerships to the extent that they support the objectives in National Agreements, within three months of receipt from the Steering Committee, along with a comparative analysis of this performance information that:</w:t>
      </w:r>
    </w:p>
    <w:p w:rsidR="00BD49B7" w:rsidRDefault="00BD49B7" w:rsidP="00D11E31">
      <w:pPr>
        <w:pStyle w:val="QuoteBullet"/>
        <w:numPr>
          <w:ilvl w:val="0"/>
          <w:numId w:val="14"/>
        </w:numPr>
        <w:tabs>
          <w:tab w:val="clear" w:pos="180"/>
          <w:tab w:val="num" w:pos="1134"/>
        </w:tabs>
        <w:ind w:left="1134" w:hanging="283"/>
      </w:pPr>
      <w:r>
        <w:t>focuses on the high-level National Agreement performance indicators;</w:t>
      </w:r>
    </w:p>
    <w:p w:rsidR="00BD49B7" w:rsidRDefault="00BD49B7" w:rsidP="00D11E31">
      <w:pPr>
        <w:pStyle w:val="QuoteBullet"/>
        <w:numPr>
          <w:ilvl w:val="0"/>
          <w:numId w:val="14"/>
        </w:numPr>
        <w:tabs>
          <w:tab w:val="clear" w:pos="180"/>
          <w:tab w:val="num" w:pos="1134"/>
        </w:tabs>
        <w:ind w:left="1134" w:hanging="283"/>
      </w:pPr>
      <w:r>
        <w:t>highlights examples of good practice;</w:t>
      </w:r>
    </w:p>
    <w:p w:rsidR="00BD49B7" w:rsidRDefault="00BD49B7" w:rsidP="00D11E31">
      <w:pPr>
        <w:pStyle w:val="QuoteBullet"/>
        <w:numPr>
          <w:ilvl w:val="0"/>
          <w:numId w:val="14"/>
        </w:numPr>
        <w:tabs>
          <w:tab w:val="clear" w:pos="180"/>
          <w:tab w:val="num" w:pos="1134"/>
        </w:tabs>
        <w:ind w:left="1134" w:hanging="283"/>
      </w:pPr>
      <w:r>
        <w:lastRenderedPageBreak/>
        <w:t>highlights contextual differences between jurisdictions which are relevant to interpreting the data; and</w:t>
      </w:r>
    </w:p>
    <w:p w:rsidR="00BD49B7" w:rsidRDefault="00BD49B7" w:rsidP="00D11E31">
      <w:pPr>
        <w:pStyle w:val="QuoteBullet"/>
        <w:numPr>
          <w:ilvl w:val="0"/>
          <w:numId w:val="14"/>
        </w:numPr>
        <w:tabs>
          <w:tab w:val="clear" w:pos="180"/>
          <w:tab w:val="num" w:pos="1134"/>
        </w:tabs>
        <w:ind w:left="1134" w:hanging="283"/>
      </w:pPr>
      <w:r>
        <w:t xml:space="preserve">reflects </w:t>
      </w:r>
      <w:proofErr w:type="spellStart"/>
      <w:r>
        <w:t>COAG’s</w:t>
      </w:r>
      <w:proofErr w:type="spellEnd"/>
      <w:r>
        <w:t xml:space="preserve"> intention to outline transparently the contribution of both levels of government to achieving performance benchmarks and to achieving continuous improvement against the outcomes, outputs and performance indicators. </w:t>
      </w:r>
      <w:r w:rsidR="00E7126F">
        <w:t xml:space="preserve">[para. </w:t>
      </w:r>
      <w:proofErr w:type="spellStart"/>
      <w:r w:rsidR="00E7126F">
        <w:t>C5</w:t>
      </w:r>
      <w:proofErr w:type="spellEnd"/>
      <w:r w:rsidR="00E7126F">
        <w:t>]</w:t>
      </w:r>
    </w:p>
    <w:p w:rsidR="00916A90" w:rsidRDefault="00916A90" w:rsidP="00F225AF">
      <w:pPr>
        <w:pStyle w:val="BodyText"/>
      </w:pPr>
      <w:r>
        <w:t xml:space="preserve">The CRC is considering the impact of NPs on the achievement of the objectives of the NAs [para. </w:t>
      </w:r>
      <w:proofErr w:type="spellStart"/>
      <w:r>
        <w:t>C5</w:t>
      </w:r>
      <w:proofErr w:type="spellEnd"/>
      <w:r>
        <w:t xml:space="preserve"> (c)]. At the time of preparing this report, the CRC ha</w:t>
      </w:r>
      <w:r w:rsidR="008D209A">
        <w:t>d</w:t>
      </w:r>
      <w:r>
        <w:t xml:space="preserve"> not requested the Steering Committee to include any performance data related to NPs</w:t>
      </w:r>
      <w:r w:rsidR="00E7126F">
        <w:t xml:space="preserve"> in this report</w:t>
      </w:r>
      <w:r>
        <w:t>.</w:t>
      </w:r>
    </w:p>
    <w:p w:rsidR="00BD49B7" w:rsidRDefault="00BD49B7" w:rsidP="00F225AF">
      <w:pPr>
        <w:pStyle w:val="BodyText"/>
      </w:pPr>
      <w:r>
        <w:t>The IGA further specifies that:</w:t>
      </w:r>
    </w:p>
    <w:p w:rsidR="00BD49B7" w:rsidRDefault="00BD49B7" w:rsidP="00BD49B7">
      <w:pPr>
        <w:pStyle w:val="Quote"/>
      </w:pPr>
      <w:r w:rsidRPr="00E7126F">
        <w:t>The Steering Committee</w:t>
      </w:r>
      <w:r>
        <w:t xml:space="preserve"> will provide the agreed performance information to the COAG Reform Council, desirably within three months and no later than six months after the reporting period to which the data relates. [para. </w:t>
      </w:r>
      <w:proofErr w:type="spellStart"/>
      <w:r>
        <w:t>C10</w:t>
      </w:r>
      <w:proofErr w:type="spellEnd"/>
      <w:r>
        <w:t>]</w:t>
      </w:r>
    </w:p>
    <w:p w:rsidR="00BD49B7" w:rsidRDefault="00BD49B7" w:rsidP="00BD49B7">
      <w:pPr>
        <w:pStyle w:val="Quote"/>
      </w:pPr>
      <w:r>
        <w:t xml:space="preserve">Performance information in respect of the education and training sectors will be on a calendar year basis, commencing with performance information for 2008, and for all other sectors will be on a financial year basis, commencing with performance information for 2008-09. </w:t>
      </w:r>
      <w:r w:rsidR="00E7126F">
        <w:t xml:space="preserve">The 2008 and 2008-09 reports will establish benchmarks against which progress in reform and improvements in service delivery can be measured. </w:t>
      </w:r>
      <w:r>
        <w:t xml:space="preserve">[para. </w:t>
      </w:r>
      <w:proofErr w:type="spellStart"/>
      <w:r>
        <w:t>C11</w:t>
      </w:r>
      <w:proofErr w:type="spellEnd"/>
      <w:r>
        <w:t>]</w:t>
      </w:r>
    </w:p>
    <w:p w:rsidR="00BD49B7" w:rsidRPr="00194032" w:rsidRDefault="00BD49B7" w:rsidP="00BD49B7">
      <w:pPr>
        <w:pStyle w:val="Quote"/>
      </w:pPr>
      <w:r w:rsidRPr="00E7126F">
        <w:t>…the Steering Committee</w:t>
      </w:r>
      <w:r>
        <w:t xml:space="preserve"> will comment on the quality of the performance indicator data using quality statements prepared by the collection agencies which set out the quality attributes of the data using the Australian Bureau of Statistics’ Quality Framework. [para. </w:t>
      </w:r>
      <w:proofErr w:type="spellStart"/>
      <w:r>
        <w:t>C12</w:t>
      </w:r>
      <w:proofErr w:type="spellEnd"/>
      <w:r>
        <w:t>]</w:t>
      </w:r>
    </w:p>
    <w:p w:rsidR="00BD49B7" w:rsidRPr="009D6003" w:rsidRDefault="00BD49B7" w:rsidP="00BD49B7">
      <w:pPr>
        <w:pStyle w:val="Heading4"/>
      </w:pPr>
      <w:r w:rsidRPr="009D6003">
        <w:t>Role of the CRC</w:t>
      </w:r>
    </w:p>
    <w:p w:rsidR="00BD49B7" w:rsidRDefault="006B4DC9" w:rsidP="00F225AF">
      <w:pPr>
        <w:pStyle w:val="BodyText"/>
      </w:pPr>
      <w:r>
        <w:t>The IGA states that:</w:t>
      </w:r>
    </w:p>
    <w:p w:rsidR="00BD49B7" w:rsidRDefault="00BD49B7" w:rsidP="00BD49B7">
      <w:pPr>
        <w:pStyle w:val="Quote"/>
      </w:pPr>
      <w:r>
        <w:t>…the [CRC] will report to the Prime Minister…on:</w:t>
      </w:r>
    </w:p>
    <w:p w:rsidR="00BD49B7" w:rsidRDefault="00BD49B7" w:rsidP="00D11E31">
      <w:pPr>
        <w:pStyle w:val="QuoteBullet"/>
        <w:numPr>
          <w:ilvl w:val="0"/>
          <w:numId w:val="15"/>
        </w:numPr>
        <w:tabs>
          <w:tab w:val="clear" w:pos="360"/>
          <w:tab w:val="num" w:pos="709"/>
        </w:tabs>
        <w:ind w:left="709" w:hanging="283"/>
      </w:pPr>
      <w:r>
        <w:t>the publication of performance information for all jurisdictions against National Agreement outcomes and performance benchmarks;</w:t>
      </w:r>
    </w:p>
    <w:p w:rsidR="00BD49B7" w:rsidRDefault="00BD49B7" w:rsidP="00D11E31">
      <w:pPr>
        <w:pStyle w:val="QuoteBullet"/>
        <w:numPr>
          <w:ilvl w:val="0"/>
          <w:numId w:val="15"/>
        </w:numPr>
        <w:tabs>
          <w:tab w:val="clear" w:pos="360"/>
          <w:tab w:val="num" w:pos="709"/>
        </w:tabs>
        <w:ind w:left="709" w:hanging="283"/>
      </w:pPr>
      <w:r>
        <w:t>production of an analytical overview of performance information for each National Agreement, and National Partnership to the extent it supports the objectives in a National Agreement, noting that the [CRC] would draw on a range of sources, including existing subject experts;</w:t>
      </w:r>
    </w:p>
    <w:p w:rsidR="00BD49B7" w:rsidRDefault="00BD49B7" w:rsidP="00D11E31">
      <w:pPr>
        <w:pStyle w:val="QuoteBullet"/>
        <w:numPr>
          <w:ilvl w:val="0"/>
          <w:numId w:val="15"/>
        </w:numPr>
        <w:tabs>
          <w:tab w:val="clear" w:pos="360"/>
          <w:tab w:val="num" w:pos="709"/>
        </w:tabs>
        <w:ind w:left="709" w:hanging="283"/>
      </w:pPr>
      <w:r>
        <w:t>independent assessment of whether predetermined performance benchmarks have been achieved before an incentive payment to reward nationally significant reforms under National Partnerships is made;</w:t>
      </w:r>
    </w:p>
    <w:p w:rsidR="00BD49B7" w:rsidRDefault="00BD49B7" w:rsidP="00D11E31">
      <w:pPr>
        <w:pStyle w:val="QuoteBullet"/>
        <w:numPr>
          <w:ilvl w:val="0"/>
          <w:numId w:val="15"/>
        </w:numPr>
        <w:tabs>
          <w:tab w:val="clear" w:pos="360"/>
          <w:tab w:val="num" w:pos="709"/>
        </w:tabs>
        <w:ind w:left="709" w:hanging="283"/>
      </w:pPr>
      <w:r>
        <w:t xml:space="preserve">monitoring the aggregate pace of activity in progressing </w:t>
      </w:r>
      <w:proofErr w:type="spellStart"/>
      <w:r>
        <w:t>COAG’s</w:t>
      </w:r>
      <w:proofErr w:type="spellEnd"/>
      <w:r>
        <w:t xml:space="preserve"> agreed reform agenda; and</w:t>
      </w:r>
    </w:p>
    <w:p w:rsidR="00BD49B7" w:rsidRDefault="00BD49B7" w:rsidP="00D11E31">
      <w:pPr>
        <w:pStyle w:val="QuoteBullet"/>
        <w:numPr>
          <w:ilvl w:val="0"/>
          <w:numId w:val="15"/>
        </w:numPr>
        <w:tabs>
          <w:tab w:val="clear" w:pos="360"/>
          <w:tab w:val="num" w:pos="709"/>
        </w:tabs>
        <w:ind w:left="709" w:hanging="283"/>
      </w:pPr>
      <w:r>
        <w:lastRenderedPageBreak/>
        <w:t xml:space="preserve">other matters referred by COAG. [para. </w:t>
      </w:r>
      <w:proofErr w:type="spellStart"/>
      <w:r>
        <w:t>A11</w:t>
      </w:r>
      <w:proofErr w:type="spellEnd"/>
      <w:r>
        <w:t>]</w:t>
      </w:r>
    </w:p>
    <w:p w:rsidR="00BD49B7" w:rsidRDefault="00BD49B7" w:rsidP="00F225AF">
      <w:pPr>
        <w:pStyle w:val="BodyText"/>
      </w:pPr>
      <w:r>
        <w:t>The IGA further specifies that:</w:t>
      </w:r>
    </w:p>
    <w:p w:rsidR="00BD49B7" w:rsidRDefault="00BD49B7" w:rsidP="00BD49B7">
      <w:pPr>
        <w:pStyle w:val="Quote"/>
      </w:pPr>
      <w:r>
        <w:t xml:space="preserve">The [CRC] will provide annual reports to COAG containing the performance data. It will also report its own comparative analysis of the performance of governments in meeting the objectives of the National Agreements. The reports will also highlight examples of good practice and performance so that, over time, innovative reforms or methods of service delivery may be adopted by other jurisdictions. The parties [to the IGA] will provide the [CRC] the information necessary for it to fulfil its role, as directed by COAG. [para. </w:t>
      </w:r>
      <w:proofErr w:type="spellStart"/>
      <w:r>
        <w:t>C14</w:t>
      </w:r>
      <w:proofErr w:type="spellEnd"/>
      <w:r>
        <w:t>]</w:t>
      </w:r>
    </w:p>
    <w:p w:rsidR="00BD49B7" w:rsidRDefault="00BD49B7" w:rsidP="00BD49B7">
      <w:pPr>
        <w:pStyle w:val="Quote"/>
      </w:pPr>
      <w:r>
        <w:t xml:space="preserve">The [CRCs] reports should be provided to COAG no later than three months after receiving the performance information from the Steering Committee. [para. </w:t>
      </w:r>
      <w:proofErr w:type="spellStart"/>
      <w:r>
        <w:t>C15</w:t>
      </w:r>
      <w:proofErr w:type="spellEnd"/>
      <w:r>
        <w:t>]</w:t>
      </w:r>
    </w:p>
    <w:p w:rsidR="00BD49B7" w:rsidRDefault="00BD49B7" w:rsidP="00BD49B7">
      <w:pPr>
        <w:pStyle w:val="Quote"/>
      </w:pPr>
      <w:r>
        <w:t xml:space="preserve">In preparing its performance information reports, the [CRC] may draw upon other data collection agencies and subject experts it considers relevant to its work. [para. </w:t>
      </w:r>
      <w:proofErr w:type="spellStart"/>
      <w:r>
        <w:t>C16</w:t>
      </w:r>
      <w:proofErr w:type="spellEnd"/>
      <w:r>
        <w:t>]</w:t>
      </w:r>
    </w:p>
    <w:p w:rsidR="00E7126F" w:rsidRPr="00E7126F" w:rsidRDefault="00E7126F" w:rsidP="00E7126F">
      <w:pPr>
        <w:pStyle w:val="Quote"/>
      </w:pPr>
      <w:r>
        <w:t xml:space="preserve">The COAG Reform Council may advise on where changes might be made to the performance reporting framework. [para. </w:t>
      </w:r>
      <w:proofErr w:type="spellStart"/>
      <w:r>
        <w:t>C30</w:t>
      </w:r>
      <w:proofErr w:type="spellEnd"/>
      <w:r>
        <w:t>]</w:t>
      </w:r>
    </w:p>
    <w:p w:rsidR="00BD49B7" w:rsidRDefault="00BD49B7" w:rsidP="00BD49B7">
      <w:pPr>
        <w:pStyle w:val="Heading4"/>
      </w:pPr>
      <w:r>
        <w:t>Role of the Steering Committee</w:t>
      </w:r>
    </w:p>
    <w:p w:rsidR="00BD49B7" w:rsidRDefault="00BD49B7" w:rsidP="00F225AF">
      <w:pPr>
        <w:pStyle w:val="BodyText"/>
      </w:pPr>
      <w:r>
        <w:t xml:space="preserve">The Steering Committee is required to report twice yearly to the CRC on performance under the </w:t>
      </w:r>
      <w:r w:rsidR="00AA17CA">
        <w:t>NAs</w:t>
      </w:r>
      <w:r>
        <w:t>. Reports from the Steering Committee to the CRC are required:</w:t>
      </w:r>
    </w:p>
    <w:p w:rsidR="00BD49B7" w:rsidRDefault="00BD49B7" w:rsidP="001A5FA3">
      <w:pPr>
        <w:pStyle w:val="ListBullet"/>
      </w:pPr>
      <w:r>
        <w:t>by end-June on the education and training sector (</w:t>
      </w:r>
      <w:r w:rsidRPr="002E58D3">
        <w:rPr>
          <w:i/>
        </w:rPr>
        <w:t>National Education Agreement</w:t>
      </w:r>
      <w:r w:rsidR="00E7126F">
        <w:t xml:space="preserve"> </w:t>
      </w:r>
      <w:r>
        <w:t xml:space="preserve">and the </w:t>
      </w:r>
      <w:r w:rsidRPr="002E58D3">
        <w:rPr>
          <w:i/>
        </w:rPr>
        <w:t xml:space="preserve">National Agreement </w:t>
      </w:r>
      <w:r>
        <w:rPr>
          <w:i/>
        </w:rPr>
        <w:t xml:space="preserve">for </w:t>
      </w:r>
      <w:r w:rsidRPr="002E58D3">
        <w:rPr>
          <w:i/>
        </w:rPr>
        <w:t>Skills and Workforce Development</w:t>
      </w:r>
      <w:r>
        <w:t>), commencing with performance information for 2008</w:t>
      </w:r>
    </w:p>
    <w:p w:rsidR="00BD49B7" w:rsidRDefault="00BD49B7" w:rsidP="000C42A3">
      <w:pPr>
        <w:pStyle w:val="ListBullet"/>
      </w:pPr>
      <w:r>
        <w:t>by end-December on the other sectors (</w:t>
      </w:r>
      <w:r w:rsidRPr="002E58D3">
        <w:rPr>
          <w:i/>
        </w:rPr>
        <w:t>National Healthcare Agreement</w:t>
      </w:r>
      <w:r>
        <w:t xml:space="preserve">, the </w:t>
      </w:r>
      <w:r w:rsidRPr="002E58D3">
        <w:rPr>
          <w:i/>
        </w:rPr>
        <w:t>National Affordable Housing Agreement</w:t>
      </w:r>
      <w:r>
        <w:t xml:space="preserve">, the </w:t>
      </w:r>
      <w:r w:rsidRPr="002E58D3">
        <w:rPr>
          <w:i/>
        </w:rPr>
        <w:t>National Disability Agreement</w:t>
      </w:r>
      <w:r>
        <w:t xml:space="preserve"> and the </w:t>
      </w:r>
      <w:r w:rsidRPr="002E58D3">
        <w:rPr>
          <w:i/>
        </w:rPr>
        <w:t>National Indigenous Reform Agreement</w:t>
      </w:r>
      <w:r>
        <w:t>), commencing with performance information for 2008-09</w:t>
      </w:r>
      <w:r w:rsidR="008926B8">
        <w:t xml:space="preserve"> </w:t>
      </w:r>
      <w:r>
        <w:t xml:space="preserve">including the provision of quality statements prepared by the collection agencies (based on the </w:t>
      </w:r>
      <w:r w:rsidRPr="00BD78C6">
        <w:t>Australian Bureau of Statistics</w:t>
      </w:r>
      <w:r w:rsidR="008D209A">
        <w:t>’ [</w:t>
      </w:r>
      <w:r>
        <w:t>ABS</w:t>
      </w:r>
      <w:r w:rsidR="008D209A">
        <w:t>]</w:t>
      </w:r>
      <w:r>
        <w:t xml:space="preserve"> data quality framework).</w:t>
      </w:r>
    </w:p>
    <w:p w:rsidR="000C42A3" w:rsidRDefault="000C42A3" w:rsidP="00F225AF">
      <w:pPr>
        <w:pStyle w:val="BodyText"/>
      </w:pPr>
      <w:r>
        <w:t xml:space="preserve">The CRC has also requested the Steering Committee to collate data on the performance benchmarks for the reward components of the following </w:t>
      </w:r>
      <w:r w:rsidR="00315751">
        <w:t>three</w:t>
      </w:r>
      <w:r>
        <w:t xml:space="preserve"> N</w:t>
      </w:r>
      <w:r w:rsidR="000C5178">
        <w:t xml:space="preserve">P </w:t>
      </w:r>
      <w:r>
        <w:t>agreements:</w:t>
      </w:r>
    </w:p>
    <w:p w:rsidR="000C42A3" w:rsidRPr="000C42A3" w:rsidRDefault="000C42A3" w:rsidP="000C42A3">
      <w:pPr>
        <w:pStyle w:val="ListBullet"/>
        <w:rPr>
          <w:i/>
        </w:rPr>
      </w:pPr>
      <w:r w:rsidRPr="000C42A3">
        <w:rPr>
          <w:i/>
        </w:rPr>
        <w:t>National Partnership Agreement on Youth Attainment and Transitions</w:t>
      </w:r>
    </w:p>
    <w:p w:rsidR="00315751" w:rsidRPr="00315751" w:rsidRDefault="000C42A3" w:rsidP="00D77B08">
      <w:pPr>
        <w:pStyle w:val="ListBullet"/>
      </w:pPr>
      <w:r w:rsidRPr="000C42A3">
        <w:rPr>
          <w:i/>
        </w:rPr>
        <w:t>National Partnership Agreement on Essential Vaccines</w:t>
      </w:r>
    </w:p>
    <w:p w:rsidR="00E7126F" w:rsidRDefault="00315751" w:rsidP="00D77B08">
      <w:pPr>
        <w:pStyle w:val="ListBullet"/>
      </w:pPr>
      <w:r>
        <w:rPr>
          <w:i/>
        </w:rPr>
        <w:t xml:space="preserve">National Partnership Agreement on the Elective Surgery Waiting List Reduction Plan </w:t>
      </w:r>
      <w:r>
        <w:t>(</w:t>
      </w:r>
      <w:r w:rsidR="00AA17CA">
        <w:t>Steering Committee reporting for this NP was completed in May 2011</w:t>
      </w:r>
      <w:r>
        <w:t>)</w:t>
      </w:r>
    </w:p>
    <w:p w:rsidR="000C42A3" w:rsidRDefault="00E7126F" w:rsidP="00D77B08">
      <w:pPr>
        <w:pStyle w:val="ListBullet"/>
      </w:pPr>
      <w:r>
        <w:rPr>
          <w:i/>
        </w:rPr>
        <w:lastRenderedPageBreak/>
        <w:t>National Partnership Agreement on Improving Public Hospital Services</w:t>
      </w:r>
      <w:r w:rsidR="000C42A3">
        <w:t>.</w:t>
      </w:r>
    </w:p>
    <w:p w:rsidR="000C42A3" w:rsidRDefault="000C42A3" w:rsidP="00D77B08">
      <w:pPr>
        <w:pStyle w:val="BodyText"/>
      </w:pPr>
      <w:r>
        <w:t>The Steering Committee report</w:t>
      </w:r>
      <w:r w:rsidR="00E7126F">
        <w:t>s</w:t>
      </w:r>
      <w:r>
        <w:t xml:space="preserve"> separately to the CRC on these NP agreements.</w:t>
      </w:r>
    </w:p>
    <w:p w:rsidR="00BD49B7" w:rsidRDefault="00BD49B7" w:rsidP="00BD49B7">
      <w:pPr>
        <w:pStyle w:val="Heading4"/>
      </w:pPr>
      <w:r>
        <w:t xml:space="preserve">Role of </w:t>
      </w:r>
      <w:r w:rsidR="00081F69">
        <w:t xml:space="preserve">COAG </w:t>
      </w:r>
      <w:r>
        <w:t>Councils and COAG Working Groups</w:t>
      </w:r>
    </w:p>
    <w:p w:rsidR="00BD49B7" w:rsidRDefault="00BD49B7" w:rsidP="00F225AF">
      <w:pPr>
        <w:pStyle w:val="BodyText"/>
      </w:pPr>
      <w:r>
        <w:t>The IGA states that:</w:t>
      </w:r>
    </w:p>
    <w:p w:rsidR="00BD49B7" w:rsidRDefault="00BD49B7" w:rsidP="00BD49B7">
      <w:pPr>
        <w:pStyle w:val="Quote"/>
      </w:pPr>
      <w:r>
        <w:t xml:space="preserve">The role of relevant </w:t>
      </w:r>
      <w:r w:rsidR="00E7126F">
        <w:t>COAG</w:t>
      </w:r>
      <w:r>
        <w:t xml:space="preserve"> Councils, other than the </w:t>
      </w:r>
      <w:r w:rsidR="00E7126F">
        <w:t xml:space="preserve">Standing </w:t>
      </w:r>
      <w:r>
        <w:t xml:space="preserve">Council for Federal Financial Relations, and relevant COAG Working Groups with respect to </w:t>
      </w:r>
      <w:r w:rsidR="00CA3656">
        <w:t xml:space="preserve">[the IGA] </w:t>
      </w:r>
      <w:r>
        <w:t>includes recommending to COAG on:</w:t>
      </w:r>
    </w:p>
    <w:p w:rsidR="00BD49B7" w:rsidRDefault="00BD49B7" w:rsidP="00D11E31">
      <w:pPr>
        <w:pStyle w:val="QuoteBullet"/>
        <w:numPr>
          <w:ilvl w:val="0"/>
          <w:numId w:val="16"/>
        </w:numPr>
        <w:tabs>
          <w:tab w:val="clear" w:pos="360"/>
          <w:tab w:val="num" w:pos="709"/>
        </w:tabs>
        <w:ind w:left="709" w:hanging="283"/>
      </w:pPr>
      <w:r>
        <w:t>development of objectives, outcomes, outputs and performance indicators for National Agreements; and</w:t>
      </w:r>
    </w:p>
    <w:p w:rsidR="00BD49B7" w:rsidRDefault="00BD49B7" w:rsidP="00D11E31">
      <w:pPr>
        <w:pStyle w:val="QuoteBullet"/>
        <w:numPr>
          <w:ilvl w:val="0"/>
          <w:numId w:val="16"/>
        </w:numPr>
        <w:tabs>
          <w:tab w:val="clear" w:pos="360"/>
          <w:tab w:val="num" w:pos="709"/>
        </w:tabs>
        <w:ind w:left="709" w:hanging="283"/>
      </w:pPr>
      <w:r>
        <w:t>proposing new specific projects and reforms which could be supported by National Partnerships.</w:t>
      </w:r>
      <w:r w:rsidRPr="006A4588">
        <w:t xml:space="preserve"> </w:t>
      </w:r>
      <w:r>
        <w:t xml:space="preserve">[para. </w:t>
      </w:r>
      <w:proofErr w:type="spellStart"/>
      <w:r>
        <w:t>A9</w:t>
      </w:r>
      <w:proofErr w:type="spellEnd"/>
      <w:r>
        <w:t>]</w:t>
      </w:r>
    </w:p>
    <w:p w:rsidR="00BD49B7" w:rsidRDefault="00E7126F" w:rsidP="00F225AF">
      <w:pPr>
        <w:pStyle w:val="BodyText"/>
      </w:pPr>
      <w:r>
        <w:t>COAG</w:t>
      </w:r>
      <w:r w:rsidR="00BD49B7">
        <w:t xml:space="preserve"> Council</w:t>
      </w:r>
      <w:r>
        <w:t>s may also be consulted by the S</w:t>
      </w:r>
      <w:r w:rsidR="009B265B">
        <w:t>CFFR</w:t>
      </w:r>
      <w:r w:rsidR="00BD49B7">
        <w:t>, in relation to its roles in:</w:t>
      </w:r>
    </w:p>
    <w:p w:rsidR="00BD49B7" w:rsidRDefault="00BD49B7" w:rsidP="00BD49B7">
      <w:pPr>
        <w:pStyle w:val="ListBullet"/>
      </w:pPr>
      <w:r>
        <w:t xml:space="preserve">maintaining a register of the national minimum data sets [para. </w:t>
      </w:r>
      <w:proofErr w:type="spellStart"/>
      <w:r>
        <w:t>C28</w:t>
      </w:r>
      <w:proofErr w:type="spellEnd"/>
      <w:r>
        <w:t>]</w:t>
      </w:r>
    </w:p>
    <w:p w:rsidR="00BD49B7" w:rsidRDefault="00BD49B7" w:rsidP="00BD49B7">
      <w:pPr>
        <w:pStyle w:val="ListBullet"/>
      </w:pPr>
      <w:r>
        <w:t xml:space="preserve">oversighting progress in improving the quality and timeliness of indicator data and the coordination of improvements in data collection processes, data quality and the timeliness of performance reporting for the National Performance Reporting System. [para. </w:t>
      </w:r>
      <w:proofErr w:type="spellStart"/>
      <w:r>
        <w:t>C29</w:t>
      </w:r>
      <w:proofErr w:type="spellEnd"/>
      <w:r>
        <w:t>]</w:t>
      </w:r>
    </w:p>
    <w:p w:rsidR="00D54B9B" w:rsidRDefault="00D54B9B" w:rsidP="00D54B9B">
      <w:pPr>
        <w:pStyle w:val="Heading4"/>
      </w:pPr>
      <w:r>
        <w:t>Role of data collection agencies</w:t>
      </w:r>
    </w:p>
    <w:p w:rsidR="00BD49B7" w:rsidRDefault="00BD49B7" w:rsidP="00F225AF">
      <w:pPr>
        <w:pStyle w:val="BodyText"/>
      </w:pPr>
      <w:r>
        <w:t>Data collection agencies are responsible for providing the required data to the Steering Committee</w:t>
      </w:r>
      <w:r w:rsidR="004E0029">
        <w:t xml:space="preserve"> and</w:t>
      </w:r>
      <w:r>
        <w:t xml:space="preserve"> preparing data quality statements ‘…which set out the quality attributes of the data using the ABS’ Quality Framework’ [para. </w:t>
      </w:r>
      <w:proofErr w:type="spellStart"/>
      <w:r>
        <w:t>C12</w:t>
      </w:r>
      <w:proofErr w:type="spellEnd"/>
      <w:r>
        <w:t>].</w:t>
      </w:r>
    </w:p>
    <w:p w:rsidR="00BD49B7" w:rsidRDefault="00BD49B7" w:rsidP="00F225AF">
      <w:pPr>
        <w:pStyle w:val="BodyText"/>
      </w:pPr>
      <w:r>
        <w:t xml:space="preserve">As noted above, data collection agencies may also be called upon by the CRC as the CRC prepares its performance information reports [para. </w:t>
      </w:r>
      <w:proofErr w:type="spellStart"/>
      <w:r>
        <w:t>C16</w:t>
      </w:r>
      <w:proofErr w:type="spellEnd"/>
      <w:r>
        <w:t>].</w:t>
      </w:r>
    </w:p>
    <w:p w:rsidR="00BD49B7" w:rsidRDefault="00BD49B7" w:rsidP="00F225AF">
      <w:pPr>
        <w:pStyle w:val="BodyText"/>
      </w:pPr>
      <w:r>
        <w:t xml:space="preserve">Data collection agencies may also be consulted by the </w:t>
      </w:r>
      <w:r w:rsidR="00E7126F">
        <w:t>S</w:t>
      </w:r>
      <w:r w:rsidR="009B265B">
        <w:t>CFFR</w:t>
      </w:r>
      <w:r>
        <w:t xml:space="preserve">, in relation </w:t>
      </w:r>
      <w:r w:rsidR="004E0029">
        <w:t xml:space="preserve">to </w:t>
      </w:r>
      <w:r>
        <w:t>its roles in:</w:t>
      </w:r>
    </w:p>
    <w:p w:rsidR="00BD49B7" w:rsidRDefault="00BD49B7" w:rsidP="001A5FA3">
      <w:pPr>
        <w:pStyle w:val="ListBullet"/>
      </w:pPr>
      <w:r>
        <w:t xml:space="preserve">maintaining a register of the national minimum data sets [para. </w:t>
      </w:r>
      <w:proofErr w:type="spellStart"/>
      <w:r>
        <w:t>C28</w:t>
      </w:r>
      <w:proofErr w:type="spellEnd"/>
      <w:r>
        <w:t>]</w:t>
      </w:r>
    </w:p>
    <w:p w:rsidR="00BD49B7" w:rsidRPr="00403789" w:rsidRDefault="00BD49B7" w:rsidP="001A5FA3">
      <w:pPr>
        <w:pStyle w:val="ListBullet"/>
      </w:pPr>
      <w:r>
        <w:t xml:space="preserve">oversighting progress in improving the quality and timeliness of indicator data and the coordination of improvements in data collection processes, data quality and the timeliness of performance reporting for the National Performance Reporting System. [para. </w:t>
      </w:r>
      <w:proofErr w:type="spellStart"/>
      <w:r>
        <w:t>C29</w:t>
      </w:r>
      <w:proofErr w:type="spellEnd"/>
      <w:r>
        <w:t>]</w:t>
      </w:r>
    </w:p>
    <w:p w:rsidR="000D7FF2" w:rsidRPr="008640DB" w:rsidRDefault="00602167" w:rsidP="00B03C60">
      <w:pPr>
        <w:pStyle w:val="Heading2"/>
      </w:pPr>
      <w:r>
        <w:br w:type="page"/>
      </w:r>
      <w:r w:rsidR="000D7FF2" w:rsidRPr="008640DB">
        <w:lastRenderedPageBreak/>
        <w:t>Performance reporting</w:t>
      </w:r>
    </w:p>
    <w:p w:rsidR="000D7FF2" w:rsidRPr="004E0029" w:rsidRDefault="000D7FF2" w:rsidP="00F225AF">
      <w:pPr>
        <w:pStyle w:val="BodyText"/>
      </w:pPr>
      <w:r w:rsidRPr="008640DB">
        <w:t xml:space="preserve">The Steering Committee is required to collate performance information for the </w:t>
      </w:r>
      <w:r w:rsidRPr="008640DB">
        <w:rPr>
          <w:i/>
        </w:rPr>
        <w:t>National Education Agreement</w:t>
      </w:r>
      <w:r w:rsidRPr="008640DB">
        <w:t xml:space="preserve"> (NEA) and provide it t</w:t>
      </w:r>
      <w:r w:rsidR="00425362">
        <w:t>o the CRC no later than 30 June </w:t>
      </w:r>
      <w:r w:rsidRPr="008640DB">
        <w:t>20</w:t>
      </w:r>
      <w:r w:rsidR="004E0029">
        <w:t>1</w:t>
      </w:r>
      <w:r w:rsidR="00E7126F">
        <w:t>2</w:t>
      </w:r>
      <w:r w:rsidR="004E0029">
        <w:t xml:space="preserve">. </w:t>
      </w:r>
      <w:r w:rsidRPr="008640DB">
        <w:t xml:space="preserve">The CRC </w:t>
      </w:r>
      <w:r w:rsidR="004E0029">
        <w:t xml:space="preserve">has </w:t>
      </w:r>
      <w:r w:rsidRPr="008640DB">
        <w:t xml:space="preserve">requested the Steering Committee to provide information on all performance categories in the </w:t>
      </w:r>
      <w:r w:rsidR="00425362">
        <w:t>NAs</w:t>
      </w:r>
      <w:r w:rsidRPr="008640DB">
        <w:t xml:space="preserve"> (variously referred to as ‘outputs’, ‘progress measures’, ‘performance indicators’, ‘performance benchmarks’ and ‘targets’).</w:t>
      </w:r>
    </w:p>
    <w:p w:rsidR="000D7FF2" w:rsidRPr="004002F8" w:rsidRDefault="000D7FF2" w:rsidP="00FF7ED9">
      <w:pPr>
        <w:pStyle w:val="BodyText"/>
        <w:rPr>
          <w:rStyle w:val="DraftingNote"/>
          <w:color w:val="auto"/>
        </w:rPr>
      </w:pPr>
      <w:r w:rsidRPr="008640DB">
        <w:t>The NEA includes the performance categories of ‘outputs’, ‘performance indicators’ and ‘performance targets’. The links between the objectives, outcomes and associated performance categories in the NEA are illustrated in figure </w:t>
      </w:r>
      <w:r w:rsidR="00D92D50">
        <w:fldChar w:fldCharType="begin"/>
      </w:r>
      <w:r w:rsidR="00D92D50">
        <w:instrText xml:space="preserve"> LINK Unknown "\\\\MEL_1\\groups\\Monitor\\09 National Agreement Report\\02 NAR Report WIP\\2011 NAR Report - Ed and training\\2011 NAR Second Draft\\NEA\\NEA second draft.docx" "OLE_LINK3" \a \t </w:instrText>
      </w:r>
      <w:r w:rsidR="00D92D50">
        <w:fldChar w:fldCharType="separate"/>
      </w:r>
      <w:r w:rsidR="00D92D50">
        <w:t>1</w:t>
      </w:r>
      <w:r w:rsidR="00D92D50">
        <w:fldChar w:fldCharType="end"/>
      </w:r>
      <w:r w:rsidR="00630BE1">
        <w:t>.</w:t>
      </w:r>
    </w:p>
    <w:p w:rsidR="000D7FF2" w:rsidRPr="008640DB" w:rsidRDefault="000D7FF2" w:rsidP="00FF7ED9">
      <w:pPr>
        <w:pStyle w:val="FigureTitle"/>
      </w:pPr>
      <w:r w:rsidRPr="008640DB">
        <w:rPr>
          <w:b w:val="0"/>
        </w:rPr>
        <w:t xml:space="preserve">Figure </w:t>
      </w:r>
      <w:bookmarkStart w:id="3" w:name="OLE_LINK3"/>
      <w:r w:rsidRPr="008640DB">
        <w:rPr>
          <w:b w:val="0"/>
        </w:rPr>
        <w:fldChar w:fldCharType="begin"/>
      </w:r>
      <w:r w:rsidRPr="008640DB">
        <w:rPr>
          <w:b w:val="0"/>
        </w:rPr>
        <w:instrText xml:space="preserve"> SEQ Figure \* ARABIC </w:instrText>
      </w:r>
      <w:r w:rsidRPr="008640DB">
        <w:rPr>
          <w:b w:val="0"/>
        </w:rPr>
        <w:fldChar w:fldCharType="separate"/>
      </w:r>
      <w:r w:rsidR="00936B93">
        <w:rPr>
          <w:b w:val="0"/>
          <w:noProof/>
        </w:rPr>
        <w:t>1</w:t>
      </w:r>
      <w:r w:rsidRPr="008640DB">
        <w:rPr>
          <w:b w:val="0"/>
        </w:rPr>
        <w:fldChar w:fldCharType="end"/>
      </w:r>
      <w:bookmarkEnd w:id="3"/>
      <w:r w:rsidRPr="008640DB">
        <w:tab/>
        <w:t>NEA performance reporting</w:t>
      </w:r>
      <w:r w:rsidRPr="008640DB">
        <w:rPr>
          <w:rStyle w:val="NoteLabel"/>
          <w:b/>
        </w:rPr>
        <w:t>a, b</w:t>
      </w:r>
    </w:p>
    <w:p w:rsidR="000D7FF2" w:rsidRPr="008640DB" w:rsidRDefault="000D7FF2" w:rsidP="00FF7ED9">
      <w:pPr>
        <w:pStyle w:val="Subtitle"/>
        <w:spacing w:after="0" w:line="40" w:lineRule="exact"/>
        <w:ind w:left="0"/>
      </w:pPr>
    </w:p>
    <w:p w:rsidR="000D7FF2" w:rsidRPr="008640DB" w:rsidRDefault="000D7FF2" w:rsidP="00FF7ED9">
      <w:pPr>
        <w:pStyle w:val="Subtitle"/>
        <w:pBdr>
          <w:top w:val="single" w:sz="6" w:space="1" w:color="auto"/>
        </w:pBdr>
        <w:spacing w:after="0" w:line="40" w:lineRule="exact"/>
        <w:ind w:left="0"/>
      </w:pPr>
    </w:p>
    <w:p w:rsidR="000D7FF2" w:rsidRPr="008640DB" w:rsidRDefault="000D7FF2" w:rsidP="00FF7ED9">
      <w:pPr>
        <w:pStyle w:val="Subtitle"/>
        <w:spacing w:after="0" w:line="40" w:lineRule="exact"/>
        <w:ind w:left="0"/>
      </w:pPr>
    </w:p>
    <w:p w:rsidR="000D7FF2" w:rsidRDefault="00DE0B8A" w:rsidP="00FF7ED9">
      <w:pPr>
        <w:pStyle w:val="BodyText"/>
      </w:pPr>
      <w:r>
        <w:rPr>
          <w:noProof/>
        </w:rPr>
        <mc:AlternateContent>
          <mc:Choice Requires="wpc">
            <w:drawing>
              <wp:inline distT="0" distB="0" distL="0" distR="0" wp14:anchorId="414B5AC4" wp14:editId="02E5D578">
                <wp:extent cx="5495290" cy="2743200"/>
                <wp:effectExtent l="0" t="0" r="10160" b="19050"/>
                <wp:docPr id="13" name="Canvas 13" descr="Boxes for each category of performance reporting in the NEA, and how they fit together"/>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15"/>
                        <wps:cNvSpPr>
                          <a:spLocks noChangeArrowheads="1"/>
                        </wps:cNvSpPr>
                        <wps:spPr bwMode="auto">
                          <a:xfrm>
                            <a:off x="0" y="800100"/>
                            <a:ext cx="1257300" cy="1257300"/>
                          </a:xfrm>
                          <a:prstGeom prst="roundRect">
                            <a:avLst>
                              <a:gd name="adj" fmla="val 16667"/>
                            </a:avLst>
                          </a:prstGeom>
                          <a:solidFill>
                            <a:srgbClr val="FFFFFF"/>
                          </a:solidFill>
                          <a:ln w="9525">
                            <a:solidFill>
                              <a:srgbClr val="000000"/>
                            </a:solidFill>
                            <a:round/>
                            <a:headEnd/>
                            <a:tailEnd/>
                          </a:ln>
                        </wps:spPr>
                        <wps:txbx>
                          <w:txbxContent>
                            <w:p w:rsidR="00CE44B1" w:rsidRPr="00A7408B" w:rsidRDefault="00CE44B1" w:rsidP="005727A3">
                              <w:pPr>
                                <w:pStyle w:val="NormalWeb"/>
                                <w:rPr>
                                  <w:rFonts w:ascii="Arial" w:hAnsi="Arial" w:cs="Arial"/>
                                  <w:b/>
                                  <w:sz w:val="16"/>
                                  <w:szCs w:val="16"/>
                                </w:rPr>
                              </w:pPr>
                              <w:r w:rsidRPr="00A7408B">
                                <w:rPr>
                                  <w:rFonts w:ascii="Arial" w:hAnsi="Arial" w:cs="Arial"/>
                                  <w:b/>
                                  <w:sz w:val="16"/>
                                  <w:szCs w:val="16"/>
                                </w:rPr>
                                <w:t>Objective</w:t>
                              </w:r>
                            </w:p>
                            <w:p w:rsidR="00CE44B1" w:rsidRPr="00870946" w:rsidRDefault="00CE44B1" w:rsidP="005727A3">
                              <w:pPr>
                                <w:pStyle w:val="NormalWeb"/>
                                <w:rPr>
                                  <w:rFonts w:ascii="Arial" w:hAnsi="Arial" w:cs="Arial"/>
                                  <w:sz w:val="16"/>
                                  <w:szCs w:val="16"/>
                                </w:rPr>
                              </w:pPr>
                            </w:p>
                            <w:p w:rsidR="00CE44B1" w:rsidRPr="00870946" w:rsidRDefault="00CE44B1" w:rsidP="005727A3">
                              <w:pPr>
                                <w:pStyle w:val="NormalWeb"/>
                                <w:rPr>
                                  <w:rFonts w:ascii="Arial" w:hAnsi="Arial" w:cs="Arial"/>
                                  <w:sz w:val="16"/>
                                  <w:szCs w:val="16"/>
                                </w:rPr>
                              </w:pPr>
                              <w:r w:rsidRPr="00870946">
                                <w:rPr>
                                  <w:rFonts w:ascii="Arial" w:hAnsi="Arial" w:cs="Arial"/>
                                  <w:sz w:val="16"/>
                                  <w:szCs w:val="16"/>
                                </w:rPr>
                                <w:t>All Australian school students acquire the knowledge and skills to participate effectively in soc</w:t>
                              </w:r>
                              <w:r>
                                <w:rPr>
                                  <w:rFonts w:ascii="Arial" w:hAnsi="Arial" w:cs="Arial"/>
                                  <w:sz w:val="16"/>
                                  <w:szCs w:val="16"/>
                                </w:rPr>
                                <w:t>iety</w:t>
                              </w:r>
                              <w:r w:rsidRPr="00870946">
                                <w:rPr>
                                  <w:rFonts w:ascii="Arial" w:hAnsi="Arial" w:cs="Arial"/>
                                  <w:sz w:val="16"/>
                                  <w:szCs w:val="16"/>
                                </w:rPr>
                                <w:t xml:space="preserve"> and employment in a globalised </w:t>
                              </w:r>
                              <w:r>
                                <w:rPr>
                                  <w:rFonts w:ascii="Arial" w:hAnsi="Arial" w:cs="Arial"/>
                                  <w:sz w:val="16"/>
                                  <w:szCs w:val="16"/>
                                </w:rPr>
                                <w:t>economy</w:t>
                              </w:r>
                            </w:p>
                          </w:txbxContent>
                        </wps:txbx>
                        <wps:bodyPr rot="0" vert="horz" wrap="square" lIns="18000" tIns="18000" rIns="18000" bIns="18000" anchor="t" anchorCtr="0" upright="1">
                          <a:noAutofit/>
                        </wps:bodyPr>
                      </wps:wsp>
                      <wps:wsp>
                        <wps:cNvPr id="2" name="AutoShape 16"/>
                        <wps:cNvSpPr>
                          <a:spLocks noChangeArrowheads="1"/>
                        </wps:cNvSpPr>
                        <wps:spPr bwMode="auto">
                          <a:xfrm>
                            <a:off x="3886200" y="1714500"/>
                            <a:ext cx="1600200" cy="1028700"/>
                          </a:xfrm>
                          <a:prstGeom prst="roundRect">
                            <a:avLst>
                              <a:gd name="adj" fmla="val 16667"/>
                            </a:avLst>
                          </a:prstGeom>
                          <a:solidFill>
                            <a:srgbClr val="DDDDDD"/>
                          </a:solidFill>
                          <a:ln w="9525">
                            <a:solidFill>
                              <a:srgbClr val="000000"/>
                            </a:solidFill>
                            <a:round/>
                            <a:headEnd/>
                            <a:tailEnd/>
                          </a:ln>
                        </wps:spPr>
                        <wps:txbx>
                          <w:txbxContent>
                            <w:p w:rsidR="00CE44B1" w:rsidRPr="00A7408B" w:rsidRDefault="00CE44B1" w:rsidP="005727A3">
                              <w:pPr>
                                <w:pStyle w:val="NormalWeb"/>
                                <w:rPr>
                                  <w:rFonts w:ascii="Arial" w:hAnsi="Arial" w:cs="Arial"/>
                                  <w:b/>
                                  <w:sz w:val="16"/>
                                  <w:szCs w:val="16"/>
                                </w:rPr>
                              </w:pPr>
                              <w:r w:rsidRPr="00A7408B">
                                <w:rPr>
                                  <w:rFonts w:ascii="Arial" w:hAnsi="Arial" w:cs="Arial"/>
                                  <w:b/>
                                  <w:sz w:val="16"/>
                                  <w:szCs w:val="16"/>
                                </w:rPr>
                                <w:t>Performance targets</w:t>
                              </w:r>
                            </w:p>
                            <w:p w:rsidR="00CE44B1" w:rsidRDefault="00CE44B1" w:rsidP="005727A3">
                              <w:pPr>
                                <w:pStyle w:val="NormalWeb"/>
                                <w:rPr>
                                  <w:rFonts w:ascii="Arial" w:hAnsi="Arial" w:cs="Arial"/>
                                  <w:sz w:val="16"/>
                                  <w:szCs w:val="16"/>
                                </w:rPr>
                              </w:pPr>
                            </w:p>
                            <w:p w:rsidR="00CE44B1" w:rsidRPr="00870946" w:rsidRDefault="00CE44B1" w:rsidP="005727A3">
                              <w:pPr>
                                <w:pStyle w:val="NormalWeb"/>
                                <w:rPr>
                                  <w:rFonts w:ascii="Arial" w:hAnsi="Arial" w:cs="Arial"/>
                                  <w:sz w:val="16"/>
                                  <w:szCs w:val="16"/>
                                </w:rPr>
                              </w:pPr>
                              <w:proofErr w:type="spellStart"/>
                              <w:r w:rsidRPr="00870946">
                                <w:rPr>
                                  <w:rFonts w:ascii="Arial" w:hAnsi="Arial" w:cs="Arial"/>
                                  <w:sz w:val="16"/>
                                  <w:szCs w:val="16"/>
                                </w:rPr>
                                <w:t>eg</w:t>
                              </w:r>
                              <w:proofErr w:type="spellEnd"/>
                              <w:r w:rsidRPr="00870946">
                                <w:rPr>
                                  <w:rFonts w:ascii="Arial" w:hAnsi="Arial" w:cs="Arial"/>
                                  <w:sz w:val="16"/>
                                  <w:szCs w:val="16"/>
                                </w:rPr>
                                <w:t xml:space="preserve"> Halve the gap for Indigenous students in reading, writing and numeracy within a decade</w:t>
                              </w:r>
                            </w:p>
                            <w:p w:rsidR="00CE44B1" w:rsidRPr="00A7408B" w:rsidRDefault="00CE44B1" w:rsidP="005727A3">
                              <w:pPr>
                                <w:pStyle w:val="NormalWeb"/>
                                <w:rPr>
                                  <w:rFonts w:ascii="Arial" w:hAnsi="Arial" w:cs="Arial"/>
                                  <w:sz w:val="16"/>
                                  <w:szCs w:val="16"/>
                                </w:rPr>
                              </w:pPr>
                            </w:p>
                          </w:txbxContent>
                        </wps:txbx>
                        <wps:bodyPr rot="0" vert="horz" wrap="square" lIns="18000" tIns="18000" rIns="18000" bIns="18000" anchor="t" anchorCtr="0" upright="1">
                          <a:noAutofit/>
                        </wps:bodyPr>
                      </wps:wsp>
                      <wps:wsp>
                        <wps:cNvPr id="3" name="AutoShape 17"/>
                        <wps:cNvSpPr>
                          <a:spLocks noChangeArrowheads="1"/>
                        </wps:cNvSpPr>
                        <wps:spPr bwMode="auto">
                          <a:xfrm>
                            <a:off x="3886200" y="114300"/>
                            <a:ext cx="1609090" cy="571500"/>
                          </a:xfrm>
                          <a:prstGeom prst="roundRect">
                            <a:avLst>
                              <a:gd name="adj" fmla="val 16667"/>
                            </a:avLst>
                          </a:prstGeom>
                          <a:solidFill>
                            <a:srgbClr val="DDDDDD"/>
                          </a:solidFill>
                          <a:ln w="9525">
                            <a:solidFill>
                              <a:srgbClr val="000000"/>
                            </a:solidFill>
                            <a:round/>
                            <a:headEnd/>
                            <a:tailEnd/>
                          </a:ln>
                        </wps:spPr>
                        <wps:txbx>
                          <w:txbxContent>
                            <w:p w:rsidR="00CE44B1" w:rsidRPr="00A7408B" w:rsidRDefault="00CE44B1" w:rsidP="005727A3">
                              <w:pPr>
                                <w:pStyle w:val="NormalWeb"/>
                                <w:rPr>
                                  <w:rFonts w:ascii="Arial" w:hAnsi="Arial" w:cs="Arial"/>
                                  <w:b/>
                                  <w:sz w:val="16"/>
                                  <w:szCs w:val="16"/>
                                </w:rPr>
                              </w:pPr>
                              <w:r w:rsidRPr="00A7408B">
                                <w:rPr>
                                  <w:rFonts w:ascii="Arial" w:hAnsi="Arial" w:cs="Arial"/>
                                  <w:b/>
                                  <w:sz w:val="16"/>
                                  <w:szCs w:val="16"/>
                                </w:rPr>
                                <w:t>Outputs</w:t>
                              </w:r>
                            </w:p>
                            <w:p w:rsidR="00CE44B1" w:rsidRPr="00A7408B" w:rsidRDefault="00CE44B1" w:rsidP="005727A3">
                              <w:pPr>
                                <w:pStyle w:val="NormalWeb"/>
                                <w:rPr>
                                  <w:rFonts w:ascii="Arial" w:hAnsi="Arial" w:cs="Arial"/>
                                  <w:sz w:val="16"/>
                                  <w:szCs w:val="16"/>
                                </w:rPr>
                              </w:pPr>
                            </w:p>
                            <w:p w:rsidR="00CE44B1" w:rsidRPr="00870946" w:rsidRDefault="00CE44B1" w:rsidP="005727A3">
                              <w:pPr>
                                <w:pStyle w:val="NormalWeb"/>
                                <w:rPr>
                                  <w:rFonts w:ascii="Arial" w:hAnsi="Arial" w:cs="Arial"/>
                                  <w:sz w:val="16"/>
                                  <w:szCs w:val="16"/>
                                </w:rPr>
                              </w:pPr>
                              <w:proofErr w:type="spellStart"/>
                              <w:r>
                                <w:rPr>
                                  <w:rFonts w:ascii="Arial" w:hAnsi="Arial" w:cs="Arial"/>
                                  <w:sz w:val="16"/>
                                  <w:szCs w:val="16"/>
                                </w:rPr>
                                <w:t>eg</w:t>
                              </w:r>
                              <w:proofErr w:type="spellEnd"/>
                              <w:r>
                                <w:rPr>
                                  <w:rFonts w:ascii="Arial" w:hAnsi="Arial" w:cs="Arial"/>
                                  <w:sz w:val="16"/>
                                  <w:szCs w:val="16"/>
                                </w:rPr>
                                <w:t xml:space="preserve"> number of students enrolled in school</w:t>
                              </w:r>
                            </w:p>
                          </w:txbxContent>
                        </wps:txbx>
                        <wps:bodyPr rot="0" vert="horz" wrap="square" lIns="18000" tIns="18000" rIns="18000" bIns="18000" anchor="t" anchorCtr="0" upright="1">
                          <a:noAutofit/>
                        </wps:bodyPr>
                      </wps:wsp>
                      <wps:wsp>
                        <wps:cNvPr id="4" name="AutoShape 20"/>
                        <wps:cNvSpPr>
                          <a:spLocks noChangeArrowheads="1"/>
                        </wps:cNvSpPr>
                        <wps:spPr bwMode="auto">
                          <a:xfrm>
                            <a:off x="1714500" y="800100"/>
                            <a:ext cx="1257300" cy="1257300"/>
                          </a:xfrm>
                          <a:prstGeom prst="roundRect">
                            <a:avLst>
                              <a:gd name="adj" fmla="val 16667"/>
                            </a:avLst>
                          </a:prstGeom>
                          <a:solidFill>
                            <a:srgbClr val="FFFFFF"/>
                          </a:solidFill>
                          <a:ln w="9525">
                            <a:solidFill>
                              <a:srgbClr val="000000"/>
                            </a:solidFill>
                            <a:round/>
                            <a:headEnd/>
                            <a:tailEnd/>
                          </a:ln>
                        </wps:spPr>
                        <wps:txbx>
                          <w:txbxContent>
                            <w:p w:rsidR="00CE44B1" w:rsidRPr="00A7408B" w:rsidRDefault="00CE44B1" w:rsidP="008D209A">
                              <w:pPr>
                                <w:pStyle w:val="NormalWeb"/>
                                <w:rPr>
                                  <w:rFonts w:ascii="Arial" w:hAnsi="Arial" w:cs="Arial"/>
                                  <w:b/>
                                  <w:sz w:val="16"/>
                                  <w:szCs w:val="16"/>
                                </w:rPr>
                              </w:pPr>
                              <w:r w:rsidRPr="00A7408B">
                                <w:rPr>
                                  <w:rFonts w:ascii="Arial" w:hAnsi="Arial" w:cs="Arial"/>
                                  <w:b/>
                                  <w:sz w:val="16"/>
                                  <w:szCs w:val="16"/>
                                </w:rPr>
                                <w:t>Outcomes</w:t>
                              </w:r>
                            </w:p>
                            <w:p w:rsidR="00CE44B1" w:rsidRPr="00870946" w:rsidRDefault="00CE44B1" w:rsidP="008D209A">
                              <w:pPr>
                                <w:pStyle w:val="NormalWeb"/>
                                <w:rPr>
                                  <w:rFonts w:ascii="Arial" w:hAnsi="Arial" w:cs="Arial"/>
                                  <w:sz w:val="16"/>
                                  <w:szCs w:val="16"/>
                                </w:rPr>
                              </w:pPr>
                            </w:p>
                            <w:p w:rsidR="00CE44B1" w:rsidRPr="00870946" w:rsidRDefault="00CE44B1" w:rsidP="008D209A">
                              <w:pPr>
                                <w:pStyle w:val="NormalWeb"/>
                                <w:rPr>
                                  <w:rFonts w:ascii="Arial" w:hAnsi="Arial" w:cs="Arial"/>
                                  <w:sz w:val="16"/>
                                  <w:szCs w:val="16"/>
                                </w:rPr>
                              </w:pPr>
                              <w:proofErr w:type="spellStart"/>
                              <w:r w:rsidRPr="00870946">
                                <w:rPr>
                                  <w:rFonts w:ascii="Arial" w:hAnsi="Arial" w:cs="Arial"/>
                                  <w:sz w:val="16"/>
                                  <w:szCs w:val="16"/>
                                </w:rPr>
                                <w:t>eg</w:t>
                              </w:r>
                              <w:proofErr w:type="spellEnd"/>
                              <w:r w:rsidRPr="00870946">
                                <w:rPr>
                                  <w:rFonts w:ascii="Arial" w:hAnsi="Arial" w:cs="Arial"/>
                                  <w:sz w:val="16"/>
                                  <w:szCs w:val="16"/>
                                </w:rPr>
                                <w:t xml:space="preserve"> All children are engaged</w:t>
                              </w:r>
                              <w:r>
                                <w:rPr>
                                  <w:rFonts w:ascii="Arial" w:hAnsi="Arial" w:cs="Arial"/>
                                  <w:sz w:val="16"/>
                                  <w:szCs w:val="16"/>
                                </w:rPr>
                                <w:t xml:space="preserve"> in</w:t>
                              </w:r>
                              <w:r w:rsidRPr="00870946">
                                <w:rPr>
                                  <w:rFonts w:ascii="Arial" w:hAnsi="Arial" w:cs="Arial"/>
                                  <w:sz w:val="16"/>
                                  <w:szCs w:val="16"/>
                                </w:rPr>
                                <w:t xml:space="preserve"> and benefiting from schooling</w:t>
                              </w:r>
                            </w:p>
                            <w:p w:rsidR="00CE44B1" w:rsidRPr="00870946" w:rsidRDefault="00CE44B1" w:rsidP="008D209A">
                              <w:pPr>
                                <w:pStyle w:val="NormalWeb"/>
                                <w:rPr>
                                  <w:rFonts w:ascii="Arial" w:hAnsi="Arial" w:cs="Arial"/>
                                  <w:sz w:val="16"/>
                                  <w:szCs w:val="16"/>
                                </w:rPr>
                              </w:pPr>
                            </w:p>
                          </w:txbxContent>
                        </wps:txbx>
                        <wps:bodyPr rot="0" vert="horz" wrap="square" lIns="18000" tIns="18000" rIns="18000" bIns="18000" anchor="t" anchorCtr="0" upright="1">
                          <a:noAutofit/>
                        </wps:bodyPr>
                      </wps:wsp>
                      <wps:wsp>
                        <wps:cNvPr id="5" name="AutoShape 21"/>
                        <wps:cNvCnPr>
                          <a:cxnSpLocks noChangeShapeType="1"/>
                        </wps:cNvCnPr>
                        <wps:spPr bwMode="auto">
                          <a:xfrm>
                            <a:off x="1257300" y="1257300"/>
                            <a:ext cx="4572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22"/>
                        <wps:cNvSpPr>
                          <a:spLocks noChangeArrowheads="1"/>
                        </wps:cNvSpPr>
                        <wps:spPr bwMode="auto">
                          <a:xfrm>
                            <a:off x="3886200" y="800100"/>
                            <a:ext cx="1600200" cy="800100"/>
                          </a:xfrm>
                          <a:prstGeom prst="roundRect">
                            <a:avLst>
                              <a:gd name="adj" fmla="val 16667"/>
                            </a:avLst>
                          </a:prstGeom>
                          <a:solidFill>
                            <a:srgbClr val="DDDDDD"/>
                          </a:solidFill>
                          <a:ln w="9525">
                            <a:solidFill>
                              <a:srgbClr val="000000"/>
                            </a:solidFill>
                            <a:round/>
                            <a:headEnd/>
                            <a:tailEnd/>
                          </a:ln>
                        </wps:spPr>
                        <wps:txbx>
                          <w:txbxContent>
                            <w:p w:rsidR="00CE44B1" w:rsidRPr="00A7408B" w:rsidRDefault="00CE44B1" w:rsidP="005727A3">
                              <w:pPr>
                                <w:pStyle w:val="NormalWeb"/>
                                <w:rPr>
                                  <w:rFonts w:ascii="Arial" w:hAnsi="Arial" w:cs="Arial"/>
                                  <w:b/>
                                  <w:sz w:val="16"/>
                                  <w:szCs w:val="16"/>
                                </w:rPr>
                              </w:pPr>
                              <w:r w:rsidRPr="00A7408B">
                                <w:rPr>
                                  <w:rFonts w:ascii="Arial" w:hAnsi="Arial" w:cs="Arial"/>
                                  <w:b/>
                                  <w:sz w:val="16"/>
                                  <w:szCs w:val="16"/>
                                </w:rPr>
                                <w:t>Performance indicators</w:t>
                              </w:r>
                            </w:p>
                            <w:p w:rsidR="00CE44B1" w:rsidRPr="00870946" w:rsidRDefault="00CE44B1" w:rsidP="005727A3">
                              <w:pPr>
                                <w:pStyle w:val="NormalWeb"/>
                                <w:rPr>
                                  <w:rFonts w:ascii="Arial" w:hAnsi="Arial" w:cs="Arial"/>
                                  <w:sz w:val="16"/>
                                  <w:szCs w:val="16"/>
                                </w:rPr>
                              </w:pPr>
                            </w:p>
                            <w:p w:rsidR="00CE44B1" w:rsidRPr="00870946" w:rsidRDefault="00CE44B1" w:rsidP="005727A3">
                              <w:pPr>
                                <w:pStyle w:val="NormalWeb"/>
                                <w:rPr>
                                  <w:rFonts w:ascii="Arial" w:hAnsi="Arial" w:cs="Arial"/>
                                  <w:sz w:val="16"/>
                                  <w:szCs w:val="16"/>
                                </w:rPr>
                              </w:pPr>
                              <w:proofErr w:type="spellStart"/>
                              <w:r w:rsidRPr="00870946">
                                <w:rPr>
                                  <w:rFonts w:ascii="Arial" w:hAnsi="Arial" w:cs="Arial"/>
                                  <w:sz w:val="16"/>
                                  <w:szCs w:val="16"/>
                                </w:rPr>
                                <w:t>eg</w:t>
                              </w:r>
                              <w:proofErr w:type="spellEnd"/>
                              <w:r w:rsidRPr="00870946">
                                <w:rPr>
                                  <w:rFonts w:ascii="Arial" w:hAnsi="Arial" w:cs="Arial"/>
                                  <w:sz w:val="16"/>
                                  <w:szCs w:val="16"/>
                                </w:rPr>
                                <w:t xml:space="preserve"> The proportion of children enrolled in and attending school</w:t>
                              </w:r>
                            </w:p>
                            <w:p w:rsidR="00CE44B1" w:rsidRPr="00A7408B" w:rsidRDefault="00CE44B1" w:rsidP="005727A3">
                              <w:pPr>
                                <w:pStyle w:val="NormalWeb"/>
                                <w:rPr>
                                  <w:rFonts w:ascii="Arial" w:hAnsi="Arial" w:cs="Arial"/>
                                  <w:sz w:val="16"/>
                                  <w:szCs w:val="16"/>
                                </w:rPr>
                              </w:pPr>
                            </w:p>
                          </w:txbxContent>
                        </wps:txbx>
                        <wps:bodyPr rot="0" vert="horz" wrap="square" lIns="18000" tIns="18000" rIns="18000" bIns="18000" anchor="t" anchorCtr="0" upright="1">
                          <a:noAutofit/>
                        </wps:bodyPr>
                      </wps:wsp>
                      <wps:wsp>
                        <wps:cNvPr id="7" name="AutoShape 24"/>
                        <wps:cNvCnPr>
                          <a:cxnSpLocks noChangeShapeType="1"/>
                        </wps:cNvCnPr>
                        <wps:spPr bwMode="auto">
                          <a:xfrm>
                            <a:off x="2971800" y="1257300"/>
                            <a:ext cx="91440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 name="AutoShape 25"/>
                        <wps:cNvCnPr>
                          <a:cxnSpLocks noChangeShapeType="1"/>
                        </wps:cNvCnPr>
                        <wps:spPr bwMode="auto">
                          <a:xfrm>
                            <a:off x="3657600" y="457200"/>
                            <a:ext cx="635" cy="2057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26"/>
                        <wps:cNvCnPr/>
                        <wps:spPr bwMode="auto">
                          <a:xfrm>
                            <a:off x="3657600" y="4572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27"/>
                        <wps:cNvCnPr/>
                        <wps:spPr bwMode="auto">
                          <a:xfrm>
                            <a:off x="3657600" y="2514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3" o:spid="_x0000_s1026" editas="canvas" alt="Description: Boxes for each category of performance reporting in the NEA, and how they fit together" style="width:432.7pt;height:3in;mso-position-horizontal-relative:char;mso-position-vertical-relative:line" coordsize="5495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Boxes for each category of performance reporting in the NEA, and how they fit together" style="position:absolute;width:54952;height:27432;visibility:visible;mso-wrap-style:square">
                  <v:fill o:detectmouseclick="t"/>
                  <v:path o:connecttype="none"/>
                </v:shape>
                <v:roundrect id="AutoShape 15" o:spid="_x0000_s1028" style="position:absolute;top:8001;width:12573;height:125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aBcEA&#10;AADaAAAADwAAAGRycy9kb3ducmV2LnhtbERPS2vCQBC+F/wPywi9lLqxhyjRVYIgiKXBR8HrkJ0m&#10;odnZkF2T9N93A4Kn4eN7zno7mFp01LrKsoL5LAJBnFtdcaHg+7p/X4JwHlljbZkU/JGD7WbyssZE&#10;257P1F18IUIIuwQVlN43iZQuL8mgm9mGOHA/tjXoA2wLqVvsQ7ip5UcUxdJgxaGhxIZ2JeW/l7tR&#10;sDh9zo/cpzd6I1t/pdkxOxexUq/TIV2B8DT4p/jhPugwH8ZXxis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y2gXBAAAA2gAAAA8AAAAAAAAAAAAAAAAAmAIAAGRycy9kb3du&#10;cmV2LnhtbFBLBQYAAAAABAAEAPUAAACGAwAAAAA=&#10;">
                  <v:textbox inset=".5mm,.5mm,.5mm,.5mm">
                    <w:txbxContent>
                      <w:p w:rsidR="00CE44B1" w:rsidRPr="00A7408B" w:rsidRDefault="00CE44B1" w:rsidP="005727A3">
                        <w:pPr>
                          <w:pStyle w:val="NormalWeb"/>
                          <w:rPr>
                            <w:rFonts w:ascii="Arial" w:hAnsi="Arial" w:cs="Arial"/>
                            <w:b/>
                            <w:sz w:val="16"/>
                            <w:szCs w:val="16"/>
                          </w:rPr>
                        </w:pPr>
                        <w:r w:rsidRPr="00A7408B">
                          <w:rPr>
                            <w:rFonts w:ascii="Arial" w:hAnsi="Arial" w:cs="Arial"/>
                            <w:b/>
                            <w:sz w:val="16"/>
                            <w:szCs w:val="16"/>
                          </w:rPr>
                          <w:t>Objective</w:t>
                        </w:r>
                      </w:p>
                      <w:p w:rsidR="00CE44B1" w:rsidRPr="00870946" w:rsidRDefault="00CE44B1" w:rsidP="005727A3">
                        <w:pPr>
                          <w:pStyle w:val="NormalWeb"/>
                          <w:rPr>
                            <w:rFonts w:ascii="Arial" w:hAnsi="Arial" w:cs="Arial"/>
                            <w:sz w:val="16"/>
                            <w:szCs w:val="16"/>
                          </w:rPr>
                        </w:pPr>
                      </w:p>
                      <w:p w:rsidR="00CE44B1" w:rsidRPr="00870946" w:rsidRDefault="00CE44B1" w:rsidP="005727A3">
                        <w:pPr>
                          <w:pStyle w:val="NormalWeb"/>
                          <w:rPr>
                            <w:rFonts w:ascii="Arial" w:hAnsi="Arial" w:cs="Arial"/>
                            <w:sz w:val="16"/>
                            <w:szCs w:val="16"/>
                          </w:rPr>
                        </w:pPr>
                        <w:r w:rsidRPr="00870946">
                          <w:rPr>
                            <w:rFonts w:ascii="Arial" w:hAnsi="Arial" w:cs="Arial"/>
                            <w:sz w:val="16"/>
                            <w:szCs w:val="16"/>
                          </w:rPr>
                          <w:t>All Australian school students acquire the knowledge and skills to participate effectively in soc</w:t>
                        </w:r>
                        <w:r>
                          <w:rPr>
                            <w:rFonts w:ascii="Arial" w:hAnsi="Arial" w:cs="Arial"/>
                            <w:sz w:val="16"/>
                            <w:szCs w:val="16"/>
                          </w:rPr>
                          <w:t>iety</w:t>
                        </w:r>
                        <w:r w:rsidRPr="00870946">
                          <w:rPr>
                            <w:rFonts w:ascii="Arial" w:hAnsi="Arial" w:cs="Arial"/>
                            <w:sz w:val="16"/>
                            <w:szCs w:val="16"/>
                          </w:rPr>
                          <w:t xml:space="preserve"> and employment in a globalised </w:t>
                        </w:r>
                        <w:r>
                          <w:rPr>
                            <w:rFonts w:ascii="Arial" w:hAnsi="Arial" w:cs="Arial"/>
                            <w:sz w:val="16"/>
                            <w:szCs w:val="16"/>
                          </w:rPr>
                          <w:t>economy</w:t>
                        </w:r>
                      </w:p>
                    </w:txbxContent>
                  </v:textbox>
                </v:roundrect>
                <v:roundrect id="AutoShape 16" o:spid="_x0000_s1029" style="position:absolute;left:38862;top:17145;width:16002;height:102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1psUA&#10;AADaAAAADwAAAGRycy9kb3ducmV2LnhtbESPQWvCQBSE74L/YXmF3symKQRJXUUEaWihok0P3h7Z&#10;ZxLMvk2z2xj767uC0OMwM98wi9VoWjFQ7xrLCp6iGARxaXXDlYLiczubg3AeWWNrmRRcycFqOZ0s&#10;MNP2wnsaDr4SAcIuQwW1910mpStrMugi2xEH72R7gz7IvpK6x0uAm1YmcZxKgw2HhRo72tRUng8/&#10;RkH6kRTpe47t1+vz/vh77b536/hNqceHcf0CwtPo/8P3dq4VJHC7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zWmxQAAANoAAAAPAAAAAAAAAAAAAAAAAJgCAABkcnMv&#10;ZG93bnJldi54bWxQSwUGAAAAAAQABAD1AAAAigMAAAAA&#10;" fillcolor="#ddd">
                  <v:textbox inset=".5mm,.5mm,.5mm,.5mm">
                    <w:txbxContent>
                      <w:p w:rsidR="00CE44B1" w:rsidRPr="00A7408B" w:rsidRDefault="00CE44B1" w:rsidP="005727A3">
                        <w:pPr>
                          <w:pStyle w:val="NormalWeb"/>
                          <w:rPr>
                            <w:rFonts w:ascii="Arial" w:hAnsi="Arial" w:cs="Arial"/>
                            <w:b/>
                            <w:sz w:val="16"/>
                            <w:szCs w:val="16"/>
                          </w:rPr>
                        </w:pPr>
                        <w:r w:rsidRPr="00A7408B">
                          <w:rPr>
                            <w:rFonts w:ascii="Arial" w:hAnsi="Arial" w:cs="Arial"/>
                            <w:b/>
                            <w:sz w:val="16"/>
                            <w:szCs w:val="16"/>
                          </w:rPr>
                          <w:t>Performance targets</w:t>
                        </w:r>
                      </w:p>
                      <w:p w:rsidR="00CE44B1" w:rsidRDefault="00CE44B1" w:rsidP="005727A3">
                        <w:pPr>
                          <w:pStyle w:val="NormalWeb"/>
                          <w:rPr>
                            <w:rFonts w:ascii="Arial" w:hAnsi="Arial" w:cs="Arial"/>
                            <w:sz w:val="16"/>
                            <w:szCs w:val="16"/>
                          </w:rPr>
                        </w:pPr>
                      </w:p>
                      <w:p w:rsidR="00CE44B1" w:rsidRPr="00870946" w:rsidRDefault="00CE44B1" w:rsidP="005727A3">
                        <w:pPr>
                          <w:pStyle w:val="NormalWeb"/>
                          <w:rPr>
                            <w:rFonts w:ascii="Arial" w:hAnsi="Arial" w:cs="Arial"/>
                            <w:sz w:val="16"/>
                            <w:szCs w:val="16"/>
                          </w:rPr>
                        </w:pPr>
                        <w:proofErr w:type="spellStart"/>
                        <w:r w:rsidRPr="00870946">
                          <w:rPr>
                            <w:rFonts w:ascii="Arial" w:hAnsi="Arial" w:cs="Arial"/>
                            <w:sz w:val="16"/>
                            <w:szCs w:val="16"/>
                          </w:rPr>
                          <w:t>eg</w:t>
                        </w:r>
                        <w:proofErr w:type="spellEnd"/>
                        <w:r w:rsidRPr="00870946">
                          <w:rPr>
                            <w:rFonts w:ascii="Arial" w:hAnsi="Arial" w:cs="Arial"/>
                            <w:sz w:val="16"/>
                            <w:szCs w:val="16"/>
                          </w:rPr>
                          <w:t xml:space="preserve"> Halve the gap for Indigenous students in reading, writing and numeracy within a decade</w:t>
                        </w:r>
                      </w:p>
                      <w:p w:rsidR="00CE44B1" w:rsidRPr="00A7408B" w:rsidRDefault="00CE44B1" w:rsidP="005727A3">
                        <w:pPr>
                          <w:pStyle w:val="NormalWeb"/>
                          <w:rPr>
                            <w:rFonts w:ascii="Arial" w:hAnsi="Arial" w:cs="Arial"/>
                            <w:sz w:val="16"/>
                            <w:szCs w:val="16"/>
                          </w:rPr>
                        </w:pPr>
                      </w:p>
                    </w:txbxContent>
                  </v:textbox>
                </v:roundrect>
                <v:roundrect id="AutoShape 17" o:spid="_x0000_s1030" style="position:absolute;left:38862;top:1143;width:16090;height:57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QPcQA&#10;AADaAAAADwAAAGRycy9kb3ducmV2LnhtbESPQYvCMBSE74L/ITzBm6YqFOkaRQRZcWFFrYe9PZq3&#10;bdnmpTZZrf56Iwgeh5n5hpktWlOJCzWutKxgNIxAEGdWl5wrSI/rwRSE88gaK8uk4EYOFvNuZ4aJ&#10;tlfe0+XgcxEg7BJUUHhfJ1K6rCCDbmhr4uD92sagD7LJpW7wGuCmkuMoiqXBksNCgTWtCsr+Dv9G&#10;Qfw9TuOvDVanz8n+536rz7tltFWq32uXHyA8tf4dfrU3WsEEnlfCD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DkD3EAAAA2gAAAA8AAAAAAAAAAAAAAAAAmAIAAGRycy9k&#10;b3ducmV2LnhtbFBLBQYAAAAABAAEAPUAAACJAwAAAAA=&#10;" fillcolor="#ddd">
                  <v:textbox inset=".5mm,.5mm,.5mm,.5mm">
                    <w:txbxContent>
                      <w:p w:rsidR="00CE44B1" w:rsidRPr="00A7408B" w:rsidRDefault="00CE44B1" w:rsidP="005727A3">
                        <w:pPr>
                          <w:pStyle w:val="NormalWeb"/>
                          <w:rPr>
                            <w:rFonts w:ascii="Arial" w:hAnsi="Arial" w:cs="Arial"/>
                            <w:b/>
                            <w:sz w:val="16"/>
                            <w:szCs w:val="16"/>
                          </w:rPr>
                        </w:pPr>
                        <w:r w:rsidRPr="00A7408B">
                          <w:rPr>
                            <w:rFonts w:ascii="Arial" w:hAnsi="Arial" w:cs="Arial"/>
                            <w:b/>
                            <w:sz w:val="16"/>
                            <w:szCs w:val="16"/>
                          </w:rPr>
                          <w:t>Outputs</w:t>
                        </w:r>
                      </w:p>
                      <w:p w:rsidR="00CE44B1" w:rsidRPr="00A7408B" w:rsidRDefault="00CE44B1" w:rsidP="005727A3">
                        <w:pPr>
                          <w:pStyle w:val="NormalWeb"/>
                          <w:rPr>
                            <w:rFonts w:ascii="Arial" w:hAnsi="Arial" w:cs="Arial"/>
                            <w:sz w:val="16"/>
                            <w:szCs w:val="16"/>
                          </w:rPr>
                        </w:pPr>
                      </w:p>
                      <w:p w:rsidR="00CE44B1" w:rsidRPr="00870946" w:rsidRDefault="00CE44B1" w:rsidP="005727A3">
                        <w:pPr>
                          <w:pStyle w:val="NormalWeb"/>
                          <w:rPr>
                            <w:rFonts w:ascii="Arial" w:hAnsi="Arial" w:cs="Arial"/>
                            <w:sz w:val="16"/>
                            <w:szCs w:val="16"/>
                          </w:rPr>
                        </w:pPr>
                        <w:proofErr w:type="spellStart"/>
                        <w:r>
                          <w:rPr>
                            <w:rFonts w:ascii="Arial" w:hAnsi="Arial" w:cs="Arial"/>
                            <w:sz w:val="16"/>
                            <w:szCs w:val="16"/>
                          </w:rPr>
                          <w:t>eg</w:t>
                        </w:r>
                        <w:proofErr w:type="spellEnd"/>
                        <w:r>
                          <w:rPr>
                            <w:rFonts w:ascii="Arial" w:hAnsi="Arial" w:cs="Arial"/>
                            <w:sz w:val="16"/>
                            <w:szCs w:val="16"/>
                          </w:rPr>
                          <w:t xml:space="preserve"> number of students enrolled in school</w:t>
                        </w:r>
                      </w:p>
                    </w:txbxContent>
                  </v:textbox>
                </v:roundrect>
                <v:roundrect id="AutoShape 20" o:spid="_x0000_s1031" style="position:absolute;left:17145;top:8001;width:12573;height:125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5ncQA&#10;AADaAAAADwAAAGRycy9kb3ducmV2LnhtbESPQWvCQBSE70L/w/IKvRTdpEhaUtcQBEEshsYKvT6y&#10;r0lo9m3Irib9965Q8DjMzDfMKptMJy40uNaygngRgSCurG65VnD62s7fQDiPrLGzTAr+yEG2fpit&#10;MNV25JIuR1+LAGGXooLG+z6V0lUNGXQL2xMH78cOBn2QQy31gGOAm06+RFEiDbYcFhrsadNQ9Xs8&#10;GwWvnx/xnsf8m57Jdoe82BdlnSj19Djl7yA8Tf4e/m/vtIIl3K6EG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FeZ3EAAAA2gAAAA8AAAAAAAAAAAAAAAAAmAIAAGRycy9k&#10;b3ducmV2LnhtbFBLBQYAAAAABAAEAPUAAACJAwAAAAA=&#10;">
                  <v:textbox inset=".5mm,.5mm,.5mm,.5mm">
                    <w:txbxContent>
                      <w:p w:rsidR="00CE44B1" w:rsidRPr="00A7408B" w:rsidRDefault="00CE44B1" w:rsidP="008D209A">
                        <w:pPr>
                          <w:pStyle w:val="NormalWeb"/>
                          <w:rPr>
                            <w:rFonts w:ascii="Arial" w:hAnsi="Arial" w:cs="Arial"/>
                            <w:b/>
                            <w:sz w:val="16"/>
                            <w:szCs w:val="16"/>
                          </w:rPr>
                        </w:pPr>
                        <w:r w:rsidRPr="00A7408B">
                          <w:rPr>
                            <w:rFonts w:ascii="Arial" w:hAnsi="Arial" w:cs="Arial"/>
                            <w:b/>
                            <w:sz w:val="16"/>
                            <w:szCs w:val="16"/>
                          </w:rPr>
                          <w:t>Outcomes</w:t>
                        </w:r>
                      </w:p>
                      <w:p w:rsidR="00CE44B1" w:rsidRPr="00870946" w:rsidRDefault="00CE44B1" w:rsidP="008D209A">
                        <w:pPr>
                          <w:pStyle w:val="NormalWeb"/>
                          <w:rPr>
                            <w:rFonts w:ascii="Arial" w:hAnsi="Arial" w:cs="Arial"/>
                            <w:sz w:val="16"/>
                            <w:szCs w:val="16"/>
                          </w:rPr>
                        </w:pPr>
                      </w:p>
                      <w:p w:rsidR="00CE44B1" w:rsidRPr="00870946" w:rsidRDefault="00CE44B1" w:rsidP="008D209A">
                        <w:pPr>
                          <w:pStyle w:val="NormalWeb"/>
                          <w:rPr>
                            <w:rFonts w:ascii="Arial" w:hAnsi="Arial" w:cs="Arial"/>
                            <w:sz w:val="16"/>
                            <w:szCs w:val="16"/>
                          </w:rPr>
                        </w:pPr>
                        <w:proofErr w:type="spellStart"/>
                        <w:r w:rsidRPr="00870946">
                          <w:rPr>
                            <w:rFonts w:ascii="Arial" w:hAnsi="Arial" w:cs="Arial"/>
                            <w:sz w:val="16"/>
                            <w:szCs w:val="16"/>
                          </w:rPr>
                          <w:t>eg</w:t>
                        </w:r>
                        <w:proofErr w:type="spellEnd"/>
                        <w:r w:rsidRPr="00870946">
                          <w:rPr>
                            <w:rFonts w:ascii="Arial" w:hAnsi="Arial" w:cs="Arial"/>
                            <w:sz w:val="16"/>
                            <w:szCs w:val="16"/>
                          </w:rPr>
                          <w:t xml:space="preserve"> All children are engaged</w:t>
                        </w:r>
                        <w:r>
                          <w:rPr>
                            <w:rFonts w:ascii="Arial" w:hAnsi="Arial" w:cs="Arial"/>
                            <w:sz w:val="16"/>
                            <w:szCs w:val="16"/>
                          </w:rPr>
                          <w:t xml:space="preserve"> in</w:t>
                        </w:r>
                        <w:r w:rsidRPr="00870946">
                          <w:rPr>
                            <w:rFonts w:ascii="Arial" w:hAnsi="Arial" w:cs="Arial"/>
                            <w:sz w:val="16"/>
                            <w:szCs w:val="16"/>
                          </w:rPr>
                          <w:t xml:space="preserve"> and benefiting from schooling</w:t>
                        </w:r>
                      </w:p>
                      <w:p w:rsidR="00CE44B1" w:rsidRPr="00870946" w:rsidRDefault="00CE44B1" w:rsidP="008D209A">
                        <w:pPr>
                          <w:pStyle w:val="NormalWeb"/>
                          <w:rPr>
                            <w:rFonts w:ascii="Arial" w:hAnsi="Arial" w:cs="Arial"/>
                            <w:sz w:val="16"/>
                            <w:szCs w:val="16"/>
                          </w:rPr>
                        </w:pPr>
                      </w:p>
                    </w:txbxContent>
                  </v:textbox>
                </v:roundrect>
                <v:shapetype id="_x0000_t32" coordsize="21600,21600" o:spt="32" o:oned="t" path="m,l21600,21600e" filled="f">
                  <v:path arrowok="t" fillok="f" o:connecttype="none"/>
                  <o:lock v:ext="edit" shapetype="t"/>
                </v:shapetype>
                <v:shape id="AutoShape 21" o:spid="_x0000_s1032" type="#_x0000_t32" style="position:absolute;left:12573;top:12573;width:4572;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roundrect id="AutoShape 22" o:spid="_x0000_s1033" style="position:absolute;left:38862;top:8001;width:16002;height:800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zpcMA&#10;AADaAAAADwAAAGRycy9kb3ducmV2LnhtbESPT4vCMBTE7wt+h/AEb2uqQlmqUUSQFQXFfwdvj+bZ&#10;FpuXbhO1+umNsOBxmPnNMKNJY0pxo9oVlhX0uhEI4tTqgjMFh/38+weE88gaS8uk4EEOJuPW1wgT&#10;be+8pdvOZyKUsEtQQe59lUjp0pwMuq6tiIN3trVBH2SdSV3jPZSbUvajKJYGCw4LOVY0yym97K5G&#10;QbzuH+LVAsvj72B7ej6qv800WirVaTfTIQhPjf+E/+mFDhy8r4QbIM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QzpcMAAADaAAAADwAAAAAAAAAAAAAAAACYAgAAZHJzL2Rv&#10;d25yZXYueG1sUEsFBgAAAAAEAAQA9QAAAIgDAAAAAA==&#10;" fillcolor="#ddd">
                  <v:textbox inset=".5mm,.5mm,.5mm,.5mm">
                    <w:txbxContent>
                      <w:p w:rsidR="00CE44B1" w:rsidRPr="00A7408B" w:rsidRDefault="00CE44B1" w:rsidP="005727A3">
                        <w:pPr>
                          <w:pStyle w:val="NormalWeb"/>
                          <w:rPr>
                            <w:rFonts w:ascii="Arial" w:hAnsi="Arial" w:cs="Arial"/>
                            <w:b/>
                            <w:sz w:val="16"/>
                            <w:szCs w:val="16"/>
                          </w:rPr>
                        </w:pPr>
                        <w:r w:rsidRPr="00A7408B">
                          <w:rPr>
                            <w:rFonts w:ascii="Arial" w:hAnsi="Arial" w:cs="Arial"/>
                            <w:b/>
                            <w:sz w:val="16"/>
                            <w:szCs w:val="16"/>
                          </w:rPr>
                          <w:t>Performance indicators</w:t>
                        </w:r>
                      </w:p>
                      <w:p w:rsidR="00CE44B1" w:rsidRPr="00870946" w:rsidRDefault="00CE44B1" w:rsidP="005727A3">
                        <w:pPr>
                          <w:pStyle w:val="NormalWeb"/>
                          <w:rPr>
                            <w:rFonts w:ascii="Arial" w:hAnsi="Arial" w:cs="Arial"/>
                            <w:sz w:val="16"/>
                            <w:szCs w:val="16"/>
                          </w:rPr>
                        </w:pPr>
                      </w:p>
                      <w:p w:rsidR="00CE44B1" w:rsidRPr="00870946" w:rsidRDefault="00CE44B1" w:rsidP="005727A3">
                        <w:pPr>
                          <w:pStyle w:val="NormalWeb"/>
                          <w:rPr>
                            <w:rFonts w:ascii="Arial" w:hAnsi="Arial" w:cs="Arial"/>
                            <w:sz w:val="16"/>
                            <w:szCs w:val="16"/>
                          </w:rPr>
                        </w:pPr>
                        <w:proofErr w:type="spellStart"/>
                        <w:r w:rsidRPr="00870946">
                          <w:rPr>
                            <w:rFonts w:ascii="Arial" w:hAnsi="Arial" w:cs="Arial"/>
                            <w:sz w:val="16"/>
                            <w:szCs w:val="16"/>
                          </w:rPr>
                          <w:t>eg</w:t>
                        </w:r>
                        <w:proofErr w:type="spellEnd"/>
                        <w:r w:rsidRPr="00870946">
                          <w:rPr>
                            <w:rFonts w:ascii="Arial" w:hAnsi="Arial" w:cs="Arial"/>
                            <w:sz w:val="16"/>
                            <w:szCs w:val="16"/>
                          </w:rPr>
                          <w:t xml:space="preserve"> The proportion of children enrolled in and attending school</w:t>
                        </w:r>
                      </w:p>
                      <w:p w:rsidR="00CE44B1" w:rsidRPr="00A7408B" w:rsidRDefault="00CE44B1" w:rsidP="005727A3">
                        <w:pPr>
                          <w:pStyle w:val="NormalWeb"/>
                          <w:rPr>
                            <w:rFonts w:ascii="Arial" w:hAnsi="Arial" w:cs="Arial"/>
                            <w:sz w:val="16"/>
                            <w:szCs w:val="16"/>
                          </w:rPr>
                        </w:pP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4" o:spid="_x0000_s1034" type="#_x0000_t34" style="position:absolute;left:29718;top:12573;width:9144;height: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tZV8MAAADaAAAADwAAAGRycy9kb3ducmV2LnhtbESPQWvCQBSE74X+h+UVeilmYw9WYlaR&#10;olDwINri+SX73ASzb9PdbYz/3i0Uehxm5humXI22EwP50DpWMM1yEMS10y0bBV+f28kcRIjIGjvH&#10;pOBGAVbLx4cSC+2ufKDhGI1IEA4FKmhi7AspQ92QxZC5njh5Z+ctxiS9kdrjNcFtJ1/zfCYttpwW&#10;GuzpvaH6cvyxCswLDd915de8Pel4MPtqtul2Sj0/jesFiEhj/A//tT+0gjf4vZJugF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VrWVfDAAAA2gAAAA8AAAAAAAAAAAAA&#10;AAAAoQIAAGRycy9kb3ducmV2LnhtbFBLBQYAAAAABAAEAPkAAACRAwAAAAA=&#10;">
                  <v:stroke endarrow="block"/>
                </v:shape>
                <v:shape id="AutoShape 25" o:spid="_x0000_s1035" type="#_x0000_t32" style="position:absolute;left:36576;top:4572;width:6;height:205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line id="Line 26" o:spid="_x0000_s1036" style="position:absolute;visibility:visible;mso-wrap-style:square" from="36576,4572" to="38862,4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27" o:spid="_x0000_s1037" style="position:absolute;visibility:visible;mso-wrap-style:square" from="36576,25146" to="38862,25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w10:anchorlock/>
              </v:group>
            </w:pict>
          </mc:Fallback>
        </mc:AlternateContent>
      </w:r>
    </w:p>
    <w:p w:rsidR="008D209A" w:rsidRPr="008640DB" w:rsidRDefault="008D209A" w:rsidP="00FF7ED9">
      <w:pPr>
        <w:pStyle w:val="BodyText"/>
      </w:pPr>
    </w:p>
    <w:p w:rsidR="00A7408B" w:rsidRPr="008640DB" w:rsidRDefault="00A7408B" w:rsidP="00FF7ED9">
      <w:pPr>
        <w:pStyle w:val="Subtitle"/>
        <w:pBdr>
          <w:top w:val="single" w:sz="6" w:space="1" w:color="auto"/>
        </w:pBdr>
        <w:spacing w:before="80" w:after="0" w:line="40" w:lineRule="exact"/>
        <w:ind w:left="0"/>
      </w:pPr>
    </w:p>
    <w:p w:rsidR="000D7FF2" w:rsidRPr="008640DB" w:rsidRDefault="000D7FF2" w:rsidP="00FF7ED9">
      <w:pPr>
        <w:pStyle w:val="Note"/>
      </w:pPr>
      <w:r w:rsidRPr="008640DB">
        <w:rPr>
          <w:rStyle w:val="NoteLabel"/>
        </w:rPr>
        <w:t>a</w:t>
      </w:r>
      <w:r w:rsidR="00423564">
        <w:rPr>
          <w:rStyle w:val="NoteLabel"/>
        </w:rPr>
        <w:t xml:space="preserve"> </w:t>
      </w:r>
      <w:r w:rsidRPr="008640DB">
        <w:t xml:space="preserve">Shaded boxes indicate categories of performance information included in this report. </w:t>
      </w:r>
      <w:r w:rsidR="00423564">
        <w:rPr>
          <w:rStyle w:val="NoteLabel"/>
        </w:rPr>
        <w:t xml:space="preserve">b </w:t>
      </w:r>
      <w:r w:rsidR="004E0029">
        <w:t>T</w:t>
      </w:r>
      <w:r w:rsidRPr="008640DB">
        <w:t xml:space="preserve">he NEA has multiple outcomes, </w:t>
      </w:r>
      <w:r w:rsidR="00791B72" w:rsidRPr="008640DB">
        <w:t>performance targets, outputs and</w:t>
      </w:r>
      <w:r w:rsidRPr="008640DB">
        <w:t xml:space="preserve"> </w:t>
      </w:r>
      <w:r w:rsidR="00DD6483" w:rsidRPr="008640DB">
        <w:t>performance indicators</w:t>
      </w:r>
      <w:r w:rsidR="004E0029">
        <w:t>. O</w:t>
      </w:r>
      <w:r w:rsidRPr="008640DB">
        <w:t xml:space="preserve">nly one example of each </w:t>
      </w:r>
      <w:r w:rsidR="00830875">
        <w:t xml:space="preserve">is </w:t>
      </w:r>
      <w:r w:rsidRPr="008640DB">
        <w:t>included in this figure for illustrative purposes.</w:t>
      </w:r>
    </w:p>
    <w:p w:rsidR="000D7FF2" w:rsidRPr="00333549" w:rsidRDefault="000D7FF2" w:rsidP="00FF7ED9">
      <w:pPr>
        <w:pStyle w:val="BodyText"/>
        <w:rPr>
          <w:rStyle w:val="DraftingNote"/>
          <w:color w:val="auto"/>
        </w:rPr>
      </w:pPr>
      <w:r w:rsidRPr="008640DB">
        <w:t>This report includes available data</w:t>
      </w:r>
      <w:r w:rsidR="004E0029">
        <w:t xml:space="preserve"> for</w:t>
      </w:r>
      <w:r w:rsidRPr="008640DB">
        <w:t>:</w:t>
      </w:r>
    </w:p>
    <w:p w:rsidR="000D7FF2" w:rsidRPr="008640DB" w:rsidRDefault="006B4DC9" w:rsidP="001A5FA3">
      <w:pPr>
        <w:pStyle w:val="ListBullet"/>
      </w:pPr>
      <w:r>
        <w:t>NEA outputs</w:t>
      </w:r>
    </w:p>
    <w:p w:rsidR="000D7FF2" w:rsidRPr="008640DB" w:rsidRDefault="000D7FF2" w:rsidP="001A5FA3">
      <w:pPr>
        <w:pStyle w:val="ListBullet"/>
      </w:pPr>
      <w:r w:rsidRPr="008640DB">
        <w:t>NEA performance indicators</w:t>
      </w:r>
    </w:p>
    <w:p w:rsidR="000D7FF2" w:rsidRPr="008640DB" w:rsidRDefault="000D7FF2" w:rsidP="001A5FA3">
      <w:pPr>
        <w:pStyle w:val="ListBullet"/>
      </w:pPr>
      <w:r w:rsidRPr="008640DB">
        <w:t xml:space="preserve">NEA </w:t>
      </w:r>
      <w:r w:rsidR="00C01566" w:rsidRPr="008640DB">
        <w:t xml:space="preserve">performance </w:t>
      </w:r>
      <w:r w:rsidRPr="008640DB">
        <w:t>targets.</w:t>
      </w:r>
    </w:p>
    <w:p w:rsidR="00704FA9" w:rsidRDefault="00704FA9" w:rsidP="00E5664D">
      <w:pPr>
        <w:pStyle w:val="BodyText"/>
      </w:pPr>
      <w:r>
        <w:lastRenderedPageBreak/>
        <w:t xml:space="preserve">This is the </w:t>
      </w:r>
      <w:r w:rsidR="00E7126F">
        <w:t>fourth</w:t>
      </w:r>
      <w:r>
        <w:t xml:space="preserve"> NEA report prepared by the Steering Committee. The CRC has requested that data included in the previous </w:t>
      </w:r>
      <w:r w:rsidR="00E7126F">
        <w:t>three</w:t>
      </w:r>
      <w:r>
        <w:t xml:space="preserve"> reports not be reproduced in subsequent reports. Therefore, this report contains only data that relate to more recent reporting periods, or which have been revised since the previous reports.</w:t>
      </w:r>
    </w:p>
    <w:p w:rsidR="000A2042" w:rsidRPr="008640DB" w:rsidRDefault="004E0029" w:rsidP="00F225AF">
      <w:pPr>
        <w:pStyle w:val="BodyText"/>
      </w:pPr>
      <w:r w:rsidRPr="008640DB">
        <w:t>This report contains the original data quality statements (DQSs) completed by relevant data collection agencies</w:t>
      </w:r>
      <w:r w:rsidR="00E5664D" w:rsidRPr="00E5664D">
        <w:t xml:space="preserve"> </w:t>
      </w:r>
      <w:r w:rsidR="00A37169">
        <w:t xml:space="preserve">as well as </w:t>
      </w:r>
      <w:r w:rsidR="00E5664D">
        <w:t xml:space="preserve">comments by the Steering Committee on the quality of reported data (based on the data quality statements). This report also includes Steering Committee views on areas for development </w:t>
      </w:r>
      <w:r w:rsidR="000A2042" w:rsidRPr="008640DB">
        <w:t>of N</w:t>
      </w:r>
      <w:r w:rsidR="007C0D3B" w:rsidRPr="008640DB">
        <w:t>E</w:t>
      </w:r>
      <w:r w:rsidR="000A2042" w:rsidRPr="008640DB">
        <w:t xml:space="preserve">A ‘outputs’, ‘performance indicators’ and ‘performance </w:t>
      </w:r>
      <w:r w:rsidR="007C0D3B" w:rsidRPr="008640DB">
        <w:t>targets</w:t>
      </w:r>
      <w:r w:rsidR="000A2042" w:rsidRPr="008640DB">
        <w:t>’. Box</w:t>
      </w:r>
      <w:r w:rsidR="00DE354D">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"OLE_LINK17" \a \t </w:instrText>
      </w:r>
      <w:r w:rsidR="002A66B3">
        <w:fldChar w:fldCharType="separate"/>
      </w:r>
      <w:r w:rsidR="002A66B3">
        <w:t>1</w:t>
      </w:r>
      <w:r w:rsidR="002A66B3">
        <w:fldChar w:fldCharType="end"/>
      </w:r>
      <w:r w:rsidR="002A66B3">
        <w:t xml:space="preserve"> </w:t>
      </w:r>
      <w:r w:rsidR="000A2042" w:rsidRPr="008640DB">
        <w:t>identifies the key issues in reporting on the performance categories in the N</w:t>
      </w:r>
      <w:r w:rsidR="007C0D3B" w:rsidRPr="008640DB">
        <w:t>E</w:t>
      </w:r>
      <w:r w:rsidR="000A2042" w:rsidRPr="008640DB">
        <w:t>A.</w:t>
      </w:r>
    </w:p>
    <w:p w:rsidR="000A2042" w:rsidRPr="008640DB" w:rsidRDefault="000A2042" w:rsidP="00821D3B">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E7126F" w:rsidRPr="008640DB" w:rsidTr="00E7126F">
        <w:tc>
          <w:tcPr>
            <w:tcW w:w="8771" w:type="dxa"/>
            <w:tcBorders>
              <w:bottom w:val="nil"/>
            </w:tcBorders>
            <w:shd w:val="clear" w:color="auto" w:fill="E6E6E6"/>
          </w:tcPr>
          <w:p w:rsidR="00E7126F" w:rsidRDefault="00E7126F" w:rsidP="000D53C2">
            <w:pPr>
              <w:pStyle w:val="BoxTitle"/>
            </w:pPr>
            <w:r w:rsidRPr="005A3728">
              <w:rPr>
                <w:b w:val="0"/>
              </w:rPr>
              <w:t>Box</w:t>
            </w:r>
            <w:r w:rsidRPr="00823457">
              <w:t xml:space="preserve"> </w:t>
            </w:r>
            <w:bookmarkStart w:id="4" w:name="OLE_LINK17"/>
            <w:r w:rsidRPr="00823457">
              <w:rPr>
                <w:b w:val="0"/>
              </w:rPr>
              <w:fldChar w:fldCharType="begin"/>
            </w:r>
            <w:r w:rsidRPr="00823457">
              <w:rPr>
                <w:b w:val="0"/>
              </w:rPr>
              <w:instrText xml:space="preserve"> SEQ Box \* ARABIC </w:instrText>
            </w:r>
            <w:r w:rsidRPr="00823457">
              <w:rPr>
                <w:b w:val="0"/>
              </w:rPr>
              <w:fldChar w:fldCharType="separate"/>
            </w:r>
            <w:r w:rsidR="00936B93">
              <w:rPr>
                <w:b w:val="0"/>
                <w:noProof/>
              </w:rPr>
              <w:t>1</w:t>
            </w:r>
            <w:r w:rsidRPr="00823457">
              <w:rPr>
                <w:b w:val="0"/>
              </w:rPr>
              <w:fldChar w:fldCharType="end"/>
            </w:r>
            <w:bookmarkEnd w:id="4"/>
            <w:r w:rsidRPr="00823457">
              <w:tab/>
              <w:t xml:space="preserve">Key issues in reporting against the NEA </w:t>
            </w:r>
          </w:p>
          <w:p w:rsidR="000D53C2" w:rsidRDefault="000D53C2" w:rsidP="000D53C2">
            <w:pPr>
              <w:pStyle w:val="Box"/>
              <w:rPr>
                <w:b/>
              </w:rPr>
            </w:pPr>
            <w:r w:rsidRPr="000D53C2">
              <w:rPr>
                <w:b/>
              </w:rPr>
              <w:t>General</w:t>
            </w:r>
          </w:p>
          <w:p w:rsidR="004D4446" w:rsidRDefault="004D4446" w:rsidP="004D4446">
            <w:pPr>
              <w:pStyle w:val="BoxListBullet"/>
              <w:numPr>
                <w:ilvl w:val="0"/>
                <w:numId w:val="25"/>
              </w:numPr>
              <w:tabs>
                <w:tab w:val="num" w:pos="284"/>
              </w:tabs>
              <w:ind w:left="284" w:hanging="284"/>
            </w:pPr>
            <w:r>
              <w:t>The NEA performance indicator framework is currently under review — due to be completed 30 June 2012 (too late for inclusion in this report).</w:t>
            </w:r>
          </w:p>
          <w:p w:rsidR="004D4446" w:rsidRPr="0061161F" w:rsidRDefault="004D4446" w:rsidP="004D4446">
            <w:pPr>
              <w:pStyle w:val="BoxListBullet"/>
              <w:numPr>
                <w:ilvl w:val="0"/>
                <w:numId w:val="25"/>
              </w:numPr>
              <w:tabs>
                <w:tab w:val="num" w:pos="284"/>
              </w:tabs>
              <w:ind w:left="284" w:hanging="284"/>
            </w:pPr>
            <w:r>
              <w:t xml:space="preserve">The Steering Committee notes that relevant confidence intervals (CI) should be considered when interpreting the National Assessment Program — Literacy and Numeracy (NAPLAN) data in this report. At the request of the CRC, confidence intervals have not been included in this report for NAPLAN achievement data (relevant to performance target (b) and performance indicators 4, 5 and 11). Different confidence intervals are relevant to different analyses, and the CRC has advised that they may request the data collection agency to undertake relevant significance testing for CRC analysis of the NAPLAN data. </w:t>
            </w:r>
          </w:p>
          <w:p w:rsidR="0061161F" w:rsidRPr="00823457" w:rsidRDefault="0061161F" w:rsidP="0061161F">
            <w:pPr>
              <w:pStyle w:val="Box"/>
              <w:rPr>
                <w:b/>
              </w:rPr>
            </w:pPr>
            <w:r w:rsidRPr="00823457">
              <w:rPr>
                <w:b/>
              </w:rPr>
              <w:t>Outputs</w:t>
            </w:r>
          </w:p>
          <w:p w:rsidR="0061161F" w:rsidRPr="0061161F" w:rsidRDefault="0061161F" w:rsidP="00D11E31">
            <w:pPr>
              <w:pStyle w:val="BoxListBullet"/>
              <w:numPr>
                <w:ilvl w:val="0"/>
                <w:numId w:val="25"/>
              </w:numPr>
              <w:tabs>
                <w:tab w:val="num" w:pos="284"/>
              </w:tabs>
              <w:ind w:left="284" w:hanging="284"/>
            </w:pPr>
            <w:r>
              <w:t xml:space="preserve">Outputs are related to student enrolments. Nationally comparable data on student enrolments are available from the NSSC, but are not available disaggregated by socioeconomic status (SES) of schools (one of </w:t>
            </w:r>
            <w:r w:rsidR="00DD7A56">
              <w:t xml:space="preserve">the </w:t>
            </w:r>
            <w:r>
              <w:t>disaggregations specified in the NEA).</w:t>
            </w:r>
          </w:p>
          <w:p w:rsidR="00981D9D" w:rsidRPr="00823457" w:rsidRDefault="00981D9D" w:rsidP="00981D9D">
            <w:pPr>
              <w:pStyle w:val="Box"/>
              <w:rPr>
                <w:b/>
              </w:rPr>
            </w:pPr>
            <w:r w:rsidRPr="00823457">
              <w:rPr>
                <w:b/>
              </w:rPr>
              <w:t>Performance indicators</w:t>
            </w:r>
          </w:p>
          <w:p w:rsidR="0061161F" w:rsidRDefault="00340FEC" w:rsidP="00D11E31">
            <w:pPr>
              <w:pStyle w:val="BoxListBullet"/>
              <w:numPr>
                <w:ilvl w:val="0"/>
                <w:numId w:val="25"/>
              </w:numPr>
              <w:tabs>
                <w:tab w:val="num" w:pos="284"/>
              </w:tabs>
              <w:ind w:left="284" w:hanging="284"/>
            </w:pPr>
            <w:r>
              <w:t xml:space="preserve">All </w:t>
            </w:r>
            <w:r w:rsidR="0061161F">
              <w:t>thirteen performance indicators</w:t>
            </w:r>
            <w:r>
              <w:t xml:space="preserve"> included in this report (10 NEA and 3 NIRA)</w:t>
            </w:r>
            <w:r w:rsidR="00991F03">
              <w:t xml:space="preserve"> can be reported against. However, new data for this report were not available for three indicators (all sourced from sample surveys and the Census):</w:t>
            </w:r>
            <w:r>
              <w:t xml:space="preserve"> </w:t>
            </w:r>
          </w:p>
          <w:p w:rsidR="00DE3AF3" w:rsidRPr="00552D69" w:rsidRDefault="00DE3AF3" w:rsidP="00D11E31">
            <w:pPr>
              <w:pStyle w:val="BoxListBullet"/>
              <w:numPr>
                <w:ilvl w:val="0"/>
                <w:numId w:val="26"/>
              </w:numPr>
            </w:pPr>
            <w:r>
              <w:rPr>
                <w:i/>
              </w:rPr>
              <w:t>t</w:t>
            </w:r>
            <w:r w:rsidRPr="006F3553">
              <w:rPr>
                <w:i/>
              </w:rPr>
              <w:t xml:space="preserve">he proportion of Indigenous students completing year 10 </w:t>
            </w:r>
            <w:r w:rsidRPr="00552D69">
              <w:t>(3-yearly)</w:t>
            </w:r>
          </w:p>
          <w:p w:rsidR="00DE3AF3" w:rsidRDefault="00DE3AF3" w:rsidP="00D11E31">
            <w:pPr>
              <w:pStyle w:val="BoxListBullet"/>
              <w:numPr>
                <w:ilvl w:val="0"/>
                <w:numId w:val="26"/>
              </w:numPr>
            </w:pPr>
            <w:r>
              <w:rPr>
                <w:i/>
              </w:rPr>
              <w:t>t</w:t>
            </w:r>
            <w:r w:rsidRPr="00924B2F">
              <w:rPr>
                <w:i/>
              </w:rPr>
              <w:t>he proportion of students in the bottom and top levels of performance in international testing (for example</w:t>
            </w:r>
            <w:r w:rsidRPr="00BB0EE1">
              <w:rPr>
                <w:i/>
              </w:rPr>
              <w:t xml:space="preserve">, </w:t>
            </w:r>
            <w:r>
              <w:rPr>
                <w:i/>
              </w:rPr>
              <w:t>Programme for International Student Assessment [</w:t>
            </w:r>
            <w:r w:rsidRPr="00BB0EE1">
              <w:rPr>
                <w:i/>
              </w:rPr>
              <w:t>PISA</w:t>
            </w:r>
            <w:r>
              <w:rPr>
                <w:i/>
              </w:rPr>
              <w:t>]</w:t>
            </w:r>
            <w:r w:rsidRPr="00BB0EE1">
              <w:rPr>
                <w:i/>
              </w:rPr>
              <w:t>,</w:t>
            </w:r>
            <w:r>
              <w:rPr>
                <w:i/>
              </w:rPr>
              <w:t xml:space="preserve"> </w:t>
            </w:r>
            <w:r w:rsidRPr="00B53E81">
              <w:rPr>
                <w:i/>
              </w:rPr>
              <w:t>Trends in International Mathematics and Science Study</w:t>
            </w:r>
            <w:r>
              <w:rPr>
                <w:i/>
              </w:rPr>
              <w:t xml:space="preserve"> [</w:t>
            </w:r>
            <w:r w:rsidRPr="00BB0EE1">
              <w:rPr>
                <w:i/>
              </w:rPr>
              <w:t>TIMSS</w:t>
            </w:r>
            <w:r>
              <w:rPr>
                <w:i/>
              </w:rPr>
              <w:t>]</w:t>
            </w:r>
            <w:r w:rsidRPr="00BB0EE1">
              <w:rPr>
                <w:i/>
              </w:rPr>
              <w:t>)</w:t>
            </w:r>
            <w:r>
              <w:rPr>
                <w:i/>
              </w:rPr>
              <w:t xml:space="preserve"> </w:t>
            </w:r>
            <w:r>
              <w:t>(3-yearly)</w:t>
            </w:r>
          </w:p>
          <w:p w:rsidR="00072721" w:rsidRDefault="00DE3AF3" w:rsidP="000F31B2">
            <w:pPr>
              <w:pStyle w:val="BoxListBullet"/>
              <w:numPr>
                <w:ilvl w:val="0"/>
                <w:numId w:val="26"/>
              </w:numPr>
            </w:pPr>
            <w:r>
              <w:rPr>
                <w:i/>
              </w:rPr>
              <w:t>attainment of year 12 or equivalent measured as t</w:t>
            </w:r>
            <w:r w:rsidRPr="00924B2F">
              <w:rPr>
                <w:i/>
              </w:rPr>
              <w:t xml:space="preserve">he proportion of the </w:t>
            </w:r>
            <w:r>
              <w:rPr>
                <w:i/>
              </w:rPr>
              <w:t>20–24</w:t>
            </w:r>
            <w:r w:rsidRPr="00924B2F">
              <w:rPr>
                <w:i/>
              </w:rPr>
              <w:t xml:space="preserve"> year old population having attained at least a year 12 or equivalent or </w:t>
            </w:r>
            <w:r>
              <w:rPr>
                <w:i/>
              </w:rPr>
              <w:t>Australian Qualifications Framework (</w:t>
            </w:r>
            <w:proofErr w:type="spellStart"/>
            <w:r w:rsidRPr="00924B2F">
              <w:rPr>
                <w:i/>
              </w:rPr>
              <w:t>AQF</w:t>
            </w:r>
            <w:proofErr w:type="spellEnd"/>
            <w:r>
              <w:rPr>
                <w:i/>
              </w:rPr>
              <w:t>)</w:t>
            </w:r>
            <w:r w:rsidRPr="00924B2F">
              <w:rPr>
                <w:i/>
              </w:rPr>
              <w:t xml:space="preserve"> Certificate II</w:t>
            </w:r>
            <w:r>
              <w:rPr>
                <w:i/>
              </w:rPr>
              <w:t xml:space="preserve"> </w:t>
            </w:r>
            <w:r>
              <w:t>(3-yearly for Indigenous estimates, not updated for this report).</w:t>
            </w:r>
          </w:p>
          <w:p w:rsidR="00072721" w:rsidRPr="000F31B2" w:rsidRDefault="00072721" w:rsidP="00552D69">
            <w:pPr>
              <w:pStyle w:val="BoxListBullet"/>
              <w:numPr>
                <w:ilvl w:val="0"/>
                <w:numId w:val="25"/>
              </w:numPr>
              <w:tabs>
                <w:tab w:val="num" w:pos="284"/>
              </w:tabs>
              <w:ind w:left="284" w:hanging="284"/>
            </w:pPr>
            <w:r w:rsidRPr="000F31B2">
              <w:t>The Steering Committee considers that it is unlikely that more regular data collection via sample surveys would be cost effective for these indicators</w:t>
            </w:r>
            <w:r w:rsidR="004B25F7">
              <w:t>. S</w:t>
            </w:r>
            <w:r w:rsidRPr="000F31B2">
              <w:t>ubject to the outcomes of the NEA review, administrative data collections should be investigated as options for annual reporting on school completions (</w:t>
            </w:r>
            <w:r w:rsidR="004B25F7">
              <w:t xml:space="preserve">similar work is already </w:t>
            </w:r>
            <w:r w:rsidRPr="000F31B2">
              <w:t>occurring for the NIRA-related indicator on year 12 attainment).</w:t>
            </w:r>
          </w:p>
          <w:p w:rsidR="00DE3AF3" w:rsidRPr="00DE3AF3" w:rsidRDefault="00991F03" w:rsidP="000F2448">
            <w:pPr>
              <w:pStyle w:val="BoxListBullet2"/>
              <w:ind w:left="567"/>
              <w:jc w:val="right"/>
              <w:rPr>
                <w:i/>
              </w:rPr>
            </w:pPr>
            <w:r w:rsidRPr="00981D9D" w:rsidDel="00991F03">
              <w:t xml:space="preserve"> </w:t>
            </w:r>
            <w:r w:rsidR="0061161F" w:rsidRPr="001A4E93">
              <w:rPr>
                <w:sz w:val="20"/>
              </w:rPr>
              <w:t>(Continued next page)</w:t>
            </w:r>
          </w:p>
        </w:tc>
      </w:tr>
      <w:tr w:rsidR="001D5B77" w:rsidRPr="001D5B77" w:rsidTr="001D5B77">
        <w:tc>
          <w:tcPr>
            <w:tcW w:w="8771" w:type="dxa"/>
            <w:tcBorders>
              <w:top w:val="nil"/>
              <w:left w:val="single" w:sz="4" w:space="0" w:color="auto"/>
              <w:bottom w:val="single" w:sz="4" w:space="0" w:color="auto"/>
              <w:right w:val="single" w:sz="4" w:space="0" w:color="auto"/>
            </w:tcBorders>
            <w:shd w:val="clear" w:color="auto" w:fill="E6E6E6"/>
          </w:tcPr>
          <w:p w:rsidR="001D5B77" w:rsidRPr="001D5B77" w:rsidRDefault="001D5B77" w:rsidP="001D5B77">
            <w:pPr>
              <w:pStyle w:val="Box"/>
              <w:spacing w:before="0" w:line="120" w:lineRule="exact"/>
            </w:pPr>
          </w:p>
        </w:tc>
      </w:tr>
    </w:tbl>
    <w:p w:rsidR="000F2448" w:rsidRDefault="000F2448" w:rsidP="000F2448">
      <w:pPr>
        <w:pStyle w:val="BoxSpace"/>
        <w:rPr>
          <w:highlight w:val="yellow"/>
        </w:rPr>
      </w:pPr>
    </w:p>
    <w:p w:rsidR="000F2448" w:rsidRPr="008640DB" w:rsidRDefault="000F2448" w:rsidP="00552D69"/>
    <w:tbl>
      <w:tblPr>
        <w:tblW w:w="0" w:type="auto"/>
        <w:tblInd w:w="164" w:type="dxa"/>
        <w:tblBorders>
          <w:top w:val="single" w:sz="4" w:space="0" w:color="auto"/>
          <w:left w:val="single" w:sz="4" w:space="0" w:color="auto"/>
          <w:bottom w:val="single" w:sz="4" w:space="0" w:color="auto"/>
          <w:right w:val="single" w:sz="4"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0F2448" w:rsidRPr="008640DB" w:rsidTr="004A18A0">
        <w:tc>
          <w:tcPr>
            <w:tcW w:w="8771" w:type="dxa"/>
            <w:tcBorders>
              <w:bottom w:val="nil"/>
            </w:tcBorders>
            <w:shd w:val="clear" w:color="auto" w:fill="E6E6E6"/>
          </w:tcPr>
          <w:p w:rsidR="000F2448" w:rsidRPr="00823457" w:rsidRDefault="000F2448" w:rsidP="002A66B3">
            <w:pPr>
              <w:pStyle w:val="BoxTitle"/>
              <w:rPr>
                <w:rStyle w:val="DraftingNote"/>
                <w:color w:val="auto"/>
              </w:rPr>
            </w:pPr>
            <w:r w:rsidRPr="005A3728">
              <w:rPr>
                <w:b w:val="0"/>
              </w:rPr>
              <w:lastRenderedPageBreak/>
              <w:t>Box</w:t>
            </w:r>
            <w:r w:rsidR="002A66B3">
              <w:rPr>
                <w:b w:val="0"/>
              </w:rPr>
              <w:t xml:space="preserve"> </w:t>
            </w:r>
            <w:r w:rsidR="002A66B3" w:rsidRPr="005E27B4">
              <w:rPr>
                <w:b w:val="0"/>
              </w:rPr>
              <w:fldChar w:fldCharType="begin"/>
            </w:r>
            <w:r w:rsidR="002A66B3" w:rsidRPr="005E27B4">
              <w:rPr>
                <w:b w:val="0"/>
              </w:rPr>
              <w:instrText xml:space="preserve"> LINK Unknown "\\\\MEL_1\\groups\\Monitor\\09 National Agreement Report\\02 NAR Report WIP\\2011 NAR Report - Ed and training\\2011 NAR Second Draft\\NEA\\NEA second draft.docx" "OLE_LINK17" \a \t </w:instrText>
            </w:r>
            <w:r w:rsidR="005E27B4" w:rsidRPr="005E27B4">
              <w:rPr>
                <w:b w:val="0"/>
              </w:rPr>
              <w:instrText xml:space="preserve"> \* MERGEFORMAT </w:instrText>
            </w:r>
            <w:r w:rsidR="002A66B3" w:rsidRPr="005E27B4">
              <w:rPr>
                <w:b w:val="0"/>
              </w:rPr>
              <w:fldChar w:fldCharType="separate"/>
            </w:r>
            <w:r w:rsidR="002A66B3" w:rsidRPr="005E27B4">
              <w:rPr>
                <w:b w:val="0"/>
              </w:rPr>
              <w:t>1</w:t>
            </w:r>
            <w:r w:rsidR="002A66B3" w:rsidRPr="005E27B4">
              <w:rPr>
                <w:b w:val="0"/>
              </w:rPr>
              <w:fldChar w:fldCharType="end"/>
            </w:r>
            <w:r>
              <w:tab/>
            </w:r>
            <w:r w:rsidRPr="001A4E93">
              <w:rPr>
                <w:sz w:val="20"/>
                <w:szCs w:val="20"/>
              </w:rPr>
              <w:t>(Continued)</w:t>
            </w:r>
          </w:p>
        </w:tc>
      </w:tr>
      <w:tr w:rsidR="000F2448" w:rsidRPr="008640DB" w:rsidTr="004A18A0">
        <w:tc>
          <w:tcPr>
            <w:tcW w:w="8771" w:type="dxa"/>
            <w:tcBorders>
              <w:top w:val="nil"/>
              <w:bottom w:val="nil"/>
              <w:right w:val="single" w:sz="4" w:space="0" w:color="auto"/>
            </w:tcBorders>
            <w:shd w:val="clear" w:color="auto" w:fill="E6E6E6"/>
          </w:tcPr>
          <w:p w:rsidR="000F2448" w:rsidRDefault="000F2448" w:rsidP="00EE3827">
            <w:pPr>
              <w:pStyle w:val="BoxListBullet"/>
              <w:numPr>
                <w:ilvl w:val="0"/>
                <w:numId w:val="1"/>
              </w:numPr>
            </w:pPr>
            <w:r>
              <w:t>Four</w:t>
            </w:r>
            <w:r w:rsidRPr="009E0A9C">
              <w:t xml:space="preserve"> performance indicators use data sourced from annual sample surveys </w:t>
            </w:r>
            <w:r w:rsidR="00980D0D">
              <w:t>that</w:t>
            </w:r>
            <w:r w:rsidR="00980D0D" w:rsidRPr="009E0A9C">
              <w:t xml:space="preserve"> </w:t>
            </w:r>
            <w:r w:rsidRPr="009E0A9C">
              <w:t>may not be able to assess change over time</w:t>
            </w:r>
            <w:r>
              <w:t xml:space="preserve"> at the jurisdictional level,</w:t>
            </w:r>
            <w:r w:rsidRPr="009E0A9C">
              <w:t xml:space="preserve"> due to small annual changes relative to the size of sample errors</w:t>
            </w:r>
            <w:r w:rsidR="00980D0D">
              <w:t xml:space="preserve">, particularly where data are disaggregated by Indigenous status and </w:t>
            </w:r>
            <w:r w:rsidR="004A18A0">
              <w:t>SES</w:t>
            </w:r>
            <w:r w:rsidRPr="009E0A9C">
              <w:t>:</w:t>
            </w:r>
          </w:p>
          <w:p w:rsidR="000F2448" w:rsidRPr="000F31B2" w:rsidRDefault="000F2448" w:rsidP="00552D69">
            <w:pPr>
              <w:pStyle w:val="BoxListBullet2"/>
              <w:numPr>
                <w:ilvl w:val="0"/>
                <w:numId w:val="26"/>
              </w:numPr>
              <w:rPr>
                <w:i/>
              </w:rPr>
            </w:pPr>
            <w:r w:rsidRPr="00965891">
              <w:rPr>
                <w:i/>
              </w:rPr>
              <w:t>the proportion of the 20–24 year old population having attained at least a year 12 o</w:t>
            </w:r>
            <w:r w:rsidRPr="000F31B2">
              <w:rPr>
                <w:i/>
              </w:rPr>
              <w:t xml:space="preserve">r equivalent or </w:t>
            </w:r>
            <w:proofErr w:type="spellStart"/>
            <w:r w:rsidRPr="000F31B2">
              <w:rPr>
                <w:i/>
              </w:rPr>
              <w:t>AQF</w:t>
            </w:r>
            <w:proofErr w:type="spellEnd"/>
            <w:r w:rsidRPr="000F31B2">
              <w:rPr>
                <w:i/>
              </w:rPr>
              <w:t xml:space="preserve"> Certificate II and above</w:t>
            </w:r>
          </w:p>
          <w:p w:rsidR="000F2448" w:rsidRPr="000F31B2" w:rsidRDefault="000F2448" w:rsidP="00552D69">
            <w:pPr>
              <w:pStyle w:val="BoxListBullet2"/>
              <w:numPr>
                <w:ilvl w:val="0"/>
                <w:numId w:val="26"/>
              </w:numPr>
              <w:rPr>
                <w:i/>
              </w:rPr>
            </w:pPr>
            <w:r w:rsidRPr="000F31B2">
              <w:rPr>
                <w:i/>
              </w:rPr>
              <w:t xml:space="preserve">the proportion of the 20–24 year old Indigenous and low SES population having attained at least a year 12 or equivalent or </w:t>
            </w:r>
            <w:proofErr w:type="spellStart"/>
            <w:r w:rsidRPr="000F31B2">
              <w:rPr>
                <w:i/>
              </w:rPr>
              <w:t>AQF</w:t>
            </w:r>
            <w:proofErr w:type="spellEnd"/>
            <w:r w:rsidRPr="000F31B2">
              <w:rPr>
                <w:i/>
              </w:rPr>
              <w:t xml:space="preserve"> Certificate II and above</w:t>
            </w:r>
          </w:p>
          <w:p w:rsidR="000F2448" w:rsidRPr="000F31B2" w:rsidRDefault="000F2448" w:rsidP="00552D69">
            <w:pPr>
              <w:pStyle w:val="BoxListBullet2"/>
              <w:numPr>
                <w:ilvl w:val="0"/>
                <w:numId w:val="26"/>
              </w:numPr>
              <w:rPr>
                <w:i/>
              </w:rPr>
            </w:pPr>
            <w:r w:rsidRPr="000F31B2">
              <w:rPr>
                <w:i/>
              </w:rPr>
              <w:t>the proportion of young people participating in post-school education or training six months after school</w:t>
            </w:r>
          </w:p>
          <w:p w:rsidR="000F2448" w:rsidRPr="00965891" w:rsidRDefault="000F2448" w:rsidP="00552D69">
            <w:pPr>
              <w:pStyle w:val="BoxListBullet2"/>
              <w:numPr>
                <w:ilvl w:val="0"/>
                <w:numId w:val="26"/>
              </w:numPr>
            </w:pPr>
            <w:r w:rsidRPr="000F31B2">
              <w:rPr>
                <w:i/>
              </w:rPr>
              <w:t>the proportion of 18–24 year olds engaged in full time employment, education or training at or above Certificate III</w:t>
            </w:r>
            <w:r w:rsidRPr="00552D69">
              <w:t>.</w:t>
            </w:r>
          </w:p>
          <w:p w:rsidR="00072721" w:rsidRDefault="00072721" w:rsidP="00991F03">
            <w:pPr>
              <w:pStyle w:val="BoxListBullet"/>
              <w:numPr>
                <w:ilvl w:val="0"/>
                <w:numId w:val="1"/>
              </w:numPr>
            </w:pPr>
            <w:r>
              <w:t>Three performance indicators have a partial break in time series this year:</w:t>
            </w:r>
          </w:p>
          <w:p w:rsidR="00072721" w:rsidRDefault="002C08D2" w:rsidP="002C08D2">
            <w:pPr>
              <w:pStyle w:val="BoxListBullet2"/>
              <w:numPr>
                <w:ilvl w:val="0"/>
                <w:numId w:val="26"/>
              </w:numPr>
            </w:pPr>
            <w:r w:rsidRPr="002C08D2">
              <w:t>performance indicators 4, 5 and 11 report on reading</w:t>
            </w:r>
            <w:r>
              <w:t>, writing and numeracy achievement using NAPLAN data. Due to a change in the writing test in 2011, achievement in writing in 2011 is not comparable with data from previous years.</w:t>
            </w:r>
          </w:p>
          <w:p w:rsidR="000F2448" w:rsidRPr="006B52F8" w:rsidRDefault="000F2448" w:rsidP="00991F03">
            <w:pPr>
              <w:pStyle w:val="BoxListBullet"/>
              <w:numPr>
                <w:ilvl w:val="0"/>
                <w:numId w:val="1"/>
              </w:numPr>
            </w:pPr>
            <w:r>
              <w:t>Two</w:t>
            </w:r>
            <w:r w:rsidRPr="006B52F8">
              <w:t xml:space="preserve"> performance indicators </w:t>
            </w:r>
            <w:r w:rsidR="002949AF">
              <w:t xml:space="preserve">with measures using enrolment data have </w:t>
            </w:r>
            <w:r w:rsidRPr="006B52F8">
              <w:t>proportions greater than 100 per cent:</w:t>
            </w:r>
          </w:p>
          <w:p w:rsidR="000F2448" w:rsidRPr="00552D69" w:rsidRDefault="000F2448" w:rsidP="00552D69">
            <w:pPr>
              <w:pStyle w:val="BoxListBullet2"/>
              <w:numPr>
                <w:ilvl w:val="0"/>
                <w:numId w:val="26"/>
              </w:numPr>
            </w:pPr>
            <w:r w:rsidRPr="00965891">
              <w:rPr>
                <w:i/>
              </w:rPr>
              <w:t>the proportion of children (1) enrolled in and (2) attending school</w:t>
            </w:r>
            <w:r w:rsidRPr="00552D69">
              <w:t xml:space="preserve"> </w:t>
            </w:r>
            <w:r w:rsidR="00340FEC" w:rsidRPr="00965891">
              <w:t xml:space="preserve">— data </w:t>
            </w:r>
            <w:r w:rsidR="002949AF">
              <w:t xml:space="preserve">for the proportion enrolled are provided, but </w:t>
            </w:r>
            <w:r w:rsidR="00340FEC" w:rsidRPr="00965891">
              <w:t>should be used with caution</w:t>
            </w:r>
          </w:p>
          <w:p w:rsidR="00801652" w:rsidRDefault="000F2448" w:rsidP="00801652">
            <w:pPr>
              <w:pStyle w:val="BoxListBullet2"/>
              <w:numPr>
                <w:ilvl w:val="0"/>
                <w:numId w:val="26"/>
              </w:numPr>
              <w:jc w:val="left"/>
            </w:pPr>
            <w:r w:rsidRPr="002949AF">
              <w:rPr>
                <w:i/>
              </w:rPr>
              <w:t>the proportion of Indigenous and low SES children (1) enrolled in and (2) attending school</w:t>
            </w:r>
            <w:r w:rsidR="00801652">
              <w:rPr>
                <w:i/>
              </w:rPr>
              <w:t xml:space="preserve"> </w:t>
            </w:r>
            <w:r w:rsidR="00801652" w:rsidRPr="002949AF">
              <w:t>—</w:t>
            </w:r>
            <w:r w:rsidR="00801652">
              <w:t xml:space="preserve"> </w:t>
            </w:r>
            <w:r w:rsidR="00801652" w:rsidRPr="002949AF">
              <w:t xml:space="preserve">data for </w:t>
            </w:r>
            <w:r w:rsidR="00801652">
              <w:t>the proportion enrolled are not of sufficient quality to be reported. Actual numbers of enrolments are provided.</w:t>
            </w:r>
          </w:p>
          <w:p w:rsidR="000F2448" w:rsidRPr="00823457" w:rsidRDefault="000F2448" w:rsidP="000F2448">
            <w:pPr>
              <w:pStyle w:val="Box"/>
              <w:rPr>
                <w:b/>
              </w:rPr>
            </w:pPr>
            <w:r w:rsidRPr="00823457">
              <w:rPr>
                <w:b/>
              </w:rPr>
              <w:t>Performance targets</w:t>
            </w:r>
          </w:p>
          <w:p w:rsidR="000F2448" w:rsidRDefault="000F2448" w:rsidP="00991F03">
            <w:pPr>
              <w:pStyle w:val="BoxListBullet"/>
              <w:numPr>
                <w:ilvl w:val="0"/>
                <w:numId w:val="1"/>
              </w:numPr>
            </w:pPr>
            <w:r>
              <w:t>One does not have annual data and could not be updated for this report:</w:t>
            </w:r>
          </w:p>
          <w:p w:rsidR="00072721" w:rsidRPr="000F31B2" w:rsidRDefault="000F2448" w:rsidP="00552D69">
            <w:pPr>
              <w:pStyle w:val="BoxListBullet2"/>
              <w:numPr>
                <w:ilvl w:val="0"/>
                <w:numId w:val="26"/>
              </w:numPr>
              <w:rPr>
                <w:rFonts w:cs="Arial"/>
                <w:szCs w:val="22"/>
              </w:rPr>
            </w:pPr>
            <w:r w:rsidRPr="00552D69">
              <w:rPr>
                <w:i/>
              </w:rPr>
              <w:t xml:space="preserve">At </w:t>
            </w:r>
            <w:r w:rsidRPr="00965891">
              <w:rPr>
                <w:i/>
              </w:rPr>
              <w:t>least</w:t>
            </w:r>
            <w:r w:rsidRPr="00552D69">
              <w:rPr>
                <w:i/>
              </w:rPr>
              <w:t xml:space="preserve"> halve the gap for Indigenous students in Year 12 or equivalent attainment rates by 2020</w:t>
            </w:r>
            <w:r w:rsidRPr="00800886">
              <w:t>.</w:t>
            </w:r>
          </w:p>
          <w:p w:rsidR="00072721" w:rsidRDefault="00072721" w:rsidP="00072721">
            <w:pPr>
              <w:pStyle w:val="BoxListBullet"/>
              <w:numPr>
                <w:ilvl w:val="0"/>
                <w:numId w:val="1"/>
              </w:numPr>
            </w:pPr>
            <w:r>
              <w:t>One other performance target had a partial break in series, with a change in the writing test for the 2011 NAPLAN meaning 2011 results for writing are not comparable with previous years</w:t>
            </w:r>
            <w:r w:rsidR="002949AF">
              <w:t>’</w:t>
            </w:r>
            <w:r>
              <w:t xml:space="preserve"> data:</w:t>
            </w:r>
          </w:p>
          <w:p w:rsidR="00072721" w:rsidRPr="00DA19E3" w:rsidRDefault="00072721" w:rsidP="00DA19E3">
            <w:pPr>
              <w:pStyle w:val="BoxListBullet2"/>
              <w:numPr>
                <w:ilvl w:val="0"/>
                <w:numId w:val="26"/>
              </w:numPr>
            </w:pPr>
            <w:r w:rsidRPr="00552D69">
              <w:rPr>
                <w:i/>
              </w:rPr>
              <w:t>halve the gap for Indigenous students in reading, writing and numeracy within a decade</w:t>
            </w:r>
            <w:r>
              <w:t>.</w:t>
            </w:r>
          </w:p>
        </w:tc>
      </w:tr>
      <w:tr w:rsidR="000F2448" w:rsidTr="00C62F5B">
        <w:tblPrEx>
          <w:tblBorders>
            <w:top w:val="single" w:sz="6" w:space="0" w:color="auto"/>
            <w:left w:val="single" w:sz="6" w:space="0" w:color="auto"/>
            <w:bottom w:val="single" w:sz="6" w:space="0" w:color="auto"/>
            <w:right w:val="single" w:sz="6" w:space="0" w:color="auto"/>
          </w:tblBorders>
          <w:shd w:val="clear" w:color="auto" w:fill="auto"/>
        </w:tblPrEx>
        <w:trPr>
          <w:cantSplit/>
        </w:trPr>
        <w:tc>
          <w:tcPr>
            <w:tcW w:w="8771" w:type="dxa"/>
            <w:tcBorders>
              <w:top w:val="nil"/>
              <w:left w:val="single" w:sz="6" w:space="0" w:color="auto"/>
              <w:bottom w:val="single" w:sz="6" w:space="0" w:color="auto"/>
              <w:right w:val="single" w:sz="6" w:space="0" w:color="auto"/>
            </w:tcBorders>
            <w:shd w:val="clear" w:color="auto" w:fill="E6E6E6"/>
          </w:tcPr>
          <w:p w:rsidR="000F2448" w:rsidRDefault="000F2448" w:rsidP="00C62F5B">
            <w:pPr>
              <w:pStyle w:val="Box"/>
              <w:spacing w:before="0" w:line="120" w:lineRule="exact"/>
            </w:pPr>
          </w:p>
        </w:tc>
      </w:tr>
      <w:tr w:rsidR="000F2448" w:rsidRPr="00E744B0" w:rsidTr="00C62F5B">
        <w:tblPrEx>
          <w:tblBorders>
            <w:top w:val="single" w:sz="6" w:space="0" w:color="auto"/>
            <w:left w:val="single" w:sz="6" w:space="0" w:color="auto"/>
            <w:bottom w:val="single" w:sz="6" w:space="0" w:color="auto"/>
            <w:right w:val="single" w:sz="6" w:space="0" w:color="auto"/>
          </w:tblBorders>
          <w:shd w:val="clear" w:color="auto" w:fill="auto"/>
        </w:tblPrEx>
        <w:tc>
          <w:tcPr>
            <w:tcW w:w="8771" w:type="dxa"/>
            <w:tcBorders>
              <w:top w:val="nil"/>
              <w:left w:val="nil"/>
              <w:bottom w:val="nil"/>
              <w:right w:val="nil"/>
            </w:tcBorders>
          </w:tcPr>
          <w:p w:rsidR="000F2448" w:rsidRPr="00E744B0" w:rsidRDefault="000F2448" w:rsidP="00C62F5B">
            <w:pPr>
              <w:pStyle w:val="Box"/>
              <w:keepNext w:val="0"/>
              <w:spacing w:before="60" w:after="60" w:line="80" w:lineRule="exact"/>
              <w:rPr>
                <w:b/>
                <w:sz w:val="14"/>
              </w:rPr>
            </w:pPr>
          </w:p>
        </w:tc>
      </w:tr>
    </w:tbl>
    <w:p w:rsidR="00E7126F" w:rsidRDefault="00E7126F" w:rsidP="000A2042">
      <w:pPr>
        <w:pStyle w:val="Heading2"/>
      </w:pPr>
      <w:r>
        <w:br w:type="page"/>
      </w:r>
    </w:p>
    <w:p w:rsidR="00064BBE" w:rsidRPr="008640DB" w:rsidRDefault="00064BBE" w:rsidP="000A2042">
      <w:pPr>
        <w:pStyle w:val="Heading2"/>
      </w:pPr>
      <w:r w:rsidRPr="008640DB">
        <w:lastRenderedPageBreak/>
        <w:t>Changes from the previous National Education Agreement performance report</w:t>
      </w:r>
    </w:p>
    <w:p w:rsidR="00E5664D" w:rsidRPr="007B1701" w:rsidRDefault="00E5664D" w:rsidP="00E5664D">
      <w:pPr>
        <w:pStyle w:val="BodyText"/>
      </w:pPr>
      <w:bookmarkStart w:id="5" w:name="_Toc290470555"/>
      <w:r w:rsidRPr="00452BDA">
        <w:t>Table</w:t>
      </w:r>
      <w:r w:rsidR="00916A90">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"OLE_LINK4" \a \t </w:instrText>
      </w:r>
      <w:r w:rsidR="002A66B3">
        <w:fldChar w:fldCharType="separate"/>
      </w:r>
      <w:r w:rsidR="002A66B3">
        <w:t>1</w:t>
      </w:r>
      <w:r w:rsidR="002A66B3">
        <w:fldChar w:fldCharType="end"/>
      </w:r>
      <w:r w:rsidR="002A66B3">
        <w:t xml:space="preserve"> </w:t>
      </w:r>
      <w:r w:rsidRPr="00452BDA">
        <w:t>summarises</w:t>
      </w:r>
      <w:r>
        <w:t xml:space="preserve"> changes to indicator specifications, measures or data from the </w:t>
      </w:r>
      <w:r w:rsidR="00E7126F">
        <w:t>previous</w:t>
      </w:r>
      <w:r>
        <w:t xml:space="preserve"> NEA performance report.</w:t>
      </w:r>
    </w:p>
    <w:p w:rsidR="00E5664D" w:rsidRPr="00097F78" w:rsidRDefault="00E5664D" w:rsidP="00E5664D">
      <w:pPr>
        <w:pStyle w:val="Heading3"/>
      </w:pPr>
      <w:r w:rsidRPr="00097F78">
        <w:t>CRC advice to the Steering Committee on data requirements</w:t>
      </w:r>
      <w:bookmarkEnd w:id="5"/>
    </w:p>
    <w:p w:rsidR="00E5664D" w:rsidRDefault="00E5664D" w:rsidP="00E5664D">
      <w:pPr>
        <w:pStyle w:val="BodyText"/>
      </w:pPr>
      <w:r w:rsidRPr="008640DB">
        <w:t xml:space="preserve">The CRC </w:t>
      </w:r>
      <w:r>
        <w:t xml:space="preserve">recommended </w:t>
      </w:r>
      <w:r w:rsidRPr="008640DB">
        <w:t xml:space="preserve">changes to indicators in </w:t>
      </w:r>
      <w:r>
        <w:t>its</w:t>
      </w:r>
      <w:r w:rsidRPr="008640DB">
        <w:t xml:space="preserve"> </w:t>
      </w:r>
      <w:r>
        <w:t xml:space="preserve">first </w:t>
      </w:r>
      <w:r w:rsidR="0034418F">
        <w:t xml:space="preserve">two </w:t>
      </w:r>
      <w:r>
        <w:t>NEA</w:t>
      </w:r>
      <w:r w:rsidRPr="008640DB">
        <w:t xml:space="preserve"> report</w:t>
      </w:r>
      <w:r w:rsidR="0034418F">
        <w:t>s</w:t>
      </w:r>
      <w:r>
        <w:t xml:space="preserve"> to COAG (CRC </w:t>
      </w:r>
      <w:r w:rsidRPr="00DE354D">
        <w:t>2009</w:t>
      </w:r>
      <w:r w:rsidR="006E4AC7">
        <w:t xml:space="preserve">, </w:t>
      </w:r>
      <w:r w:rsidR="0034418F" w:rsidRPr="00DE354D">
        <w:t>2010</w:t>
      </w:r>
      <w:r w:rsidRPr="00DE354D">
        <w:t>).</w:t>
      </w:r>
      <w:r w:rsidRPr="008640DB">
        <w:t xml:space="preserve"> This is consistent with the CRC’s role under the IGA that ‘the [CRC] may advise on where changes might be made to the performance reporting framework’ [IGA para </w:t>
      </w:r>
      <w:proofErr w:type="spellStart"/>
      <w:r w:rsidRPr="008640DB">
        <w:t>C30</w:t>
      </w:r>
      <w:proofErr w:type="spellEnd"/>
      <w:r w:rsidRPr="008640DB">
        <w:t xml:space="preserve">]. The </w:t>
      </w:r>
      <w:r>
        <w:t xml:space="preserve">first </w:t>
      </w:r>
      <w:r w:rsidRPr="008640DB">
        <w:t>CRC report</w:t>
      </w:r>
      <w:r>
        <w:t xml:space="preserve"> was en</w:t>
      </w:r>
      <w:r w:rsidR="001D5B77">
        <w:t>dorsed by COAG in December 2009</w:t>
      </w:r>
      <w:r>
        <w:t xml:space="preserve"> and</w:t>
      </w:r>
      <w:r w:rsidR="0034418F">
        <w:t xml:space="preserve"> the second was endorsed in June 2011.</w:t>
      </w:r>
      <w:r>
        <w:t xml:space="preserve"> </w:t>
      </w:r>
      <w:r w:rsidR="0034418F">
        <w:t>W</w:t>
      </w:r>
      <w:r>
        <w:t>here practicable, the Steering Committee</w:t>
      </w:r>
      <w:r w:rsidR="00A37169">
        <w:t xml:space="preserve"> has</w:t>
      </w:r>
      <w:r>
        <w:t xml:space="preserve"> incorporated the CRC recommendations in its report</w:t>
      </w:r>
      <w:r w:rsidR="0034418F">
        <w:t>s</w:t>
      </w:r>
      <w:r>
        <w:t xml:space="preserve"> to the CRC.</w:t>
      </w:r>
    </w:p>
    <w:p w:rsidR="0034418F" w:rsidRDefault="0034418F" w:rsidP="0034418F">
      <w:pPr>
        <w:pStyle w:val="BodyText"/>
      </w:pPr>
      <w:r>
        <w:t xml:space="preserve">The CRC advised the Steering Committee that no changes were required to NEA indicators </w:t>
      </w:r>
      <w:r w:rsidR="006E4AC7">
        <w:t xml:space="preserve">for </w:t>
      </w:r>
      <w:r w:rsidR="00A37169">
        <w:t xml:space="preserve">this </w:t>
      </w:r>
      <w:r>
        <w:t xml:space="preserve">report. </w:t>
      </w:r>
    </w:p>
    <w:p w:rsidR="00A37169" w:rsidRDefault="00A37169" w:rsidP="006E4AC7">
      <w:pPr>
        <w:pStyle w:val="Heading3"/>
      </w:pPr>
      <w:r>
        <w:t>Other sources of changes</w:t>
      </w:r>
    </w:p>
    <w:p w:rsidR="007D6FFA" w:rsidRDefault="007D6FFA" w:rsidP="0034418F">
      <w:pPr>
        <w:pStyle w:val="BodyText"/>
      </w:pPr>
      <w:r>
        <w:t>Two other sources of change have impacted on reporting for this cycle:</w:t>
      </w:r>
    </w:p>
    <w:p w:rsidR="007D6FFA" w:rsidRDefault="007D6FFA" w:rsidP="00441E02">
      <w:pPr>
        <w:pStyle w:val="ListBullet"/>
      </w:pPr>
      <w:r>
        <w:t>The revised performance indicator framework for the NIRA (</w:t>
      </w:r>
      <w:r w:rsidR="00FC0949">
        <w:t>endorsed by COAG out of session in July 2012</w:t>
      </w:r>
      <w:r>
        <w:t>) — education/training related indicators in the revised framework are included in this report</w:t>
      </w:r>
    </w:p>
    <w:p w:rsidR="007D6FFA" w:rsidRDefault="007D6FFA" w:rsidP="00C41E1E">
      <w:pPr>
        <w:pStyle w:val="ListBullet"/>
      </w:pPr>
      <w:r>
        <w:t>Data quality issues in relation to updated SEW</w:t>
      </w:r>
      <w:r w:rsidR="00441E02">
        <w:t xml:space="preserve"> population</w:t>
      </w:r>
      <w:r>
        <w:t xml:space="preserve"> benchmarks</w:t>
      </w:r>
      <w:r w:rsidR="00441E02">
        <w:t xml:space="preserve"> (leading to revised 2010 SEW data) and enrolment rates by Indigenous status.</w:t>
      </w:r>
    </w:p>
    <w:p w:rsidR="00FC09CE" w:rsidRDefault="00FC09CE" w:rsidP="00BC39BE">
      <w:pPr>
        <w:pStyle w:val="TableTitle"/>
      </w:pPr>
      <w:r w:rsidRPr="00C220A8">
        <w:rPr>
          <w:b w:val="0"/>
        </w:rPr>
        <w:lastRenderedPageBreak/>
        <w:t xml:space="preserve">Table </w:t>
      </w:r>
      <w:bookmarkStart w:id="6" w:name="OLE_LINK4"/>
      <w:r w:rsidR="00452BDA">
        <w:rPr>
          <w:b w:val="0"/>
        </w:rPr>
        <w:fldChar w:fldCharType="begin"/>
      </w:r>
      <w:r w:rsidR="00452BDA">
        <w:rPr>
          <w:b w:val="0"/>
        </w:rPr>
        <w:instrText xml:space="preserve"> SEQ Table \* ARABIC </w:instrText>
      </w:r>
      <w:r w:rsidR="00452BDA">
        <w:rPr>
          <w:b w:val="0"/>
        </w:rPr>
        <w:fldChar w:fldCharType="separate"/>
      </w:r>
      <w:r w:rsidR="00936B93">
        <w:rPr>
          <w:b w:val="0"/>
          <w:noProof/>
        </w:rPr>
        <w:t>1</w:t>
      </w:r>
      <w:r w:rsidR="00452BDA">
        <w:rPr>
          <w:b w:val="0"/>
        </w:rPr>
        <w:fldChar w:fldCharType="end"/>
      </w:r>
      <w:bookmarkEnd w:id="6"/>
      <w:r>
        <w:tab/>
        <w:t>Changes from the previous NEA performance report</w:t>
      </w:r>
    </w:p>
    <w:tbl>
      <w:tblPr>
        <w:tblW w:w="5000" w:type="pct"/>
        <w:tblCellMar>
          <w:left w:w="0" w:type="dxa"/>
          <w:right w:w="0" w:type="dxa"/>
        </w:tblCellMar>
        <w:tblLook w:val="0000" w:firstRow="0" w:lastRow="0" w:firstColumn="0" w:lastColumn="0" w:noHBand="0" w:noVBand="0"/>
      </w:tblPr>
      <w:tblGrid>
        <w:gridCol w:w="4394"/>
        <w:gridCol w:w="4395"/>
      </w:tblGrid>
      <w:tr w:rsidR="00FC09CE" w:rsidTr="00FC0949">
        <w:tc>
          <w:tcPr>
            <w:tcW w:w="2500" w:type="pct"/>
            <w:tcBorders>
              <w:top w:val="single" w:sz="6" w:space="0" w:color="auto"/>
              <w:bottom w:val="single" w:sz="4" w:space="0" w:color="auto"/>
            </w:tcBorders>
            <w:shd w:val="clear" w:color="auto" w:fill="auto"/>
          </w:tcPr>
          <w:p w:rsidR="00FC09CE" w:rsidRDefault="00FC09CE" w:rsidP="00E13915">
            <w:pPr>
              <w:pStyle w:val="TableColumnHeading"/>
              <w:jc w:val="left"/>
            </w:pPr>
            <w:r>
              <w:t>Indicator</w:t>
            </w:r>
          </w:p>
        </w:tc>
        <w:tc>
          <w:tcPr>
            <w:tcW w:w="2500" w:type="pct"/>
            <w:tcBorders>
              <w:top w:val="single" w:sz="6" w:space="0" w:color="auto"/>
              <w:bottom w:val="single" w:sz="4" w:space="0" w:color="auto"/>
            </w:tcBorders>
            <w:shd w:val="clear" w:color="auto" w:fill="auto"/>
          </w:tcPr>
          <w:p w:rsidR="00FC09CE" w:rsidRDefault="00FC09CE" w:rsidP="00E13915">
            <w:pPr>
              <w:pStyle w:val="TableColumnHeading"/>
              <w:ind w:right="28"/>
              <w:jc w:val="left"/>
            </w:pPr>
            <w:r>
              <w:t>Change</w:t>
            </w:r>
          </w:p>
        </w:tc>
      </w:tr>
      <w:tr w:rsidR="00E7126F" w:rsidRPr="00390F46" w:rsidTr="00FC0949">
        <w:tc>
          <w:tcPr>
            <w:tcW w:w="2500" w:type="pct"/>
            <w:tcBorders>
              <w:top w:val="single" w:sz="4" w:space="0" w:color="auto"/>
              <w:bottom w:val="dotted" w:sz="4" w:space="0" w:color="auto"/>
            </w:tcBorders>
          </w:tcPr>
          <w:p w:rsidR="00E7126F" w:rsidRDefault="00A37169" w:rsidP="00E7126F">
            <w:pPr>
              <w:pStyle w:val="TableBodyText"/>
              <w:spacing w:before="80"/>
              <w:jc w:val="left"/>
            </w:pPr>
            <w:r>
              <w:t xml:space="preserve">NEA </w:t>
            </w:r>
            <w:r w:rsidR="00E7126F">
              <w:t>Performance target (</w:t>
            </w:r>
            <w:proofErr w:type="spellStart"/>
            <w:r w:rsidR="00E7126F">
              <w:t>a.1</w:t>
            </w:r>
            <w:proofErr w:type="spellEnd"/>
            <w:r w:rsidR="00E7126F">
              <w:t>) —</w:t>
            </w:r>
            <w:r w:rsidR="00E7126F" w:rsidRPr="00FB6E71">
              <w:t xml:space="preserve"> </w:t>
            </w:r>
            <w:r w:rsidR="00E7126F">
              <w:t>lift the Year 12 or equivalent attainment rate to 90 per</w:t>
            </w:r>
            <w:r w:rsidR="0006175B">
              <w:t> </w:t>
            </w:r>
            <w:r w:rsidR="00E7126F">
              <w:t>cent by 2015</w:t>
            </w:r>
          </w:p>
          <w:p w:rsidR="00E7126F" w:rsidRDefault="00A37169" w:rsidP="00E7126F">
            <w:pPr>
              <w:pStyle w:val="TableBodyText"/>
              <w:spacing w:before="80"/>
              <w:jc w:val="left"/>
            </w:pPr>
            <w:r>
              <w:t xml:space="preserve">NEA </w:t>
            </w:r>
            <w:r w:rsidR="00E7126F">
              <w:t>Performance target (</w:t>
            </w:r>
            <w:proofErr w:type="spellStart"/>
            <w:r w:rsidR="00E7126F">
              <w:t>a.2</w:t>
            </w:r>
            <w:proofErr w:type="spellEnd"/>
            <w:r w:rsidR="00E7126F">
              <w:t>) —</w:t>
            </w:r>
            <w:r w:rsidR="00E7126F" w:rsidRPr="00FB6E71">
              <w:t xml:space="preserve"> </w:t>
            </w:r>
            <w:r w:rsidR="00E7126F">
              <w:t>lift the Year 12 or equivalent attainment rate to 90 per</w:t>
            </w:r>
            <w:r w:rsidR="0006175B">
              <w:t> </w:t>
            </w:r>
            <w:r w:rsidR="00E7126F">
              <w:t>cent by 2020</w:t>
            </w:r>
          </w:p>
          <w:p w:rsidR="00E7126F" w:rsidRDefault="00E7126F" w:rsidP="00E7126F">
            <w:pPr>
              <w:pStyle w:val="TableBodyText"/>
              <w:spacing w:before="80"/>
              <w:jc w:val="left"/>
            </w:pPr>
            <w:r>
              <w:t>NEA Indicator 7</w:t>
            </w:r>
            <w:r w:rsidRPr="003870A8">
              <w:t xml:space="preserve">. The proportion of the </w:t>
            </w:r>
            <w:r>
              <w:t>20 to 24</w:t>
            </w:r>
            <w:r w:rsidRPr="003870A8">
              <w:t xml:space="preserve"> year old population having attained at </w:t>
            </w:r>
            <w:r>
              <w:t>least a year 12 or equivalent or</w:t>
            </w:r>
            <w:r w:rsidRPr="003870A8">
              <w:t xml:space="preserve"> </w:t>
            </w:r>
            <w:proofErr w:type="spellStart"/>
            <w:r w:rsidRPr="003870A8">
              <w:t>AQF</w:t>
            </w:r>
            <w:proofErr w:type="spellEnd"/>
            <w:r w:rsidRPr="003870A8">
              <w:t xml:space="preserve"> Certificate</w:t>
            </w:r>
            <w:r>
              <w:t xml:space="preserve"> Level</w:t>
            </w:r>
            <w:r w:rsidRPr="003870A8">
              <w:t xml:space="preserve"> II</w:t>
            </w:r>
            <w:r>
              <w:t xml:space="preserve"> or above</w:t>
            </w:r>
          </w:p>
          <w:p w:rsidR="00E7126F" w:rsidRDefault="00E7126F" w:rsidP="00E7126F">
            <w:pPr>
              <w:pStyle w:val="TableBodyText"/>
              <w:spacing w:before="80"/>
              <w:jc w:val="left"/>
            </w:pPr>
            <w:r>
              <w:t>NEA Indicator 8 (relevant to SES only)</w:t>
            </w:r>
            <w:r w:rsidRPr="00BD31F7">
              <w:t xml:space="preserve">. The proportion of the </w:t>
            </w:r>
            <w:r>
              <w:t>20 to 24</w:t>
            </w:r>
            <w:r w:rsidRPr="00BD31F7">
              <w:t xml:space="preserve"> year old Indigenous and low SES population having attained at least a year 12 or equivalent o</w:t>
            </w:r>
            <w:r>
              <w:t>r</w:t>
            </w:r>
            <w:r w:rsidRPr="00BD31F7">
              <w:t xml:space="preserve"> </w:t>
            </w:r>
            <w:proofErr w:type="spellStart"/>
            <w:r w:rsidRPr="00BD31F7">
              <w:t>AQF</w:t>
            </w:r>
            <w:proofErr w:type="spellEnd"/>
            <w:r w:rsidRPr="00BD31F7">
              <w:t xml:space="preserve"> Certificate II</w:t>
            </w:r>
            <w:r w:rsidR="004D4446">
              <w:t xml:space="preserve"> and above</w:t>
            </w:r>
          </w:p>
          <w:p w:rsidR="00E7126F" w:rsidRDefault="00E7126F" w:rsidP="00E7126F">
            <w:pPr>
              <w:pStyle w:val="TableBodyText"/>
              <w:spacing w:before="80"/>
              <w:jc w:val="left"/>
            </w:pPr>
            <w:r>
              <w:t>NEA Indicator 9</w:t>
            </w:r>
            <w:r w:rsidRPr="00223AA2">
              <w:t>. The proportion of young people participating in post school education or training six months after school</w:t>
            </w:r>
          </w:p>
          <w:p w:rsidR="00E7126F" w:rsidRPr="002D7DFC" w:rsidRDefault="00E7126F" w:rsidP="00E7126F">
            <w:pPr>
              <w:pStyle w:val="TableBodyText"/>
              <w:spacing w:before="80"/>
              <w:jc w:val="left"/>
            </w:pPr>
            <w:r>
              <w:t>NEA Indicator 10</w:t>
            </w:r>
            <w:r w:rsidRPr="00815A7A">
              <w:t>. The proportion of 18 to 24 year olds engaged in full time employment, education or t</w:t>
            </w:r>
            <w:r>
              <w:t>raining at or above Certificate </w:t>
            </w:r>
            <w:r w:rsidRPr="00815A7A">
              <w:t>III</w:t>
            </w:r>
          </w:p>
        </w:tc>
        <w:tc>
          <w:tcPr>
            <w:tcW w:w="2500" w:type="pct"/>
            <w:tcBorders>
              <w:top w:val="single" w:sz="4" w:space="0" w:color="auto"/>
              <w:bottom w:val="dotted" w:sz="4" w:space="0" w:color="auto"/>
            </w:tcBorders>
          </w:tcPr>
          <w:p w:rsidR="00E7126F" w:rsidRPr="00407328" w:rsidRDefault="00E7126F" w:rsidP="00E7126F">
            <w:pPr>
              <w:pStyle w:val="TableBodyText"/>
              <w:spacing w:before="80"/>
              <w:jc w:val="left"/>
            </w:pPr>
            <w:r w:rsidRPr="00407328">
              <w:t>Data for 2010 have been revised due to amendments to the 2010 SEW population benchmarks:</w:t>
            </w:r>
          </w:p>
          <w:p w:rsidR="00E7126F" w:rsidRPr="00407328" w:rsidRDefault="00E7126F" w:rsidP="00E7126F">
            <w:pPr>
              <w:pStyle w:val="TableBullet"/>
            </w:pPr>
            <w:r w:rsidRPr="00407328">
              <w:t>Net Overseas Migration estimates used in calculating the population benchmarks have been revised</w:t>
            </w:r>
          </w:p>
          <w:p w:rsidR="00E7126F" w:rsidRPr="004F4FF6" w:rsidRDefault="00E7126F" w:rsidP="00E7126F">
            <w:pPr>
              <w:pStyle w:val="TableBullet"/>
            </w:pPr>
            <w:r w:rsidRPr="00407328">
              <w:t>the population benchmarks had to align with the survey scope for the Northern Territory (NT) in relation to Indigenous communities in very remote areas.</w:t>
            </w:r>
          </w:p>
        </w:tc>
      </w:tr>
      <w:tr w:rsidR="002D7DFC" w:rsidRPr="00390F46" w:rsidTr="00FC0949">
        <w:tc>
          <w:tcPr>
            <w:tcW w:w="2500" w:type="pct"/>
            <w:tcBorders>
              <w:top w:val="dotted" w:sz="4" w:space="0" w:color="auto"/>
              <w:bottom w:val="dotted" w:sz="4" w:space="0" w:color="auto"/>
            </w:tcBorders>
          </w:tcPr>
          <w:p w:rsidR="002D7DFC" w:rsidRDefault="002D7DFC" w:rsidP="00E7126F">
            <w:pPr>
              <w:pStyle w:val="TableBodyText"/>
              <w:spacing w:before="80"/>
              <w:jc w:val="left"/>
            </w:pPr>
            <w:r>
              <w:t>NEA Performance target (b) — Halve the gap for Indigenous students in reading, writing and numeracy within a decade</w:t>
            </w:r>
          </w:p>
          <w:p w:rsidR="002D7DFC" w:rsidRDefault="002D7DFC" w:rsidP="00E7126F">
            <w:pPr>
              <w:pStyle w:val="TableBodyText"/>
              <w:spacing w:before="80"/>
              <w:jc w:val="left"/>
            </w:pPr>
            <w:r>
              <w:t>NEA Indicator 4. Literacy and numeracy achievement of year 3, 5, 7 and 9 students in national testing</w:t>
            </w:r>
          </w:p>
          <w:p w:rsidR="002D7DFC" w:rsidRDefault="002D7DFC" w:rsidP="002D7DFC">
            <w:pPr>
              <w:pStyle w:val="TableBodyText"/>
              <w:spacing w:before="80"/>
              <w:jc w:val="left"/>
            </w:pPr>
            <w:r>
              <w:t xml:space="preserve">NEA Indicator 5. </w:t>
            </w:r>
            <w:r w:rsidRPr="00F018C3">
              <w:t>Literacy and numeracy achievement of year 3, 5, 7 and 9 Indigenous and low SES students in national testing</w:t>
            </w:r>
          </w:p>
          <w:p w:rsidR="002D7DFC" w:rsidRDefault="002D7DFC" w:rsidP="002D7DFC">
            <w:pPr>
              <w:pStyle w:val="TableBodyText"/>
              <w:spacing w:before="80"/>
              <w:jc w:val="left"/>
            </w:pPr>
            <w:r>
              <w:t>NEA Indicator 11 [NIRA]</w:t>
            </w:r>
            <w:r w:rsidRPr="006C1C4C">
              <w:t>. Percentage of students at or above the national minimum standard in reading, writing and numeracy for years 3, 5, 7, 9</w:t>
            </w:r>
          </w:p>
          <w:p w:rsidR="002D7DFC" w:rsidRDefault="002D7DFC" w:rsidP="002D7DFC">
            <w:pPr>
              <w:pStyle w:val="TableBodyText"/>
              <w:spacing w:before="80"/>
              <w:jc w:val="left"/>
            </w:pPr>
          </w:p>
        </w:tc>
        <w:tc>
          <w:tcPr>
            <w:tcW w:w="2500" w:type="pct"/>
            <w:tcBorders>
              <w:top w:val="dotted" w:sz="4" w:space="0" w:color="auto"/>
              <w:left w:val="nil"/>
              <w:bottom w:val="dotted" w:sz="4" w:space="0" w:color="auto"/>
            </w:tcBorders>
          </w:tcPr>
          <w:p w:rsidR="002D7DFC" w:rsidRPr="00407328" w:rsidRDefault="002D7DFC" w:rsidP="001D1AAB">
            <w:pPr>
              <w:pStyle w:val="TableBullet"/>
              <w:spacing w:before="120"/>
            </w:pPr>
            <w:r w:rsidRPr="00CE019A">
              <w:t>F</w:t>
            </w:r>
            <w:r w:rsidR="00984277">
              <w:t>rom 2011, the NAPLAN writing tes</w:t>
            </w:r>
            <w:r w:rsidRPr="00CE019A">
              <w:t>t was assessed on a persuasive te</w:t>
            </w:r>
            <w:r w:rsidR="00AA4018">
              <w:t>x</w:t>
            </w:r>
            <w:r w:rsidRPr="00CE019A">
              <w:t xml:space="preserve">t, rather than the narrative text used in previous years. Results for NAPLAN writing from 2011 are not comparable with results for </w:t>
            </w:r>
            <w:r w:rsidR="00965891">
              <w:t xml:space="preserve">prior </w:t>
            </w:r>
            <w:r w:rsidRPr="00CE019A">
              <w:t>years</w:t>
            </w:r>
            <w:r>
              <w:t>.</w:t>
            </w:r>
          </w:p>
        </w:tc>
      </w:tr>
      <w:tr w:rsidR="00E7126F" w:rsidRPr="00390F46" w:rsidTr="00FC0949">
        <w:tblPrEx>
          <w:tblCellMar>
            <w:left w:w="108" w:type="dxa"/>
            <w:right w:w="108" w:type="dxa"/>
          </w:tblCellMar>
        </w:tblPrEx>
        <w:tc>
          <w:tcPr>
            <w:tcW w:w="2500" w:type="pct"/>
            <w:tcBorders>
              <w:top w:val="dotted" w:sz="4" w:space="0" w:color="auto"/>
              <w:bottom w:val="dotted" w:sz="4" w:space="0" w:color="auto"/>
            </w:tcBorders>
            <w:shd w:val="clear" w:color="auto" w:fill="auto"/>
          </w:tcPr>
          <w:p w:rsidR="00E7126F" w:rsidRDefault="00E7126F" w:rsidP="00D3530D">
            <w:pPr>
              <w:pStyle w:val="TableBodyText"/>
              <w:spacing w:before="80"/>
              <w:ind w:left="-108"/>
              <w:jc w:val="left"/>
            </w:pPr>
            <w:r>
              <w:t>NEA Indicator 2. The proportion of Indigenous and low SES children enrolled in and attending school</w:t>
            </w:r>
          </w:p>
        </w:tc>
        <w:tc>
          <w:tcPr>
            <w:tcW w:w="2500" w:type="pct"/>
            <w:tcBorders>
              <w:top w:val="dotted" w:sz="4" w:space="0" w:color="auto"/>
              <w:bottom w:val="dotted" w:sz="4" w:space="0" w:color="auto"/>
            </w:tcBorders>
            <w:shd w:val="clear" w:color="auto" w:fill="auto"/>
          </w:tcPr>
          <w:p w:rsidR="00E7126F" w:rsidRPr="00B35EB2" w:rsidRDefault="00E7126F" w:rsidP="00E7126F">
            <w:pPr>
              <w:pStyle w:val="TableBullet"/>
              <w:spacing w:before="80"/>
              <w:rPr>
                <w:i/>
              </w:rPr>
            </w:pPr>
            <w:r>
              <w:t>Data on the proportion of Indigenous children enrolled in school have not been reported this year due to data quality issues</w:t>
            </w:r>
          </w:p>
        </w:tc>
      </w:tr>
      <w:tr w:rsidR="00E7126F" w:rsidRPr="006C1C4C" w:rsidTr="00FC0949">
        <w:tblPrEx>
          <w:tblCellMar>
            <w:left w:w="108" w:type="dxa"/>
            <w:right w:w="108" w:type="dxa"/>
          </w:tblCellMar>
        </w:tblPrEx>
        <w:tc>
          <w:tcPr>
            <w:tcW w:w="2500" w:type="pct"/>
            <w:tcBorders>
              <w:top w:val="dotted" w:sz="4" w:space="0" w:color="auto"/>
              <w:bottom w:val="dotted" w:sz="4" w:space="0" w:color="auto"/>
            </w:tcBorders>
            <w:shd w:val="clear" w:color="auto" w:fill="auto"/>
          </w:tcPr>
          <w:p w:rsidR="00E7126F" w:rsidRPr="006C1C4C" w:rsidRDefault="00E7126F" w:rsidP="00D3530D">
            <w:pPr>
              <w:pStyle w:val="TableBodyText"/>
              <w:spacing w:before="120"/>
              <w:ind w:left="-108"/>
              <w:jc w:val="left"/>
            </w:pPr>
            <w:r w:rsidRPr="006C1C4C">
              <w:t>NEA Indicator 11</w:t>
            </w:r>
            <w:r>
              <w:t xml:space="preserve"> [NIRA]</w:t>
            </w:r>
            <w:r w:rsidRPr="006C1C4C">
              <w:t>. Percentage of students at or above the national minimum standard in reading, writing and numeracy for years 3, 5, 7, 9</w:t>
            </w:r>
          </w:p>
        </w:tc>
        <w:tc>
          <w:tcPr>
            <w:tcW w:w="2500" w:type="pct"/>
            <w:tcBorders>
              <w:top w:val="dotted" w:sz="4" w:space="0" w:color="auto"/>
              <w:bottom w:val="dotted" w:sz="4" w:space="0" w:color="auto"/>
            </w:tcBorders>
            <w:shd w:val="clear" w:color="auto" w:fill="auto"/>
          </w:tcPr>
          <w:p w:rsidR="00E7126F" w:rsidRPr="006C1C4C" w:rsidRDefault="00E7126F" w:rsidP="00E7126F">
            <w:pPr>
              <w:pStyle w:val="TableBullet"/>
              <w:spacing w:before="120"/>
            </w:pPr>
            <w:r w:rsidRPr="006C1C4C">
              <w:t>Under the revised NIRA, this PI has two measures. The first is the existing measure in relation to achievement, the second is the measure related to participation (previously reported as a separate NIRA indicator).</w:t>
            </w:r>
          </w:p>
        </w:tc>
      </w:tr>
      <w:tr w:rsidR="00E7126F" w:rsidRPr="006C1C4C" w:rsidTr="00FC0949">
        <w:tblPrEx>
          <w:tblCellMar>
            <w:left w:w="108" w:type="dxa"/>
            <w:right w:w="108" w:type="dxa"/>
          </w:tblCellMar>
        </w:tblPrEx>
        <w:tc>
          <w:tcPr>
            <w:tcW w:w="2500" w:type="pct"/>
            <w:tcBorders>
              <w:top w:val="dotted" w:sz="4" w:space="0" w:color="auto"/>
              <w:bottom w:val="dotted" w:sz="4" w:space="0" w:color="auto"/>
            </w:tcBorders>
            <w:shd w:val="clear" w:color="auto" w:fill="auto"/>
          </w:tcPr>
          <w:p w:rsidR="00E7126F" w:rsidRDefault="00E7126F" w:rsidP="00D3530D">
            <w:pPr>
              <w:pStyle w:val="TableBodyText"/>
              <w:spacing w:before="120"/>
              <w:ind w:left="-108"/>
              <w:jc w:val="left"/>
            </w:pPr>
            <w:r>
              <w:t>NEA Indicator 13 [NIRA]. Attainment of year 12 or equivalent</w:t>
            </w:r>
          </w:p>
        </w:tc>
        <w:tc>
          <w:tcPr>
            <w:tcW w:w="2500" w:type="pct"/>
            <w:tcBorders>
              <w:top w:val="dotted" w:sz="4" w:space="0" w:color="auto"/>
              <w:bottom w:val="dotted" w:sz="4" w:space="0" w:color="auto"/>
            </w:tcBorders>
            <w:shd w:val="clear" w:color="auto" w:fill="auto"/>
          </w:tcPr>
          <w:p w:rsidR="00E7126F" w:rsidRPr="00B35EB2" w:rsidRDefault="00E7126F" w:rsidP="00D3530D">
            <w:pPr>
              <w:pStyle w:val="TableBullet"/>
              <w:spacing w:before="120"/>
            </w:pPr>
            <w:r>
              <w:t xml:space="preserve">Under the revised NIRA, this PI has two measures. The first is the existing measure on attainment of year 12 or equivalent or above. The second measure is new and is </w:t>
            </w:r>
            <w:r>
              <w:lastRenderedPageBreak/>
              <w:t>related to year 12 certification. .A measure is yet to be developed for Year 12 certification</w:t>
            </w:r>
          </w:p>
        </w:tc>
      </w:tr>
      <w:tr w:rsidR="00E7126F" w:rsidRPr="006C1C4C" w:rsidTr="00FC0949">
        <w:tblPrEx>
          <w:tblCellMar>
            <w:left w:w="108" w:type="dxa"/>
            <w:right w:w="108" w:type="dxa"/>
          </w:tblCellMar>
        </w:tblPrEx>
        <w:tc>
          <w:tcPr>
            <w:tcW w:w="2500" w:type="pct"/>
            <w:tcBorders>
              <w:top w:val="dotted" w:sz="4" w:space="0" w:color="auto"/>
              <w:bottom w:val="single" w:sz="4" w:space="0" w:color="auto"/>
            </w:tcBorders>
            <w:shd w:val="clear" w:color="auto" w:fill="auto"/>
          </w:tcPr>
          <w:p w:rsidR="00E7126F" w:rsidRDefault="00E7126F" w:rsidP="00D3530D">
            <w:pPr>
              <w:pStyle w:val="TableBodyText"/>
              <w:spacing w:before="120"/>
              <w:ind w:left="-108"/>
              <w:jc w:val="left"/>
            </w:pPr>
            <w:r>
              <w:lastRenderedPageBreak/>
              <w:t>Apparent retention rates from year 7/8 to year 10/12</w:t>
            </w:r>
          </w:p>
          <w:p w:rsidR="00E7126F" w:rsidRPr="006C1C4C" w:rsidRDefault="00E7126F" w:rsidP="001B1E03">
            <w:pPr>
              <w:pStyle w:val="TableBodyText"/>
              <w:spacing w:before="120"/>
              <w:ind w:left="-108"/>
              <w:jc w:val="left"/>
            </w:pPr>
            <w:r w:rsidRPr="000D66A9">
              <w:t>The proportion of Indigenous 18 to 24 year olds engaged in full</w:t>
            </w:r>
            <w:r w:rsidR="001B1E03">
              <w:t xml:space="preserve"> </w:t>
            </w:r>
            <w:r w:rsidRPr="000D66A9">
              <w:t>time employment, education or t</w:t>
            </w:r>
            <w:r w:rsidR="00EE3827">
              <w:t>raining at or above Certificate </w:t>
            </w:r>
            <w:r w:rsidRPr="000D66A9">
              <w:t>III</w:t>
            </w:r>
          </w:p>
        </w:tc>
        <w:tc>
          <w:tcPr>
            <w:tcW w:w="2500" w:type="pct"/>
            <w:tcBorders>
              <w:top w:val="dotted" w:sz="4" w:space="0" w:color="auto"/>
              <w:bottom w:val="single" w:sz="4" w:space="0" w:color="auto"/>
            </w:tcBorders>
            <w:shd w:val="clear" w:color="auto" w:fill="auto"/>
          </w:tcPr>
          <w:p w:rsidR="00E7126F" w:rsidRPr="006C1C4C" w:rsidRDefault="00E7126F" w:rsidP="00D252AB">
            <w:pPr>
              <w:pStyle w:val="TableBullet"/>
              <w:spacing w:before="120"/>
            </w:pPr>
            <w:r>
              <w:t>These indicators have been removed from the revised NIRA</w:t>
            </w:r>
            <w:r w:rsidR="00D252AB">
              <w:t xml:space="preserve"> performance indicator framework</w:t>
            </w:r>
            <w:r>
              <w:t xml:space="preserve"> </w:t>
            </w:r>
            <w:r w:rsidR="00621718">
              <w:t>(</w:t>
            </w:r>
            <w:r w:rsidR="00D252AB">
              <w:t>endorsed by COAG out of session in July 2012</w:t>
            </w:r>
            <w:r w:rsidR="00621718">
              <w:t xml:space="preserve">) </w:t>
            </w:r>
            <w:r>
              <w:t xml:space="preserve">and will no longer be reported against in this report. </w:t>
            </w:r>
          </w:p>
        </w:tc>
      </w:tr>
    </w:tbl>
    <w:p w:rsidR="000A2042" w:rsidRPr="005518C1" w:rsidRDefault="001A6749" w:rsidP="00CF5BF8">
      <w:pPr>
        <w:pStyle w:val="Heading2"/>
      </w:pPr>
      <w:r>
        <w:br w:type="page"/>
      </w:r>
      <w:r w:rsidR="000A2042" w:rsidRPr="005518C1">
        <w:lastRenderedPageBreak/>
        <w:t xml:space="preserve">Context for National </w:t>
      </w:r>
      <w:r w:rsidR="007C0D3B">
        <w:t>Education</w:t>
      </w:r>
      <w:r w:rsidR="000A2042" w:rsidRPr="005518C1">
        <w:t xml:space="preserve"> Agreement performance</w:t>
      </w:r>
      <w:r w:rsidR="000A2042" w:rsidRPr="00543998">
        <w:t xml:space="preserve"> </w:t>
      </w:r>
      <w:r w:rsidR="000A2042" w:rsidRPr="005518C1">
        <w:t>reporting</w:t>
      </w:r>
    </w:p>
    <w:p w:rsidR="000A2042" w:rsidRDefault="000A2042" w:rsidP="00F225AF">
      <w:pPr>
        <w:pStyle w:val="BodyText"/>
      </w:pPr>
      <w:r w:rsidRPr="005172B4">
        <w:t>The</w:t>
      </w:r>
      <w:r>
        <w:t xml:space="preserve"> objective of the </w:t>
      </w:r>
      <w:r w:rsidRPr="00543998">
        <w:t>N</w:t>
      </w:r>
      <w:r w:rsidR="007C0D3B">
        <w:t>E</w:t>
      </w:r>
      <w:r w:rsidRPr="00543998">
        <w:t>A</w:t>
      </w:r>
      <w:r>
        <w:t xml:space="preserve"> is ‘</w:t>
      </w:r>
      <w:r w:rsidR="007C0D3B">
        <w:t>All Australian school students acquire the knowledge and skills to participate effectively in society and employment in a globalised economy’</w:t>
      </w:r>
      <w:r>
        <w:t xml:space="preserve"> [para. </w:t>
      </w:r>
      <w:r w:rsidR="007C0D3B">
        <w:t>9]. Further to this, the NE</w:t>
      </w:r>
      <w:r>
        <w:t>A will contribute to the achievement of the following outcomes:</w:t>
      </w:r>
    </w:p>
    <w:p w:rsidR="000A2042" w:rsidRDefault="00CA1E67" w:rsidP="00FF619E">
      <w:pPr>
        <w:pStyle w:val="ListBullet"/>
      </w:pPr>
      <w:r>
        <w:t>all children are engaged in and benefiting from schooling</w:t>
      </w:r>
    </w:p>
    <w:p w:rsidR="000A2042" w:rsidRDefault="00CA1E67" w:rsidP="00FF619E">
      <w:pPr>
        <w:pStyle w:val="ListBullet"/>
      </w:pPr>
      <w:r>
        <w:t>young people are meeting basic literacy and numeracy standards, and overall levels of literacy and numeracy achievement are improving</w:t>
      </w:r>
    </w:p>
    <w:p w:rsidR="00C512B9" w:rsidRDefault="00C512B9" w:rsidP="00FF619E">
      <w:pPr>
        <w:pStyle w:val="ListBullet"/>
      </w:pPr>
      <w:r>
        <w:t>Australian students excel by international standards</w:t>
      </w:r>
    </w:p>
    <w:p w:rsidR="00C512B9" w:rsidRDefault="00C512B9" w:rsidP="00FF619E">
      <w:pPr>
        <w:pStyle w:val="ListBullet"/>
      </w:pPr>
      <w:r>
        <w:t>schooling promotes the social inclusion and reduces the educational disadvantage of children, especially Indigenous children</w:t>
      </w:r>
    </w:p>
    <w:p w:rsidR="000A2042" w:rsidRDefault="00C512B9" w:rsidP="00FF619E">
      <w:pPr>
        <w:pStyle w:val="ListBullet"/>
      </w:pPr>
      <w:r>
        <w:t>young people make a successful transition from school to work and further study</w:t>
      </w:r>
      <w:r w:rsidR="000A2042">
        <w:t xml:space="preserve"> [para. </w:t>
      </w:r>
      <w:r>
        <w:t>12</w:t>
      </w:r>
      <w:r w:rsidR="000A2042">
        <w:t>].</w:t>
      </w:r>
    </w:p>
    <w:p w:rsidR="004860DF" w:rsidRDefault="004860DF" w:rsidP="004860DF">
      <w:pPr>
        <w:pStyle w:val="BodyText"/>
      </w:pPr>
      <w:r>
        <w:t>The NEA includes the following three targets, which are considered critical to the achievement of the objective and outcomes above:</w:t>
      </w:r>
    </w:p>
    <w:p w:rsidR="004860DF" w:rsidRDefault="004860DF" w:rsidP="001E36B5">
      <w:pPr>
        <w:pStyle w:val="ListBullet"/>
      </w:pPr>
      <w:r>
        <w:t xml:space="preserve">lift the year 12 or equivalent attainment rate to 90 per cent by 2020 (COAG </w:t>
      </w:r>
      <w:r w:rsidR="001569B9">
        <w:t xml:space="preserve">subsequently </w:t>
      </w:r>
      <w:r>
        <w:t xml:space="preserve">amended this target </w:t>
      </w:r>
      <w:r w:rsidR="001569B9">
        <w:t>at their</w:t>
      </w:r>
      <w:r>
        <w:t xml:space="preserve"> April 2009</w:t>
      </w:r>
      <w:r w:rsidR="001569B9">
        <w:t xml:space="preserve"> meeting</w:t>
      </w:r>
      <w:r>
        <w:t xml:space="preserve"> to ‘lift the year 12 or equivalent attainment rate to 90 per cent by 2015’)</w:t>
      </w:r>
    </w:p>
    <w:p w:rsidR="004860DF" w:rsidRDefault="004860DF" w:rsidP="004860DF">
      <w:pPr>
        <w:pStyle w:val="ListBullet"/>
      </w:pPr>
      <w:r>
        <w:t>halve the gap for Indigenous students in reading, writing and numeracy within a decade</w:t>
      </w:r>
    </w:p>
    <w:p w:rsidR="004860DF" w:rsidRDefault="004860DF" w:rsidP="004860DF">
      <w:pPr>
        <w:pStyle w:val="ListBullet"/>
      </w:pPr>
      <w:r>
        <w:t>at least halve the gap for Indigenous students in year 12 or equivalent attainment rates by 2020 [NEA para. 13].</w:t>
      </w:r>
    </w:p>
    <w:p w:rsidR="004860DF" w:rsidRDefault="00224705" w:rsidP="00FF7ED9">
      <w:pPr>
        <w:pStyle w:val="BodyText"/>
      </w:pPr>
      <w:r w:rsidRPr="00224705">
        <w:t>This report does not include information on performance against NP indicators, but several NP agreements have been established that may be relevant to analysing performance against the NEA outcomes including</w:t>
      </w:r>
      <w:r w:rsidR="004860DF">
        <w:t>:</w:t>
      </w:r>
    </w:p>
    <w:p w:rsidR="001348FB" w:rsidRDefault="001348FB" w:rsidP="00830875">
      <w:pPr>
        <w:pStyle w:val="ListBullet"/>
        <w:rPr>
          <w:i/>
        </w:rPr>
      </w:pPr>
      <w:r>
        <w:rPr>
          <w:i/>
        </w:rPr>
        <w:t xml:space="preserve">National Partnership Agreement on the Digital </w:t>
      </w:r>
      <w:r w:rsidR="00B56C4D">
        <w:rPr>
          <w:i/>
        </w:rPr>
        <w:t>E</w:t>
      </w:r>
      <w:r>
        <w:rPr>
          <w:i/>
        </w:rPr>
        <w:t xml:space="preserve">ducation </w:t>
      </w:r>
      <w:r w:rsidR="00B56C4D">
        <w:rPr>
          <w:i/>
        </w:rPr>
        <w:t>R</w:t>
      </w:r>
      <w:r>
        <w:rPr>
          <w:i/>
        </w:rPr>
        <w:t>evolution</w:t>
      </w:r>
    </w:p>
    <w:p w:rsidR="00830875" w:rsidRPr="00666D5D" w:rsidRDefault="00830875" w:rsidP="00830875">
      <w:pPr>
        <w:pStyle w:val="ListBullet"/>
        <w:rPr>
          <w:i/>
        </w:rPr>
      </w:pPr>
      <w:r w:rsidRPr="00666D5D">
        <w:rPr>
          <w:i/>
        </w:rPr>
        <w:t>National Partnership Agreement on Literacy and Numeracy</w:t>
      </w:r>
    </w:p>
    <w:p w:rsidR="00830875" w:rsidRPr="00666D5D" w:rsidRDefault="00830875" w:rsidP="00830875">
      <w:pPr>
        <w:pStyle w:val="ListBullet"/>
        <w:rPr>
          <w:i/>
        </w:rPr>
      </w:pPr>
      <w:r w:rsidRPr="00666D5D">
        <w:rPr>
          <w:i/>
        </w:rPr>
        <w:t>National Partnership Agreement on Improving Teacher Quality</w:t>
      </w:r>
    </w:p>
    <w:p w:rsidR="00830875" w:rsidRPr="00914888" w:rsidRDefault="00830875" w:rsidP="00830875">
      <w:pPr>
        <w:pStyle w:val="ListBullet"/>
      </w:pPr>
      <w:r w:rsidRPr="00666D5D">
        <w:rPr>
          <w:i/>
        </w:rPr>
        <w:t>National Partnership Agreement on Low Socio-Economic Status School Communities</w:t>
      </w:r>
    </w:p>
    <w:p w:rsidR="00914888" w:rsidRDefault="00914888" w:rsidP="00FF7ED9">
      <w:pPr>
        <w:pStyle w:val="ListBullet"/>
      </w:pPr>
      <w:r>
        <w:rPr>
          <w:i/>
        </w:rPr>
        <w:t>National Partnership Agreement on Early Childhood Education</w:t>
      </w:r>
    </w:p>
    <w:p w:rsidR="005C6821" w:rsidRPr="008640DB" w:rsidRDefault="005C6821" w:rsidP="005C6821">
      <w:pPr>
        <w:pStyle w:val="ListBullet"/>
      </w:pPr>
      <w:r w:rsidRPr="008640DB">
        <w:lastRenderedPageBreak/>
        <w:t xml:space="preserve">The Building the Education Revolution component of the </w:t>
      </w:r>
      <w:r w:rsidRPr="008640DB">
        <w:rPr>
          <w:i/>
        </w:rPr>
        <w:t>National Partnership Agreement on the Nation Building and Jobs Plan: Building Prosperity for the Future and Supporting Jobs Now</w:t>
      </w:r>
      <w:r w:rsidRPr="008640DB">
        <w:t xml:space="preserve"> (COAG </w:t>
      </w:r>
      <w:proofErr w:type="spellStart"/>
      <w:r w:rsidRPr="008640DB">
        <w:t>2009</w:t>
      </w:r>
      <w:r w:rsidR="008D1F79">
        <w:t>b</w:t>
      </w:r>
      <w:proofErr w:type="spellEnd"/>
      <w:r w:rsidR="004D4446">
        <w:t>)</w:t>
      </w:r>
    </w:p>
    <w:p w:rsidR="005C6821" w:rsidRDefault="005C6821" w:rsidP="005C6821">
      <w:pPr>
        <w:pStyle w:val="ListBullet"/>
      </w:pPr>
      <w:r w:rsidRPr="008640DB">
        <w:rPr>
          <w:i/>
        </w:rPr>
        <w:t>National Partnership Agreement on Youth Attainment and Transitions</w:t>
      </w:r>
      <w:r w:rsidRPr="008640DB">
        <w:t xml:space="preserve"> (COAG</w:t>
      </w:r>
      <w:r w:rsidR="00CF5BF8">
        <w:t> </w:t>
      </w:r>
      <w:proofErr w:type="spellStart"/>
      <w:r w:rsidRPr="008640DB">
        <w:t>2009</w:t>
      </w:r>
      <w:r w:rsidR="008D1F79">
        <w:t>c</w:t>
      </w:r>
      <w:proofErr w:type="spellEnd"/>
      <w:r w:rsidRPr="008640DB">
        <w:t>)</w:t>
      </w:r>
      <w:r w:rsidR="004176F2">
        <w:t>.</w:t>
      </w:r>
    </w:p>
    <w:p w:rsidR="000A2042" w:rsidRDefault="00A36124" w:rsidP="000A2042">
      <w:pPr>
        <w:pStyle w:val="Heading3"/>
      </w:pPr>
      <w:r>
        <w:t>Government</w:t>
      </w:r>
      <w:r w:rsidR="001569B9">
        <w:t>s’</w:t>
      </w:r>
      <w:r>
        <w:t xml:space="preserve"> r</w:t>
      </w:r>
      <w:r w:rsidR="000A2042">
        <w:t>oles and responsibilities</w:t>
      </w:r>
    </w:p>
    <w:p w:rsidR="00176CFD" w:rsidRDefault="00176CFD" w:rsidP="00F225AF">
      <w:pPr>
        <w:pStyle w:val="BodyText"/>
      </w:pPr>
      <w:r>
        <w:t>The roles of the Commonwealth under the NEA are detailed at para. 18 of the Agreement. The State and Territor</w:t>
      </w:r>
      <w:r w:rsidR="00830875">
        <w:t>y</w:t>
      </w:r>
      <w:r>
        <w:t xml:space="preserve"> roles and responsibilities are detailed at para.</w:t>
      </w:r>
      <w:r w:rsidR="00666D5D">
        <w:t> </w:t>
      </w:r>
      <w:r>
        <w:t>19</w:t>
      </w:r>
      <w:r w:rsidR="00830875">
        <w:t>. S</w:t>
      </w:r>
      <w:r>
        <w:t>hared roles and responsibilities are detailed at para. 17.</w:t>
      </w:r>
    </w:p>
    <w:p w:rsidR="002924EC" w:rsidRDefault="00176CFD" w:rsidP="00F225AF">
      <w:pPr>
        <w:pStyle w:val="BodyText"/>
      </w:pPr>
      <w:r>
        <w:t xml:space="preserve">Under constitutional arrangements, State and Territory governments </w:t>
      </w:r>
      <w:r w:rsidR="00830875">
        <w:t>are responsible for ensuring</w:t>
      </w:r>
      <w:r>
        <w:t xml:space="preserve"> the delivery of schooling to all children of school age. They regulate school </w:t>
      </w:r>
      <w:r w:rsidR="00250A33">
        <w:t>activities and provide most of the funding. State and Territory governments are directly responsible for the administration of government schools</w:t>
      </w:r>
      <w:r w:rsidR="00A37169">
        <w:t>,</w:t>
      </w:r>
      <w:r w:rsidR="00250A33">
        <w:t xml:space="preserve"> for which they provide the majority of government </w:t>
      </w:r>
      <w:r w:rsidR="00830875">
        <w:t>funding</w:t>
      </w:r>
      <w:r w:rsidR="00250A33">
        <w:t xml:space="preserve">. Non-government schools operate under conditions </w:t>
      </w:r>
      <w:r w:rsidR="002924EC">
        <w:t xml:space="preserve">determined by State and Territory government registration authorities and also receive </w:t>
      </w:r>
      <w:r w:rsidR="00830875">
        <w:t xml:space="preserve">some </w:t>
      </w:r>
      <w:r w:rsidR="002924EC">
        <w:t>State and Territory government funding.</w:t>
      </w:r>
    </w:p>
    <w:p w:rsidR="002A1CCD" w:rsidRDefault="002924EC" w:rsidP="001E36B5">
      <w:pPr>
        <w:pStyle w:val="BodyText"/>
      </w:pPr>
      <w:r>
        <w:t xml:space="preserve">The Australian Government </w:t>
      </w:r>
      <w:r w:rsidR="00333549">
        <w:t xml:space="preserve">currently </w:t>
      </w:r>
      <w:r>
        <w:t xml:space="preserve">provides </w:t>
      </w:r>
      <w:r w:rsidR="00D62655">
        <w:t xml:space="preserve">supplementary </w:t>
      </w:r>
      <w:r>
        <w:t xml:space="preserve">funding for </w:t>
      </w:r>
      <w:r w:rsidR="00D62655">
        <w:t xml:space="preserve">government </w:t>
      </w:r>
      <w:r>
        <w:t xml:space="preserve">schools through </w:t>
      </w:r>
      <w:r w:rsidR="00D62655">
        <w:t xml:space="preserve">the </w:t>
      </w:r>
      <w:r w:rsidR="0047002E">
        <w:t xml:space="preserve">National </w:t>
      </w:r>
      <w:r w:rsidR="00333549">
        <w:t>Schools Specific Purpose Payment</w:t>
      </w:r>
      <w:r w:rsidR="00310533">
        <w:t>,</w:t>
      </w:r>
      <w:r w:rsidR="00333549">
        <w:t xml:space="preserve"> which is associated with the </w:t>
      </w:r>
      <w:r w:rsidR="00D62655">
        <w:t>NEA</w:t>
      </w:r>
      <w:r w:rsidR="00310533">
        <w:t>,</w:t>
      </w:r>
      <w:r w:rsidR="00D62655">
        <w:t xml:space="preserve"> and for non-government schools through the </w:t>
      </w:r>
      <w:r w:rsidR="00D62655" w:rsidRPr="00D62655">
        <w:rPr>
          <w:i/>
        </w:rPr>
        <w:t>Schools Assistance Act 2008</w:t>
      </w:r>
      <w:r w:rsidR="00310533">
        <w:t xml:space="preserve">. The </w:t>
      </w:r>
      <w:r w:rsidR="0047002E">
        <w:t xml:space="preserve">National </w:t>
      </w:r>
      <w:r w:rsidR="00310533">
        <w:t>Schools Specific Purpose Payment and Schools Assistance Act both</w:t>
      </w:r>
      <w:r w:rsidR="00D62655">
        <w:t xml:space="preserve"> came into effect on 1 January 2009. O</w:t>
      </w:r>
      <w:r>
        <w:t xml:space="preserve">ther </w:t>
      </w:r>
      <w:r w:rsidR="00D62655">
        <w:t xml:space="preserve">Australian Government </w:t>
      </w:r>
      <w:r>
        <w:t xml:space="preserve">payments </w:t>
      </w:r>
      <w:r w:rsidR="002A1CCD">
        <w:t xml:space="preserve">of a smaller scale are </w:t>
      </w:r>
      <w:r>
        <w:t xml:space="preserve">made directly to school communities, students and other organisations to support schooling. </w:t>
      </w:r>
    </w:p>
    <w:p w:rsidR="008D447F" w:rsidRDefault="008D447F" w:rsidP="008D447F">
      <w:pPr>
        <w:pStyle w:val="BodyText"/>
      </w:pPr>
      <w:r w:rsidRPr="00386E92">
        <w:t>The Standing Council on School Education and Early Childhood (SCSEEC)</w:t>
      </w:r>
      <w:r w:rsidRPr="00386E92">
        <w:rPr>
          <w:rStyle w:val="FootnoteReference"/>
        </w:rPr>
        <w:footnoteReference w:id="1"/>
      </w:r>
      <w:r w:rsidRPr="00386E92">
        <w:t xml:space="preserve"> — comprising Australian, State and Territory, and New Zealand education ministers — is the principal forum for identifying priority issues of national significance for schooling. At their 5 April 2011 meeting</w:t>
      </w:r>
      <w:r w:rsidR="00C20B8E">
        <w:t>,</w:t>
      </w:r>
      <w:r w:rsidRPr="00386E92">
        <w:t xml:space="preserve"> the SCSEEC discussed the</w:t>
      </w:r>
      <w:r>
        <w:t xml:space="preserve"> </w:t>
      </w:r>
      <w:proofErr w:type="spellStart"/>
      <w:r>
        <w:t>Gonski</w:t>
      </w:r>
      <w:proofErr w:type="spellEnd"/>
      <w:r>
        <w:t xml:space="preserve"> Report —</w:t>
      </w:r>
      <w:r w:rsidRPr="00386E92">
        <w:t xml:space="preserve"> </w:t>
      </w:r>
      <w:r w:rsidRPr="00386E92">
        <w:rPr>
          <w:i/>
        </w:rPr>
        <w:t>Review of Funding for Schooling</w:t>
      </w:r>
      <w:r w:rsidRPr="00386E92">
        <w:t xml:space="preserve"> (</w:t>
      </w:r>
      <w:proofErr w:type="spellStart"/>
      <w:r w:rsidRPr="00386E92">
        <w:t>Gonski</w:t>
      </w:r>
      <w:proofErr w:type="spellEnd"/>
      <w:r w:rsidRPr="00386E92">
        <w:t xml:space="preserve"> et al. 2012) </w:t>
      </w:r>
      <w:r>
        <w:t xml:space="preserve">— </w:t>
      </w:r>
      <w:r w:rsidRPr="00386E92">
        <w:t>and agreed to develop a high-level policy roadmap by June 2012.</w:t>
      </w:r>
    </w:p>
    <w:p w:rsidR="008D447F" w:rsidRDefault="008D447F" w:rsidP="008D447F">
      <w:pPr>
        <w:pStyle w:val="BodyText"/>
      </w:pPr>
      <w:r>
        <w:t xml:space="preserve">The </w:t>
      </w:r>
      <w:proofErr w:type="spellStart"/>
      <w:r>
        <w:t>Gonski</w:t>
      </w:r>
      <w:proofErr w:type="spellEnd"/>
      <w:r>
        <w:t xml:space="preserve"> Report was released on 20 February 2012 and proposes:</w:t>
      </w:r>
    </w:p>
    <w:p w:rsidR="008D447F" w:rsidRPr="00961368" w:rsidRDefault="008D447F" w:rsidP="00961368">
      <w:pPr>
        <w:pStyle w:val="ListBullet"/>
      </w:pPr>
      <w:r w:rsidRPr="00961368">
        <w:t>significant increases in funding across all school sectors</w:t>
      </w:r>
    </w:p>
    <w:p w:rsidR="008D447F" w:rsidRPr="00961368" w:rsidRDefault="008D447F" w:rsidP="00961368">
      <w:pPr>
        <w:pStyle w:val="ListBullet"/>
      </w:pPr>
      <w:r w:rsidRPr="00961368">
        <w:lastRenderedPageBreak/>
        <w:t>the largest part of this increase to the government sector due to the numbers and greater concentration of disadvantaged students in government schools</w:t>
      </w:r>
    </w:p>
    <w:p w:rsidR="008D447F" w:rsidRPr="00961368" w:rsidRDefault="008D447F" w:rsidP="00961368">
      <w:pPr>
        <w:pStyle w:val="ListBullet"/>
      </w:pPr>
      <w:r w:rsidRPr="00961368">
        <w:t xml:space="preserve">funding arrangements for government and non-government schools </w:t>
      </w:r>
      <w:r w:rsidR="00C20B8E" w:rsidRPr="00961368">
        <w:t xml:space="preserve">to </w:t>
      </w:r>
      <w:r w:rsidRPr="00961368">
        <w:t xml:space="preserve">be better balanced between Australian and </w:t>
      </w:r>
      <w:r w:rsidR="00C20B8E" w:rsidRPr="00961368">
        <w:t xml:space="preserve">State </w:t>
      </w:r>
      <w:r w:rsidRPr="00961368">
        <w:t xml:space="preserve">and </w:t>
      </w:r>
      <w:r w:rsidR="00C20B8E" w:rsidRPr="00961368">
        <w:t xml:space="preserve">Territory </w:t>
      </w:r>
      <w:r w:rsidRPr="00961368">
        <w:t>governments.</w:t>
      </w:r>
    </w:p>
    <w:p w:rsidR="008D447F" w:rsidRDefault="008D447F" w:rsidP="008D447F">
      <w:pPr>
        <w:pStyle w:val="BodyText"/>
      </w:pPr>
      <w:r>
        <w:t xml:space="preserve">The </w:t>
      </w:r>
      <w:proofErr w:type="spellStart"/>
      <w:r>
        <w:t>Gonski</w:t>
      </w:r>
      <w:proofErr w:type="spellEnd"/>
      <w:r>
        <w:t xml:space="preserve"> Report also recommends a new schooling resource standard that would be indexed and reviewed by a National Schools Resourcing Body. </w:t>
      </w:r>
      <w:proofErr w:type="spellStart"/>
      <w:r>
        <w:t>Teese</w:t>
      </w:r>
      <w:proofErr w:type="spellEnd"/>
      <w:r>
        <w:t xml:space="preserve"> and </w:t>
      </w:r>
      <w:proofErr w:type="spellStart"/>
      <w:r>
        <w:t>Walstab</w:t>
      </w:r>
      <w:proofErr w:type="spellEnd"/>
      <w:r>
        <w:t xml:space="preserve"> (2011) also recommend school funding arrangements should focus on quality outcomes for all students, rather than a framework of universal provision.</w:t>
      </w:r>
    </w:p>
    <w:p w:rsidR="002924EC" w:rsidRPr="00FC6504" w:rsidRDefault="002924EC" w:rsidP="00B03C60">
      <w:pPr>
        <w:pStyle w:val="Heading3"/>
      </w:pPr>
      <w:r w:rsidRPr="00FC6504">
        <w:t>Structure</w:t>
      </w:r>
      <w:r w:rsidR="00322A1C" w:rsidRPr="00FC6504">
        <w:t xml:space="preserve"> of school education</w:t>
      </w:r>
    </w:p>
    <w:p w:rsidR="00C41CD3" w:rsidRDefault="00C41CD3" w:rsidP="00F225AF">
      <w:pPr>
        <w:pStyle w:val="BodyText"/>
      </w:pPr>
      <w:r>
        <w:t xml:space="preserve">The structure of school education varies across states and territories. These differences can influence the </w:t>
      </w:r>
      <w:r w:rsidR="00DF716C">
        <w:t xml:space="preserve">comparability and </w:t>
      </w:r>
      <w:r>
        <w:t xml:space="preserve">interpretation of data presented under common classifications. </w:t>
      </w:r>
      <w:r w:rsidR="004860DF">
        <w:t>Depending on the State or Territory, f</w:t>
      </w:r>
      <w:r w:rsidR="00FA4756">
        <w:t>ormal schooling consists of seven</w:t>
      </w:r>
      <w:r>
        <w:t xml:space="preserve"> to eight years of primary school education followed by five to six years of secondary school education. All states and territories divide school education into compulsory and non-compulsory components</w:t>
      </w:r>
      <w:r w:rsidR="00C20B8E">
        <w:t>,</w:t>
      </w:r>
      <w:r>
        <w:t xml:space="preserve"> based primarily on age.</w:t>
      </w:r>
      <w:r w:rsidR="00DF716C">
        <w:t xml:space="preserve"> Schooling is generally full time, although an increasing proportion of part time study occurs in more senior years.</w:t>
      </w:r>
    </w:p>
    <w:p w:rsidR="00C41CD3" w:rsidRDefault="00C41CD3" w:rsidP="00F225AF">
      <w:pPr>
        <w:pStyle w:val="BodyText"/>
      </w:pPr>
      <w:r>
        <w:t>In 20</w:t>
      </w:r>
      <w:r w:rsidR="007F5FE5">
        <w:t>1</w:t>
      </w:r>
      <w:r w:rsidR="008D447F">
        <w:t>1</w:t>
      </w:r>
      <w:r>
        <w:t>, the compulsory starting age for school education in states and territories was:</w:t>
      </w:r>
    </w:p>
    <w:p w:rsidR="00C41CD3" w:rsidRDefault="00C41CD3" w:rsidP="00C41CD3">
      <w:pPr>
        <w:pStyle w:val="ListBullet"/>
      </w:pPr>
      <w:r>
        <w:t>5 years of age (Tasmania)</w:t>
      </w:r>
    </w:p>
    <w:p w:rsidR="00C41CD3" w:rsidRDefault="00C41CD3" w:rsidP="00C41CD3">
      <w:pPr>
        <w:pStyle w:val="ListBullet"/>
      </w:pPr>
      <w:r>
        <w:t xml:space="preserve">6 years of age (NSW, Victoria, Queensland, WA, SA, </w:t>
      </w:r>
      <w:r w:rsidR="006A6059">
        <w:t xml:space="preserve">the </w:t>
      </w:r>
      <w:r>
        <w:t>ACT and</w:t>
      </w:r>
      <w:r w:rsidR="006A6059">
        <w:t xml:space="preserve"> the</w:t>
      </w:r>
      <w:r>
        <w:t xml:space="preserve"> NT)</w:t>
      </w:r>
      <w:r w:rsidR="006A6059">
        <w:t>.</w:t>
      </w:r>
    </w:p>
    <w:p w:rsidR="00DF716C" w:rsidRDefault="00DF716C" w:rsidP="00F225AF">
      <w:pPr>
        <w:pStyle w:val="BodyText"/>
      </w:pPr>
      <w:r>
        <w:t>Children may commence school at an age younger than the statutory age at which they are required to attend school. Most children commence full</w:t>
      </w:r>
      <w:r w:rsidR="004176F2">
        <w:t xml:space="preserve"> </w:t>
      </w:r>
      <w:r>
        <w:t>time schooling in the year preceding Year 1 (</w:t>
      </w:r>
      <w:r w:rsidR="00AB6BD8">
        <w:t>pre-year 1).</w:t>
      </w:r>
    </w:p>
    <w:p w:rsidR="00C41CD3" w:rsidRDefault="008D5F40" w:rsidP="00F225AF">
      <w:pPr>
        <w:pStyle w:val="BodyText"/>
      </w:pPr>
      <w:r>
        <w:t>At its 30 April 2009 meeting, COAG agreed to a</w:t>
      </w:r>
      <w:r w:rsidR="00C41CD3">
        <w:t xml:space="preserve"> Compact with Young Australians,</w:t>
      </w:r>
      <w:r w:rsidR="00D41B2F">
        <w:t xml:space="preserve"> </w:t>
      </w:r>
      <w:r>
        <w:t>delivered under the</w:t>
      </w:r>
      <w:r w:rsidR="00D41B2F">
        <w:t xml:space="preserve"> </w:t>
      </w:r>
      <w:r w:rsidR="00AB6BD8" w:rsidRPr="00AB6BD8">
        <w:rPr>
          <w:i/>
        </w:rPr>
        <w:t xml:space="preserve">National Partnership </w:t>
      </w:r>
      <w:r w:rsidR="00D41B2F" w:rsidRPr="00AB6BD8">
        <w:rPr>
          <w:i/>
        </w:rPr>
        <w:t xml:space="preserve">on </w:t>
      </w:r>
      <w:r w:rsidR="00AB6BD8" w:rsidRPr="00AB6BD8">
        <w:rPr>
          <w:i/>
        </w:rPr>
        <w:t>Youth Attainment and T</w:t>
      </w:r>
      <w:r w:rsidR="00D41B2F" w:rsidRPr="00AB6BD8">
        <w:rPr>
          <w:i/>
        </w:rPr>
        <w:t>ransitions</w:t>
      </w:r>
      <w:r>
        <w:t>. As part of the Compact, the</w:t>
      </w:r>
      <w:r w:rsidR="00C41CD3">
        <w:t xml:space="preserve"> National Youth Participation Requirement (</w:t>
      </w:r>
      <w:proofErr w:type="spellStart"/>
      <w:r w:rsidR="00C41CD3">
        <w:t>NYPR</w:t>
      </w:r>
      <w:proofErr w:type="spellEnd"/>
      <w:r w:rsidR="00C41CD3">
        <w:t xml:space="preserve">) </w:t>
      </w:r>
      <w:r>
        <w:t>commenced</w:t>
      </w:r>
      <w:r w:rsidR="00C41CD3">
        <w:t xml:space="preserve"> on 1 January 2010</w:t>
      </w:r>
      <w:r>
        <w:t>.</w:t>
      </w:r>
      <w:r w:rsidR="00C41CD3">
        <w:t xml:space="preserve"> </w:t>
      </w:r>
      <w:r>
        <w:t>All y</w:t>
      </w:r>
      <w:r w:rsidR="00C41CD3">
        <w:t xml:space="preserve">oung people </w:t>
      </w:r>
      <w:r w:rsidR="00AB6BD8">
        <w:t>are</w:t>
      </w:r>
      <w:r w:rsidR="00C41CD3">
        <w:t xml:space="preserve"> required to participate in schooling (or an approved equivalent) until they complete Year 10, and then participate full</w:t>
      </w:r>
      <w:r w:rsidR="000F0B81">
        <w:t xml:space="preserve"> </w:t>
      </w:r>
      <w:r w:rsidR="00C41CD3">
        <w:t>tim</w:t>
      </w:r>
      <w:r w:rsidR="00D41B2F">
        <w:t>e (at least 25 </w:t>
      </w:r>
      <w:r w:rsidR="00C41CD3">
        <w:t>hours per week) in education, training or employment, or a combination of these activities, until 17</w:t>
      </w:r>
      <w:r w:rsidR="006A6059">
        <w:t xml:space="preserve"> years of age</w:t>
      </w:r>
      <w:r w:rsidR="00C41CD3">
        <w:t xml:space="preserve">. The </w:t>
      </w:r>
      <w:proofErr w:type="spellStart"/>
      <w:r w:rsidR="00C41CD3">
        <w:t>NYPR</w:t>
      </w:r>
      <w:proofErr w:type="spellEnd"/>
      <w:r w:rsidR="00C41CD3">
        <w:t xml:space="preserve"> will be implemented through </w:t>
      </w:r>
      <w:r w:rsidR="00025751">
        <w:t>State and T</w:t>
      </w:r>
      <w:r w:rsidR="00C41CD3">
        <w:t xml:space="preserve">erritory legislation where </w:t>
      </w:r>
      <w:r>
        <w:t xml:space="preserve">at least </w:t>
      </w:r>
      <w:r w:rsidR="00C41CD3">
        <w:t xml:space="preserve">equivalent provisions are not already in place, and exemptions will </w:t>
      </w:r>
      <w:r w:rsidR="00025751">
        <w:t>continue in line with existing State and T</w:t>
      </w:r>
      <w:r w:rsidR="00C41CD3">
        <w:t>errito</w:t>
      </w:r>
      <w:r w:rsidR="00290EEB">
        <w:t>ry practice (COAG </w:t>
      </w:r>
      <w:proofErr w:type="spellStart"/>
      <w:r w:rsidR="00290EEB">
        <w:t>2009c</w:t>
      </w:r>
      <w:proofErr w:type="spellEnd"/>
      <w:r>
        <w:t>).</w:t>
      </w:r>
    </w:p>
    <w:p w:rsidR="00CB0CA8" w:rsidRDefault="00CB0CA8" w:rsidP="00CB0CA8">
      <w:pPr>
        <w:pStyle w:val="Heading3"/>
      </w:pPr>
      <w:r>
        <w:lastRenderedPageBreak/>
        <w:t>Early childhood education</w:t>
      </w:r>
    </w:p>
    <w:p w:rsidR="00CB0CA8" w:rsidRDefault="00CB0CA8" w:rsidP="00F225AF">
      <w:pPr>
        <w:pStyle w:val="BodyText"/>
      </w:pPr>
      <w:r>
        <w:t>Research indicates that quality early childhood education can assist children’s school performance, particularly for children from disadvantaged backgrounds (</w:t>
      </w:r>
      <w:proofErr w:type="spellStart"/>
      <w:r>
        <w:t>DEECD</w:t>
      </w:r>
      <w:proofErr w:type="spellEnd"/>
      <w:r>
        <w:t xml:space="preserve"> 2008).</w:t>
      </w:r>
    </w:p>
    <w:p w:rsidR="00501723" w:rsidRDefault="00CB0CA8" w:rsidP="001E36B5">
      <w:pPr>
        <w:pStyle w:val="BodyText"/>
      </w:pPr>
      <w:r w:rsidRPr="006F4A8C">
        <w:t>Children without an early childhood experience have greater difficulty making the transition to the first year of school, take longer to settle into the routines of a classroom and find it harder to respond appropriately to tasks and expectations</w:t>
      </w:r>
      <w:r>
        <w:t xml:space="preserve"> (</w:t>
      </w:r>
      <w:proofErr w:type="spellStart"/>
      <w:r>
        <w:t>ACCI</w:t>
      </w:r>
      <w:proofErr w:type="spellEnd"/>
      <w:r>
        <w:t xml:space="preserve"> 2007).</w:t>
      </w:r>
    </w:p>
    <w:p w:rsidR="00156246" w:rsidRDefault="00156246" w:rsidP="00F225AF">
      <w:pPr>
        <w:pStyle w:val="BodyText"/>
      </w:pPr>
      <w:r>
        <w:t>The Australian Early Development Index (</w:t>
      </w:r>
      <w:proofErr w:type="spellStart"/>
      <w:r>
        <w:t>AEDI</w:t>
      </w:r>
      <w:proofErr w:type="spellEnd"/>
      <w:r>
        <w:t>)</w:t>
      </w:r>
      <w:r w:rsidR="009312EF">
        <w:t xml:space="preserve"> was endorsed by COAG</w:t>
      </w:r>
      <w:r w:rsidR="00EE111D">
        <w:t xml:space="preserve"> in 2006</w:t>
      </w:r>
      <w:r w:rsidR="009312EF">
        <w:t xml:space="preserve"> as a national progress measure of early childhood development. The </w:t>
      </w:r>
      <w:proofErr w:type="spellStart"/>
      <w:r w:rsidR="009312EF">
        <w:t>AEDI</w:t>
      </w:r>
      <w:proofErr w:type="spellEnd"/>
      <w:r w:rsidR="009312EF">
        <w:t xml:space="preserve"> is a population measure of children’s </w:t>
      </w:r>
      <w:r w:rsidR="00F8485D">
        <w:t>development as they enter school, and</w:t>
      </w:r>
      <w:r>
        <w:t xml:space="preserve"> measures </w:t>
      </w:r>
      <w:r w:rsidR="004860DF">
        <w:t xml:space="preserve">the following </w:t>
      </w:r>
      <w:r>
        <w:t>five areas of early childhood development</w:t>
      </w:r>
      <w:r w:rsidR="004860DF">
        <w:t>, using</w:t>
      </w:r>
      <w:r>
        <w:t xml:space="preserve"> information collected through a teacher completed checklist:</w:t>
      </w:r>
    </w:p>
    <w:p w:rsidR="00156246" w:rsidRDefault="00156246" w:rsidP="00156246">
      <w:pPr>
        <w:pStyle w:val="ListBullet"/>
      </w:pPr>
      <w:r>
        <w:t>physical health and wellbeing</w:t>
      </w:r>
    </w:p>
    <w:p w:rsidR="00156246" w:rsidRDefault="00156246" w:rsidP="00156246">
      <w:pPr>
        <w:pStyle w:val="ListBullet"/>
      </w:pPr>
      <w:r>
        <w:t>social competence</w:t>
      </w:r>
    </w:p>
    <w:p w:rsidR="00156246" w:rsidRDefault="00156246" w:rsidP="00156246">
      <w:pPr>
        <w:pStyle w:val="ListBullet"/>
      </w:pPr>
      <w:r>
        <w:t>emotional maturity</w:t>
      </w:r>
    </w:p>
    <w:p w:rsidR="00156246" w:rsidRDefault="00156246" w:rsidP="00156246">
      <w:pPr>
        <w:pStyle w:val="ListBullet"/>
      </w:pPr>
      <w:r>
        <w:t>language and cognitive skills (school-based)</w:t>
      </w:r>
    </w:p>
    <w:p w:rsidR="00F8485D" w:rsidRDefault="00156246" w:rsidP="00156246">
      <w:pPr>
        <w:pStyle w:val="ListBullet"/>
      </w:pPr>
      <w:r>
        <w:t>communication skills and general knowledge.</w:t>
      </w:r>
    </w:p>
    <w:p w:rsidR="008D447F" w:rsidRDefault="008D447F" w:rsidP="008D447F">
      <w:pPr>
        <w:pStyle w:val="ListBullet"/>
        <w:numPr>
          <w:ilvl w:val="0"/>
          <w:numId w:val="0"/>
        </w:numPr>
      </w:pPr>
      <w:r>
        <w:t xml:space="preserve">The </w:t>
      </w:r>
      <w:proofErr w:type="spellStart"/>
      <w:r>
        <w:t>AEDI</w:t>
      </w:r>
      <w:proofErr w:type="spellEnd"/>
      <w:r>
        <w:t xml:space="preserve"> national report for </w:t>
      </w:r>
      <w:r w:rsidRPr="001D1BD1">
        <w:t>2009</w:t>
      </w:r>
      <w:r>
        <w:rPr>
          <w:rStyle w:val="FootnoteReference"/>
        </w:rPr>
        <w:footnoteReference w:id="2"/>
      </w:r>
      <w:r>
        <w:t xml:space="preserve"> found that the majority of children are doing well on each of the five </w:t>
      </w:r>
      <w:proofErr w:type="spellStart"/>
      <w:r>
        <w:t>AEDI</w:t>
      </w:r>
      <w:proofErr w:type="spellEnd"/>
      <w:r>
        <w:t xml:space="preserve"> developmental domains. However, higher proportions of children are developmentally vulnerable in the most socioeconomically disadvantaged communities and in very remote areas of Australia (Centre for Community Child Health and Telethon Institute for Children Health Research 2009). The second national </w:t>
      </w:r>
      <w:proofErr w:type="spellStart"/>
      <w:r>
        <w:t>AEDI</w:t>
      </w:r>
      <w:proofErr w:type="spellEnd"/>
      <w:r>
        <w:t xml:space="preserve"> data collection is scheduled to occur from May to July 2012. Results are anticipated to be available for the 2013 report.</w:t>
      </w:r>
    </w:p>
    <w:p w:rsidR="008D447F" w:rsidRPr="000236DE" w:rsidRDefault="008D447F" w:rsidP="008D447F">
      <w:pPr>
        <w:pStyle w:val="ListBullet"/>
        <w:numPr>
          <w:ilvl w:val="0"/>
          <w:numId w:val="0"/>
        </w:numPr>
        <w:rPr>
          <w:rStyle w:val="DraftingNote"/>
          <w:color w:val="auto"/>
        </w:rPr>
      </w:pPr>
      <w:r>
        <w:t xml:space="preserve">Higher proportions of Indigenous children are also developmentally vulnerable. Nationally in 2009, the greatest difference between Indigenous and non-Indigenous children was for the domain of language and cognitive skills (school-based), with the proportion of </w:t>
      </w:r>
      <w:r w:rsidRPr="00786550">
        <w:t>‘at risk’ or ‘vulnerable’</w:t>
      </w:r>
      <w:r>
        <w:t xml:space="preserve"> </w:t>
      </w:r>
      <w:r w:rsidRPr="00786550">
        <w:t>Indigenous five year old children</w:t>
      </w:r>
      <w:r w:rsidR="00C20B8E">
        <w:t xml:space="preserve"> </w:t>
      </w:r>
      <w:r>
        <w:t>2.4</w:t>
      </w:r>
      <w:r w:rsidR="00C20B8E">
        <w:t> </w:t>
      </w:r>
      <w:r w:rsidRPr="00786550">
        <w:t xml:space="preserve">times </w:t>
      </w:r>
      <w:r>
        <w:t xml:space="preserve">the proportion of </w:t>
      </w:r>
      <w:r w:rsidRPr="00786550">
        <w:t>non</w:t>
      </w:r>
      <w:r>
        <w:t>-</w:t>
      </w:r>
      <w:r w:rsidRPr="00786550">
        <w:t>Indigenous five year olds</w:t>
      </w:r>
      <w:r>
        <w:t xml:space="preserve"> (</w:t>
      </w:r>
      <w:r w:rsidRPr="004E583A">
        <w:t>Centre for Community Child Health and Telethon Institute for Children</w:t>
      </w:r>
      <w:r>
        <w:t xml:space="preserve"> </w:t>
      </w:r>
      <w:r w:rsidRPr="004E583A">
        <w:t>Health Research 2009</w:t>
      </w:r>
      <w:r>
        <w:t xml:space="preserve">). The </w:t>
      </w:r>
      <w:r>
        <w:lastRenderedPageBreak/>
        <w:t xml:space="preserve">difference between the proportions of Indigenous and non-Indigenous children </w:t>
      </w:r>
      <w:r w:rsidRPr="00786550">
        <w:t>‘at risk’ or ‘vulnerable’</w:t>
      </w:r>
      <w:r>
        <w:t xml:space="preserve"> increased with remoteness.</w:t>
      </w:r>
    </w:p>
    <w:p w:rsidR="00B20CD8" w:rsidRDefault="008D447F" w:rsidP="00B20CD8">
      <w:pPr>
        <w:pStyle w:val="BodyText"/>
      </w:pPr>
      <w:r w:rsidRPr="001D1BD1">
        <w:t xml:space="preserve">In </w:t>
      </w:r>
      <w:r w:rsidR="002B0DDE">
        <w:t>April</w:t>
      </w:r>
      <w:r w:rsidRPr="001D1BD1">
        <w:t xml:space="preserve"> 2012</w:t>
      </w:r>
      <w:r>
        <w:t xml:space="preserve">, the ABS produced </w:t>
      </w:r>
      <w:r w:rsidRPr="006B2CAC">
        <w:rPr>
          <w:i/>
        </w:rPr>
        <w:t>Experimental Estimates of Preschool Education, Australia, 201</w:t>
      </w:r>
      <w:r>
        <w:rPr>
          <w:i/>
        </w:rPr>
        <w:t>1</w:t>
      </w:r>
      <w:r>
        <w:t xml:space="preserve"> </w:t>
      </w:r>
      <w:r w:rsidR="009605B1">
        <w:t>(Cat. no. </w:t>
      </w:r>
      <w:r>
        <w:t xml:space="preserve">4240.0), the second release from the National Early Childhood Education and Care Data Collection </w:t>
      </w:r>
      <w:r w:rsidR="00637C8C">
        <w:t xml:space="preserve">(ABS </w:t>
      </w:r>
      <w:proofErr w:type="spellStart"/>
      <w:r w:rsidR="00637C8C">
        <w:t>2012a</w:t>
      </w:r>
      <w:proofErr w:type="spellEnd"/>
      <w:r w:rsidR="00637C8C">
        <w:t xml:space="preserve">). </w:t>
      </w:r>
      <w:r w:rsidR="00C20B8E">
        <w:t>T</w:t>
      </w:r>
      <w:r w:rsidR="00B20CD8">
        <w:t>his release</w:t>
      </w:r>
      <w:r w:rsidR="00C20B8E">
        <w:t xml:space="preserve"> provides</w:t>
      </w:r>
      <w:r w:rsidR="00B20CD8">
        <w:t xml:space="preserve"> u</w:t>
      </w:r>
      <w:r w:rsidR="00637C8C">
        <w:t>nique counts of children enrolled</w:t>
      </w:r>
      <w:r w:rsidR="00B20CD8">
        <w:t xml:space="preserve"> and attending</w:t>
      </w:r>
      <w:r w:rsidR="00637C8C">
        <w:t xml:space="preserve"> preschool</w:t>
      </w:r>
      <w:r w:rsidR="00637C8C">
        <w:rPr>
          <w:rStyle w:val="FootnoteReference"/>
        </w:rPr>
        <w:footnoteReference w:id="3"/>
      </w:r>
      <w:r w:rsidR="00637C8C">
        <w:t xml:space="preserve"> for </w:t>
      </w:r>
      <w:r w:rsidR="00B20CD8">
        <w:t>NSW</w:t>
      </w:r>
      <w:r w:rsidR="00C20B8E">
        <w:t xml:space="preserve">, </w:t>
      </w:r>
      <w:r w:rsidR="00B20CD8">
        <w:t xml:space="preserve">Victoria, </w:t>
      </w:r>
      <w:r w:rsidR="00637C8C">
        <w:t>Tasmania, the NT and the ACT.</w:t>
      </w:r>
      <w:r w:rsidR="00B20CD8">
        <w:t xml:space="preserve"> Episodes of preschool program enrolment are provided for all states and territories.</w:t>
      </w:r>
    </w:p>
    <w:p w:rsidR="0026369A" w:rsidRDefault="0026369A" w:rsidP="0026369A">
      <w:pPr>
        <w:pStyle w:val="BodyText"/>
      </w:pPr>
      <w:r>
        <w:t>Data on preschool education are also available in the c</w:t>
      </w:r>
      <w:r w:rsidRPr="00501723">
        <w:t xml:space="preserve">hildren’s services chapter in the </w:t>
      </w:r>
      <w:r w:rsidRPr="00D41B2F">
        <w:t>201</w:t>
      </w:r>
      <w:r>
        <w:t>2</w:t>
      </w:r>
      <w:r w:rsidRPr="00D41B2F">
        <w:t xml:space="preserve"> </w:t>
      </w:r>
      <w:r w:rsidRPr="006B2CAC">
        <w:rPr>
          <w:i/>
        </w:rPr>
        <w:t>Report on Government Services</w:t>
      </w:r>
      <w:r w:rsidRPr="00D41B2F">
        <w:t xml:space="preserve"> </w:t>
      </w:r>
      <w:r>
        <w:t xml:space="preserve">(SCRGSP 2012) and the early childhood education chapter in the 2011 </w:t>
      </w:r>
      <w:r w:rsidRPr="006B2CAC">
        <w:rPr>
          <w:i/>
        </w:rPr>
        <w:t>Overcoming Indigenous Disadvantage</w:t>
      </w:r>
      <w:r>
        <w:t xml:space="preserve"> report (SCRGSP 2011).</w:t>
      </w:r>
    </w:p>
    <w:p w:rsidR="00CB0CA8" w:rsidRPr="008640DB" w:rsidRDefault="001E063A" w:rsidP="00392436">
      <w:pPr>
        <w:pStyle w:val="Heading3"/>
      </w:pPr>
      <w:r w:rsidRPr="008640DB">
        <w:t>S</w:t>
      </w:r>
      <w:r w:rsidR="00604733">
        <w:t>chool education</w:t>
      </w:r>
      <w:r w:rsidRPr="008640DB">
        <w:t xml:space="preserve"> </w:t>
      </w:r>
    </w:p>
    <w:p w:rsidR="0026369A" w:rsidRDefault="0026369A" w:rsidP="0082251B">
      <w:pPr>
        <w:pStyle w:val="BodyText"/>
      </w:pPr>
      <w:r>
        <w:t>Outcomes for students</w:t>
      </w:r>
      <w:r w:rsidRPr="008640DB">
        <w:t xml:space="preserve"> can be affected by factors that may be partly or totally outside the influence of the school system, such as student commitment, family environment (including socioeconomic status, parent</w:t>
      </w:r>
      <w:r>
        <w:t>al</w:t>
      </w:r>
      <w:r w:rsidRPr="008640DB">
        <w:t xml:space="preserve"> education</w:t>
      </w:r>
      <w:r>
        <w:t>al</w:t>
      </w:r>
      <w:r w:rsidRPr="008640DB">
        <w:t xml:space="preserve"> attainment and support for the child) and the proximity of the school </w:t>
      </w:r>
      <w:r w:rsidR="00C85E32">
        <w:t>and</w:t>
      </w:r>
      <w:r w:rsidR="00C85E32" w:rsidRPr="008640DB">
        <w:t xml:space="preserve"> </w:t>
      </w:r>
      <w:r w:rsidRPr="008640DB">
        <w:t>other educational facilities</w:t>
      </w:r>
      <w:r w:rsidR="00852A68">
        <w:t xml:space="preserve"> to students</w:t>
      </w:r>
      <w:r w:rsidR="002949AF">
        <w:t>’</w:t>
      </w:r>
      <w:r w:rsidR="00852A68">
        <w:t xml:space="preserve"> home</w:t>
      </w:r>
      <w:r w:rsidR="002949AF">
        <w:t>s</w:t>
      </w:r>
      <w:r w:rsidR="00CE44B1">
        <w:t>.</w:t>
      </w:r>
    </w:p>
    <w:p w:rsidR="0026369A" w:rsidRPr="008640DB" w:rsidRDefault="0026369A" w:rsidP="0026369A">
      <w:pPr>
        <w:pStyle w:val="BodyText"/>
      </w:pPr>
      <w:r w:rsidRPr="008640DB">
        <w:t>Data from the Programme for International Student Assessment (PISA), an internationally standardised assessment jointly developed by participating economies and administered to 15 year olds in</w:t>
      </w:r>
      <w:r>
        <w:t xml:space="preserve"> schools across 74 countries, have shown that socio</w:t>
      </w:r>
      <w:r w:rsidRPr="008640DB">
        <w:t xml:space="preserve">economic background and performance are closely related </w:t>
      </w:r>
      <w:r>
        <w:t>(</w:t>
      </w:r>
      <w:r w:rsidRPr="008640DB">
        <w:t>OECD 2009).</w:t>
      </w:r>
    </w:p>
    <w:p w:rsidR="0026369A" w:rsidRPr="008640DB" w:rsidRDefault="0026369A" w:rsidP="0026369A">
      <w:pPr>
        <w:pStyle w:val="BodyText"/>
      </w:pPr>
      <w:r w:rsidRPr="008640DB">
        <w:t>An OECD study reported evidence that home factors, including parental support for education, engagement with children’s learning and cultural assets (like books), are associated with stronger</w:t>
      </w:r>
      <w:r>
        <w:t xml:space="preserve"> school performance (Field, </w:t>
      </w:r>
      <w:proofErr w:type="spellStart"/>
      <w:r>
        <w:t>Kuczera</w:t>
      </w:r>
      <w:proofErr w:type="spellEnd"/>
      <w:r>
        <w:t xml:space="preserve"> and Pont </w:t>
      </w:r>
      <w:r w:rsidRPr="00DE354D">
        <w:t>2007</w:t>
      </w:r>
      <w:r w:rsidR="00CE44B1">
        <w:t>).</w:t>
      </w:r>
    </w:p>
    <w:p w:rsidR="0026369A" w:rsidRPr="008640DB" w:rsidRDefault="0026369A" w:rsidP="0082251B">
      <w:pPr>
        <w:pStyle w:val="BodyText"/>
      </w:pPr>
      <w:r w:rsidRPr="008640DB">
        <w:t xml:space="preserve">Hattie </w:t>
      </w:r>
      <w:r w:rsidRPr="00DE354D">
        <w:t>(1999, 2003</w:t>
      </w:r>
      <w:r w:rsidRPr="008640DB">
        <w:t>) identifie</w:t>
      </w:r>
      <w:r>
        <w:t>d</w:t>
      </w:r>
      <w:r w:rsidRPr="008640DB">
        <w:t xml:space="preserve"> six major</w:t>
      </w:r>
      <w:r>
        <w:t xml:space="preserve"> sources of variance in student</w:t>
      </w:r>
      <w:r w:rsidRPr="008640DB">
        <w:t>s</w:t>
      </w:r>
      <w:r>
        <w:t>’</w:t>
      </w:r>
      <w:r w:rsidRPr="008640DB">
        <w:t xml:space="preserve"> achievement, with the student</w:t>
      </w:r>
      <w:r w:rsidR="00747EBE">
        <w:t>’s</w:t>
      </w:r>
      <w:r w:rsidRPr="008640DB">
        <w:t xml:space="preserve"> </w:t>
      </w:r>
      <w:r w:rsidR="00747EBE">
        <w:t xml:space="preserve">ability </w:t>
      </w:r>
      <w:r w:rsidRPr="008640DB">
        <w:t>accounting for about 50 per cent of the variance of achievement and the home accounting for about 5 to 10 per cent</w:t>
      </w:r>
      <w:r>
        <w:t>. O</w:t>
      </w:r>
      <w:r w:rsidRPr="008640DB">
        <w:t xml:space="preserve">ther sources </w:t>
      </w:r>
      <w:r>
        <w:t xml:space="preserve">of variance </w:t>
      </w:r>
      <w:r w:rsidR="00FF3A86">
        <w:t>included</w:t>
      </w:r>
      <w:r w:rsidR="00FF3A86" w:rsidRPr="008640DB">
        <w:t xml:space="preserve"> </w:t>
      </w:r>
      <w:r w:rsidRPr="008640DB">
        <w:t>teachers</w:t>
      </w:r>
      <w:r w:rsidR="00FF3A86">
        <w:t>,</w:t>
      </w:r>
      <w:r w:rsidRPr="008640DB">
        <w:t xml:space="preserve"> account</w:t>
      </w:r>
      <w:r w:rsidR="00FF3A86">
        <w:t>ing</w:t>
      </w:r>
      <w:r w:rsidRPr="008640DB">
        <w:t xml:space="preserve"> for about 30 per cent</w:t>
      </w:r>
      <w:r>
        <w:t>,</w:t>
      </w:r>
      <w:r w:rsidRPr="00025751">
        <w:t xml:space="preserve"> </w:t>
      </w:r>
      <w:r>
        <w:t xml:space="preserve">schools (including principals) </w:t>
      </w:r>
      <w:r w:rsidR="00FF3A86">
        <w:t>accounting for</w:t>
      </w:r>
      <w:r w:rsidRPr="008640DB">
        <w:t xml:space="preserve"> 5 to 10 per cent</w:t>
      </w:r>
      <w:r>
        <w:t xml:space="preserve"> and</w:t>
      </w:r>
      <w:r w:rsidRPr="008640DB">
        <w:t xml:space="preserve"> peer effects</w:t>
      </w:r>
      <w:r w:rsidR="00FF3A86">
        <w:t xml:space="preserve"> accounting for </w:t>
      </w:r>
      <w:r w:rsidRPr="008640DB">
        <w:t>5 to 10 per</w:t>
      </w:r>
      <w:r>
        <w:t xml:space="preserve"> cent</w:t>
      </w:r>
      <w:r w:rsidRPr="008640DB">
        <w:t>.</w:t>
      </w:r>
    </w:p>
    <w:p w:rsidR="00C41CD3" w:rsidRPr="00801652" w:rsidRDefault="000F0B81" w:rsidP="00961368">
      <w:pPr>
        <w:pStyle w:val="Heading4"/>
        <w:rPr>
          <w:rStyle w:val="DraftingNote"/>
          <w:color w:val="auto"/>
        </w:rPr>
      </w:pPr>
      <w:r w:rsidRPr="00801652">
        <w:lastRenderedPageBreak/>
        <w:t>Schools</w:t>
      </w:r>
    </w:p>
    <w:p w:rsidR="0026369A" w:rsidRPr="008640DB" w:rsidRDefault="0026369A" w:rsidP="0082251B">
      <w:pPr>
        <w:pStyle w:val="BodyText"/>
      </w:pPr>
      <w:r w:rsidRPr="008640DB">
        <w:t>At the beginning of August 20</w:t>
      </w:r>
      <w:r>
        <w:t>11</w:t>
      </w:r>
      <w:r w:rsidRPr="008640DB">
        <w:t xml:space="preserve">, there </w:t>
      </w:r>
      <w:r w:rsidRPr="000D4B3A">
        <w:t xml:space="preserve">were </w:t>
      </w:r>
      <w:r w:rsidR="000D4B3A" w:rsidRPr="000D4B3A">
        <w:t>9435</w:t>
      </w:r>
      <w:r w:rsidRPr="000D4B3A">
        <w:t xml:space="preserve"> schools</w:t>
      </w:r>
      <w:r w:rsidRPr="008640DB">
        <w:t xml:space="preserve"> in Australia (</w:t>
      </w:r>
      <w:r w:rsidR="000D4B3A">
        <w:t>6312</w:t>
      </w:r>
      <w:r w:rsidR="003B5315">
        <w:t> </w:t>
      </w:r>
      <w:r w:rsidRPr="008640DB">
        <w:t xml:space="preserve">primary schools, </w:t>
      </w:r>
      <w:r w:rsidR="000D4B3A">
        <w:t>1397</w:t>
      </w:r>
      <w:r>
        <w:t xml:space="preserve"> secondary schools, </w:t>
      </w:r>
      <w:r w:rsidR="000D4B3A">
        <w:t>1306</w:t>
      </w:r>
      <w:r>
        <w:t xml:space="preserve"> combined schools and</w:t>
      </w:r>
      <w:r w:rsidRPr="008640DB">
        <w:t xml:space="preserve"> </w:t>
      </w:r>
      <w:r w:rsidR="000D4B3A">
        <w:t>420</w:t>
      </w:r>
      <w:r w:rsidR="003B5315">
        <w:t> </w:t>
      </w:r>
      <w:r w:rsidRPr="008640DB">
        <w:t>special schools</w:t>
      </w:r>
      <w:r w:rsidRPr="008640DB">
        <w:rPr>
          <w:rStyle w:val="FootnoteReference"/>
        </w:rPr>
        <w:footnoteReference w:id="4"/>
      </w:r>
      <w:r w:rsidRPr="008640DB">
        <w:t xml:space="preserve">). The majority of schools </w:t>
      </w:r>
      <w:r>
        <w:t>(</w:t>
      </w:r>
      <w:r w:rsidR="000D4B3A">
        <w:t>71.1</w:t>
      </w:r>
      <w:r>
        <w:t xml:space="preserve"> per cent) </w:t>
      </w:r>
      <w:r w:rsidRPr="008640DB">
        <w:t>were government owned and managed (</w:t>
      </w:r>
      <w:r w:rsidRPr="00452BDA">
        <w:t>table </w:t>
      </w:r>
      <w:r w:rsidR="002A66B3">
        <w:fldChar w:fldCharType="begin"/>
      </w:r>
      <w:r w:rsidR="002A66B3">
        <w:instrText xml:space="preserve"> LINK Unknown "\\\\MEL_1\\groups\\Monitor\\09 National Agreement Report\\02 NAR Report WIP\\2011 NAR Report - Ed and training\\2011 NAR Second Draft\\NEA\\NEA second draft.docx" "OLE_LINK6" \a \t </w:instrText>
      </w:r>
      <w:r w:rsidR="002A66B3">
        <w:fldChar w:fldCharType="separate"/>
      </w:r>
      <w:r w:rsidR="002A66B3">
        <w:t>2</w:t>
      </w:r>
      <w:r w:rsidR="002A66B3">
        <w:fldChar w:fldCharType="end"/>
      </w:r>
      <w:r w:rsidRPr="00452BDA">
        <w:t>).</w:t>
      </w:r>
    </w:p>
    <w:p w:rsidR="0026369A" w:rsidRDefault="0026369A" w:rsidP="0026369A">
      <w:pPr>
        <w:pStyle w:val="BodyText"/>
      </w:pPr>
      <w:r w:rsidRPr="008640DB">
        <w:t>Settlement patterns (population dispersion), the age distribution of the population and educational policy influence the distribution of schools by size and level in different jurisdictions.</w:t>
      </w:r>
    </w:p>
    <w:p w:rsidR="0026369A" w:rsidRDefault="0026369A" w:rsidP="0082251B">
      <w:pPr>
        <w:pStyle w:val="BodyText"/>
      </w:pPr>
      <w:r>
        <w:t>An indication of a large school is a primary school enrolling over 300 students, or a secondary school enrolling over 600 students. N</w:t>
      </w:r>
      <w:r w:rsidRPr="008640DB">
        <w:t xml:space="preserve">ationally </w:t>
      </w:r>
      <w:r>
        <w:t xml:space="preserve">in 2011, </w:t>
      </w:r>
      <w:r w:rsidR="000D4B3A">
        <w:t>38.2</w:t>
      </w:r>
      <w:r>
        <w:t xml:space="preserve"> per cent of primary schools enrolled over 300 students, </w:t>
      </w:r>
      <w:r w:rsidRPr="000D4B3A">
        <w:t xml:space="preserve">and </w:t>
      </w:r>
      <w:r w:rsidR="000D4B3A" w:rsidRPr="000D4B3A">
        <w:t>61.6</w:t>
      </w:r>
      <w:r w:rsidRPr="000D4B3A">
        <w:t xml:space="preserve"> per cent</w:t>
      </w:r>
      <w:r>
        <w:t xml:space="preserve"> of secondary schools enr</w:t>
      </w:r>
      <w:r w:rsidR="00E70B10">
        <w:t>olled over 600 students (table</w:t>
      </w:r>
      <w:r w:rsidR="002A66B3">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"OLE_LINK6" \a \t </w:instrText>
      </w:r>
      <w:r w:rsidR="002A66B3">
        <w:fldChar w:fldCharType="separate"/>
      </w:r>
      <w:r w:rsidR="002A66B3">
        <w:t>2</w:t>
      </w:r>
      <w:r w:rsidR="002A66B3">
        <w:fldChar w:fldCharType="end"/>
      </w:r>
      <w:r>
        <w:t>)</w:t>
      </w:r>
      <w:r w:rsidRPr="008640DB">
        <w:t>. A breakdown by jurisdiction of primary and secondary schools by size for government, non</w:t>
      </w:r>
      <w:r w:rsidRPr="008640DB">
        <w:noBreakHyphen/>
        <w:t xml:space="preserve">government and all schools is available in </w:t>
      </w:r>
      <w:r w:rsidRPr="008640DB">
        <w:rPr>
          <w:i/>
        </w:rPr>
        <w:t>Schools Australia, 20</w:t>
      </w:r>
      <w:r>
        <w:rPr>
          <w:i/>
        </w:rPr>
        <w:t>11</w:t>
      </w:r>
      <w:r w:rsidRPr="008640DB">
        <w:t xml:space="preserve"> (ABS </w:t>
      </w:r>
      <w:proofErr w:type="spellStart"/>
      <w:r w:rsidRPr="008640DB">
        <w:t>201</w:t>
      </w:r>
      <w:r>
        <w:t>2b</w:t>
      </w:r>
      <w:proofErr w:type="spellEnd"/>
      <w:r w:rsidRPr="008640DB">
        <w:t>).</w:t>
      </w:r>
    </w:p>
    <w:p w:rsidR="00D6109E" w:rsidRPr="00981169" w:rsidRDefault="0026369A" w:rsidP="001E36B5">
      <w:pPr>
        <w:pStyle w:val="BodyText"/>
      </w:pPr>
      <w:r>
        <w:t>Evidence o</w:t>
      </w:r>
      <w:r w:rsidR="00604733">
        <w:t>f</w:t>
      </w:r>
      <w:r>
        <w:t xml:space="preserve"> </w:t>
      </w:r>
      <w:r w:rsidRPr="00DE354D">
        <w:t xml:space="preserve">the effect of school size on student outcomes is unclear. A study by </w:t>
      </w:r>
      <w:proofErr w:type="spellStart"/>
      <w:r w:rsidR="00440663" w:rsidRPr="00DE354D">
        <w:t>Teese</w:t>
      </w:r>
      <w:proofErr w:type="spellEnd"/>
      <w:r w:rsidR="00440663" w:rsidRPr="00DE354D">
        <w:t xml:space="preserve">, Lamb and </w:t>
      </w:r>
      <w:proofErr w:type="spellStart"/>
      <w:r w:rsidR="00440663" w:rsidRPr="00DE354D">
        <w:t>Duru-Bellat</w:t>
      </w:r>
      <w:proofErr w:type="spellEnd"/>
      <w:r w:rsidR="00440663" w:rsidRPr="00DE354D">
        <w:t xml:space="preserve"> </w:t>
      </w:r>
      <w:r w:rsidRPr="00DE354D">
        <w:t>(2007) found that</w:t>
      </w:r>
      <w:r w:rsidR="00604733">
        <w:t>,</w:t>
      </w:r>
      <w:r w:rsidRPr="00DE354D">
        <w:t xml:space="preserve"> for Melbourne government schools, with other things held equal, larger schools provided achievement gains in student Victorian Certificate of Education (</w:t>
      </w:r>
      <w:proofErr w:type="spellStart"/>
      <w:r w:rsidRPr="00DE354D">
        <w:t>VCE</w:t>
      </w:r>
      <w:proofErr w:type="spellEnd"/>
      <w:r w:rsidRPr="00DE354D">
        <w:t>) results, and that school achievement based on year 5 Achievement Improvement Monitor (AIM) test results tended to rise as school size increase</w:t>
      </w:r>
      <w:r w:rsidR="00604733">
        <w:t>d</w:t>
      </w:r>
      <w:r w:rsidRPr="00DE354D">
        <w:t>. In 2010, the ACT Department of Education and Training conducted a review of student</w:t>
      </w:r>
      <w:r w:rsidRPr="00D12F46">
        <w:t xml:space="preserve"> performance and how it relate</w:t>
      </w:r>
      <w:r>
        <w:t>d</w:t>
      </w:r>
      <w:r w:rsidRPr="00D12F46">
        <w:t xml:space="preserve"> to school size</w:t>
      </w:r>
      <w:r>
        <w:t xml:space="preserve"> (Watterson 2010)</w:t>
      </w:r>
      <w:r w:rsidRPr="00D12F46">
        <w:t xml:space="preserve">. The review examined 2008 and 2009 </w:t>
      </w:r>
      <w:r>
        <w:t>National Assessment Program — Literacy and Numeracy (</w:t>
      </w:r>
      <w:r w:rsidRPr="00D12F46">
        <w:t>NAPLAN</w:t>
      </w:r>
      <w:r>
        <w:t>)</w:t>
      </w:r>
      <w:r w:rsidRPr="00D12F46">
        <w:t xml:space="preserve"> tests results</w:t>
      </w:r>
      <w:r>
        <w:t xml:space="preserve"> and found that year 3 and y</w:t>
      </w:r>
      <w:r w:rsidRPr="00D12F46">
        <w:t xml:space="preserve">ear 5 students in medium and large primary schools performed significantly better than those in small schools. </w:t>
      </w:r>
      <w:r>
        <w:t>However, t</w:t>
      </w:r>
      <w:r w:rsidRPr="00D12F46">
        <w:t xml:space="preserve">he review also found that the average </w:t>
      </w:r>
      <w:r>
        <w:t>Index of Community Socio</w:t>
      </w:r>
      <w:r>
        <w:noBreakHyphen/>
        <w:t>Educational Advantage (</w:t>
      </w:r>
      <w:proofErr w:type="spellStart"/>
      <w:r w:rsidRPr="00D12F46">
        <w:t>ICSEA</w:t>
      </w:r>
      <w:proofErr w:type="spellEnd"/>
      <w:r>
        <w:t>)</w:t>
      </w:r>
      <w:r w:rsidRPr="00D12F46">
        <w:t xml:space="preserve"> score for small schools was lower than that for medium </w:t>
      </w:r>
      <w:r>
        <w:t xml:space="preserve">and large schools. Therefore, it is not clear whether school size or </w:t>
      </w:r>
      <w:proofErr w:type="spellStart"/>
      <w:r>
        <w:t>ICSEA</w:t>
      </w:r>
      <w:proofErr w:type="spellEnd"/>
      <w:r>
        <w:t xml:space="preserve"> (or both) influenced the results. A review of the literature in a report for the Queensland Department of Education and Training in 2008 (</w:t>
      </w:r>
      <w:proofErr w:type="spellStart"/>
      <w:r>
        <w:t>EIDOS</w:t>
      </w:r>
      <w:proofErr w:type="spellEnd"/>
      <w:r>
        <w:t xml:space="preserve"> 2008) reported that one significant finding on the impact of school size was the concept of ‘density of advantage/disadvantage’</w:t>
      </w:r>
      <w:r w:rsidR="00604733">
        <w:t xml:space="preserve"> — </w:t>
      </w:r>
      <w:r>
        <w:t>by where the critical mass is positive</w:t>
      </w:r>
      <w:r w:rsidR="006233FE">
        <w:t xml:space="preserve"> (</w:t>
      </w:r>
      <w:r>
        <w:t>that is</w:t>
      </w:r>
      <w:r w:rsidR="006233FE">
        <w:t>, where</w:t>
      </w:r>
      <w:r>
        <w:t xml:space="preserve"> there is a significant number of high achieving and engaged students</w:t>
      </w:r>
      <w:r w:rsidR="006233FE">
        <w:t>)</w:t>
      </w:r>
      <w:r>
        <w:t xml:space="preserve"> then the school size </w:t>
      </w:r>
      <w:r w:rsidR="006233FE">
        <w:t>has a positive impact</w:t>
      </w:r>
      <w:r>
        <w:t xml:space="preserve"> on the student outcomes (and vice versa</w:t>
      </w:r>
      <w:r w:rsidRPr="00981169">
        <w:t>).</w:t>
      </w:r>
    </w:p>
    <w:p w:rsidR="0026369A" w:rsidRDefault="0026369A" w:rsidP="0082251B">
      <w:pPr>
        <w:pStyle w:val="TableTitle"/>
      </w:pPr>
      <w:r>
        <w:rPr>
          <w:b w:val="0"/>
        </w:rPr>
        <w:lastRenderedPageBreak/>
        <w:t xml:space="preserve">Table </w:t>
      </w:r>
      <w:bookmarkStart w:id="7" w:name="OLE_LINK6"/>
      <w:r>
        <w:rPr>
          <w:b w:val="0"/>
        </w:rPr>
        <w:fldChar w:fldCharType="begin"/>
      </w:r>
      <w:r>
        <w:rPr>
          <w:b w:val="0"/>
        </w:rPr>
        <w:instrText xml:space="preserve"> SEQ Table \* ARABIC </w:instrText>
      </w:r>
      <w:r>
        <w:rPr>
          <w:b w:val="0"/>
        </w:rPr>
        <w:fldChar w:fldCharType="separate"/>
      </w:r>
      <w:r w:rsidR="00936B93">
        <w:rPr>
          <w:b w:val="0"/>
          <w:noProof/>
        </w:rPr>
        <w:t>2</w:t>
      </w:r>
      <w:r>
        <w:rPr>
          <w:b w:val="0"/>
        </w:rPr>
        <w:fldChar w:fldCharType="end"/>
      </w:r>
      <w:bookmarkEnd w:id="7"/>
      <w:r>
        <w:tab/>
        <w:t>Summary of school characteristics, August 2011</w:t>
      </w:r>
    </w:p>
    <w:tbl>
      <w:tblPr>
        <w:tblW w:w="8863" w:type="dxa"/>
        <w:tblLayout w:type="fixed"/>
        <w:tblCellMar>
          <w:left w:w="0" w:type="dxa"/>
          <w:right w:w="0" w:type="dxa"/>
        </w:tblCellMar>
        <w:tblLook w:val="0000" w:firstRow="0" w:lastRow="0" w:firstColumn="0" w:lastColumn="0" w:noHBand="0" w:noVBand="0"/>
      </w:tblPr>
      <w:tblGrid>
        <w:gridCol w:w="2624"/>
        <w:gridCol w:w="685"/>
        <w:gridCol w:w="685"/>
        <w:gridCol w:w="685"/>
        <w:gridCol w:w="685"/>
        <w:gridCol w:w="686"/>
        <w:gridCol w:w="686"/>
        <w:gridCol w:w="686"/>
        <w:gridCol w:w="22"/>
        <w:gridCol w:w="687"/>
        <w:gridCol w:w="22"/>
        <w:gridCol w:w="688"/>
        <w:gridCol w:w="22"/>
      </w:tblGrid>
      <w:tr w:rsidR="0026369A" w:rsidRPr="00D868AC" w:rsidTr="00CA37B1">
        <w:tc>
          <w:tcPr>
            <w:tcW w:w="2624" w:type="dxa"/>
            <w:tcBorders>
              <w:top w:val="single" w:sz="6" w:space="0" w:color="auto"/>
              <w:bottom w:val="single" w:sz="6" w:space="0" w:color="auto"/>
            </w:tcBorders>
            <w:shd w:val="clear" w:color="auto" w:fill="auto"/>
          </w:tcPr>
          <w:p w:rsidR="0026369A" w:rsidRPr="00D868AC" w:rsidRDefault="0026369A" w:rsidP="0026369A">
            <w:pPr>
              <w:pStyle w:val="TableColumnHeading"/>
              <w:jc w:val="left"/>
            </w:pPr>
          </w:p>
        </w:tc>
        <w:tc>
          <w:tcPr>
            <w:tcW w:w="685" w:type="dxa"/>
            <w:tcBorders>
              <w:top w:val="single" w:sz="6" w:space="0" w:color="auto"/>
              <w:bottom w:val="single" w:sz="6" w:space="0" w:color="auto"/>
            </w:tcBorders>
            <w:shd w:val="clear" w:color="auto" w:fill="auto"/>
          </w:tcPr>
          <w:p w:rsidR="0026369A" w:rsidRPr="00D868AC" w:rsidRDefault="0026369A" w:rsidP="0026369A">
            <w:pPr>
              <w:pStyle w:val="TableColumnHeading"/>
            </w:pPr>
            <w:r w:rsidRPr="00D868AC">
              <w:t>NSW</w:t>
            </w:r>
          </w:p>
        </w:tc>
        <w:tc>
          <w:tcPr>
            <w:tcW w:w="685" w:type="dxa"/>
            <w:tcBorders>
              <w:top w:val="single" w:sz="6" w:space="0" w:color="auto"/>
              <w:bottom w:val="single" w:sz="6" w:space="0" w:color="auto"/>
            </w:tcBorders>
            <w:shd w:val="clear" w:color="auto" w:fill="auto"/>
          </w:tcPr>
          <w:p w:rsidR="0026369A" w:rsidRPr="00D868AC" w:rsidRDefault="0026369A" w:rsidP="0026369A">
            <w:pPr>
              <w:pStyle w:val="TableColumnHeading"/>
            </w:pPr>
            <w:r w:rsidRPr="00D868AC">
              <w:t>Vic</w:t>
            </w:r>
          </w:p>
        </w:tc>
        <w:tc>
          <w:tcPr>
            <w:tcW w:w="685" w:type="dxa"/>
            <w:tcBorders>
              <w:top w:val="single" w:sz="6" w:space="0" w:color="auto"/>
              <w:bottom w:val="single" w:sz="6" w:space="0" w:color="auto"/>
            </w:tcBorders>
            <w:shd w:val="clear" w:color="auto" w:fill="auto"/>
          </w:tcPr>
          <w:p w:rsidR="0026369A" w:rsidRPr="00D868AC" w:rsidRDefault="0026369A" w:rsidP="0026369A">
            <w:pPr>
              <w:pStyle w:val="TableColumnHeading"/>
            </w:pPr>
            <w:r w:rsidRPr="00D868AC">
              <w:t>Qld</w:t>
            </w:r>
          </w:p>
        </w:tc>
        <w:tc>
          <w:tcPr>
            <w:tcW w:w="685" w:type="dxa"/>
            <w:tcBorders>
              <w:top w:val="single" w:sz="6" w:space="0" w:color="auto"/>
              <w:bottom w:val="single" w:sz="6" w:space="0" w:color="auto"/>
            </w:tcBorders>
            <w:shd w:val="clear" w:color="auto" w:fill="auto"/>
          </w:tcPr>
          <w:p w:rsidR="0026369A" w:rsidRPr="00D868AC" w:rsidRDefault="0026369A" w:rsidP="0026369A">
            <w:pPr>
              <w:pStyle w:val="TableColumnHeading"/>
            </w:pPr>
            <w:r w:rsidRPr="00D868AC">
              <w:t>WA</w:t>
            </w:r>
          </w:p>
        </w:tc>
        <w:tc>
          <w:tcPr>
            <w:tcW w:w="686" w:type="dxa"/>
            <w:tcBorders>
              <w:top w:val="single" w:sz="6" w:space="0" w:color="auto"/>
              <w:bottom w:val="single" w:sz="6" w:space="0" w:color="auto"/>
            </w:tcBorders>
            <w:shd w:val="clear" w:color="auto" w:fill="auto"/>
          </w:tcPr>
          <w:p w:rsidR="0026369A" w:rsidRPr="00D868AC" w:rsidRDefault="0026369A" w:rsidP="0026369A">
            <w:pPr>
              <w:pStyle w:val="TableColumnHeading"/>
            </w:pPr>
            <w:r w:rsidRPr="00D868AC">
              <w:t>SA</w:t>
            </w:r>
          </w:p>
        </w:tc>
        <w:tc>
          <w:tcPr>
            <w:tcW w:w="686" w:type="dxa"/>
            <w:tcBorders>
              <w:top w:val="single" w:sz="6" w:space="0" w:color="auto"/>
              <w:bottom w:val="single" w:sz="6" w:space="0" w:color="auto"/>
            </w:tcBorders>
            <w:shd w:val="clear" w:color="auto" w:fill="auto"/>
          </w:tcPr>
          <w:p w:rsidR="0026369A" w:rsidRPr="00D868AC" w:rsidRDefault="0026369A" w:rsidP="0026369A">
            <w:pPr>
              <w:pStyle w:val="TableColumnHeading"/>
            </w:pPr>
            <w:r w:rsidRPr="00D868AC">
              <w:t>Tas</w:t>
            </w:r>
          </w:p>
        </w:tc>
        <w:tc>
          <w:tcPr>
            <w:tcW w:w="708" w:type="dxa"/>
            <w:gridSpan w:val="2"/>
            <w:tcBorders>
              <w:top w:val="single" w:sz="6" w:space="0" w:color="auto"/>
              <w:bottom w:val="single" w:sz="6" w:space="0" w:color="auto"/>
            </w:tcBorders>
            <w:shd w:val="clear" w:color="auto" w:fill="auto"/>
          </w:tcPr>
          <w:p w:rsidR="0026369A" w:rsidRPr="00D868AC" w:rsidRDefault="0026369A" w:rsidP="0026369A">
            <w:pPr>
              <w:pStyle w:val="TableColumnHeading"/>
            </w:pPr>
            <w:r w:rsidRPr="00D868AC">
              <w:t>ACT</w:t>
            </w:r>
          </w:p>
        </w:tc>
        <w:tc>
          <w:tcPr>
            <w:tcW w:w="709" w:type="dxa"/>
            <w:gridSpan w:val="2"/>
            <w:tcBorders>
              <w:top w:val="single" w:sz="6" w:space="0" w:color="auto"/>
              <w:bottom w:val="single" w:sz="6" w:space="0" w:color="auto"/>
            </w:tcBorders>
            <w:shd w:val="clear" w:color="auto" w:fill="auto"/>
          </w:tcPr>
          <w:p w:rsidR="0026369A" w:rsidRPr="00D868AC" w:rsidRDefault="0026369A" w:rsidP="0026369A">
            <w:pPr>
              <w:pStyle w:val="TableColumnHeading"/>
            </w:pPr>
            <w:r w:rsidRPr="00D868AC">
              <w:t>NT</w:t>
            </w:r>
          </w:p>
        </w:tc>
        <w:tc>
          <w:tcPr>
            <w:tcW w:w="710" w:type="dxa"/>
            <w:gridSpan w:val="2"/>
            <w:tcBorders>
              <w:top w:val="single" w:sz="6" w:space="0" w:color="auto"/>
              <w:bottom w:val="single" w:sz="6" w:space="0" w:color="auto"/>
            </w:tcBorders>
            <w:shd w:val="clear" w:color="auto" w:fill="auto"/>
          </w:tcPr>
          <w:p w:rsidR="0026369A" w:rsidRPr="00D868AC" w:rsidRDefault="0026369A" w:rsidP="0026369A">
            <w:pPr>
              <w:pStyle w:val="TableColumnHeading"/>
              <w:ind w:right="0"/>
            </w:pPr>
            <w:proofErr w:type="spellStart"/>
            <w:r w:rsidRPr="00D868AC">
              <w:t>Aust</w:t>
            </w:r>
            <w:proofErr w:type="spellEnd"/>
          </w:p>
        </w:tc>
      </w:tr>
      <w:tr w:rsidR="0026369A" w:rsidRPr="00D868AC" w:rsidTr="00CA37B1">
        <w:tc>
          <w:tcPr>
            <w:tcW w:w="2624" w:type="dxa"/>
          </w:tcPr>
          <w:p w:rsidR="0026369A" w:rsidRPr="00D868AC" w:rsidRDefault="0026369A" w:rsidP="0026369A">
            <w:pPr>
              <w:pStyle w:val="TableBodyText"/>
              <w:jc w:val="left"/>
            </w:pPr>
            <w:r w:rsidRPr="00D868AC">
              <w:t>Government schools (no.)</w:t>
            </w:r>
          </w:p>
        </w:tc>
        <w:tc>
          <w:tcPr>
            <w:tcW w:w="685" w:type="dxa"/>
          </w:tcPr>
          <w:p w:rsidR="0026369A" w:rsidRPr="00D868AC" w:rsidRDefault="0026369A" w:rsidP="0026369A">
            <w:pPr>
              <w:pStyle w:val="TableBodyText"/>
            </w:pPr>
          </w:p>
        </w:tc>
        <w:tc>
          <w:tcPr>
            <w:tcW w:w="685" w:type="dxa"/>
          </w:tcPr>
          <w:p w:rsidR="0026369A" w:rsidRPr="00D868AC" w:rsidRDefault="0026369A" w:rsidP="0026369A">
            <w:pPr>
              <w:pStyle w:val="TableBodyText"/>
            </w:pPr>
          </w:p>
        </w:tc>
        <w:tc>
          <w:tcPr>
            <w:tcW w:w="685" w:type="dxa"/>
          </w:tcPr>
          <w:p w:rsidR="0026369A" w:rsidRPr="00D868AC" w:rsidRDefault="0026369A" w:rsidP="0026369A">
            <w:pPr>
              <w:pStyle w:val="TableBodyText"/>
            </w:pPr>
          </w:p>
        </w:tc>
        <w:tc>
          <w:tcPr>
            <w:tcW w:w="685" w:type="dxa"/>
          </w:tcPr>
          <w:p w:rsidR="0026369A" w:rsidRPr="00D868AC" w:rsidRDefault="0026369A" w:rsidP="0026369A">
            <w:pPr>
              <w:pStyle w:val="TableBodyText"/>
            </w:pPr>
          </w:p>
        </w:tc>
        <w:tc>
          <w:tcPr>
            <w:tcW w:w="686" w:type="dxa"/>
          </w:tcPr>
          <w:p w:rsidR="0026369A" w:rsidRPr="00D868AC" w:rsidRDefault="0026369A" w:rsidP="0026369A">
            <w:pPr>
              <w:pStyle w:val="TableBodyText"/>
            </w:pPr>
          </w:p>
        </w:tc>
        <w:tc>
          <w:tcPr>
            <w:tcW w:w="686" w:type="dxa"/>
          </w:tcPr>
          <w:p w:rsidR="0026369A" w:rsidRPr="00D868AC" w:rsidRDefault="0026369A" w:rsidP="0026369A">
            <w:pPr>
              <w:pStyle w:val="TableBodyText"/>
            </w:pPr>
          </w:p>
        </w:tc>
        <w:tc>
          <w:tcPr>
            <w:tcW w:w="708" w:type="dxa"/>
            <w:gridSpan w:val="2"/>
          </w:tcPr>
          <w:p w:rsidR="0026369A" w:rsidRPr="00D868AC" w:rsidRDefault="0026369A" w:rsidP="0026369A">
            <w:pPr>
              <w:pStyle w:val="TableBodyText"/>
            </w:pPr>
          </w:p>
        </w:tc>
        <w:tc>
          <w:tcPr>
            <w:tcW w:w="709" w:type="dxa"/>
            <w:gridSpan w:val="2"/>
          </w:tcPr>
          <w:p w:rsidR="0026369A" w:rsidRPr="00D868AC" w:rsidRDefault="0026369A" w:rsidP="0026369A">
            <w:pPr>
              <w:pStyle w:val="TableBodyText"/>
            </w:pPr>
          </w:p>
        </w:tc>
        <w:tc>
          <w:tcPr>
            <w:tcW w:w="710" w:type="dxa"/>
            <w:gridSpan w:val="2"/>
          </w:tcPr>
          <w:p w:rsidR="0026369A" w:rsidRPr="00D868AC" w:rsidRDefault="0026369A" w:rsidP="0026369A">
            <w:pPr>
              <w:pStyle w:val="TableBodyText"/>
            </w:pPr>
          </w:p>
        </w:tc>
      </w:tr>
      <w:tr w:rsidR="000D4B3A" w:rsidRPr="00D868AC" w:rsidTr="00CA37B1">
        <w:tc>
          <w:tcPr>
            <w:tcW w:w="2624" w:type="dxa"/>
          </w:tcPr>
          <w:p w:rsidR="000D4B3A" w:rsidRPr="00D868AC" w:rsidRDefault="000D4B3A" w:rsidP="0026369A">
            <w:pPr>
              <w:pStyle w:val="TableBodyText"/>
              <w:ind w:left="136"/>
              <w:jc w:val="left"/>
            </w:pPr>
            <w:r w:rsidRPr="00D868AC">
              <w:t>Primary</w:t>
            </w:r>
          </w:p>
        </w:tc>
        <w:tc>
          <w:tcPr>
            <w:tcW w:w="685" w:type="dxa"/>
            <w:vAlign w:val="center"/>
          </w:tcPr>
          <w:p w:rsidR="000D4B3A" w:rsidRPr="00CA37B1" w:rsidRDefault="000D4B3A" w:rsidP="00CA37B1">
            <w:pPr>
              <w:pStyle w:val="TableBodyText"/>
            </w:pPr>
            <w:r w:rsidRPr="00CA37B1">
              <w:t xml:space="preserve"> 1 631</w:t>
            </w:r>
          </w:p>
        </w:tc>
        <w:tc>
          <w:tcPr>
            <w:tcW w:w="685" w:type="dxa"/>
            <w:vAlign w:val="center"/>
          </w:tcPr>
          <w:p w:rsidR="000D4B3A" w:rsidRPr="00CA37B1" w:rsidRDefault="000D4B3A" w:rsidP="00CA37B1">
            <w:pPr>
              <w:pStyle w:val="TableBodyText"/>
            </w:pPr>
            <w:r w:rsidRPr="00CA37B1">
              <w:t xml:space="preserve"> 1 140</w:t>
            </w:r>
          </w:p>
        </w:tc>
        <w:tc>
          <w:tcPr>
            <w:tcW w:w="685" w:type="dxa"/>
            <w:vAlign w:val="center"/>
          </w:tcPr>
          <w:p w:rsidR="000D4B3A" w:rsidRPr="00CA37B1" w:rsidRDefault="000D4B3A" w:rsidP="00CA37B1">
            <w:pPr>
              <w:pStyle w:val="TableBodyText"/>
            </w:pPr>
            <w:r w:rsidRPr="00CA37B1">
              <w:t>921</w:t>
            </w:r>
          </w:p>
        </w:tc>
        <w:tc>
          <w:tcPr>
            <w:tcW w:w="685" w:type="dxa"/>
            <w:vAlign w:val="center"/>
          </w:tcPr>
          <w:p w:rsidR="000D4B3A" w:rsidRPr="00CA37B1" w:rsidRDefault="000D4B3A" w:rsidP="00CA37B1">
            <w:pPr>
              <w:pStyle w:val="TableBodyText"/>
            </w:pPr>
            <w:r w:rsidRPr="00CA37B1">
              <w:t>513</w:t>
            </w:r>
          </w:p>
        </w:tc>
        <w:tc>
          <w:tcPr>
            <w:tcW w:w="686" w:type="dxa"/>
            <w:vAlign w:val="center"/>
          </w:tcPr>
          <w:p w:rsidR="000D4B3A" w:rsidRPr="00CA37B1" w:rsidRDefault="000D4B3A" w:rsidP="00CA37B1">
            <w:pPr>
              <w:pStyle w:val="TableBodyText"/>
            </w:pPr>
            <w:r w:rsidRPr="00CA37B1">
              <w:t>395</w:t>
            </w:r>
          </w:p>
        </w:tc>
        <w:tc>
          <w:tcPr>
            <w:tcW w:w="686" w:type="dxa"/>
            <w:vAlign w:val="center"/>
          </w:tcPr>
          <w:p w:rsidR="000D4B3A" w:rsidRPr="00CA37B1" w:rsidRDefault="000D4B3A" w:rsidP="00CA37B1">
            <w:pPr>
              <w:pStyle w:val="TableBodyText"/>
            </w:pPr>
            <w:r w:rsidRPr="00CA37B1">
              <w:t>128</w:t>
            </w:r>
          </w:p>
        </w:tc>
        <w:tc>
          <w:tcPr>
            <w:tcW w:w="708" w:type="dxa"/>
            <w:gridSpan w:val="2"/>
            <w:vAlign w:val="center"/>
          </w:tcPr>
          <w:p w:rsidR="000D4B3A" w:rsidRPr="00CA37B1" w:rsidRDefault="000D4B3A" w:rsidP="00CA37B1">
            <w:pPr>
              <w:pStyle w:val="TableBodyText"/>
            </w:pPr>
            <w:r w:rsidRPr="00CA37B1">
              <w:t>53</w:t>
            </w:r>
          </w:p>
        </w:tc>
        <w:tc>
          <w:tcPr>
            <w:tcW w:w="709" w:type="dxa"/>
            <w:gridSpan w:val="2"/>
            <w:vAlign w:val="center"/>
          </w:tcPr>
          <w:p w:rsidR="000D4B3A" w:rsidRPr="00CA37B1" w:rsidRDefault="000D4B3A" w:rsidP="00CA37B1">
            <w:pPr>
              <w:pStyle w:val="TableBodyText"/>
            </w:pPr>
            <w:r w:rsidRPr="00CA37B1">
              <w:t>66</w:t>
            </w:r>
          </w:p>
        </w:tc>
        <w:tc>
          <w:tcPr>
            <w:tcW w:w="710" w:type="dxa"/>
            <w:gridSpan w:val="2"/>
            <w:vAlign w:val="center"/>
          </w:tcPr>
          <w:p w:rsidR="000D4B3A" w:rsidRPr="00CA37B1" w:rsidRDefault="000D4B3A" w:rsidP="00CA37B1">
            <w:pPr>
              <w:pStyle w:val="TableBodyText"/>
            </w:pPr>
            <w:r w:rsidRPr="00CA37B1">
              <w:t xml:space="preserve"> 4 847</w:t>
            </w:r>
          </w:p>
        </w:tc>
      </w:tr>
      <w:tr w:rsidR="000D4B3A" w:rsidRPr="00D868AC" w:rsidTr="00CA37B1">
        <w:tc>
          <w:tcPr>
            <w:tcW w:w="2624" w:type="dxa"/>
          </w:tcPr>
          <w:p w:rsidR="000D4B3A" w:rsidRPr="00D868AC" w:rsidRDefault="000D4B3A" w:rsidP="0026369A">
            <w:pPr>
              <w:pStyle w:val="TableBodyText"/>
              <w:ind w:left="136"/>
              <w:jc w:val="left"/>
            </w:pPr>
            <w:r w:rsidRPr="00D868AC">
              <w:t>Secondary</w:t>
            </w:r>
          </w:p>
        </w:tc>
        <w:tc>
          <w:tcPr>
            <w:tcW w:w="685" w:type="dxa"/>
            <w:vAlign w:val="center"/>
          </w:tcPr>
          <w:p w:rsidR="000D4B3A" w:rsidRPr="00CA37B1" w:rsidRDefault="000D4B3A" w:rsidP="00CA37B1">
            <w:pPr>
              <w:pStyle w:val="TableBodyText"/>
            </w:pPr>
            <w:r w:rsidRPr="00CA37B1">
              <w:t>370</w:t>
            </w:r>
          </w:p>
        </w:tc>
        <w:tc>
          <w:tcPr>
            <w:tcW w:w="685" w:type="dxa"/>
            <w:vAlign w:val="center"/>
          </w:tcPr>
          <w:p w:rsidR="000D4B3A" w:rsidRPr="00CA37B1" w:rsidRDefault="000D4B3A" w:rsidP="00CA37B1">
            <w:pPr>
              <w:pStyle w:val="TableBodyText"/>
            </w:pPr>
            <w:r w:rsidRPr="00CA37B1">
              <w:t>244</w:t>
            </w:r>
          </w:p>
        </w:tc>
        <w:tc>
          <w:tcPr>
            <w:tcW w:w="685" w:type="dxa"/>
            <w:vAlign w:val="center"/>
          </w:tcPr>
          <w:p w:rsidR="000D4B3A" w:rsidRPr="00CA37B1" w:rsidRDefault="000D4B3A" w:rsidP="00CA37B1">
            <w:pPr>
              <w:pStyle w:val="TableBodyText"/>
            </w:pPr>
            <w:r w:rsidRPr="00CA37B1">
              <w:t>179</w:t>
            </w:r>
          </w:p>
        </w:tc>
        <w:tc>
          <w:tcPr>
            <w:tcW w:w="685" w:type="dxa"/>
            <w:vAlign w:val="center"/>
          </w:tcPr>
          <w:p w:rsidR="000D4B3A" w:rsidRPr="00CA37B1" w:rsidRDefault="000D4B3A" w:rsidP="00CA37B1">
            <w:pPr>
              <w:pStyle w:val="TableBodyText"/>
            </w:pPr>
            <w:r w:rsidRPr="00CA37B1">
              <w:t>99</w:t>
            </w:r>
          </w:p>
        </w:tc>
        <w:tc>
          <w:tcPr>
            <w:tcW w:w="686" w:type="dxa"/>
            <w:vAlign w:val="center"/>
          </w:tcPr>
          <w:p w:rsidR="000D4B3A" w:rsidRPr="00CA37B1" w:rsidRDefault="000D4B3A" w:rsidP="00CA37B1">
            <w:pPr>
              <w:pStyle w:val="TableBodyText"/>
            </w:pPr>
            <w:r w:rsidRPr="00CA37B1">
              <w:t>68</w:t>
            </w:r>
          </w:p>
        </w:tc>
        <w:tc>
          <w:tcPr>
            <w:tcW w:w="686" w:type="dxa"/>
            <w:vAlign w:val="center"/>
          </w:tcPr>
          <w:p w:rsidR="000D4B3A" w:rsidRPr="00CA37B1" w:rsidRDefault="000D4B3A" w:rsidP="00CA37B1">
            <w:pPr>
              <w:pStyle w:val="TableBodyText"/>
            </w:pPr>
            <w:r w:rsidRPr="00CA37B1">
              <w:t>31</w:t>
            </w:r>
          </w:p>
        </w:tc>
        <w:tc>
          <w:tcPr>
            <w:tcW w:w="708" w:type="dxa"/>
            <w:gridSpan w:val="2"/>
            <w:vAlign w:val="center"/>
          </w:tcPr>
          <w:p w:rsidR="000D4B3A" w:rsidRPr="00CA37B1" w:rsidRDefault="000D4B3A" w:rsidP="00CA37B1">
            <w:pPr>
              <w:pStyle w:val="TableBodyText"/>
            </w:pPr>
            <w:r w:rsidRPr="00CA37B1">
              <w:t>18</w:t>
            </w:r>
          </w:p>
        </w:tc>
        <w:tc>
          <w:tcPr>
            <w:tcW w:w="709" w:type="dxa"/>
            <w:gridSpan w:val="2"/>
            <w:vAlign w:val="center"/>
          </w:tcPr>
          <w:p w:rsidR="000D4B3A" w:rsidRPr="00CA37B1" w:rsidRDefault="000D4B3A" w:rsidP="00CA37B1">
            <w:pPr>
              <w:pStyle w:val="TableBodyText"/>
            </w:pPr>
            <w:r w:rsidRPr="00CA37B1">
              <w:t>14</w:t>
            </w:r>
          </w:p>
        </w:tc>
        <w:tc>
          <w:tcPr>
            <w:tcW w:w="710" w:type="dxa"/>
            <w:gridSpan w:val="2"/>
            <w:vAlign w:val="center"/>
          </w:tcPr>
          <w:p w:rsidR="000D4B3A" w:rsidRPr="00CA37B1" w:rsidRDefault="000D4B3A" w:rsidP="00CA37B1">
            <w:pPr>
              <w:pStyle w:val="TableBodyText"/>
            </w:pPr>
            <w:r w:rsidRPr="00CA37B1">
              <w:t xml:space="preserve"> 1 023</w:t>
            </w:r>
          </w:p>
        </w:tc>
      </w:tr>
      <w:tr w:rsidR="000D4B3A" w:rsidRPr="00D868AC" w:rsidTr="00CA37B1">
        <w:tc>
          <w:tcPr>
            <w:tcW w:w="2624" w:type="dxa"/>
          </w:tcPr>
          <w:p w:rsidR="000D4B3A" w:rsidRPr="00D868AC" w:rsidRDefault="000D4B3A" w:rsidP="0026369A">
            <w:pPr>
              <w:pStyle w:val="TableBodyText"/>
              <w:ind w:left="136"/>
              <w:jc w:val="left"/>
            </w:pPr>
            <w:r w:rsidRPr="00D868AC">
              <w:t>Combined</w:t>
            </w:r>
            <w:r w:rsidRPr="00D868AC">
              <w:rPr>
                <w:rStyle w:val="NoteLabel"/>
              </w:rPr>
              <w:t>a</w:t>
            </w:r>
          </w:p>
        </w:tc>
        <w:tc>
          <w:tcPr>
            <w:tcW w:w="685" w:type="dxa"/>
            <w:vAlign w:val="center"/>
          </w:tcPr>
          <w:p w:rsidR="000D4B3A" w:rsidRPr="00CA37B1" w:rsidRDefault="000D4B3A" w:rsidP="00CA37B1">
            <w:pPr>
              <w:pStyle w:val="TableBodyText"/>
            </w:pPr>
            <w:r w:rsidRPr="00CA37B1">
              <w:t>66</w:t>
            </w:r>
          </w:p>
        </w:tc>
        <w:tc>
          <w:tcPr>
            <w:tcW w:w="685" w:type="dxa"/>
            <w:vAlign w:val="center"/>
          </w:tcPr>
          <w:p w:rsidR="000D4B3A" w:rsidRPr="00CA37B1" w:rsidRDefault="000D4B3A" w:rsidP="00CA37B1">
            <w:pPr>
              <w:pStyle w:val="TableBodyText"/>
            </w:pPr>
            <w:r w:rsidRPr="00CA37B1">
              <w:t>76</w:t>
            </w:r>
          </w:p>
        </w:tc>
        <w:tc>
          <w:tcPr>
            <w:tcW w:w="685" w:type="dxa"/>
            <w:vAlign w:val="center"/>
          </w:tcPr>
          <w:p w:rsidR="000D4B3A" w:rsidRPr="00CA37B1" w:rsidRDefault="000D4B3A" w:rsidP="00CA37B1">
            <w:pPr>
              <w:pStyle w:val="TableBodyText"/>
            </w:pPr>
            <w:r w:rsidRPr="00CA37B1">
              <w:t>91</w:t>
            </w:r>
          </w:p>
        </w:tc>
        <w:tc>
          <w:tcPr>
            <w:tcW w:w="685" w:type="dxa"/>
            <w:vAlign w:val="center"/>
          </w:tcPr>
          <w:p w:rsidR="000D4B3A" w:rsidRPr="00CA37B1" w:rsidRDefault="000D4B3A" w:rsidP="00CA37B1">
            <w:pPr>
              <w:pStyle w:val="TableBodyText"/>
            </w:pPr>
            <w:r w:rsidRPr="00CA37B1">
              <w:t>91</w:t>
            </w:r>
          </w:p>
        </w:tc>
        <w:tc>
          <w:tcPr>
            <w:tcW w:w="686" w:type="dxa"/>
            <w:vAlign w:val="center"/>
          </w:tcPr>
          <w:p w:rsidR="000D4B3A" w:rsidRPr="00CA37B1" w:rsidRDefault="000D4B3A" w:rsidP="00CA37B1">
            <w:pPr>
              <w:pStyle w:val="TableBodyText"/>
            </w:pPr>
            <w:r w:rsidRPr="00CA37B1">
              <w:t>76</w:t>
            </w:r>
          </w:p>
        </w:tc>
        <w:tc>
          <w:tcPr>
            <w:tcW w:w="686" w:type="dxa"/>
            <w:vAlign w:val="center"/>
          </w:tcPr>
          <w:p w:rsidR="000D4B3A" w:rsidRPr="00CA37B1" w:rsidRDefault="000D4B3A" w:rsidP="00CA37B1">
            <w:pPr>
              <w:pStyle w:val="TableBodyText"/>
            </w:pPr>
            <w:r w:rsidRPr="00CA37B1">
              <w:t>26</w:t>
            </w:r>
          </w:p>
        </w:tc>
        <w:tc>
          <w:tcPr>
            <w:tcW w:w="708" w:type="dxa"/>
            <w:gridSpan w:val="2"/>
            <w:vAlign w:val="center"/>
          </w:tcPr>
          <w:p w:rsidR="000D4B3A" w:rsidRPr="00CA37B1" w:rsidRDefault="000D4B3A" w:rsidP="00CA37B1">
            <w:pPr>
              <w:pStyle w:val="TableBodyText"/>
            </w:pPr>
            <w:r w:rsidRPr="00CA37B1">
              <w:t>9</w:t>
            </w:r>
          </w:p>
        </w:tc>
        <w:tc>
          <w:tcPr>
            <w:tcW w:w="709" w:type="dxa"/>
            <w:gridSpan w:val="2"/>
            <w:vAlign w:val="center"/>
          </w:tcPr>
          <w:p w:rsidR="000D4B3A" w:rsidRPr="00CA37B1" w:rsidRDefault="000D4B3A" w:rsidP="00CA37B1">
            <w:pPr>
              <w:pStyle w:val="TableBodyText"/>
            </w:pPr>
            <w:r w:rsidRPr="00CA37B1">
              <w:t>69</w:t>
            </w:r>
          </w:p>
        </w:tc>
        <w:tc>
          <w:tcPr>
            <w:tcW w:w="710" w:type="dxa"/>
            <w:gridSpan w:val="2"/>
            <w:vAlign w:val="center"/>
          </w:tcPr>
          <w:p w:rsidR="000D4B3A" w:rsidRPr="00CA37B1" w:rsidRDefault="000D4B3A" w:rsidP="00CA37B1">
            <w:pPr>
              <w:pStyle w:val="TableBodyText"/>
            </w:pPr>
            <w:r w:rsidRPr="00CA37B1">
              <w:t>504</w:t>
            </w:r>
          </w:p>
        </w:tc>
      </w:tr>
      <w:tr w:rsidR="000D4B3A" w:rsidRPr="00D868AC" w:rsidTr="00CA37B1">
        <w:tc>
          <w:tcPr>
            <w:tcW w:w="2624" w:type="dxa"/>
          </w:tcPr>
          <w:p w:rsidR="000D4B3A" w:rsidRPr="00D868AC" w:rsidRDefault="000D4B3A" w:rsidP="0026369A">
            <w:pPr>
              <w:pStyle w:val="TableBodyText"/>
              <w:ind w:left="136"/>
              <w:jc w:val="left"/>
            </w:pPr>
            <w:r w:rsidRPr="00D868AC">
              <w:t>Special schools</w:t>
            </w:r>
            <w:r w:rsidRPr="00D868AC">
              <w:rPr>
                <w:rStyle w:val="NoteLabel"/>
              </w:rPr>
              <w:t>b</w:t>
            </w:r>
          </w:p>
        </w:tc>
        <w:tc>
          <w:tcPr>
            <w:tcW w:w="685" w:type="dxa"/>
            <w:vAlign w:val="center"/>
          </w:tcPr>
          <w:p w:rsidR="000D4B3A" w:rsidRPr="00CA37B1" w:rsidRDefault="000D4B3A" w:rsidP="00CA37B1">
            <w:pPr>
              <w:pStyle w:val="TableBodyText"/>
            </w:pPr>
            <w:r w:rsidRPr="00CA37B1">
              <w:t>110</w:t>
            </w:r>
          </w:p>
        </w:tc>
        <w:tc>
          <w:tcPr>
            <w:tcW w:w="685" w:type="dxa"/>
            <w:vAlign w:val="center"/>
          </w:tcPr>
          <w:p w:rsidR="000D4B3A" w:rsidRPr="00CA37B1" w:rsidRDefault="000D4B3A" w:rsidP="00CA37B1">
            <w:pPr>
              <w:pStyle w:val="TableBodyText"/>
            </w:pPr>
            <w:r w:rsidRPr="00CA37B1">
              <w:t>76</w:t>
            </w:r>
          </w:p>
        </w:tc>
        <w:tc>
          <w:tcPr>
            <w:tcW w:w="685" w:type="dxa"/>
            <w:vAlign w:val="center"/>
          </w:tcPr>
          <w:p w:rsidR="000D4B3A" w:rsidRPr="00CA37B1" w:rsidRDefault="000D4B3A" w:rsidP="00CA37B1">
            <w:pPr>
              <w:pStyle w:val="TableBodyText"/>
            </w:pPr>
            <w:r w:rsidRPr="00CA37B1">
              <w:t>46</w:t>
            </w:r>
          </w:p>
        </w:tc>
        <w:tc>
          <w:tcPr>
            <w:tcW w:w="685" w:type="dxa"/>
            <w:vAlign w:val="center"/>
          </w:tcPr>
          <w:p w:rsidR="000D4B3A" w:rsidRPr="00CA37B1" w:rsidRDefault="000D4B3A" w:rsidP="00CA37B1">
            <w:pPr>
              <w:pStyle w:val="TableBodyText"/>
            </w:pPr>
            <w:r w:rsidRPr="00CA37B1">
              <w:t>67</w:t>
            </w:r>
          </w:p>
        </w:tc>
        <w:tc>
          <w:tcPr>
            <w:tcW w:w="686" w:type="dxa"/>
            <w:vAlign w:val="center"/>
          </w:tcPr>
          <w:p w:rsidR="000D4B3A" w:rsidRPr="00CA37B1" w:rsidRDefault="000D4B3A" w:rsidP="00CA37B1">
            <w:pPr>
              <w:pStyle w:val="TableBodyText"/>
            </w:pPr>
            <w:r w:rsidRPr="00CA37B1">
              <w:t>18</w:t>
            </w:r>
          </w:p>
        </w:tc>
        <w:tc>
          <w:tcPr>
            <w:tcW w:w="686" w:type="dxa"/>
            <w:vAlign w:val="center"/>
          </w:tcPr>
          <w:p w:rsidR="000D4B3A" w:rsidRPr="00CA37B1" w:rsidRDefault="000D4B3A" w:rsidP="00CA37B1">
            <w:pPr>
              <w:pStyle w:val="TableBodyText"/>
            </w:pPr>
            <w:r w:rsidRPr="00CA37B1">
              <w:t>5</w:t>
            </w:r>
          </w:p>
        </w:tc>
        <w:tc>
          <w:tcPr>
            <w:tcW w:w="708" w:type="dxa"/>
            <w:gridSpan w:val="2"/>
            <w:vAlign w:val="center"/>
          </w:tcPr>
          <w:p w:rsidR="000D4B3A" w:rsidRPr="00CA37B1" w:rsidRDefault="000D4B3A" w:rsidP="00CA37B1">
            <w:pPr>
              <w:pStyle w:val="TableBodyText"/>
            </w:pPr>
            <w:r w:rsidRPr="00CA37B1">
              <w:t>4</w:t>
            </w:r>
          </w:p>
        </w:tc>
        <w:tc>
          <w:tcPr>
            <w:tcW w:w="709" w:type="dxa"/>
            <w:gridSpan w:val="2"/>
            <w:vAlign w:val="center"/>
          </w:tcPr>
          <w:p w:rsidR="000D4B3A" w:rsidRPr="00CA37B1" w:rsidRDefault="000D4B3A" w:rsidP="00CA37B1">
            <w:pPr>
              <w:pStyle w:val="TableBodyText"/>
            </w:pPr>
            <w:r w:rsidRPr="00CA37B1">
              <w:t>5</w:t>
            </w:r>
          </w:p>
        </w:tc>
        <w:tc>
          <w:tcPr>
            <w:tcW w:w="710" w:type="dxa"/>
            <w:gridSpan w:val="2"/>
            <w:vAlign w:val="center"/>
          </w:tcPr>
          <w:p w:rsidR="000D4B3A" w:rsidRPr="00CA37B1" w:rsidRDefault="000D4B3A" w:rsidP="00CA37B1">
            <w:pPr>
              <w:pStyle w:val="TableBodyText"/>
            </w:pPr>
            <w:r w:rsidRPr="00CA37B1">
              <w:t>331</w:t>
            </w:r>
          </w:p>
        </w:tc>
      </w:tr>
      <w:tr w:rsidR="000D4B3A" w:rsidRPr="00D868AC" w:rsidTr="00CA37B1">
        <w:tc>
          <w:tcPr>
            <w:tcW w:w="2624" w:type="dxa"/>
          </w:tcPr>
          <w:p w:rsidR="000D4B3A" w:rsidRPr="00D868AC" w:rsidRDefault="000D4B3A" w:rsidP="0026369A">
            <w:pPr>
              <w:pStyle w:val="TableBodyText"/>
              <w:ind w:left="136"/>
              <w:jc w:val="left"/>
              <w:rPr>
                <w:b/>
              </w:rPr>
            </w:pPr>
            <w:r w:rsidRPr="00D868AC">
              <w:rPr>
                <w:b/>
              </w:rPr>
              <w:t>Total</w:t>
            </w:r>
          </w:p>
        </w:tc>
        <w:tc>
          <w:tcPr>
            <w:tcW w:w="685" w:type="dxa"/>
            <w:vAlign w:val="center"/>
          </w:tcPr>
          <w:p w:rsidR="000D4B3A" w:rsidRPr="00CA37B1" w:rsidRDefault="000D4B3A" w:rsidP="00CA37B1">
            <w:pPr>
              <w:pStyle w:val="TableBodyText"/>
              <w:rPr>
                <w:b/>
              </w:rPr>
            </w:pPr>
            <w:r w:rsidRPr="00CA37B1">
              <w:rPr>
                <w:b/>
              </w:rPr>
              <w:t xml:space="preserve"> 2 177</w:t>
            </w:r>
          </w:p>
        </w:tc>
        <w:tc>
          <w:tcPr>
            <w:tcW w:w="685" w:type="dxa"/>
            <w:vAlign w:val="center"/>
          </w:tcPr>
          <w:p w:rsidR="000D4B3A" w:rsidRPr="00CA37B1" w:rsidRDefault="000D4B3A" w:rsidP="00CA37B1">
            <w:pPr>
              <w:pStyle w:val="TableBodyText"/>
              <w:rPr>
                <w:b/>
              </w:rPr>
            </w:pPr>
            <w:r w:rsidRPr="00CA37B1">
              <w:rPr>
                <w:b/>
              </w:rPr>
              <w:t xml:space="preserve"> 1 536</w:t>
            </w:r>
          </w:p>
        </w:tc>
        <w:tc>
          <w:tcPr>
            <w:tcW w:w="685" w:type="dxa"/>
            <w:vAlign w:val="center"/>
          </w:tcPr>
          <w:p w:rsidR="000D4B3A" w:rsidRPr="00CA37B1" w:rsidRDefault="000D4B3A" w:rsidP="00CA37B1">
            <w:pPr>
              <w:pStyle w:val="TableBodyText"/>
              <w:rPr>
                <w:b/>
              </w:rPr>
            </w:pPr>
            <w:r w:rsidRPr="00CA37B1">
              <w:rPr>
                <w:b/>
              </w:rPr>
              <w:t xml:space="preserve"> 1 237</w:t>
            </w:r>
          </w:p>
        </w:tc>
        <w:tc>
          <w:tcPr>
            <w:tcW w:w="685" w:type="dxa"/>
            <w:vAlign w:val="center"/>
          </w:tcPr>
          <w:p w:rsidR="000D4B3A" w:rsidRPr="00CA37B1" w:rsidRDefault="000D4B3A" w:rsidP="00CA37B1">
            <w:pPr>
              <w:pStyle w:val="TableBodyText"/>
              <w:rPr>
                <w:b/>
              </w:rPr>
            </w:pPr>
            <w:r w:rsidRPr="00CA37B1">
              <w:rPr>
                <w:b/>
              </w:rPr>
              <w:t>770</w:t>
            </w:r>
          </w:p>
        </w:tc>
        <w:tc>
          <w:tcPr>
            <w:tcW w:w="686" w:type="dxa"/>
            <w:vAlign w:val="center"/>
          </w:tcPr>
          <w:p w:rsidR="000D4B3A" w:rsidRPr="00CA37B1" w:rsidRDefault="000D4B3A" w:rsidP="00CA37B1">
            <w:pPr>
              <w:pStyle w:val="TableBodyText"/>
              <w:rPr>
                <w:b/>
              </w:rPr>
            </w:pPr>
            <w:r w:rsidRPr="00CA37B1">
              <w:rPr>
                <w:b/>
              </w:rPr>
              <w:t>557</w:t>
            </w:r>
          </w:p>
        </w:tc>
        <w:tc>
          <w:tcPr>
            <w:tcW w:w="686" w:type="dxa"/>
            <w:vAlign w:val="center"/>
          </w:tcPr>
          <w:p w:rsidR="000D4B3A" w:rsidRPr="00CA37B1" w:rsidRDefault="000D4B3A" w:rsidP="00CA37B1">
            <w:pPr>
              <w:pStyle w:val="TableBodyText"/>
              <w:rPr>
                <w:b/>
              </w:rPr>
            </w:pPr>
            <w:r w:rsidRPr="00CA37B1">
              <w:rPr>
                <w:b/>
              </w:rPr>
              <w:t>190</w:t>
            </w:r>
          </w:p>
        </w:tc>
        <w:tc>
          <w:tcPr>
            <w:tcW w:w="708" w:type="dxa"/>
            <w:gridSpan w:val="2"/>
            <w:vAlign w:val="center"/>
          </w:tcPr>
          <w:p w:rsidR="000D4B3A" w:rsidRPr="00CA37B1" w:rsidRDefault="000D4B3A" w:rsidP="00CA37B1">
            <w:pPr>
              <w:pStyle w:val="TableBodyText"/>
              <w:rPr>
                <w:b/>
              </w:rPr>
            </w:pPr>
            <w:r w:rsidRPr="00CA37B1">
              <w:rPr>
                <w:b/>
              </w:rPr>
              <w:t>84</w:t>
            </w:r>
          </w:p>
        </w:tc>
        <w:tc>
          <w:tcPr>
            <w:tcW w:w="709" w:type="dxa"/>
            <w:gridSpan w:val="2"/>
            <w:vAlign w:val="center"/>
          </w:tcPr>
          <w:p w:rsidR="000D4B3A" w:rsidRPr="00CA37B1" w:rsidRDefault="000D4B3A" w:rsidP="00CA37B1">
            <w:pPr>
              <w:pStyle w:val="TableBodyText"/>
              <w:rPr>
                <w:b/>
              </w:rPr>
            </w:pPr>
            <w:r w:rsidRPr="00CA37B1">
              <w:rPr>
                <w:b/>
              </w:rPr>
              <w:t>154</w:t>
            </w:r>
          </w:p>
        </w:tc>
        <w:tc>
          <w:tcPr>
            <w:tcW w:w="710" w:type="dxa"/>
            <w:gridSpan w:val="2"/>
            <w:vAlign w:val="center"/>
          </w:tcPr>
          <w:p w:rsidR="000D4B3A" w:rsidRPr="00CA37B1" w:rsidRDefault="000D4B3A" w:rsidP="00CA37B1">
            <w:pPr>
              <w:pStyle w:val="TableBodyText"/>
              <w:rPr>
                <w:b/>
              </w:rPr>
            </w:pPr>
            <w:r w:rsidRPr="00CA37B1">
              <w:rPr>
                <w:b/>
              </w:rPr>
              <w:t xml:space="preserve"> 6 705</w:t>
            </w:r>
          </w:p>
        </w:tc>
      </w:tr>
      <w:tr w:rsidR="0026369A" w:rsidRPr="00D868AC" w:rsidTr="00CA37B1">
        <w:trPr>
          <w:gridAfter w:val="1"/>
          <w:wAfter w:w="22" w:type="dxa"/>
        </w:trPr>
        <w:tc>
          <w:tcPr>
            <w:tcW w:w="3309" w:type="dxa"/>
            <w:gridSpan w:val="2"/>
          </w:tcPr>
          <w:p w:rsidR="0026369A" w:rsidRPr="00D868AC" w:rsidRDefault="0026369A" w:rsidP="0026369A">
            <w:pPr>
              <w:pStyle w:val="TableBodyText"/>
              <w:jc w:val="left"/>
            </w:pPr>
            <w:r w:rsidRPr="00D868AC">
              <w:t>Non-government schools (no.)</w:t>
            </w:r>
          </w:p>
        </w:tc>
        <w:tc>
          <w:tcPr>
            <w:tcW w:w="685" w:type="dxa"/>
          </w:tcPr>
          <w:p w:rsidR="0026369A" w:rsidRPr="00D868AC" w:rsidRDefault="0026369A" w:rsidP="0026369A">
            <w:pPr>
              <w:pStyle w:val="TableBodyText"/>
            </w:pPr>
          </w:p>
        </w:tc>
        <w:tc>
          <w:tcPr>
            <w:tcW w:w="685" w:type="dxa"/>
          </w:tcPr>
          <w:p w:rsidR="0026369A" w:rsidRPr="00D868AC" w:rsidRDefault="0026369A" w:rsidP="0026369A">
            <w:pPr>
              <w:pStyle w:val="TableBodyText"/>
            </w:pPr>
          </w:p>
        </w:tc>
        <w:tc>
          <w:tcPr>
            <w:tcW w:w="685" w:type="dxa"/>
          </w:tcPr>
          <w:p w:rsidR="0026369A" w:rsidRPr="00D868AC" w:rsidRDefault="0026369A" w:rsidP="0026369A">
            <w:pPr>
              <w:pStyle w:val="TableBodyText"/>
            </w:pPr>
          </w:p>
        </w:tc>
        <w:tc>
          <w:tcPr>
            <w:tcW w:w="686" w:type="dxa"/>
          </w:tcPr>
          <w:p w:rsidR="0026369A" w:rsidRPr="00D868AC" w:rsidRDefault="0026369A" w:rsidP="0026369A">
            <w:pPr>
              <w:pStyle w:val="TableBodyText"/>
            </w:pPr>
          </w:p>
        </w:tc>
        <w:tc>
          <w:tcPr>
            <w:tcW w:w="686" w:type="dxa"/>
          </w:tcPr>
          <w:p w:rsidR="0026369A" w:rsidRPr="00D868AC" w:rsidRDefault="0026369A" w:rsidP="0026369A">
            <w:pPr>
              <w:pStyle w:val="TableBodyText"/>
            </w:pPr>
          </w:p>
        </w:tc>
        <w:tc>
          <w:tcPr>
            <w:tcW w:w="686" w:type="dxa"/>
          </w:tcPr>
          <w:p w:rsidR="0026369A" w:rsidRPr="00D868AC" w:rsidRDefault="0026369A" w:rsidP="0026369A">
            <w:pPr>
              <w:pStyle w:val="TableBodyText"/>
            </w:pPr>
          </w:p>
        </w:tc>
        <w:tc>
          <w:tcPr>
            <w:tcW w:w="709" w:type="dxa"/>
            <w:gridSpan w:val="2"/>
          </w:tcPr>
          <w:p w:rsidR="0026369A" w:rsidRPr="00D868AC" w:rsidRDefault="0026369A" w:rsidP="0026369A">
            <w:pPr>
              <w:pStyle w:val="TableBodyText"/>
            </w:pPr>
          </w:p>
        </w:tc>
        <w:tc>
          <w:tcPr>
            <w:tcW w:w="710" w:type="dxa"/>
            <w:gridSpan w:val="2"/>
          </w:tcPr>
          <w:p w:rsidR="0026369A" w:rsidRPr="00D868AC" w:rsidRDefault="0026369A" w:rsidP="0026369A">
            <w:pPr>
              <w:pStyle w:val="TableBodyText"/>
            </w:pPr>
          </w:p>
        </w:tc>
      </w:tr>
      <w:tr w:rsidR="000D4B3A" w:rsidRPr="00D868AC" w:rsidTr="00CA37B1">
        <w:tc>
          <w:tcPr>
            <w:tcW w:w="2624" w:type="dxa"/>
          </w:tcPr>
          <w:p w:rsidR="000D4B3A" w:rsidRPr="00D868AC" w:rsidRDefault="000D4B3A" w:rsidP="0026369A">
            <w:pPr>
              <w:pStyle w:val="TableBodyText"/>
              <w:ind w:left="136"/>
              <w:jc w:val="left"/>
            </w:pPr>
            <w:r w:rsidRPr="00D868AC">
              <w:t>Primary</w:t>
            </w:r>
          </w:p>
        </w:tc>
        <w:tc>
          <w:tcPr>
            <w:tcW w:w="685" w:type="dxa"/>
            <w:vAlign w:val="center"/>
          </w:tcPr>
          <w:p w:rsidR="000D4B3A" w:rsidRPr="00CA37B1" w:rsidRDefault="000D4B3A" w:rsidP="00CA37B1">
            <w:pPr>
              <w:pStyle w:val="TableBodyText"/>
            </w:pPr>
            <w:r w:rsidRPr="00CA37B1">
              <w:t>493</w:t>
            </w:r>
          </w:p>
        </w:tc>
        <w:tc>
          <w:tcPr>
            <w:tcW w:w="685" w:type="dxa"/>
            <w:vAlign w:val="center"/>
          </w:tcPr>
          <w:p w:rsidR="000D4B3A" w:rsidRPr="00CA37B1" w:rsidRDefault="000D4B3A" w:rsidP="00CA37B1">
            <w:pPr>
              <w:pStyle w:val="TableBodyText"/>
            </w:pPr>
            <w:r w:rsidRPr="00CA37B1">
              <w:t>423</w:t>
            </w:r>
          </w:p>
        </w:tc>
        <w:tc>
          <w:tcPr>
            <w:tcW w:w="685" w:type="dxa"/>
            <w:vAlign w:val="center"/>
          </w:tcPr>
          <w:p w:rsidR="000D4B3A" w:rsidRPr="00CA37B1" w:rsidRDefault="000D4B3A" w:rsidP="00CA37B1">
            <w:pPr>
              <w:pStyle w:val="TableBodyText"/>
            </w:pPr>
            <w:r w:rsidRPr="00CA37B1">
              <w:t>231</w:t>
            </w:r>
          </w:p>
        </w:tc>
        <w:tc>
          <w:tcPr>
            <w:tcW w:w="685" w:type="dxa"/>
            <w:vAlign w:val="center"/>
          </w:tcPr>
          <w:p w:rsidR="000D4B3A" w:rsidRPr="00CA37B1" w:rsidRDefault="000D4B3A" w:rsidP="00CA37B1">
            <w:pPr>
              <w:pStyle w:val="TableBodyText"/>
            </w:pPr>
            <w:r w:rsidRPr="00CA37B1">
              <w:t>150</w:t>
            </w:r>
          </w:p>
        </w:tc>
        <w:tc>
          <w:tcPr>
            <w:tcW w:w="686" w:type="dxa"/>
            <w:vAlign w:val="center"/>
          </w:tcPr>
          <w:p w:rsidR="000D4B3A" w:rsidRPr="00CA37B1" w:rsidRDefault="000D4B3A" w:rsidP="00CA37B1">
            <w:pPr>
              <w:pStyle w:val="TableBodyText"/>
            </w:pPr>
            <w:r w:rsidRPr="00CA37B1">
              <w:t>104</w:t>
            </w:r>
          </w:p>
        </w:tc>
        <w:tc>
          <w:tcPr>
            <w:tcW w:w="686" w:type="dxa"/>
            <w:vAlign w:val="center"/>
          </w:tcPr>
          <w:p w:rsidR="000D4B3A" w:rsidRPr="00CA37B1" w:rsidRDefault="000D4B3A" w:rsidP="00CA37B1">
            <w:pPr>
              <w:pStyle w:val="TableBodyText"/>
            </w:pPr>
            <w:r w:rsidRPr="00CA37B1">
              <w:t>28</w:t>
            </w:r>
          </w:p>
        </w:tc>
        <w:tc>
          <w:tcPr>
            <w:tcW w:w="708" w:type="dxa"/>
            <w:gridSpan w:val="2"/>
            <w:vAlign w:val="center"/>
          </w:tcPr>
          <w:p w:rsidR="000D4B3A" w:rsidRPr="00CA37B1" w:rsidRDefault="000D4B3A" w:rsidP="00CA37B1">
            <w:pPr>
              <w:pStyle w:val="TableBodyText"/>
            </w:pPr>
            <w:r w:rsidRPr="00CA37B1">
              <w:t>25</w:t>
            </w:r>
          </w:p>
        </w:tc>
        <w:tc>
          <w:tcPr>
            <w:tcW w:w="709" w:type="dxa"/>
            <w:gridSpan w:val="2"/>
            <w:vAlign w:val="center"/>
          </w:tcPr>
          <w:p w:rsidR="000D4B3A" w:rsidRPr="00CA37B1" w:rsidRDefault="000D4B3A" w:rsidP="00CA37B1">
            <w:pPr>
              <w:pStyle w:val="TableBodyText"/>
            </w:pPr>
            <w:r w:rsidRPr="00CA37B1">
              <w:t>11</w:t>
            </w:r>
          </w:p>
        </w:tc>
        <w:tc>
          <w:tcPr>
            <w:tcW w:w="710" w:type="dxa"/>
            <w:gridSpan w:val="2"/>
            <w:vAlign w:val="center"/>
          </w:tcPr>
          <w:p w:rsidR="000D4B3A" w:rsidRPr="00CA37B1" w:rsidRDefault="000D4B3A" w:rsidP="00CA37B1">
            <w:pPr>
              <w:pStyle w:val="TableBodyText"/>
            </w:pPr>
            <w:r w:rsidRPr="00CA37B1">
              <w:t xml:space="preserve"> 1 465</w:t>
            </w:r>
          </w:p>
        </w:tc>
      </w:tr>
      <w:tr w:rsidR="000D4B3A" w:rsidRPr="00D868AC" w:rsidTr="00CA37B1">
        <w:tc>
          <w:tcPr>
            <w:tcW w:w="2624" w:type="dxa"/>
          </w:tcPr>
          <w:p w:rsidR="000D4B3A" w:rsidRPr="00D868AC" w:rsidRDefault="000D4B3A" w:rsidP="0026369A">
            <w:pPr>
              <w:pStyle w:val="TableBodyText"/>
              <w:ind w:left="136"/>
              <w:jc w:val="left"/>
            </w:pPr>
            <w:r w:rsidRPr="00D868AC">
              <w:t>Secondary</w:t>
            </w:r>
          </w:p>
        </w:tc>
        <w:tc>
          <w:tcPr>
            <w:tcW w:w="685" w:type="dxa"/>
            <w:vAlign w:val="center"/>
          </w:tcPr>
          <w:p w:rsidR="000D4B3A" w:rsidRPr="00CA37B1" w:rsidRDefault="000D4B3A" w:rsidP="00CA37B1">
            <w:pPr>
              <w:pStyle w:val="TableBodyText"/>
            </w:pPr>
            <w:r w:rsidRPr="00CA37B1">
              <w:t>153</w:t>
            </w:r>
          </w:p>
        </w:tc>
        <w:tc>
          <w:tcPr>
            <w:tcW w:w="685" w:type="dxa"/>
            <w:vAlign w:val="center"/>
          </w:tcPr>
          <w:p w:rsidR="000D4B3A" w:rsidRPr="00CA37B1" w:rsidRDefault="000D4B3A" w:rsidP="00CA37B1">
            <w:pPr>
              <w:pStyle w:val="TableBodyText"/>
            </w:pPr>
            <w:r w:rsidRPr="00CA37B1">
              <w:t>100</w:t>
            </w:r>
          </w:p>
        </w:tc>
        <w:tc>
          <w:tcPr>
            <w:tcW w:w="685" w:type="dxa"/>
            <w:vAlign w:val="center"/>
          </w:tcPr>
          <w:p w:rsidR="000D4B3A" w:rsidRPr="00CA37B1" w:rsidRDefault="000D4B3A" w:rsidP="00CA37B1">
            <w:pPr>
              <w:pStyle w:val="TableBodyText"/>
            </w:pPr>
            <w:r w:rsidRPr="00CA37B1">
              <w:t>72</w:t>
            </w:r>
          </w:p>
        </w:tc>
        <w:tc>
          <w:tcPr>
            <w:tcW w:w="685" w:type="dxa"/>
            <w:vAlign w:val="center"/>
          </w:tcPr>
          <w:p w:rsidR="000D4B3A" w:rsidRPr="00CA37B1" w:rsidRDefault="000D4B3A" w:rsidP="00CA37B1">
            <w:pPr>
              <w:pStyle w:val="TableBodyText"/>
            </w:pPr>
            <w:r w:rsidRPr="00CA37B1">
              <w:t>10</w:t>
            </w:r>
          </w:p>
        </w:tc>
        <w:tc>
          <w:tcPr>
            <w:tcW w:w="686" w:type="dxa"/>
            <w:vAlign w:val="center"/>
          </w:tcPr>
          <w:p w:rsidR="000D4B3A" w:rsidRPr="00CA37B1" w:rsidRDefault="000D4B3A" w:rsidP="00CA37B1">
            <w:pPr>
              <w:pStyle w:val="TableBodyText"/>
            </w:pPr>
            <w:r w:rsidRPr="00CA37B1">
              <w:t>19</w:t>
            </w:r>
          </w:p>
        </w:tc>
        <w:tc>
          <w:tcPr>
            <w:tcW w:w="686" w:type="dxa"/>
            <w:vAlign w:val="center"/>
          </w:tcPr>
          <w:p w:rsidR="000D4B3A" w:rsidRPr="00CA37B1" w:rsidRDefault="000D4B3A" w:rsidP="00CA37B1">
            <w:pPr>
              <w:pStyle w:val="TableBodyText"/>
            </w:pPr>
            <w:r w:rsidRPr="00CA37B1">
              <w:t>5</w:t>
            </w:r>
          </w:p>
        </w:tc>
        <w:tc>
          <w:tcPr>
            <w:tcW w:w="708" w:type="dxa"/>
            <w:gridSpan w:val="2"/>
            <w:vAlign w:val="center"/>
          </w:tcPr>
          <w:p w:rsidR="000D4B3A" w:rsidRPr="00CA37B1" w:rsidRDefault="000D4B3A" w:rsidP="00CA37B1">
            <w:pPr>
              <w:pStyle w:val="TableBodyText"/>
            </w:pPr>
            <w:r w:rsidRPr="00CA37B1">
              <w:t>6</w:t>
            </w:r>
          </w:p>
        </w:tc>
        <w:tc>
          <w:tcPr>
            <w:tcW w:w="709" w:type="dxa"/>
            <w:gridSpan w:val="2"/>
            <w:vAlign w:val="center"/>
          </w:tcPr>
          <w:p w:rsidR="000D4B3A" w:rsidRPr="00CA37B1" w:rsidRDefault="000D4B3A" w:rsidP="00CA37B1">
            <w:pPr>
              <w:pStyle w:val="TableBodyText"/>
            </w:pPr>
            <w:r w:rsidRPr="00CA37B1">
              <w:t>9</w:t>
            </w:r>
          </w:p>
        </w:tc>
        <w:tc>
          <w:tcPr>
            <w:tcW w:w="710" w:type="dxa"/>
            <w:gridSpan w:val="2"/>
            <w:vAlign w:val="center"/>
          </w:tcPr>
          <w:p w:rsidR="000D4B3A" w:rsidRPr="00CA37B1" w:rsidRDefault="000D4B3A" w:rsidP="00CA37B1">
            <w:pPr>
              <w:pStyle w:val="TableBodyText"/>
            </w:pPr>
            <w:r w:rsidRPr="00CA37B1">
              <w:t>374</w:t>
            </w:r>
          </w:p>
        </w:tc>
      </w:tr>
      <w:tr w:rsidR="000D4B3A" w:rsidRPr="00D868AC" w:rsidTr="00CA37B1">
        <w:tc>
          <w:tcPr>
            <w:tcW w:w="2624" w:type="dxa"/>
          </w:tcPr>
          <w:p w:rsidR="000D4B3A" w:rsidRPr="00D868AC" w:rsidRDefault="000D4B3A" w:rsidP="0026369A">
            <w:pPr>
              <w:pStyle w:val="TableBodyText"/>
              <w:ind w:left="136"/>
              <w:jc w:val="left"/>
            </w:pPr>
            <w:r w:rsidRPr="00D868AC">
              <w:t>Combined</w:t>
            </w:r>
            <w:r w:rsidRPr="00D868AC">
              <w:rPr>
                <w:rStyle w:val="NoteLabel"/>
              </w:rPr>
              <w:t>a</w:t>
            </w:r>
          </w:p>
        </w:tc>
        <w:tc>
          <w:tcPr>
            <w:tcW w:w="685" w:type="dxa"/>
            <w:vAlign w:val="center"/>
          </w:tcPr>
          <w:p w:rsidR="000D4B3A" w:rsidRPr="00CA37B1" w:rsidRDefault="000D4B3A" w:rsidP="00CA37B1">
            <w:pPr>
              <w:pStyle w:val="TableBodyText"/>
            </w:pPr>
            <w:r w:rsidRPr="00CA37B1">
              <w:t>235</w:t>
            </w:r>
          </w:p>
        </w:tc>
        <w:tc>
          <w:tcPr>
            <w:tcW w:w="685" w:type="dxa"/>
            <w:vAlign w:val="center"/>
          </w:tcPr>
          <w:p w:rsidR="000D4B3A" w:rsidRPr="00CA37B1" w:rsidRDefault="000D4B3A" w:rsidP="00CA37B1">
            <w:pPr>
              <w:pStyle w:val="TableBodyText"/>
            </w:pPr>
            <w:r w:rsidRPr="00CA37B1">
              <w:t>155</w:t>
            </w:r>
          </w:p>
        </w:tc>
        <w:tc>
          <w:tcPr>
            <w:tcW w:w="685" w:type="dxa"/>
            <w:vAlign w:val="center"/>
          </w:tcPr>
          <w:p w:rsidR="000D4B3A" w:rsidRPr="00CA37B1" w:rsidRDefault="000D4B3A" w:rsidP="00CA37B1">
            <w:pPr>
              <w:pStyle w:val="TableBodyText"/>
            </w:pPr>
            <w:r w:rsidRPr="00CA37B1">
              <w:t>152</w:t>
            </w:r>
          </w:p>
        </w:tc>
        <w:tc>
          <w:tcPr>
            <w:tcW w:w="685" w:type="dxa"/>
            <w:vAlign w:val="center"/>
          </w:tcPr>
          <w:p w:rsidR="000D4B3A" w:rsidRPr="00CA37B1" w:rsidRDefault="000D4B3A" w:rsidP="00CA37B1">
            <w:pPr>
              <w:pStyle w:val="TableBodyText"/>
            </w:pPr>
            <w:r w:rsidRPr="00CA37B1">
              <w:t>130</w:t>
            </w:r>
          </w:p>
        </w:tc>
        <w:tc>
          <w:tcPr>
            <w:tcW w:w="686" w:type="dxa"/>
            <w:vAlign w:val="center"/>
          </w:tcPr>
          <w:p w:rsidR="000D4B3A" w:rsidRPr="00CA37B1" w:rsidRDefault="000D4B3A" w:rsidP="00CA37B1">
            <w:pPr>
              <w:pStyle w:val="TableBodyText"/>
            </w:pPr>
            <w:r w:rsidRPr="00CA37B1">
              <w:t>69</w:t>
            </w:r>
          </w:p>
        </w:tc>
        <w:tc>
          <w:tcPr>
            <w:tcW w:w="686" w:type="dxa"/>
            <w:vAlign w:val="center"/>
          </w:tcPr>
          <w:p w:rsidR="000D4B3A" w:rsidRPr="00CA37B1" w:rsidRDefault="000D4B3A" w:rsidP="00CA37B1">
            <w:pPr>
              <w:pStyle w:val="TableBodyText"/>
            </w:pPr>
            <w:r w:rsidRPr="00CA37B1">
              <w:t>32</w:t>
            </w:r>
          </w:p>
        </w:tc>
        <w:tc>
          <w:tcPr>
            <w:tcW w:w="708" w:type="dxa"/>
            <w:gridSpan w:val="2"/>
            <w:vAlign w:val="center"/>
          </w:tcPr>
          <w:p w:rsidR="000D4B3A" w:rsidRPr="00CA37B1" w:rsidRDefault="000D4B3A" w:rsidP="00CA37B1">
            <w:pPr>
              <w:pStyle w:val="TableBodyText"/>
            </w:pPr>
            <w:r w:rsidRPr="00CA37B1">
              <w:t>13</w:t>
            </w:r>
          </w:p>
        </w:tc>
        <w:tc>
          <w:tcPr>
            <w:tcW w:w="709" w:type="dxa"/>
            <w:gridSpan w:val="2"/>
            <w:vAlign w:val="center"/>
          </w:tcPr>
          <w:p w:rsidR="000D4B3A" w:rsidRPr="00CA37B1" w:rsidRDefault="000D4B3A" w:rsidP="00CA37B1">
            <w:pPr>
              <w:pStyle w:val="TableBodyText"/>
            </w:pPr>
            <w:r w:rsidRPr="00CA37B1">
              <w:t>16</w:t>
            </w:r>
          </w:p>
        </w:tc>
        <w:tc>
          <w:tcPr>
            <w:tcW w:w="710" w:type="dxa"/>
            <w:gridSpan w:val="2"/>
            <w:vAlign w:val="center"/>
          </w:tcPr>
          <w:p w:rsidR="000D4B3A" w:rsidRPr="00CA37B1" w:rsidRDefault="000D4B3A" w:rsidP="00CA37B1">
            <w:pPr>
              <w:pStyle w:val="TableBodyText"/>
            </w:pPr>
            <w:r w:rsidRPr="00CA37B1">
              <w:t>802</w:t>
            </w:r>
          </w:p>
        </w:tc>
      </w:tr>
      <w:tr w:rsidR="000D4B3A" w:rsidRPr="00D868AC" w:rsidTr="00CA37B1">
        <w:tc>
          <w:tcPr>
            <w:tcW w:w="2624" w:type="dxa"/>
          </w:tcPr>
          <w:p w:rsidR="000D4B3A" w:rsidRPr="00D868AC" w:rsidRDefault="000D4B3A" w:rsidP="0026369A">
            <w:pPr>
              <w:pStyle w:val="TableBodyText"/>
              <w:ind w:left="136"/>
              <w:jc w:val="left"/>
            </w:pPr>
            <w:r w:rsidRPr="00D868AC">
              <w:t>Special schools</w:t>
            </w:r>
            <w:r w:rsidRPr="00D868AC">
              <w:rPr>
                <w:rStyle w:val="NoteLabel"/>
              </w:rPr>
              <w:t>b</w:t>
            </w:r>
          </w:p>
        </w:tc>
        <w:tc>
          <w:tcPr>
            <w:tcW w:w="685" w:type="dxa"/>
            <w:vAlign w:val="center"/>
          </w:tcPr>
          <w:p w:rsidR="000D4B3A" w:rsidRPr="00CA37B1" w:rsidRDefault="000D4B3A" w:rsidP="00CA37B1">
            <w:pPr>
              <w:pStyle w:val="TableBodyText"/>
            </w:pPr>
            <w:r w:rsidRPr="00CA37B1">
              <w:t>39</w:t>
            </w:r>
          </w:p>
        </w:tc>
        <w:tc>
          <w:tcPr>
            <w:tcW w:w="685" w:type="dxa"/>
            <w:vAlign w:val="center"/>
          </w:tcPr>
          <w:p w:rsidR="000D4B3A" w:rsidRPr="00CA37B1" w:rsidRDefault="000D4B3A" w:rsidP="00CA37B1">
            <w:pPr>
              <w:pStyle w:val="TableBodyText"/>
            </w:pPr>
            <w:r w:rsidRPr="00CA37B1">
              <w:t>20</w:t>
            </w:r>
          </w:p>
        </w:tc>
        <w:tc>
          <w:tcPr>
            <w:tcW w:w="685" w:type="dxa"/>
            <w:vAlign w:val="center"/>
          </w:tcPr>
          <w:p w:rsidR="000D4B3A" w:rsidRPr="00CA37B1" w:rsidRDefault="000D4B3A" w:rsidP="00CA37B1">
            <w:pPr>
              <w:pStyle w:val="TableBodyText"/>
            </w:pPr>
            <w:r w:rsidRPr="00CA37B1">
              <w:t>16</w:t>
            </w:r>
          </w:p>
        </w:tc>
        <w:tc>
          <w:tcPr>
            <w:tcW w:w="685" w:type="dxa"/>
            <w:vAlign w:val="center"/>
          </w:tcPr>
          <w:p w:rsidR="000D4B3A" w:rsidRPr="00CA37B1" w:rsidRDefault="000D4B3A" w:rsidP="00CA37B1">
            <w:pPr>
              <w:pStyle w:val="TableBodyText"/>
            </w:pPr>
            <w:r w:rsidRPr="00CA37B1">
              <w:t>11</w:t>
            </w:r>
          </w:p>
        </w:tc>
        <w:tc>
          <w:tcPr>
            <w:tcW w:w="686" w:type="dxa"/>
            <w:vAlign w:val="center"/>
          </w:tcPr>
          <w:p w:rsidR="000D4B3A" w:rsidRPr="00CA37B1" w:rsidRDefault="000D4B3A" w:rsidP="00CA37B1">
            <w:pPr>
              <w:pStyle w:val="TableBodyText"/>
            </w:pPr>
            <w:r w:rsidRPr="00CA37B1">
              <w:t>3</w:t>
            </w:r>
          </w:p>
        </w:tc>
        <w:tc>
          <w:tcPr>
            <w:tcW w:w="686" w:type="dxa"/>
            <w:vAlign w:val="center"/>
          </w:tcPr>
          <w:p w:rsidR="000D4B3A" w:rsidRPr="00CA37B1" w:rsidRDefault="000D4B3A" w:rsidP="00CA37B1">
            <w:pPr>
              <w:pStyle w:val="TableBodyText"/>
            </w:pPr>
            <w:r w:rsidRPr="00CA37B1">
              <w:t>–</w:t>
            </w:r>
          </w:p>
        </w:tc>
        <w:tc>
          <w:tcPr>
            <w:tcW w:w="708" w:type="dxa"/>
            <w:gridSpan w:val="2"/>
            <w:vAlign w:val="center"/>
          </w:tcPr>
          <w:p w:rsidR="000D4B3A" w:rsidRPr="00CA37B1" w:rsidRDefault="000D4B3A" w:rsidP="00CA37B1">
            <w:pPr>
              <w:pStyle w:val="TableBodyText"/>
            </w:pPr>
            <w:r w:rsidRPr="00CA37B1">
              <w:t>–</w:t>
            </w:r>
          </w:p>
        </w:tc>
        <w:tc>
          <w:tcPr>
            <w:tcW w:w="709" w:type="dxa"/>
            <w:gridSpan w:val="2"/>
            <w:vAlign w:val="center"/>
          </w:tcPr>
          <w:p w:rsidR="000D4B3A" w:rsidRPr="00CA37B1" w:rsidRDefault="000D4B3A" w:rsidP="00CA37B1">
            <w:pPr>
              <w:pStyle w:val="TableBodyText"/>
            </w:pPr>
            <w:r w:rsidRPr="00CA37B1">
              <w:t>–</w:t>
            </w:r>
          </w:p>
        </w:tc>
        <w:tc>
          <w:tcPr>
            <w:tcW w:w="710" w:type="dxa"/>
            <w:gridSpan w:val="2"/>
            <w:vAlign w:val="center"/>
          </w:tcPr>
          <w:p w:rsidR="000D4B3A" w:rsidRPr="00CA37B1" w:rsidRDefault="000D4B3A" w:rsidP="00CA37B1">
            <w:pPr>
              <w:pStyle w:val="TableBodyText"/>
            </w:pPr>
            <w:r w:rsidRPr="00CA37B1">
              <w:t>89</w:t>
            </w:r>
          </w:p>
        </w:tc>
      </w:tr>
      <w:tr w:rsidR="000D4B3A" w:rsidRPr="00D868AC" w:rsidTr="00CA37B1">
        <w:tc>
          <w:tcPr>
            <w:tcW w:w="2624" w:type="dxa"/>
          </w:tcPr>
          <w:p w:rsidR="000D4B3A" w:rsidRPr="00D868AC" w:rsidRDefault="000D4B3A" w:rsidP="0026369A">
            <w:pPr>
              <w:pStyle w:val="TableBodyText"/>
              <w:ind w:left="136"/>
              <w:jc w:val="left"/>
              <w:rPr>
                <w:b/>
              </w:rPr>
            </w:pPr>
            <w:r w:rsidRPr="00D868AC">
              <w:rPr>
                <w:b/>
              </w:rPr>
              <w:t>Total</w:t>
            </w:r>
          </w:p>
        </w:tc>
        <w:tc>
          <w:tcPr>
            <w:tcW w:w="685" w:type="dxa"/>
            <w:vAlign w:val="center"/>
          </w:tcPr>
          <w:p w:rsidR="000D4B3A" w:rsidRPr="00CA37B1" w:rsidRDefault="000D4B3A" w:rsidP="00CA37B1">
            <w:pPr>
              <w:pStyle w:val="TableBodyText"/>
              <w:rPr>
                <w:b/>
              </w:rPr>
            </w:pPr>
            <w:r w:rsidRPr="00CA37B1">
              <w:rPr>
                <w:b/>
              </w:rPr>
              <w:t>920</w:t>
            </w:r>
          </w:p>
        </w:tc>
        <w:tc>
          <w:tcPr>
            <w:tcW w:w="685" w:type="dxa"/>
            <w:vAlign w:val="center"/>
          </w:tcPr>
          <w:p w:rsidR="000D4B3A" w:rsidRPr="00CA37B1" w:rsidRDefault="000D4B3A" w:rsidP="00CA37B1">
            <w:pPr>
              <w:pStyle w:val="TableBodyText"/>
              <w:rPr>
                <w:b/>
              </w:rPr>
            </w:pPr>
            <w:r w:rsidRPr="00CA37B1">
              <w:rPr>
                <w:b/>
              </w:rPr>
              <w:t>698</w:t>
            </w:r>
          </w:p>
        </w:tc>
        <w:tc>
          <w:tcPr>
            <w:tcW w:w="685" w:type="dxa"/>
            <w:vAlign w:val="center"/>
          </w:tcPr>
          <w:p w:rsidR="000D4B3A" w:rsidRPr="00CA37B1" w:rsidRDefault="000D4B3A" w:rsidP="00CA37B1">
            <w:pPr>
              <w:pStyle w:val="TableBodyText"/>
              <w:rPr>
                <w:b/>
              </w:rPr>
            </w:pPr>
            <w:r w:rsidRPr="00CA37B1">
              <w:rPr>
                <w:b/>
              </w:rPr>
              <w:t>471</w:t>
            </w:r>
          </w:p>
        </w:tc>
        <w:tc>
          <w:tcPr>
            <w:tcW w:w="685" w:type="dxa"/>
            <w:vAlign w:val="center"/>
          </w:tcPr>
          <w:p w:rsidR="000D4B3A" w:rsidRPr="00CA37B1" w:rsidRDefault="000D4B3A" w:rsidP="00CA37B1">
            <w:pPr>
              <w:pStyle w:val="TableBodyText"/>
              <w:rPr>
                <w:b/>
              </w:rPr>
            </w:pPr>
            <w:r w:rsidRPr="00CA37B1">
              <w:rPr>
                <w:b/>
              </w:rPr>
              <w:t>301</w:t>
            </w:r>
          </w:p>
        </w:tc>
        <w:tc>
          <w:tcPr>
            <w:tcW w:w="686" w:type="dxa"/>
            <w:vAlign w:val="center"/>
          </w:tcPr>
          <w:p w:rsidR="000D4B3A" w:rsidRPr="00CA37B1" w:rsidRDefault="000D4B3A" w:rsidP="00CA37B1">
            <w:pPr>
              <w:pStyle w:val="TableBodyText"/>
              <w:rPr>
                <w:b/>
              </w:rPr>
            </w:pPr>
            <w:r w:rsidRPr="00CA37B1">
              <w:rPr>
                <w:b/>
              </w:rPr>
              <w:t>195</w:t>
            </w:r>
          </w:p>
        </w:tc>
        <w:tc>
          <w:tcPr>
            <w:tcW w:w="686" w:type="dxa"/>
            <w:vAlign w:val="center"/>
          </w:tcPr>
          <w:p w:rsidR="000D4B3A" w:rsidRPr="00CA37B1" w:rsidRDefault="000D4B3A" w:rsidP="00CA37B1">
            <w:pPr>
              <w:pStyle w:val="TableBodyText"/>
              <w:rPr>
                <w:b/>
              </w:rPr>
            </w:pPr>
            <w:r w:rsidRPr="00CA37B1">
              <w:rPr>
                <w:b/>
              </w:rPr>
              <w:t>65</w:t>
            </w:r>
          </w:p>
        </w:tc>
        <w:tc>
          <w:tcPr>
            <w:tcW w:w="708" w:type="dxa"/>
            <w:gridSpan w:val="2"/>
            <w:vAlign w:val="center"/>
          </w:tcPr>
          <w:p w:rsidR="000D4B3A" w:rsidRPr="00CA37B1" w:rsidRDefault="000D4B3A" w:rsidP="00CA37B1">
            <w:pPr>
              <w:pStyle w:val="TableBodyText"/>
              <w:rPr>
                <w:b/>
              </w:rPr>
            </w:pPr>
            <w:r w:rsidRPr="00CA37B1">
              <w:rPr>
                <w:b/>
              </w:rPr>
              <w:t>44</w:t>
            </w:r>
          </w:p>
        </w:tc>
        <w:tc>
          <w:tcPr>
            <w:tcW w:w="709" w:type="dxa"/>
            <w:gridSpan w:val="2"/>
            <w:vAlign w:val="center"/>
          </w:tcPr>
          <w:p w:rsidR="000D4B3A" w:rsidRPr="00CA37B1" w:rsidRDefault="000D4B3A" w:rsidP="00CA37B1">
            <w:pPr>
              <w:pStyle w:val="TableBodyText"/>
              <w:rPr>
                <w:b/>
              </w:rPr>
            </w:pPr>
            <w:r w:rsidRPr="00CA37B1">
              <w:rPr>
                <w:b/>
              </w:rPr>
              <w:t>36</w:t>
            </w:r>
          </w:p>
        </w:tc>
        <w:tc>
          <w:tcPr>
            <w:tcW w:w="710" w:type="dxa"/>
            <w:gridSpan w:val="2"/>
            <w:vAlign w:val="center"/>
          </w:tcPr>
          <w:p w:rsidR="000D4B3A" w:rsidRPr="00CA37B1" w:rsidRDefault="000D4B3A" w:rsidP="00CA37B1">
            <w:pPr>
              <w:pStyle w:val="TableBodyText"/>
              <w:rPr>
                <w:b/>
              </w:rPr>
            </w:pPr>
            <w:r w:rsidRPr="00CA37B1">
              <w:rPr>
                <w:b/>
              </w:rPr>
              <w:t xml:space="preserve"> 2 730</w:t>
            </w:r>
          </w:p>
        </w:tc>
      </w:tr>
      <w:tr w:rsidR="0026369A" w:rsidRPr="00D868AC" w:rsidTr="00CA37B1">
        <w:tc>
          <w:tcPr>
            <w:tcW w:w="2624" w:type="dxa"/>
          </w:tcPr>
          <w:p w:rsidR="0026369A" w:rsidRPr="00D868AC" w:rsidRDefault="0026369A" w:rsidP="0026369A">
            <w:pPr>
              <w:pStyle w:val="TableBodyText"/>
              <w:jc w:val="left"/>
            </w:pPr>
            <w:r w:rsidRPr="00D868AC">
              <w:t>All schools (no.)</w:t>
            </w:r>
          </w:p>
        </w:tc>
        <w:tc>
          <w:tcPr>
            <w:tcW w:w="685" w:type="dxa"/>
          </w:tcPr>
          <w:p w:rsidR="0026369A" w:rsidRPr="00D868AC" w:rsidRDefault="0026369A" w:rsidP="0026369A">
            <w:pPr>
              <w:pStyle w:val="TableBodyText"/>
            </w:pPr>
          </w:p>
        </w:tc>
        <w:tc>
          <w:tcPr>
            <w:tcW w:w="685" w:type="dxa"/>
          </w:tcPr>
          <w:p w:rsidR="0026369A" w:rsidRPr="00D868AC" w:rsidRDefault="0026369A" w:rsidP="0026369A">
            <w:pPr>
              <w:pStyle w:val="TableBodyText"/>
            </w:pPr>
          </w:p>
        </w:tc>
        <w:tc>
          <w:tcPr>
            <w:tcW w:w="685" w:type="dxa"/>
          </w:tcPr>
          <w:p w:rsidR="0026369A" w:rsidRPr="00D868AC" w:rsidRDefault="0026369A" w:rsidP="0026369A">
            <w:pPr>
              <w:pStyle w:val="TableBodyText"/>
            </w:pPr>
          </w:p>
        </w:tc>
        <w:tc>
          <w:tcPr>
            <w:tcW w:w="685" w:type="dxa"/>
          </w:tcPr>
          <w:p w:rsidR="0026369A" w:rsidRPr="00D868AC" w:rsidRDefault="0026369A" w:rsidP="0026369A">
            <w:pPr>
              <w:pStyle w:val="TableBodyText"/>
            </w:pPr>
          </w:p>
        </w:tc>
        <w:tc>
          <w:tcPr>
            <w:tcW w:w="686" w:type="dxa"/>
          </w:tcPr>
          <w:p w:rsidR="0026369A" w:rsidRPr="00D868AC" w:rsidRDefault="0026369A" w:rsidP="0026369A">
            <w:pPr>
              <w:pStyle w:val="TableBodyText"/>
            </w:pPr>
          </w:p>
        </w:tc>
        <w:tc>
          <w:tcPr>
            <w:tcW w:w="686" w:type="dxa"/>
          </w:tcPr>
          <w:p w:rsidR="0026369A" w:rsidRPr="00D868AC" w:rsidRDefault="0026369A" w:rsidP="0026369A">
            <w:pPr>
              <w:pStyle w:val="TableBodyText"/>
            </w:pPr>
          </w:p>
        </w:tc>
        <w:tc>
          <w:tcPr>
            <w:tcW w:w="708" w:type="dxa"/>
            <w:gridSpan w:val="2"/>
          </w:tcPr>
          <w:p w:rsidR="0026369A" w:rsidRPr="00D868AC" w:rsidRDefault="0026369A" w:rsidP="0026369A">
            <w:pPr>
              <w:pStyle w:val="TableBodyText"/>
            </w:pPr>
          </w:p>
        </w:tc>
        <w:tc>
          <w:tcPr>
            <w:tcW w:w="709" w:type="dxa"/>
            <w:gridSpan w:val="2"/>
          </w:tcPr>
          <w:p w:rsidR="0026369A" w:rsidRPr="00D868AC" w:rsidRDefault="0026369A" w:rsidP="0026369A">
            <w:pPr>
              <w:pStyle w:val="TableBodyText"/>
            </w:pPr>
          </w:p>
        </w:tc>
        <w:tc>
          <w:tcPr>
            <w:tcW w:w="710" w:type="dxa"/>
            <w:gridSpan w:val="2"/>
          </w:tcPr>
          <w:p w:rsidR="0026369A" w:rsidRPr="00D868AC" w:rsidRDefault="0026369A" w:rsidP="0026369A">
            <w:pPr>
              <w:pStyle w:val="TableBodyText"/>
            </w:pPr>
          </w:p>
        </w:tc>
      </w:tr>
      <w:tr w:rsidR="000D4B3A" w:rsidRPr="00D868AC" w:rsidTr="00CA37B1">
        <w:tc>
          <w:tcPr>
            <w:tcW w:w="2624" w:type="dxa"/>
          </w:tcPr>
          <w:p w:rsidR="000D4B3A" w:rsidRPr="00D868AC" w:rsidRDefault="000D4B3A" w:rsidP="0026369A">
            <w:pPr>
              <w:pStyle w:val="TableBodyText"/>
              <w:ind w:left="136"/>
              <w:jc w:val="left"/>
            </w:pPr>
            <w:r w:rsidRPr="00D868AC">
              <w:t>Primary</w:t>
            </w:r>
          </w:p>
        </w:tc>
        <w:tc>
          <w:tcPr>
            <w:tcW w:w="685" w:type="dxa"/>
            <w:vAlign w:val="center"/>
          </w:tcPr>
          <w:p w:rsidR="000D4B3A" w:rsidRPr="00CA37B1" w:rsidRDefault="000D4B3A" w:rsidP="00CA37B1">
            <w:pPr>
              <w:pStyle w:val="TableBodyText"/>
            </w:pPr>
            <w:r w:rsidRPr="00CA37B1">
              <w:t xml:space="preserve"> 2 124</w:t>
            </w:r>
          </w:p>
        </w:tc>
        <w:tc>
          <w:tcPr>
            <w:tcW w:w="685" w:type="dxa"/>
            <w:vAlign w:val="center"/>
          </w:tcPr>
          <w:p w:rsidR="000D4B3A" w:rsidRPr="00CA37B1" w:rsidRDefault="000D4B3A" w:rsidP="00CA37B1">
            <w:pPr>
              <w:pStyle w:val="TableBodyText"/>
            </w:pPr>
            <w:r w:rsidRPr="00CA37B1">
              <w:t xml:space="preserve"> 1 563</w:t>
            </w:r>
          </w:p>
        </w:tc>
        <w:tc>
          <w:tcPr>
            <w:tcW w:w="685" w:type="dxa"/>
            <w:vAlign w:val="center"/>
          </w:tcPr>
          <w:p w:rsidR="000D4B3A" w:rsidRPr="00CA37B1" w:rsidRDefault="000D4B3A" w:rsidP="00CA37B1">
            <w:pPr>
              <w:pStyle w:val="TableBodyText"/>
            </w:pPr>
            <w:r w:rsidRPr="00CA37B1">
              <w:t xml:space="preserve"> 1 152</w:t>
            </w:r>
          </w:p>
        </w:tc>
        <w:tc>
          <w:tcPr>
            <w:tcW w:w="685" w:type="dxa"/>
            <w:vAlign w:val="center"/>
          </w:tcPr>
          <w:p w:rsidR="000D4B3A" w:rsidRPr="00CA37B1" w:rsidRDefault="000D4B3A" w:rsidP="00CA37B1">
            <w:pPr>
              <w:pStyle w:val="TableBodyText"/>
            </w:pPr>
            <w:r w:rsidRPr="00CA37B1">
              <w:t>663</w:t>
            </w:r>
          </w:p>
        </w:tc>
        <w:tc>
          <w:tcPr>
            <w:tcW w:w="686" w:type="dxa"/>
            <w:vAlign w:val="center"/>
          </w:tcPr>
          <w:p w:rsidR="000D4B3A" w:rsidRPr="00CA37B1" w:rsidRDefault="000D4B3A" w:rsidP="00CA37B1">
            <w:pPr>
              <w:pStyle w:val="TableBodyText"/>
            </w:pPr>
            <w:r w:rsidRPr="00CA37B1">
              <w:t>499</w:t>
            </w:r>
          </w:p>
        </w:tc>
        <w:tc>
          <w:tcPr>
            <w:tcW w:w="686" w:type="dxa"/>
            <w:vAlign w:val="center"/>
          </w:tcPr>
          <w:p w:rsidR="000D4B3A" w:rsidRPr="00CA37B1" w:rsidRDefault="000D4B3A" w:rsidP="00CA37B1">
            <w:pPr>
              <w:pStyle w:val="TableBodyText"/>
            </w:pPr>
            <w:r w:rsidRPr="00CA37B1">
              <w:t>156</w:t>
            </w:r>
          </w:p>
        </w:tc>
        <w:tc>
          <w:tcPr>
            <w:tcW w:w="708" w:type="dxa"/>
            <w:gridSpan w:val="2"/>
            <w:vAlign w:val="center"/>
          </w:tcPr>
          <w:p w:rsidR="000D4B3A" w:rsidRPr="00CA37B1" w:rsidRDefault="000D4B3A" w:rsidP="00CA37B1">
            <w:pPr>
              <w:pStyle w:val="TableBodyText"/>
            </w:pPr>
            <w:r w:rsidRPr="00CA37B1">
              <w:t>78</w:t>
            </w:r>
          </w:p>
        </w:tc>
        <w:tc>
          <w:tcPr>
            <w:tcW w:w="709" w:type="dxa"/>
            <w:gridSpan w:val="2"/>
            <w:vAlign w:val="center"/>
          </w:tcPr>
          <w:p w:rsidR="000D4B3A" w:rsidRPr="00CA37B1" w:rsidRDefault="000D4B3A" w:rsidP="00CA37B1">
            <w:pPr>
              <w:pStyle w:val="TableBodyText"/>
            </w:pPr>
            <w:r w:rsidRPr="00CA37B1">
              <w:t>77</w:t>
            </w:r>
          </w:p>
        </w:tc>
        <w:tc>
          <w:tcPr>
            <w:tcW w:w="710" w:type="dxa"/>
            <w:gridSpan w:val="2"/>
            <w:vAlign w:val="center"/>
          </w:tcPr>
          <w:p w:rsidR="000D4B3A" w:rsidRPr="00CA37B1" w:rsidRDefault="000D4B3A" w:rsidP="00CA37B1">
            <w:pPr>
              <w:pStyle w:val="TableBodyText"/>
            </w:pPr>
            <w:r w:rsidRPr="00CA37B1">
              <w:t xml:space="preserve"> 6 312</w:t>
            </w:r>
          </w:p>
        </w:tc>
      </w:tr>
      <w:tr w:rsidR="000D4B3A" w:rsidRPr="00D868AC" w:rsidTr="00CA37B1">
        <w:tc>
          <w:tcPr>
            <w:tcW w:w="2624" w:type="dxa"/>
          </w:tcPr>
          <w:p w:rsidR="000D4B3A" w:rsidRPr="00D868AC" w:rsidRDefault="000D4B3A" w:rsidP="0026369A">
            <w:pPr>
              <w:pStyle w:val="TableBodyText"/>
              <w:ind w:left="136"/>
              <w:jc w:val="left"/>
            </w:pPr>
            <w:r w:rsidRPr="00D868AC">
              <w:t>Secondary</w:t>
            </w:r>
          </w:p>
        </w:tc>
        <w:tc>
          <w:tcPr>
            <w:tcW w:w="685" w:type="dxa"/>
            <w:vAlign w:val="center"/>
          </w:tcPr>
          <w:p w:rsidR="000D4B3A" w:rsidRPr="00CA37B1" w:rsidRDefault="000D4B3A" w:rsidP="00CA37B1">
            <w:pPr>
              <w:pStyle w:val="TableBodyText"/>
            </w:pPr>
            <w:r w:rsidRPr="00CA37B1">
              <w:t>523</w:t>
            </w:r>
          </w:p>
        </w:tc>
        <w:tc>
          <w:tcPr>
            <w:tcW w:w="685" w:type="dxa"/>
            <w:vAlign w:val="center"/>
          </w:tcPr>
          <w:p w:rsidR="000D4B3A" w:rsidRPr="00CA37B1" w:rsidRDefault="000D4B3A" w:rsidP="00CA37B1">
            <w:pPr>
              <w:pStyle w:val="TableBodyText"/>
            </w:pPr>
            <w:r w:rsidRPr="00CA37B1">
              <w:t>344</w:t>
            </w:r>
          </w:p>
        </w:tc>
        <w:tc>
          <w:tcPr>
            <w:tcW w:w="685" w:type="dxa"/>
            <w:vAlign w:val="center"/>
          </w:tcPr>
          <w:p w:rsidR="000D4B3A" w:rsidRPr="00CA37B1" w:rsidRDefault="000D4B3A" w:rsidP="00CA37B1">
            <w:pPr>
              <w:pStyle w:val="TableBodyText"/>
            </w:pPr>
            <w:r w:rsidRPr="00CA37B1">
              <w:t>251</w:t>
            </w:r>
          </w:p>
        </w:tc>
        <w:tc>
          <w:tcPr>
            <w:tcW w:w="685" w:type="dxa"/>
            <w:vAlign w:val="center"/>
          </w:tcPr>
          <w:p w:rsidR="000D4B3A" w:rsidRPr="00CA37B1" w:rsidRDefault="000D4B3A" w:rsidP="00CA37B1">
            <w:pPr>
              <w:pStyle w:val="TableBodyText"/>
            </w:pPr>
            <w:r w:rsidRPr="00CA37B1">
              <w:t>109</w:t>
            </w:r>
          </w:p>
        </w:tc>
        <w:tc>
          <w:tcPr>
            <w:tcW w:w="686" w:type="dxa"/>
            <w:vAlign w:val="center"/>
          </w:tcPr>
          <w:p w:rsidR="000D4B3A" w:rsidRPr="00CA37B1" w:rsidRDefault="000D4B3A" w:rsidP="00CA37B1">
            <w:pPr>
              <w:pStyle w:val="TableBodyText"/>
            </w:pPr>
            <w:r w:rsidRPr="00CA37B1">
              <w:t>87</w:t>
            </w:r>
          </w:p>
        </w:tc>
        <w:tc>
          <w:tcPr>
            <w:tcW w:w="686" w:type="dxa"/>
            <w:vAlign w:val="center"/>
          </w:tcPr>
          <w:p w:rsidR="000D4B3A" w:rsidRPr="00CA37B1" w:rsidRDefault="000D4B3A" w:rsidP="00CA37B1">
            <w:pPr>
              <w:pStyle w:val="TableBodyText"/>
            </w:pPr>
            <w:r w:rsidRPr="00CA37B1">
              <w:t>36</w:t>
            </w:r>
          </w:p>
        </w:tc>
        <w:tc>
          <w:tcPr>
            <w:tcW w:w="708" w:type="dxa"/>
            <w:gridSpan w:val="2"/>
            <w:vAlign w:val="center"/>
          </w:tcPr>
          <w:p w:rsidR="000D4B3A" w:rsidRPr="00CA37B1" w:rsidRDefault="000D4B3A" w:rsidP="00CA37B1">
            <w:pPr>
              <w:pStyle w:val="TableBodyText"/>
            </w:pPr>
            <w:r w:rsidRPr="00CA37B1">
              <w:t>24</w:t>
            </w:r>
          </w:p>
        </w:tc>
        <w:tc>
          <w:tcPr>
            <w:tcW w:w="709" w:type="dxa"/>
            <w:gridSpan w:val="2"/>
            <w:vAlign w:val="center"/>
          </w:tcPr>
          <w:p w:rsidR="000D4B3A" w:rsidRPr="00CA37B1" w:rsidRDefault="000D4B3A" w:rsidP="00CA37B1">
            <w:pPr>
              <w:pStyle w:val="TableBodyText"/>
            </w:pPr>
            <w:r w:rsidRPr="00CA37B1">
              <w:t>23</w:t>
            </w:r>
          </w:p>
        </w:tc>
        <w:tc>
          <w:tcPr>
            <w:tcW w:w="710" w:type="dxa"/>
            <w:gridSpan w:val="2"/>
            <w:vAlign w:val="center"/>
          </w:tcPr>
          <w:p w:rsidR="000D4B3A" w:rsidRPr="00CA37B1" w:rsidRDefault="000D4B3A" w:rsidP="00CA37B1">
            <w:pPr>
              <w:pStyle w:val="TableBodyText"/>
            </w:pPr>
            <w:r w:rsidRPr="00CA37B1">
              <w:t xml:space="preserve"> 1 397</w:t>
            </w:r>
          </w:p>
        </w:tc>
      </w:tr>
      <w:tr w:rsidR="000D4B3A" w:rsidRPr="00D868AC" w:rsidTr="00CA37B1">
        <w:tc>
          <w:tcPr>
            <w:tcW w:w="2624" w:type="dxa"/>
          </w:tcPr>
          <w:p w:rsidR="000D4B3A" w:rsidRPr="00D868AC" w:rsidRDefault="000D4B3A" w:rsidP="0026369A">
            <w:pPr>
              <w:pStyle w:val="TableBodyText"/>
              <w:ind w:left="136"/>
              <w:jc w:val="left"/>
            </w:pPr>
            <w:r w:rsidRPr="00D868AC">
              <w:t>Combined</w:t>
            </w:r>
            <w:r w:rsidRPr="00D868AC">
              <w:rPr>
                <w:rStyle w:val="NoteLabel"/>
              </w:rPr>
              <w:t>a</w:t>
            </w:r>
          </w:p>
        </w:tc>
        <w:tc>
          <w:tcPr>
            <w:tcW w:w="685" w:type="dxa"/>
            <w:vAlign w:val="center"/>
          </w:tcPr>
          <w:p w:rsidR="000D4B3A" w:rsidRPr="00CA37B1" w:rsidRDefault="000D4B3A" w:rsidP="00CA37B1">
            <w:pPr>
              <w:pStyle w:val="TableBodyText"/>
            </w:pPr>
            <w:r w:rsidRPr="00CA37B1">
              <w:t>301</w:t>
            </w:r>
          </w:p>
        </w:tc>
        <w:tc>
          <w:tcPr>
            <w:tcW w:w="685" w:type="dxa"/>
            <w:vAlign w:val="center"/>
          </w:tcPr>
          <w:p w:rsidR="000D4B3A" w:rsidRPr="00CA37B1" w:rsidRDefault="000D4B3A" w:rsidP="00CA37B1">
            <w:pPr>
              <w:pStyle w:val="TableBodyText"/>
            </w:pPr>
            <w:r w:rsidRPr="00CA37B1">
              <w:t>231</w:t>
            </w:r>
          </w:p>
        </w:tc>
        <w:tc>
          <w:tcPr>
            <w:tcW w:w="685" w:type="dxa"/>
            <w:vAlign w:val="center"/>
          </w:tcPr>
          <w:p w:rsidR="000D4B3A" w:rsidRPr="00CA37B1" w:rsidRDefault="000D4B3A" w:rsidP="00CA37B1">
            <w:pPr>
              <w:pStyle w:val="TableBodyText"/>
            </w:pPr>
            <w:r w:rsidRPr="00CA37B1">
              <w:t>243</w:t>
            </w:r>
          </w:p>
        </w:tc>
        <w:tc>
          <w:tcPr>
            <w:tcW w:w="685" w:type="dxa"/>
            <w:vAlign w:val="center"/>
          </w:tcPr>
          <w:p w:rsidR="000D4B3A" w:rsidRPr="00CA37B1" w:rsidRDefault="000D4B3A" w:rsidP="00CA37B1">
            <w:pPr>
              <w:pStyle w:val="TableBodyText"/>
            </w:pPr>
            <w:r w:rsidRPr="00CA37B1">
              <w:t>221</w:t>
            </w:r>
          </w:p>
        </w:tc>
        <w:tc>
          <w:tcPr>
            <w:tcW w:w="686" w:type="dxa"/>
            <w:vAlign w:val="center"/>
          </w:tcPr>
          <w:p w:rsidR="000D4B3A" w:rsidRPr="00CA37B1" w:rsidRDefault="000D4B3A" w:rsidP="00CA37B1">
            <w:pPr>
              <w:pStyle w:val="TableBodyText"/>
            </w:pPr>
            <w:r w:rsidRPr="00CA37B1">
              <w:t>145</w:t>
            </w:r>
          </w:p>
        </w:tc>
        <w:tc>
          <w:tcPr>
            <w:tcW w:w="686" w:type="dxa"/>
            <w:vAlign w:val="center"/>
          </w:tcPr>
          <w:p w:rsidR="000D4B3A" w:rsidRPr="00CA37B1" w:rsidRDefault="000D4B3A" w:rsidP="00CA37B1">
            <w:pPr>
              <w:pStyle w:val="TableBodyText"/>
            </w:pPr>
            <w:r w:rsidRPr="00CA37B1">
              <w:t>58</w:t>
            </w:r>
          </w:p>
        </w:tc>
        <w:tc>
          <w:tcPr>
            <w:tcW w:w="708" w:type="dxa"/>
            <w:gridSpan w:val="2"/>
            <w:vAlign w:val="center"/>
          </w:tcPr>
          <w:p w:rsidR="000D4B3A" w:rsidRPr="00CA37B1" w:rsidRDefault="000D4B3A" w:rsidP="00CA37B1">
            <w:pPr>
              <w:pStyle w:val="TableBodyText"/>
            </w:pPr>
            <w:r w:rsidRPr="00CA37B1">
              <w:t>22</w:t>
            </w:r>
          </w:p>
        </w:tc>
        <w:tc>
          <w:tcPr>
            <w:tcW w:w="709" w:type="dxa"/>
            <w:gridSpan w:val="2"/>
            <w:vAlign w:val="center"/>
          </w:tcPr>
          <w:p w:rsidR="000D4B3A" w:rsidRPr="00CA37B1" w:rsidRDefault="000D4B3A" w:rsidP="00CA37B1">
            <w:pPr>
              <w:pStyle w:val="TableBodyText"/>
            </w:pPr>
            <w:r w:rsidRPr="00CA37B1">
              <w:t>85</w:t>
            </w:r>
          </w:p>
        </w:tc>
        <w:tc>
          <w:tcPr>
            <w:tcW w:w="710" w:type="dxa"/>
            <w:gridSpan w:val="2"/>
            <w:vAlign w:val="center"/>
          </w:tcPr>
          <w:p w:rsidR="000D4B3A" w:rsidRPr="00CA37B1" w:rsidRDefault="000D4B3A" w:rsidP="00CA37B1">
            <w:pPr>
              <w:pStyle w:val="TableBodyText"/>
            </w:pPr>
            <w:r w:rsidRPr="00CA37B1">
              <w:t xml:space="preserve"> 1 306</w:t>
            </w:r>
          </w:p>
        </w:tc>
      </w:tr>
      <w:tr w:rsidR="000D4B3A" w:rsidRPr="00D868AC" w:rsidTr="00CA37B1">
        <w:tc>
          <w:tcPr>
            <w:tcW w:w="2624" w:type="dxa"/>
          </w:tcPr>
          <w:p w:rsidR="000D4B3A" w:rsidRPr="00D868AC" w:rsidRDefault="000D4B3A" w:rsidP="0026369A">
            <w:pPr>
              <w:pStyle w:val="TableBodyText"/>
              <w:ind w:left="136"/>
              <w:jc w:val="left"/>
            </w:pPr>
            <w:r w:rsidRPr="00D868AC">
              <w:t>Special schools</w:t>
            </w:r>
            <w:r w:rsidRPr="00D868AC">
              <w:rPr>
                <w:rStyle w:val="NoteLabel"/>
              </w:rPr>
              <w:t>b</w:t>
            </w:r>
          </w:p>
        </w:tc>
        <w:tc>
          <w:tcPr>
            <w:tcW w:w="685" w:type="dxa"/>
            <w:vAlign w:val="center"/>
          </w:tcPr>
          <w:p w:rsidR="000D4B3A" w:rsidRPr="00CA37B1" w:rsidRDefault="000D4B3A" w:rsidP="00CA37B1">
            <w:pPr>
              <w:pStyle w:val="TableBodyText"/>
            </w:pPr>
            <w:r w:rsidRPr="00CA37B1">
              <w:t>149</w:t>
            </w:r>
          </w:p>
        </w:tc>
        <w:tc>
          <w:tcPr>
            <w:tcW w:w="685" w:type="dxa"/>
            <w:vAlign w:val="center"/>
          </w:tcPr>
          <w:p w:rsidR="000D4B3A" w:rsidRPr="00CA37B1" w:rsidRDefault="000D4B3A" w:rsidP="00CA37B1">
            <w:pPr>
              <w:pStyle w:val="TableBodyText"/>
            </w:pPr>
            <w:r w:rsidRPr="00CA37B1">
              <w:t>96</w:t>
            </w:r>
          </w:p>
        </w:tc>
        <w:tc>
          <w:tcPr>
            <w:tcW w:w="685" w:type="dxa"/>
            <w:vAlign w:val="center"/>
          </w:tcPr>
          <w:p w:rsidR="000D4B3A" w:rsidRPr="00CA37B1" w:rsidRDefault="000D4B3A" w:rsidP="00CA37B1">
            <w:pPr>
              <w:pStyle w:val="TableBodyText"/>
            </w:pPr>
            <w:r w:rsidRPr="00CA37B1">
              <w:t>62</w:t>
            </w:r>
          </w:p>
        </w:tc>
        <w:tc>
          <w:tcPr>
            <w:tcW w:w="685" w:type="dxa"/>
            <w:vAlign w:val="center"/>
          </w:tcPr>
          <w:p w:rsidR="000D4B3A" w:rsidRPr="00CA37B1" w:rsidRDefault="000D4B3A" w:rsidP="00CA37B1">
            <w:pPr>
              <w:pStyle w:val="TableBodyText"/>
            </w:pPr>
            <w:r w:rsidRPr="00CA37B1">
              <w:t>78</w:t>
            </w:r>
          </w:p>
        </w:tc>
        <w:tc>
          <w:tcPr>
            <w:tcW w:w="686" w:type="dxa"/>
            <w:vAlign w:val="center"/>
          </w:tcPr>
          <w:p w:rsidR="000D4B3A" w:rsidRPr="00CA37B1" w:rsidRDefault="000D4B3A" w:rsidP="00CA37B1">
            <w:pPr>
              <w:pStyle w:val="TableBodyText"/>
            </w:pPr>
            <w:r w:rsidRPr="00CA37B1">
              <w:t>21</w:t>
            </w:r>
          </w:p>
        </w:tc>
        <w:tc>
          <w:tcPr>
            <w:tcW w:w="686" w:type="dxa"/>
            <w:vAlign w:val="center"/>
          </w:tcPr>
          <w:p w:rsidR="000D4B3A" w:rsidRPr="00CA37B1" w:rsidRDefault="000D4B3A" w:rsidP="00CA37B1">
            <w:pPr>
              <w:pStyle w:val="TableBodyText"/>
            </w:pPr>
            <w:r w:rsidRPr="00CA37B1">
              <w:t>5</w:t>
            </w:r>
          </w:p>
        </w:tc>
        <w:tc>
          <w:tcPr>
            <w:tcW w:w="708" w:type="dxa"/>
            <w:gridSpan w:val="2"/>
            <w:vAlign w:val="center"/>
          </w:tcPr>
          <w:p w:rsidR="000D4B3A" w:rsidRPr="00CA37B1" w:rsidRDefault="000D4B3A" w:rsidP="00CA37B1">
            <w:pPr>
              <w:pStyle w:val="TableBodyText"/>
            </w:pPr>
            <w:r w:rsidRPr="00CA37B1">
              <w:t>4</w:t>
            </w:r>
          </w:p>
        </w:tc>
        <w:tc>
          <w:tcPr>
            <w:tcW w:w="709" w:type="dxa"/>
            <w:gridSpan w:val="2"/>
            <w:vAlign w:val="center"/>
          </w:tcPr>
          <w:p w:rsidR="000D4B3A" w:rsidRPr="00CA37B1" w:rsidRDefault="000D4B3A" w:rsidP="00CA37B1">
            <w:pPr>
              <w:pStyle w:val="TableBodyText"/>
            </w:pPr>
            <w:r w:rsidRPr="00CA37B1">
              <w:t>5</w:t>
            </w:r>
          </w:p>
        </w:tc>
        <w:tc>
          <w:tcPr>
            <w:tcW w:w="710" w:type="dxa"/>
            <w:gridSpan w:val="2"/>
            <w:vAlign w:val="center"/>
          </w:tcPr>
          <w:p w:rsidR="000D4B3A" w:rsidRPr="00CA37B1" w:rsidRDefault="000D4B3A" w:rsidP="00CA37B1">
            <w:pPr>
              <w:pStyle w:val="TableBodyText"/>
            </w:pPr>
            <w:r w:rsidRPr="00CA37B1">
              <w:t>420</w:t>
            </w:r>
          </w:p>
        </w:tc>
      </w:tr>
      <w:tr w:rsidR="000D4B3A" w:rsidRPr="00D868AC" w:rsidTr="00CA37B1">
        <w:tc>
          <w:tcPr>
            <w:tcW w:w="2624" w:type="dxa"/>
          </w:tcPr>
          <w:p w:rsidR="000D4B3A" w:rsidRPr="00D868AC" w:rsidRDefault="000D4B3A" w:rsidP="0026369A">
            <w:pPr>
              <w:pStyle w:val="TableBodyText"/>
              <w:ind w:left="136"/>
              <w:jc w:val="left"/>
              <w:rPr>
                <w:b/>
              </w:rPr>
            </w:pPr>
            <w:r w:rsidRPr="00D868AC">
              <w:rPr>
                <w:b/>
              </w:rPr>
              <w:t>Total</w:t>
            </w:r>
          </w:p>
        </w:tc>
        <w:tc>
          <w:tcPr>
            <w:tcW w:w="685" w:type="dxa"/>
            <w:vAlign w:val="center"/>
          </w:tcPr>
          <w:p w:rsidR="000D4B3A" w:rsidRPr="00CA37B1" w:rsidRDefault="000D4B3A" w:rsidP="00CA37B1">
            <w:pPr>
              <w:pStyle w:val="TableBodyText"/>
              <w:rPr>
                <w:b/>
              </w:rPr>
            </w:pPr>
            <w:r w:rsidRPr="00CA37B1">
              <w:rPr>
                <w:b/>
              </w:rPr>
              <w:t xml:space="preserve"> 3 097</w:t>
            </w:r>
          </w:p>
        </w:tc>
        <w:tc>
          <w:tcPr>
            <w:tcW w:w="685" w:type="dxa"/>
            <w:vAlign w:val="center"/>
          </w:tcPr>
          <w:p w:rsidR="000D4B3A" w:rsidRPr="00CA37B1" w:rsidRDefault="000D4B3A" w:rsidP="00CA37B1">
            <w:pPr>
              <w:pStyle w:val="TableBodyText"/>
              <w:rPr>
                <w:b/>
              </w:rPr>
            </w:pPr>
            <w:r w:rsidRPr="00CA37B1">
              <w:rPr>
                <w:b/>
              </w:rPr>
              <w:t xml:space="preserve"> 2 234</w:t>
            </w:r>
          </w:p>
        </w:tc>
        <w:tc>
          <w:tcPr>
            <w:tcW w:w="685" w:type="dxa"/>
            <w:vAlign w:val="center"/>
          </w:tcPr>
          <w:p w:rsidR="000D4B3A" w:rsidRPr="00CA37B1" w:rsidRDefault="000D4B3A" w:rsidP="00CA37B1">
            <w:pPr>
              <w:pStyle w:val="TableBodyText"/>
              <w:rPr>
                <w:b/>
              </w:rPr>
            </w:pPr>
            <w:r w:rsidRPr="00CA37B1">
              <w:rPr>
                <w:b/>
              </w:rPr>
              <w:t xml:space="preserve"> 1 708</w:t>
            </w:r>
          </w:p>
        </w:tc>
        <w:tc>
          <w:tcPr>
            <w:tcW w:w="685" w:type="dxa"/>
            <w:vAlign w:val="center"/>
          </w:tcPr>
          <w:p w:rsidR="000D4B3A" w:rsidRPr="00CA37B1" w:rsidRDefault="000D4B3A" w:rsidP="00CA37B1">
            <w:pPr>
              <w:pStyle w:val="TableBodyText"/>
              <w:rPr>
                <w:b/>
              </w:rPr>
            </w:pPr>
            <w:r w:rsidRPr="00CA37B1">
              <w:rPr>
                <w:b/>
              </w:rPr>
              <w:t xml:space="preserve"> 1 071</w:t>
            </w:r>
          </w:p>
        </w:tc>
        <w:tc>
          <w:tcPr>
            <w:tcW w:w="686" w:type="dxa"/>
            <w:vAlign w:val="center"/>
          </w:tcPr>
          <w:p w:rsidR="000D4B3A" w:rsidRPr="00CA37B1" w:rsidRDefault="000D4B3A" w:rsidP="00CA37B1">
            <w:pPr>
              <w:pStyle w:val="TableBodyText"/>
              <w:rPr>
                <w:b/>
              </w:rPr>
            </w:pPr>
            <w:r w:rsidRPr="00CA37B1">
              <w:rPr>
                <w:b/>
              </w:rPr>
              <w:t>752</w:t>
            </w:r>
          </w:p>
        </w:tc>
        <w:tc>
          <w:tcPr>
            <w:tcW w:w="686" w:type="dxa"/>
            <w:vAlign w:val="center"/>
          </w:tcPr>
          <w:p w:rsidR="000D4B3A" w:rsidRPr="00CA37B1" w:rsidRDefault="000D4B3A" w:rsidP="00CA37B1">
            <w:pPr>
              <w:pStyle w:val="TableBodyText"/>
              <w:rPr>
                <w:b/>
              </w:rPr>
            </w:pPr>
            <w:r w:rsidRPr="00CA37B1">
              <w:rPr>
                <w:b/>
              </w:rPr>
              <w:t>255</w:t>
            </w:r>
          </w:p>
        </w:tc>
        <w:tc>
          <w:tcPr>
            <w:tcW w:w="708" w:type="dxa"/>
            <w:gridSpan w:val="2"/>
            <w:vAlign w:val="center"/>
          </w:tcPr>
          <w:p w:rsidR="000D4B3A" w:rsidRPr="00CA37B1" w:rsidRDefault="000D4B3A" w:rsidP="00CA37B1">
            <w:pPr>
              <w:pStyle w:val="TableBodyText"/>
              <w:rPr>
                <w:b/>
              </w:rPr>
            </w:pPr>
            <w:r w:rsidRPr="00CA37B1">
              <w:rPr>
                <w:b/>
              </w:rPr>
              <w:t>128</w:t>
            </w:r>
          </w:p>
        </w:tc>
        <w:tc>
          <w:tcPr>
            <w:tcW w:w="709" w:type="dxa"/>
            <w:gridSpan w:val="2"/>
            <w:vAlign w:val="center"/>
          </w:tcPr>
          <w:p w:rsidR="000D4B3A" w:rsidRPr="00CA37B1" w:rsidRDefault="000D4B3A" w:rsidP="00CA37B1">
            <w:pPr>
              <w:pStyle w:val="TableBodyText"/>
              <w:rPr>
                <w:b/>
              </w:rPr>
            </w:pPr>
            <w:r w:rsidRPr="00CA37B1">
              <w:rPr>
                <w:b/>
              </w:rPr>
              <w:t>190</w:t>
            </w:r>
          </w:p>
        </w:tc>
        <w:tc>
          <w:tcPr>
            <w:tcW w:w="710" w:type="dxa"/>
            <w:gridSpan w:val="2"/>
            <w:vAlign w:val="center"/>
          </w:tcPr>
          <w:p w:rsidR="000D4B3A" w:rsidRPr="00CA37B1" w:rsidRDefault="000D4B3A" w:rsidP="00CA37B1">
            <w:pPr>
              <w:pStyle w:val="TableBodyText"/>
              <w:rPr>
                <w:b/>
              </w:rPr>
            </w:pPr>
            <w:r w:rsidRPr="00CA37B1">
              <w:rPr>
                <w:b/>
              </w:rPr>
              <w:t>9 435</w:t>
            </w:r>
          </w:p>
        </w:tc>
      </w:tr>
      <w:tr w:rsidR="00CA37B1" w:rsidRPr="00D868AC" w:rsidTr="00CA37B1">
        <w:tc>
          <w:tcPr>
            <w:tcW w:w="8863" w:type="dxa"/>
            <w:gridSpan w:val="13"/>
          </w:tcPr>
          <w:p w:rsidR="00CA37B1" w:rsidRPr="00CA37B1" w:rsidRDefault="00CA37B1" w:rsidP="00CA37B1">
            <w:pPr>
              <w:pStyle w:val="TableBodyText"/>
              <w:jc w:val="left"/>
              <w:rPr>
                <w:b/>
              </w:rPr>
            </w:pPr>
            <w:r w:rsidRPr="00D868AC">
              <w:t>Proportion of schools that are government schools (%)</w:t>
            </w:r>
          </w:p>
        </w:tc>
      </w:tr>
      <w:tr w:rsidR="000D4B3A" w:rsidRPr="00D868AC" w:rsidTr="00CA37B1">
        <w:tc>
          <w:tcPr>
            <w:tcW w:w="2624" w:type="dxa"/>
          </w:tcPr>
          <w:p w:rsidR="000D4B3A" w:rsidRPr="00D868AC" w:rsidRDefault="000D4B3A" w:rsidP="0026369A">
            <w:pPr>
              <w:pStyle w:val="TableBodyText"/>
              <w:ind w:left="136"/>
              <w:jc w:val="left"/>
            </w:pPr>
            <w:r w:rsidRPr="00D868AC">
              <w:t>Primary</w:t>
            </w:r>
          </w:p>
        </w:tc>
        <w:tc>
          <w:tcPr>
            <w:tcW w:w="685" w:type="dxa"/>
            <w:vAlign w:val="center"/>
          </w:tcPr>
          <w:p w:rsidR="000D4B3A" w:rsidRPr="00CA37B1" w:rsidRDefault="000D4B3A" w:rsidP="00CA37B1">
            <w:pPr>
              <w:pStyle w:val="TableBodyText"/>
            </w:pPr>
            <w:r w:rsidRPr="00CA37B1">
              <w:t>76.8</w:t>
            </w:r>
          </w:p>
        </w:tc>
        <w:tc>
          <w:tcPr>
            <w:tcW w:w="685" w:type="dxa"/>
            <w:vAlign w:val="center"/>
          </w:tcPr>
          <w:p w:rsidR="000D4B3A" w:rsidRPr="00CA37B1" w:rsidRDefault="000D4B3A" w:rsidP="00CA37B1">
            <w:pPr>
              <w:pStyle w:val="TableBodyText"/>
            </w:pPr>
            <w:r w:rsidRPr="00CA37B1">
              <w:t>72.9</w:t>
            </w:r>
          </w:p>
        </w:tc>
        <w:tc>
          <w:tcPr>
            <w:tcW w:w="685" w:type="dxa"/>
            <w:vAlign w:val="center"/>
          </w:tcPr>
          <w:p w:rsidR="000D4B3A" w:rsidRPr="00CA37B1" w:rsidRDefault="000D4B3A" w:rsidP="00CA37B1">
            <w:pPr>
              <w:pStyle w:val="TableBodyText"/>
            </w:pPr>
            <w:r w:rsidRPr="00CA37B1">
              <w:t>79.9</w:t>
            </w:r>
          </w:p>
        </w:tc>
        <w:tc>
          <w:tcPr>
            <w:tcW w:w="685" w:type="dxa"/>
            <w:vAlign w:val="center"/>
          </w:tcPr>
          <w:p w:rsidR="000D4B3A" w:rsidRPr="00CA37B1" w:rsidRDefault="000D4B3A" w:rsidP="00CA37B1">
            <w:pPr>
              <w:pStyle w:val="TableBodyText"/>
            </w:pPr>
            <w:r w:rsidRPr="00CA37B1">
              <w:t>77.4</w:t>
            </w:r>
          </w:p>
        </w:tc>
        <w:tc>
          <w:tcPr>
            <w:tcW w:w="686" w:type="dxa"/>
            <w:vAlign w:val="center"/>
          </w:tcPr>
          <w:p w:rsidR="000D4B3A" w:rsidRPr="00CA37B1" w:rsidRDefault="000D4B3A" w:rsidP="00CA37B1">
            <w:pPr>
              <w:pStyle w:val="TableBodyText"/>
            </w:pPr>
            <w:r w:rsidRPr="00CA37B1">
              <w:t>79.2</w:t>
            </w:r>
          </w:p>
        </w:tc>
        <w:tc>
          <w:tcPr>
            <w:tcW w:w="686" w:type="dxa"/>
            <w:vAlign w:val="center"/>
          </w:tcPr>
          <w:p w:rsidR="000D4B3A" w:rsidRPr="00CA37B1" w:rsidRDefault="000D4B3A" w:rsidP="00CA37B1">
            <w:pPr>
              <w:pStyle w:val="TableBodyText"/>
            </w:pPr>
            <w:r w:rsidRPr="00CA37B1">
              <w:t>82.1</w:t>
            </w:r>
          </w:p>
        </w:tc>
        <w:tc>
          <w:tcPr>
            <w:tcW w:w="708" w:type="dxa"/>
            <w:gridSpan w:val="2"/>
            <w:vAlign w:val="center"/>
          </w:tcPr>
          <w:p w:rsidR="000D4B3A" w:rsidRPr="00CA37B1" w:rsidRDefault="000D4B3A" w:rsidP="00CA37B1">
            <w:pPr>
              <w:pStyle w:val="TableBodyText"/>
            </w:pPr>
            <w:r w:rsidRPr="00CA37B1">
              <w:t>67.9</w:t>
            </w:r>
          </w:p>
        </w:tc>
        <w:tc>
          <w:tcPr>
            <w:tcW w:w="709" w:type="dxa"/>
            <w:gridSpan w:val="2"/>
            <w:vAlign w:val="center"/>
          </w:tcPr>
          <w:p w:rsidR="000D4B3A" w:rsidRPr="00CA37B1" w:rsidRDefault="000D4B3A" w:rsidP="00CA37B1">
            <w:pPr>
              <w:pStyle w:val="TableBodyText"/>
            </w:pPr>
            <w:r w:rsidRPr="00CA37B1">
              <w:t>85.7</w:t>
            </w:r>
          </w:p>
        </w:tc>
        <w:tc>
          <w:tcPr>
            <w:tcW w:w="710" w:type="dxa"/>
            <w:gridSpan w:val="2"/>
            <w:vAlign w:val="center"/>
          </w:tcPr>
          <w:p w:rsidR="000D4B3A" w:rsidRPr="00CA37B1" w:rsidRDefault="000D4B3A" w:rsidP="00CA37B1">
            <w:pPr>
              <w:pStyle w:val="TableBodyText"/>
            </w:pPr>
            <w:r w:rsidRPr="00CA37B1">
              <w:t>76.8</w:t>
            </w:r>
          </w:p>
        </w:tc>
      </w:tr>
      <w:tr w:rsidR="000D4B3A" w:rsidRPr="00D868AC" w:rsidTr="00CA37B1">
        <w:tc>
          <w:tcPr>
            <w:tcW w:w="2624" w:type="dxa"/>
          </w:tcPr>
          <w:p w:rsidR="000D4B3A" w:rsidRPr="00D868AC" w:rsidRDefault="000D4B3A" w:rsidP="0026369A">
            <w:pPr>
              <w:pStyle w:val="TableBodyText"/>
              <w:ind w:left="136"/>
              <w:jc w:val="left"/>
            </w:pPr>
            <w:r w:rsidRPr="00D868AC">
              <w:t>Secondary</w:t>
            </w:r>
          </w:p>
        </w:tc>
        <w:tc>
          <w:tcPr>
            <w:tcW w:w="685" w:type="dxa"/>
            <w:vAlign w:val="center"/>
          </w:tcPr>
          <w:p w:rsidR="000D4B3A" w:rsidRPr="00CA37B1" w:rsidRDefault="000D4B3A" w:rsidP="00CA37B1">
            <w:pPr>
              <w:pStyle w:val="TableBodyText"/>
            </w:pPr>
            <w:r w:rsidRPr="00CA37B1">
              <w:t>70.7</w:t>
            </w:r>
          </w:p>
        </w:tc>
        <w:tc>
          <w:tcPr>
            <w:tcW w:w="685" w:type="dxa"/>
            <w:vAlign w:val="center"/>
          </w:tcPr>
          <w:p w:rsidR="000D4B3A" w:rsidRPr="00CA37B1" w:rsidRDefault="000D4B3A" w:rsidP="00CA37B1">
            <w:pPr>
              <w:pStyle w:val="TableBodyText"/>
            </w:pPr>
            <w:r w:rsidRPr="00CA37B1">
              <w:t>70.9</w:t>
            </w:r>
          </w:p>
        </w:tc>
        <w:tc>
          <w:tcPr>
            <w:tcW w:w="685" w:type="dxa"/>
            <w:vAlign w:val="center"/>
          </w:tcPr>
          <w:p w:rsidR="000D4B3A" w:rsidRPr="00CA37B1" w:rsidRDefault="000D4B3A" w:rsidP="00CA37B1">
            <w:pPr>
              <w:pStyle w:val="TableBodyText"/>
            </w:pPr>
            <w:r w:rsidRPr="00CA37B1">
              <w:t>71.3</w:t>
            </w:r>
          </w:p>
        </w:tc>
        <w:tc>
          <w:tcPr>
            <w:tcW w:w="685" w:type="dxa"/>
            <w:vAlign w:val="center"/>
          </w:tcPr>
          <w:p w:rsidR="000D4B3A" w:rsidRPr="00CA37B1" w:rsidRDefault="000D4B3A" w:rsidP="00CA37B1">
            <w:pPr>
              <w:pStyle w:val="TableBodyText"/>
            </w:pPr>
            <w:r w:rsidRPr="00CA37B1">
              <w:t>90.8</w:t>
            </w:r>
          </w:p>
        </w:tc>
        <w:tc>
          <w:tcPr>
            <w:tcW w:w="686" w:type="dxa"/>
            <w:vAlign w:val="center"/>
          </w:tcPr>
          <w:p w:rsidR="000D4B3A" w:rsidRPr="00CA37B1" w:rsidRDefault="000D4B3A" w:rsidP="00CA37B1">
            <w:pPr>
              <w:pStyle w:val="TableBodyText"/>
            </w:pPr>
            <w:r w:rsidRPr="00CA37B1">
              <w:t>78.2</w:t>
            </w:r>
          </w:p>
        </w:tc>
        <w:tc>
          <w:tcPr>
            <w:tcW w:w="686" w:type="dxa"/>
            <w:vAlign w:val="center"/>
          </w:tcPr>
          <w:p w:rsidR="000D4B3A" w:rsidRPr="00CA37B1" w:rsidRDefault="000D4B3A" w:rsidP="00CA37B1">
            <w:pPr>
              <w:pStyle w:val="TableBodyText"/>
            </w:pPr>
            <w:r w:rsidRPr="00CA37B1">
              <w:t>86.1</w:t>
            </w:r>
          </w:p>
        </w:tc>
        <w:tc>
          <w:tcPr>
            <w:tcW w:w="708" w:type="dxa"/>
            <w:gridSpan w:val="2"/>
            <w:vAlign w:val="center"/>
          </w:tcPr>
          <w:p w:rsidR="000D4B3A" w:rsidRPr="00CA37B1" w:rsidRDefault="000D4B3A" w:rsidP="00CA37B1">
            <w:pPr>
              <w:pStyle w:val="TableBodyText"/>
            </w:pPr>
            <w:r w:rsidRPr="00CA37B1">
              <w:t>75.0</w:t>
            </w:r>
          </w:p>
        </w:tc>
        <w:tc>
          <w:tcPr>
            <w:tcW w:w="709" w:type="dxa"/>
            <w:gridSpan w:val="2"/>
            <w:vAlign w:val="center"/>
          </w:tcPr>
          <w:p w:rsidR="000D4B3A" w:rsidRPr="00CA37B1" w:rsidRDefault="000D4B3A" w:rsidP="00CA37B1">
            <w:pPr>
              <w:pStyle w:val="TableBodyText"/>
            </w:pPr>
            <w:r w:rsidRPr="00CA37B1">
              <w:t>60.9</w:t>
            </w:r>
          </w:p>
        </w:tc>
        <w:tc>
          <w:tcPr>
            <w:tcW w:w="710" w:type="dxa"/>
            <w:gridSpan w:val="2"/>
            <w:vAlign w:val="center"/>
          </w:tcPr>
          <w:p w:rsidR="000D4B3A" w:rsidRPr="00CA37B1" w:rsidRDefault="000D4B3A" w:rsidP="00CA37B1">
            <w:pPr>
              <w:pStyle w:val="TableBodyText"/>
            </w:pPr>
            <w:r w:rsidRPr="00CA37B1">
              <w:t>73.2</w:t>
            </w:r>
          </w:p>
        </w:tc>
      </w:tr>
      <w:tr w:rsidR="000D4B3A" w:rsidRPr="00D868AC" w:rsidTr="00CA37B1">
        <w:tc>
          <w:tcPr>
            <w:tcW w:w="2624" w:type="dxa"/>
          </w:tcPr>
          <w:p w:rsidR="000D4B3A" w:rsidRPr="00D868AC" w:rsidRDefault="000D4B3A" w:rsidP="0026369A">
            <w:pPr>
              <w:pStyle w:val="TableBodyText"/>
              <w:ind w:left="136"/>
              <w:jc w:val="left"/>
            </w:pPr>
            <w:r w:rsidRPr="00D868AC">
              <w:t>Combined</w:t>
            </w:r>
            <w:r w:rsidRPr="00D868AC">
              <w:rPr>
                <w:rStyle w:val="NoteLabel"/>
              </w:rPr>
              <w:t>a</w:t>
            </w:r>
          </w:p>
        </w:tc>
        <w:tc>
          <w:tcPr>
            <w:tcW w:w="685" w:type="dxa"/>
            <w:vAlign w:val="center"/>
          </w:tcPr>
          <w:p w:rsidR="000D4B3A" w:rsidRPr="00CA37B1" w:rsidRDefault="000D4B3A" w:rsidP="00CA37B1">
            <w:pPr>
              <w:pStyle w:val="TableBodyText"/>
            </w:pPr>
            <w:r w:rsidRPr="00CA37B1">
              <w:t>21.9</w:t>
            </w:r>
          </w:p>
        </w:tc>
        <w:tc>
          <w:tcPr>
            <w:tcW w:w="685" w:type="dxa"/>
            <w:vAlign w:val="center"/>
          </w:tcPr>
          <w:p w:rsidR="000D4B3A" w:rsidRPr="00CA37B1" w:rsidRDefault="000D4B3A" w:rsidP="00CA37B1">
            <w:pPr>
              <w:pStyle w:val="TableBodyText"/>
            </w:pPr>
            <w:r w:rsidRPr="00CA37B1">
              <w:t>32.9</w:t>
            </w:r>
          </w:p>
        </w:tc>
        <w:tc>
          <w:tcPr>
            <w:tcW w:w="685" w:type="dxa"/>
            <w:vAlign w:val="center"/>
          </w:tcPr>
          <w:p w:rsidR="000D4B3A" w:rsidRPr="00CA37B1" w:rsidRDefault="000D4B3A" w:rsidP="00CA37B1">
            <w:pPr>
              <w:pStyle w:val="TableBodyText"/>
            </w:pPr>
            <w:r w:rsidRPr="00CA37B1">
              <w:t>37.4</w:t>
            </w:r>
          </w:p>
        </w:tc>
        <w:tc>
          <w:tcPr>
            <w:tcW w:w="685" w:type="dxa"/>
            <w:vAlign w:val="center"/>
          </w:tcPr>
          <w:p w:rsidR="000D4B3A" w:rsidRPr="00CA37B1" w:rsidRDefault="000D4B3A" w:rsidP="00CA37B1">
            <w:pPr>
              <w:pStyle w:val="TableBodyText"/>
            </w:pPr>
            <w:r w:rsidRPr="00CA37B1">
              <w:t>41.2</w:t>
            </w:r>
          </w:p>
        </w:tc>
        <w:tc>
          <w:tcPr>
            <w:tcW w:w="686" w:type="dxa"/>
            <w:vAlign w:val="center"/>
          </w:tcPr>
          <w:p w:rsidR="000D4B3A" w:rsidRPr="00CA37B1" w:rsidRDefault="000D4B3A" w:rsidP="00CA37B1">
            <w:pPr>
              <w:pStyle w:val="TableBodyText"/>
            </w:pPr>
            <w:r w:rsidRPr="00CA37B1">
              <w:t>52.4</w:t>
            </w:r>
          </w:p>
        </w:tc>
        <w:tc>
          <w:tcPr>
            <w:tcW w:w="686" w:type="dxa"/>
            <w:vAlign w:val="center"/>
          </w:tcPr>
          <w:p w:rsidR="000D4B3A" w:rsidRPr="00CA37B1" w:rsidRDefault="000D4B3A" w:rsidP="00CA37B1">
            <w:pPr>
              <w:pStyle w:val="TableBodyText"/>
            </w:pPr>
            <w:r w:rsidRPr="00CA37B1">
              <w:t>44.8</w:t>
            </w:r>
          </w:p>
        </w:tc>
        <w:tc>
          <w:tcPr>
            <w:tcW w:w="708" w:type="dxa"/>
            <w:gridSpan w:val="2"/>
            <w:vAlign w:val="center"/>
          </w:tcPr>
          <w:p w:rsidR="000D4B3A" w:rsidRPr="00CA37B1" w:rsidRDefault="000D4B3A" w:rsidP="00CA37B1">
            <w:pPr>
              <w:pStyle w:val="TableBodyText"/>
            </w:pPr>
            <w:r w:rsidRPr="00CA37B1">
              <w:t>40.9</w:t>
            </w:r>
          </w:p>
        </w:tc>
        <w:tc>
          <w:tcPr>
            <w:tcW w:w="709" w:type="dxa"/>
            <w:gridSpan w:val="2"/>
            <w:vAlign w:val="center"/>
          </w:tcPr>
          <w:p w:rsidR="000D4B3A" w:rsidRPr="00CA37B1" w:rsidRDefault="000D4B3A" w:rsidP="00CA37B1">
            <w:pPr>
              <w:pStyle w:val="TableBodyText"/>
            </w:pPr>
            <w:r w:rsidRPr="00CA37B1">
              <w:t>81.2</w:t>
            </w:r>
          </w:p>
        </w:tc>
        <w:tc>
          <w:tcPr>
            <w:tcW w:w="710" w:type="dxa"/>
            <w:gridSpan w:val="2"/>
            <w:vAlign w:val="center"/>
          </w:tcPr>
          <w:p w:rsidR="000D4B3A" w:rsidRPr="00CA37B1" w:rsidRDefault="000D4B3A" w:rsidP="00CA37B1">
            <w:pPr>
              <w:pStyle w:val="TableBodyText"/>
            </w:pPr>
            <w:r w:rsidRPr="00CA37B1">
              <w:t>38.6</w:t>
            </w:r>
          </w:p>
        </w:tc>
      </w:tr>
      <w:tr w:rsidR="000D4B3A" w:rsidRPr="00D868AC" w:rsidTr="00CA37B1">
        <w:tc>
          <w:tcPr>
            <w:tcW w:w="2624" w:type="dxa"/>
          </w:tcPr>
          <w:p w:rsidR="000D4B3A" w:rsidRPr="00D868AC" w:rsidRDefault="000D4B3A" w:rsidP="0026369A">
            <w:pPr>
              <w:pStyle w:val="TableBodyText"/>
              <w:ind w:left="136"/>
              <w:jc w:val="left"/>
            </w:pPr>
            <w:r w:rsidRPr="00D868AC">
              <w:t>Special schools</w:t>
            </w:r>
            <w:r w:rsidRPr="00D868AC">
              <w:rPr>
                <w:rStyle w:val="NoteLabel"/>
              </w:rPr>
              <w:t>b</w:t>
            </w:r>
          </w:p>
        </w:tc>
        <w:tc>
          <w:tcPr>
            <w:tcW w:w="685" w:type="dxa"/>
            <w:vAlign w:val="center"/>
          </w:tcPr>
          <w:p w:rsidR="000D4B3A" w:rsidRPr="00CA37B1" w:rsidRDefault="000D4B3A" w:rsidP="00CA37B1">
            <w:pPr>
              <w:pStyle w:val="TableBodyText"/>
            </w:pPr>
            <w:r w:rsidRPr="00CA37B1">
              <w:t>73.8</w:t>
            </w:r>
          </w:p>
        </w:tc>
        <w:tc>
          <w:tcPr>
            <w:tcW w:w="685" w:type="dxa"/>
            <w:vAlign w:val="center"/>
          </w:tcPr>
          <w:p w:rsidR="000D4B3A" w:rsidRPr="00CA37B1" w:rsidRDefault="000D4B3A" w:rsidP="00CA37B1">
            <w:pPr>
              <w:pStyle w:val="TableBodyText"/>
            </w:pPr>
            <w:r w:rsidRPr="00CA37B1">
              <w:t>79.2</w:t>
            </w:r>
          </w:p>
        </w:tc>
        <w:tc>
          <w:tcPr>
            <w:tcW w:w="685" w:type="dxa"/>
            <w:vAlign w:val="center"/>
          </w:tcPr>
          <w:p w:rsidR="000D4B3A" w:rsidRPr="00CA37B1" w:rsidRDefault="000D4B3A" w:rsidP="00CA37B1">
            <w:pPr>
              <w:pStyle w:val="TableBodyText"/>
            </w:pPr>
            <w:r w:rsidRPr="00CA37B1">
              <w:t>74.2</w:t>
            </w:r>
          </w:p>
        </w:tc>
        <w:tc>
          <w:tcPr>
            <w:tcW w:w="685" w:type="dxa"/>
            <w:vAlign w:val="center"/>
          </w:tcPr>
          <w:p w:rsidR="000D4B3A" w:rsidRPr="00CA37B1" w:rsidRDefault="000D4B3A" w:rsidP="00CA37B1">
            <w:pPr>
              <w:pStyle w:val="TableBodyText"/>
            </w:pPr>
            <w:r w:rsidRPr="00CA37B1">
              <w:t>85.9</w:t>
            </w:r>
          </w:p>
        </w:tc>
        <w:tc>
          <w:tcPr>
            <w:tcW w:w="686" w:type="dxa"/>
            <w:vAlign w:val="center"/>
          </w:tcPr>
          <w:p w:rsidR="000D4B3A" w:rsidRPr="00CA37B1" w:rsidRDefault="000D4B3A" w:rsidP="00CA37B1">
            <w:pPr>
              <w:pStyle w:val="TableBodyText"/>
            </w:pPr>
            <w:r w:rsidRPr="00CA37B1">
              <w:t>85.7</w:t>
            </w:r>
          </w:p>
        </w:tc>
        <w:tc>
          <w:tcPr>
            <w:tcW w:w="686" w:type="dxa"/>
            <w:vAlign w:val="center"/>
          </w:tcPr>
          <w:p w:rsidR="000D4B3A" w:rsidRPr="00CA37B1" w:rsidRDefault="000D4B3A" w:rsidP="00CA37B1">
            <w:pPr>
              <w:pStyle w:val="TableBodyText"/>
            </w:pPr>
            <w:r w:rsidRPr="00CA37B1">
              <w:t>100.0</w:t>
            </w:r>
          </w:p>
        </w:tc>
        <w:tc>
          <w:tcPr>
            <w:tcW w:w="708" w:type="dxa"/>
            <w:gridSpan w:val="2"/>
            <w:vAlign w:val="center"/>
          </w:tcPr>
          <w:p w:rsidR="000D4B3A" w:rsidRPr="00CA37B1" w:rsidRDefault="000D4B3A" w:rsidP="00CA37B1">
            <w:pPr>
              <w:pStyle w:val="TableBodyText"/>
            </w:pPr>
            <w:r w:rsidRPr="00CA37B1">
              <w:t>100.0</w:t>
            </w:r>
          </w:p>
        </w:tc>
        <w:tc>
          <w:tcPr>
            <w:tcW w:w="709" w:type="dxa"/>
            <w:gridSpan w:val="2"/>
            <w:vAlign w:val="center"/>
          </w:tcPr>
          <w:p w:rsidR="000D4B3A" w:rsidRPr="00CA37B1" w:rsidRDefault="000D4B3A" w:rsidP="00CA37B1">
            <w:pPr>
              <w:pStyle w:val="TableBodyText"/>
            </w:pPr>
            <w:r w:rsidRPr="00CA37B1">
              <w:t>100.0</w:t>
            </w:r>
          </w:p>
        </w:tc>
        <w:tc>
          <w:tcPr>
            <w:tcW w:w="710" w:type="dxa"/>
            <w:gridSpan w:val="2"/>
            <w:vAlign w:val="center"/>
          </w:tcPr>
          <w:p w:rsidR="000D4B3A" w:rsidRPr="00CA37B1" w:rsidRDefault="000D4B3A" w:rsidP="00CA37B1">
            <w:pPr>
              <w:pStyle w:val="TableBodyText"/>
            </w:pPr>
            <w:r w:rsidRPr="00CA37B1">
              <w:t>78.8</w:t>
            </w:r>
          </w:p>
        </w:tc>
      </w:tr>
      <w:tr w:rsidR="000D4B3A" w:rsidRPr="00D868AC" w:rsidTr="00CA37B1">
        <w:tc>
          <w:tcPr>
            <w:tcW w:w="2624" w:type="dxa"/>
          </w:tcPr>
          <w:p w:rsidR="000D4B3A" w:rsidRPr="00D868AC" w:rsidRDefault="000D4B3A" w:rsidP="0026369A">
            <w:pPr>
              <w:pStyle w:val="TableBodyText"/>
              <w:ind w:left="136"/>
              <w:jc w:val="left"/>
              <w:rPr>
                <w:b/>
              </w:rPr>
            </w:pPr>
            <w:r w:rsidRPr="00D868AC">
              <w:rPr>
                <w:b/>
              </w:rPr>
              <w:t>All schools</w:t>
            </w:r>
          </w:p>
        </w:tc>
        <w:tc>
          <w:tcPr>
            <w:tcW w:w="685" w:type="dxa"/>
            <w:vAlign w:val="center"/>
          </w:tcPr>
          <w:p w:rsidR="000D4B3A" w:rsidRPr="00CA37B1" w:rsidRDefault="000D4B3A" w:rsidP="00CA37B1">
            <w:pPr>
              <w:pStyle w:val="TableBodyText"/>
              <w:rPr>
                <w:b/>
              </w:rPr>
            </w:pPr>
            <w:r w:rsidRPr="00CA37B1">
              <w:rPr>
                <w:b/>
              </w:rPr>
              <w:t>70.3</w:t>
            </w:r>
          </w:p>
        </w:tc>
        <w:tc>
          <w:tcPr>
            <w:tcW w:w="685" w:type="dxa"/>
            <w:vAlign w:val="center"/>
          </w:tcPr>
          <w:p w:rsidR="000D4B3A" w:rsidRPr="00CA37B1" w:rsidRDefault="000D4B3A" w:rsidP="00CA37B1">
            <w:pPr>
              <w:pStyle w:val="TableBodyText"/>
              <w:rPr>
                <w:b/>
              </w:rPr>
            </w:pPr>
            <w:r w:rsidRPr="00CA37B1">
              <w:rPr>
                <w:b/>
              </w:rPr>
              <w:t>68.8</w:t>
            </w:r>
          </w:p>
        </w:tc>
        <w:tc>
          <w:tcPr>
            <w:tcW w:w="685" w:type="dxa"/>
            <w:vAlign w:val="center"/>
          </w:tcPr>
          <w:p w:rsidR="000D4B3A" w:rsidRPr="00CA37B1" w:rsidRDefault="000D4B3A" w:rsidP="00CA37B1">
            <w:pPr>
              <w:pStyle w:val="TableBodyText"/>
              <w:rPr>
                <w:b/>
              </w:rPr>
            </w:pPr>
            <w:r w:rsidRPr="00CA37B1">
              <w:rPr>
                <w:b/>
              </w:rPr>
              <w:t>72.4</w:t>
            </w:r>
          </w:p>
        </w:tc>
        <w:tc>
          <w:tcPr>
            <w:tcW w:w="685" w:type="dxa"/>
            <w:vAlign w:val="center"/>
          </w:tcPr>
          <w:p w:rsidR="000D4B3A" w:rsidRPr="00CA37B1" w:rsidRDefault="000D4B3A" w:rsidP="00CA37B1">
            <w:pPr>
              <w:pStyle w:val="TableBodyText"/>
              <w:rPr>
                <w:b/>
              </w:rPr>
            </w:pPr>
            <w:r w:rsidRPr="00CA37B1">
              <w:rPr>
                <w:b/>
              </w:rPr>
              <w:t>71.9</w:t>
            </w:r>
          </w:p>
        </w:tc>
        <w:tc>
          <w:tcPr>
            <w:tcW w:w="686" w:type="dxa"/>
            <w:vAlign w:val="center"/>
          </w:tcPr>
          <w:p w:rsidR="000D4B3A" w:rsidRPr="00CA37B1" w:rsidRDefault="000D4B3A" w:rsidP="00CA37B1">
            <w:pPr>
              <w:pStyle w:val="TableBodyText"/>
              <w:rPr>
                <w:b/>
              </w:rPr>
            </w:pPr>
            <w:r w:rsidRPr="00CA37B1">
              <w:rPr>
                <w:b/>
              </w:rPr>
              <w:t>74.1</w:t>
            </w:r>
          </w:p>
        </w:tc>
        <w:tc>
          <w:tcPr>
            <w:tcW w:w="686" w:type="dxa"/>
            <w:vAlign w:val="center"/>
          </w:tcPr>
          <w:p w:rsidR="000D4B3A" w:rsidRPr="00CA37B1" w:rsidRDefault="000D4B3A" w:rsidP="00CA37B1">
            <w:pPr>
              <w:pStyle w:val="TableBodyText"/>
              <w:rPr>
                <w:b/>
              </w:rPr>
            </w:pPr>
            <w:r w:rsidRPr="00CA37B1">
              <w:rPr>
                <w:b/>
              </w:rPr>
              <w:t>74.5</w:t>
            </w:r>
          </w:p>
        </w:tc>
        <w:tc>
          <w:tcPr>
            <w:tcW w:w="708" w:type="dxa"/>
            <w:gridSpan w:val="2"/>
            <w:vAlign w:val="center"/>
          </w:tcPr>
          <w:p w:rsidR="000D4B3A" w:rsidRPr="00CA37B1" w:rsidRDefault="000D4B3A" w:rsidP="00CA37B1">
            <w:pPr>
              <w:pStyle w:val="TableBodyText"/>
              <w:rPr>
                <w:b/>
              </w:rPr>
            </w:pPr>
            <w:r w:rsidRPr="00CA37B1">
              <w:rPr>
                <w:b/>
              </w:rPr>
              <w:t>65.6</w:t>
            </w:r>
          </w:p>
        </w:tc>
        <w:tc>
          <w:tcPr>
            <w:tcW w:w="709" w:type="dxa"/>
            <w:gridSpan w:val="2"/>
            <w:vAlign w:val="center"/>
          </w:tcPr>
          <w:p w:rsidR="000D4B3A" w:rsidRPr="00CA37B1" w:rsidRDefault="000D4B3A" w:rsidP="00CA37B1">
            <w:pPr>
              <w:pStyle w:val="TableBodyText"/>
              <w:rPr>
                <w:b/>
              </w:rPr>
            </w:pPr>
            <w:r w:rsidRPr="00CA37B1">
              <w:rPr>
                <w:b/>
              </w:rPr>
              <w:t>81.1</w:t>
            </w:r>
          </w:p>
        </w:tc>
        <w:tc>
          <w:tcPr>
            <w:tcW w:w="710" w:type="dxa"/>
            <w:gridSpan w:val="2"/>
            <w:vAlign w:val="center"/>
          </w:tcPr>
          <w:p w:rsidR="000D4B3A" w:rsidRPr="00CA37B1" w:rsidRDefault="000D4B3A" w:rsidP="00CA37B1">
            <w:pPr>
              <w:pStyle w:val="TableBodyText"/>
              <w:rPr>
                <w:b/>
              </w:rPr>
            </w:pPr>
            <w:r w:rsidRPr="00CA37B1">
              <w:rPr>
                <w:b/>
              </w:rPr>
              <w:t>71.1</w:t>
            </w:r>
          </w:p>
        </w:tc>
      </w:tr>
      <w:tr w:rsidR="00CA37B1" w:rsidRPr="00D868AC" w:rsidTr="00CA37B1">
        <w:tc>
          <w:tcPr>
            <w:tcW w:w="8863" w:type="dxa"/>
            <w:gridSpan w:val="13"/>
          </w:tcPr>
          <w:p w:rsidR="00CA37B1" w:rsidRPr="00CA37B1" w:rsidRDefault="00CA37B1" w:rsidP="00CA37B1">
            <w:pPr>
              <w:pStyle w:val="TableBodyText"/>
              <w:jc w:val="left"/>
              <w:rPr>
                <w:b/>
              </w:rPr>
            </w:pPr>
            <w:r w:rsidRPr="00D868AC">
              <w:t>Proportion of primary schools (%)</w:t>
            </w:r>
          </w:p>
        </w:tc>
      </w:tr>
      <w:tr w:rsidR="000D4B3A" w:rsidRPr="00D868AC" w:rsidTr="00CA37B1">
        <w:tc>
          <w:tcPr>
            <w:tcW w:w="2624" w:type="dxa"/>
          </w:tcPr>
          <w:p w:rsidR="000D4B3A" w:rsidRPr="00D868AC" w:rsidRDefault="000D4B3A" w:rsidP="0026369A">
            <w:pPr>
              <w:pStyle w:val="TableBodyText"/>
              <w:ind w:left="136"/>
              <w:jc w:val="left"/>
            </w:pPr>
            <w:r w:rsidRPr="00D868AC">
              <w:t>Government</w:t>
            </w:r>
          </w:p>
        </w:tc>
        <w:tc>
          <w:tcPr>
            <w:tcW w:w="685" w:type="dxa"/>
            <w:vAlign w:val="center"/>
          </w:tcPr>
          <w:p w:rsidR="000D4B3A" w:rsidRPr="00CA37B1" w:rsidRDefault="000D4B3A" w:rsidP="00CA37B1">
            <w:pPr>
              <w:pStyle w:val="TableBodyText"/>
            </w:pPr>
            <w:r w:rsidRPr="00CA37B1">
              <w:t>74.9</w:t>
            </w:r>
          </w:p>
        </w:tc>
        <w:tc>
          <w:tcPr>
            <w:tcW w:w="685" w:type="dxa"/>
            <w:vAlign w:val="center"/>
          </w:tcPr>
          <w:p w:rsidR="000D4B3A" w:rsidRPr="00CA37B1" w:rsidRDefault="000D4B3A" w:rsidP="00CA37B1">
            <w:pPr>
              <w:pStyle w:val="TableBodyText"/>
            </w:pPr>
            <w:r w:rsidRPr="00CA37B1">
              <w:t>74.2</w:t>
            </w:r>
          </w:p>
        </w:tc>
        <w:tc>
          <w:tcPr>
            <w:tcW w:w="685" w:type="dxa"/>
            <w:vAlign w:val="center"/>
          </w:tcPr>
          <w:p w:rsidR="000D4B3A" w:rsidRPr="00CA37B1" w:rsidRDefault="000D4B3A" w:rsidP="00CA37B1">
            <w:pPr>
              <w:pStyle w:val="TableBodyText"/>
            </w:pPr>
            <w:r w:rsidRPr="00CA37B1">
              <w:t>74.5</w:t>
            </w:r>
          </w:p>
        </w:tc>
        <w:tc>
          <w:tcPr>
            <w:tcW w:w="685" w:type="dxa"/>
            <w:vAlign w:val="center"/>
          </w:tcPr>
          <w:p w:rsidR="000D4B3A" w:rsidRPr="00CA37B1" w:rsidRDefault="000D4B3A" w:rsidP="00CA37B1">
            <w:pPr>
              <w:pStyle w:val="TableBodyText"/>
            </w:pPr>
            <w:r w:rsidRPr="00CA37B1">
              <w:t>66.6</w:t>
            </w:r>
          </w:p>
        </w:tc>
        <w:tc>
          <w:tcPr>
            <w:tcW w:w="686" w:type="dxa"/>
            <w:vAlign w:val="center"/>
          </w:tcPr>
          <w:p w:rsidR="000D4B3A" w:rsidRPr="00CA37B1" w:rsidRDefault="000D4B3A" w:rsidP="00CA37B1">
            <w:pPr>
              <w:pStyle w:val="TableBodyText"/>
            </w:pPr>
            <w:r w:rsidRPr="00CA37B1">
              <w:t>70.9</w:t>
            </w:r>
          </w:p>
        </w:tc>
        <w:tc>
          <w:tcPr>
            <w:tcW w:w="686" w:type="dxa"/>
            <w:vAlign w:val="center"/>
          </w:tcPr>
          <w:p w:rsidR="000D4B3A" w:rsidRPr="00CA37B1" w:rsidRDefault="000D4B3A" w:rsidP="00CA37B1">
            <w:pPr>
              <w:pStyle w:val="TableBodyText"/>
            </w:pPr>
            <w:r w:rsidRPr="00CA37B1">
              <w:t>67.4</w:t>
            </w:r>
          </w:p>
        </w:tc>
        <w:tc>
          <w:tcPr>
            <w:tcW w:w="708" w:type="dxa"/>
            <w:gridSpan w:val="2"/>
            <w:vAlign w:val="center"/>
          </w:tcPr>
          <w:p w:rsidR="000D4B3A" w:rsidRPr="00CA37B1" w:rsidRDefault="000D4B3A" w:rsidP="00CA37B1">
            <w:pPr>
              <w:pStyle w:val="TableBodyText"/>
            </w:pPr>
            <w:r w:rsidRPr="00CA37B1">
              <w:t>63.1</w:t>
            </w:r>
          </w:p>
        </w:tc>
        <w:tc>
          <w:tcPr>
            <w:tcW w:w="709" w:type="dxa"/>
            <w:gridSpan w:val="2"/>
            <w:vAlign w:val="center"/>
          </w:tcPr>
          <w:p w:rsidR="000D4B3A" w:rsidRPr="00CA37B1" w:rsidRDefault="000D4B3A" w:rsidP="00CA37B1">
            <w:pPr>
              <w:pStyle w:val="TableBodyText"/>
            </w:pPr>
            <w:r w:rsidRPr="00CA37B1">
              <w:t>42.9</w:t>
            </w:r>
          </w:p>
        </w:tc>
        <w:tc>
          <w:tcPr>
            <w:tcW w:w="710" w:type="dxa"/>
            <w:gridSpan w:val="2"/>
            <w:vAlign w:val="center"/>
          </w:tcPr>
          <w:p w:rsidR="000D4B3A" w:rsidRPr="00CA37B1" w:rsidRDefault="000D4B3A" w:rsidP="00CA37B1">
            <w:pPr>
              <w:pStyle w:val="TableBodyText"/>
            </w:pPr>
            <w:r w:rsidRPr="00CA37B1">
              <w:t>72.3</w:t>
            </w:r>
          </w:p>
        </w:tc>
      </w:tr>
      <w:tr w:rsidR="000D4B3A" w:rsidRPr="00D868AC" w:rsidTr="00CA37B1">
        <w:tc>
          <w:tcPr>
            <w:tcW w:w="2624" w:type="dxa"/>
          </w:tcPr>
          <w:p w:rsidR="000D4B3A" w:rsidRPr="00D868AC" w:rsidRDefault="000D4B3A" w:rsidP="0026369A">
            <w:pPr>
              <w:pStyle w:val="TableBodyText"/>
              <w:ind w:left="136"/>
              <w:jc w:val="left"/>
            </w:pPr>
            <w:r w:rsidRPr="00D868AC">
              <w:t>Non-government</w:t>
            </w:r>
          </w:p>
        </w:tc>
        <w:tc>
          <w:tcPr>
            <w:tcW w:w="685" w:type="dxa"/>
            <w:vAlign w:val="center"/>
          </w:tcPr>
          <w:p w:rsidR="000D4B3A" w:rsidRPr="00CA37B1" w:rsidRDefault="000D4B3A" w:rsidP="00CA37B1">
            <w:pPr>
              <w:pStyle w:val="TableBodyText"/>
            </w:pPr>
            <w:r w:rsidRPr="00CA37B1">
              <w:t>53.6</w:t>
            </w:r>
          </w:p>
        </w:tc>
        <w:tc>
          <w:tcPr>
            <w:tcW w:w="685" w:type="dxa"/>
            <w:vAlign w:val="center"/>
          </w:tcPr>
          <w:p w:rsidR="000D4B3A" w:rsidRPr="00CA37B1" w:rsidRDefault="000D4B3A" w:rsidP="00CA37B1">
            <w:pPr>
              <w:pStyle w:val="TableBodyText"/>
            </w:pPr>
            <w:r w:rsidRPr="00CA37B1">
              <w:t>60.6</w:t>
            </w:r>
          </w:p>
        </w:tc>
        <w:tc>
          <w:tcPr>
            <w:tcW w:w="685" w:type="dxa"/>
            <w:vAlign w:val="center"/>
          </w:tcPr>
          <w:p w:rsidR="000D4B3A" w:rsidRPr="00CA37B1" w:rsidRDefault="000D4B3A" w:rsidP="00CA37B1">
            <w:pPr>
              <w:pStyle w:val="TableBodyText"/>
            </w:pPr>
            <w:r w:rsidRPr="00CA37B1">
              <w:t>49.0</w:t>
            </w:r>
          </w:p>
        </w:tc>
        <w:tc>
          <w:tcPr>
            <w:tcW w:w="685" w:type="dxa"/>
            <w:vAlign w:val="center"/>
          </w:tcPr>
          <w:p w:rsidR="000D4B3A" w:rsidRPr="00CA37B1" w:rsidRDefault="000D4B3A" w:rsidP="00CA37B1">
            <w:pPr>
              <w:pStyle w:val="TableBodyText"/>
            </w:pPr>
            <w:r w:rsidRPr="00CA37B1">
              <w:t>49.8</w:t>
            </w:r>
          </w:p>
        </w:tc>
        <w:tc>
          <w:tcPr>
            <w:tcW w:w="686" w:type="dxa"/>
            <w:vAlign w:val="center"/>
          </w:tcPr>
          <w:p w:rsidR="000D4B3A" w:rsidRPr="00CA37B1" w:rsidRDefault="000D4B3A" w:rsidP="00CA37B1">
            <w:pPr>
              <w:pStyle w:val="TableBodyText"/>
            </w:pPr>
            <w:r w:rsidRPr="00CA37B1">
              <w:t>53.3</w:t>
            </w:r>
          </w:p>
        </w:tc>
        <w:tc>
          <w:tcPr>
            <w:tcW w:w="686" w:type="dxa"/>
            <w:vAlign w:val="center"/>
          </w:tcPr>
          <w:p w:rsidR="000D4B3A" w:rsidRPr="00CA37B1" w:rsidRDefault="000D4B3A" w:rsidP="00CA37B1">
            <w:pPr>
              <w:pStyle w:val="TableBodyText"/>
            </w:pPr>
            <w:r w:rsidRPr="00CA37B1">
              <w:t>43.1</w:t>
            </w:r>
          </w:p>
        </w:tc>
        <w:tc>
          <w:tcPr>
            <w:tcW w:w="708" w:type="dxa"/>
            <w:gridSpan w:val="2"/>
            <w:vAlign w:val="center"/>
          </w:tcPr>
          <w:p w:rsidR="000D4B3A" w:rsidRPr="00CA37B1" w:rsidRDefault="000D4B3A" w:rsidP="00CA37B1">
            <w:pPr>
              <w:pStyle w:val="TableBodyText"/>
            </w:pPr>
            <w:r w:rsidRPr="00CA37B1">
              <w:t>56.8</w:t>
            </w:r>
          </w:p>
        </w:tc>
        <w:tc>
          <w:tcPr>
            <w:tcW w:w="709" w:type="dxa"/>
            <w:gridSpan w:val="2"/>
            <w:vAlign w:val="center"/>
          </w:tcPr>
          <w:p w:rsidR="000D4B3A" w:rsidRPr="00CA37B1" w:rsidRDefault="000D4B3A" w:rsidP="00CA37B1">
            <w:pPr>
              <w:pStyle w:val="TableBodyText"/>
            </w:pPr>
            <w:r w:rsidRPr="00CA37B1">
              <w:t>30.6</w:t>
            </w:r>
          </w:p>
        </w:tc>
        <w:tc>
          <w:tcPr>
            <w:tcW w:w="710" w:type="dxa"/>
            <w:gridSpan w:val="2"/>
            <w:vAlign w:val="center"/>
          </w:tcPr>
          <w:p w:rsidR="000D4B3A" w:rsidRPr="00CA37B1" w:rsidRDefault="000D4B3A" w:rsidP="00CA37B1">
            <w:pPr>
              <w:pStyle w:val="TableBodyText"/>
            </w:pPr>
            <w:r w:rsidRPr="00CA37B1">
              <w:t>53.7</w:t>
            </w:r>
          </w:p>
        </w:tc>
      </w:tr>
      <w:tr w:rsidR="000D4B3A" w:rsidRPr="00D868AC" w:rsidTr="00CA37B1">
        <w:tc>
          <w:tcPr>
            <w:tcW w:w="2624" w:type="dxa"/>
            <w:shd w:val="clear" w:color="auto" w:fill="auto"/>
          </w:tcPr>
          <w:p w:rsidR="000D4B3A" w:rsidRPr="00D868AC" w:rsidRDefault="000D4B3A" w:rsidP="0026369A">
            <w:pPr>
              <w:pStyle w:val="TableBodyText"/>
              <w:ind w:left="136"/>
              <w:jc w:val="left"/>
              <w:rPr>
                <w:b/>
              </w:rPr>
            </w:pPr>
            <w:r w:rsidRPr="00D868AC">
              <w:rPr>
                <w:b/>
              </w:rPr>
              <w:t>All schools</w:t>
            </w:r>
          </w:p>
        </w:tc>
        <w:tc>
          <w:tcPr>
            <w:tcW w:w="685" w:type="dxa"/>
            <w:shd w:val="clear" w:color="auto" w:fill="auto"/>
            <w:vAlign w:val="center"/>
          </w:tcPr>
          <w:p w:rsidR="000D4B3A" w:rsidRPr="00CA37B1" w:rsidRDefault="000D4B3A" w:rsidP="00CA37B1">
            <w:pPr>
              <w:pStyle w:val="TableBodyText"/>
              <w:rPr>
                <w:b/>
              </w:rPr>
            </w:pPr>
            <w:r w:rsidRPr="00CA37B1">
              <w:rPr>
                <w:b/>
              </w:rPr>
              <w:t>68.6</w:t>
            </w:r>
          </w:p>
        </w:tc>
        <w:tc>
          <w:tcPr>
            <w:tcW w:w="685" w:type="dxa"/>
            <w:shd w:val="clear" w:color="auto" w:fill="auto"/>
            <w:vAlign w:val="center"/>
          </w:tcPr>
          <w:p w:rsidR="000D4B3A" w:rsidRPr="00CA37B1" w:rsidRDefault="000D4B3A" w:rsidP="00CA37B1">
            <w:pPr>
              <w:pStyle w:val="TableBodyText"/>
              <w:rPr>
                <w:b/>
              </w:rPr>
            </w:pPr>
            <w:r w:rsidRPr="00CA37B1">
              <w:rPr>
                <w:b/>
              </w:rPr>
              <w:t>70.0</w:t>
            </w:r>
          </w:p>
        </w:tc>
        <w:tc>
          <w:tcPr>
            <w:tcW w:w="685" w:type="dxa"/>
            <w:shd w:val="clear" w:color="auto" w:fill="auto"/>
            <w:vAlign w:val="center"/>
          </w:tcPr>
          <w:p w:rsidR="000D4B3A" w:rsidRPr="00CA37B1" w:rsidRDefault="000D4B3A" w:rsidP="00CA37B1">
            <w:pPr>
              <w:pStyle w:val="TableBodyText"/>
              <w:rPr>
                <w:b/>
              </w:rPr>
            </w:pPr>
            <w:r w:rsidRPr="00CA37B1">
              <w:rPr>
                <w:b/>
              </w:rPr>
              <w:t>67.4</w:t>
            </w:r>
          </w:p>
        </w:tc>
        <w:tc>
          <w:tcPr>
            <w:tcW w:w="685" w:type="dxa"/>
            <w:shd w:val="clear" w:color="auto" w:fill="auto"/>
            <w:vAlign w:val="center"/>
          </w:tcPr>
          <w:p w:rsidR="000D4B3A" w:rsidRPr="00CA37B1" w:rsidRDefault="000D4B3A" w:rsidP="00CA37B1">
            <w:pPr>
              <w:pStyle w:val="TableBodyText"/>
              <w:rPr>
                <w:b/>
              </w:rPr>
            </w:pPr>
            <w:r w:rsidRPr="00CA37B1">
              <w:rPr>
                <w:b/>
              </w:rPr>
              <w:t>61.9</w:t>
            </w:r>
          </w:p>
        </w:tc>
        <w:tc>
          <w:tcPr>
            <w:tcW w:w="686" w:type="dxa"/>
            <w:shd w:val="clear" w:color="auto" w:fill="auto"/>
            <w:vAlign w:val="center"/>
          </w:tcPr>
          <w:p w:rsidR="000D4B3A" w:rsidRPr="00CA37B1" w:rsidRDefault="000D4B3A" w:rsidP="00CA37B1">
            <w:pPr>
              <w:pStyle w:val="TableBodyText"/>
              <w:rPr>
                <w:b/>
              </w:rPr>
            </w:pPr>
            <w:r w:rsidRPr="00CA37B1">
              <w:rPr>
                <w:b/>
              </w:rPr>
              <w:t>66.4</w:t>
            </w:r>
          </w:p>
        </w:tc>
        <w:tc>
          <w:tcPr>
            <w:tcW w:w="686" w:type="dxa"/>
            <w:shd w:val="clear" w:color="auto" w:fill="auto"/>
            <w:vAlign w:val="center"/>
          </w:tcPr>
          <w:p w:rsidR="000D4B3A" w:rsidRPr="00CA37B1" w:rsidRDefault="000D4B3A" w:rsidP="00CA37B1">
            <w:pPr>
              <w:pStyle w:val="TableBodyText"/>
              <w:rPr>
                <w:b/>
              </w:rPr>
            </w:pPr>
            <w:r w:rsidRPr="00CA37B1">
              <w:rPr>
                <w:b/>
              </w:rPr>
              <w:t>61.2</w:t>
            </w:r>
          </w:p>
        </w:tc>
        <w:tc>
          <w:tcPr>
            <w:tcW w:w="708" w:type="dxa"/>
            <w:gridSpan w:val="2"/>
            <w:shd w:val="clear" w:color="auto" w:fill="auto"/>
            <w:vAlign w:val="center"/>
          </w:tcPr>
          <w:p w:rsidR="000D4B3A" w:rsidRPr="00CA37B1" w:rsidRDefault="000D4B3A" w:rsidP="00CA37B1">
            <w:pPr>
              <w:pStyle w:val="TableBodyText"/>
              <w:rPr>
                <w:b/>
              </w:rPr>
            </w:pPr>
            <w:r w:rsidRPr="00CA37B1">
              <w:rPr>
                <w:b/>
              </w:rPr>
              <w:t>60.9</w:t>
            </w:r>
          </w:p>
        </w:tc>
        <w:tc>
          <w:tcPr>
            <w:tcW w:w="709" w:type="dxa"/>
            <w:gridSpan w:val="2"/>
            <w:shd w:val="clear" w:color="auto" w:fill="auto"/>
            <w:vAlign w:val="center"/>
          </w:tcPr>
          <w:p w:rsidR="000D4B3A" w:rsidRPr="00CA37B1" w:rsidRDefault="000D4B3A" w:rsidP="00CA37B1">
            <w:pPr>
              <w:pStyle w:val="TableBodyText"/>
              <w:rPr>
                <w:b/>
              </w:rPr>
            </w:pPr>
            <w:r w:rsidRPr="00CA37B1">
              <w:rPr>
                <w:b/>
              </w:rPr>
              <w:t>40.5</w:t>
            </w:r>
          </w:p>
        </w:tc>
        <w:tc>
          <w:tcPr>
            <w:tcW w:w="710" w:type="dxa"/>
            <w:gridSpan w:val="2"/>
            <w:shd w:val="clear" w:color="auto" w:fill="auto"/>
            <w:vAlign w:val="center"/>
          </w:tcPr>
          <w:p w:rsidR="000D4B3A" w:rsidRPr="00CA37B1" w:rsidRDefault="000D4B3A" w:rsidP="00CA37B1">
            <w:pPr>
              <w:pStyle w:val="TableBodyText"/>
              <w:rPr>
                <w:b/>
              </w:rPr>
            </w:pPr>
            <w:r w:rsidRPr="00CA37B1">
              <w:rPr>
                <w:b/>
              </w:rPr>
              <w:t>66.9</w:t>
            </w:r>
          </w:p>
        </w:tc>
      </w:tr>
      <w:tr w:rsidR="00CA37B1" w:rsidRPr="00D868AC" w:rsidTr="001E3C2C">
        <w:tc>
          <w:tcPr>
            <w:tcW w:w="8863" w:type="dxa"/>
            <w:gridSpan w:val="13"/>
          </w:tcPr>
          <w:p w:rsidR="00CA37B1" w:rsidRPr="00CA37B1" w:rsidRDefault="00CA37B1" w:rsidP="00CA37B1">
            <w:pPr>
              <w:pStyle w:val="TableBodyText"/>
              <w:jc w:val="left"/>
              <w:rPr>
                <w:b/>
              </w:rPr>
            </w:pPr>
            <w:r w:rsidRPr="00187536">
              <w:t>Proportion of primary schools enrolling over 300 students (%)</w:t>
            </w:r>
            <w:r w:rsidRPr="00187536">
              <w:rPr>
                <w:rStyle w:val="NoteLabel"/>
                <w:sz w:val="20"/>
              </w:rPr>
              <w:t>c</w:t>
            </w:r>
          </w:p>
        </w:tc>
      </w:tr>
      <w:tr w:rsidR="000D4B3A" w:rsidRPr="00D868AC" w:rsidTr="00CA37B1">
        <w:tc>
          <w:tcPr>
            <w:tcW w:w="2624" w:type="dxa"/>
            <w:shd w:val="clear" w:color="auto" w:fill="auto"/>
          </w:tcPr>
          <w:p w:rsidR="000D4B3A" w:rsidRPr="00D868AC" w:rsidRDefault="000D4B3A" w:rsidP="0026369A">
            <w:pPr>
              <w:pStyle w:val="TableBodyText"/>
              <w:ind w:left="136"/>
              <w:jc w:val="left"/>
              <w:rPr>
                <w:b/>
              </w:rPr>
            </w:pPr>
            <w:r w:rsidRPr="00D868AC">
              <w:t>Government</w:t>
            </w:r>
          </w:p>
        </w:tc>
        <w:tc>
          <w:tcPr>
            <w:tcW w:w="685" w:type="dxa"/>
            <w:shd w:val="clear" w:color="auto" w:fill="auto"/>
            <w:vAlign w:val="center"/>
          </w:tcPr>
          <w:p w:rsidR="000D4B3A" w:rsidRPr="00CA37B1" w:rsidRDefault="000D4B3A" w:rsidP="00CA37B1">
            <w:pPr>
              <w:pStyle w:val="TableBodyText"/>
            </w:pPr>
            <w:r w:rsidRPr="00CA37B1">
              <w:t>38.3</w:t>
            </w:r>
          </w:p>
        </w:tc>
        <w:tc>
          <w:tcPr>
            <w:tcW w:w="685" w:type="dxa"/>
            <w:shd w:val="clear" w:color="auto" w:fill="auto"/>
            <w:vAlign w:val="center"/>
          </w:tcPr>
          <w:p w:rsidR="000D4B3A" w:rsidRPr="00CA37B1" w:rsidRDefault="000D4B3A" w:rsidP="00CA37B1">
            <w:pPr>
              <w:pStyle w:val="TableBodyText"/>
            </w:pPr>
            <w:r w:rsidRPr="00CA37B1">
              <w:t>36.2</w:t>
            </w:r>
          </w:p>
        </w:tc>
        <w:tc>
          <w:tcPr>
            <w:tcW w:w="685" w:type="dxa"/>
            <w:shd w:val="clear" w:color="auto" w:fill="auto"/>
            <w:vAlign w:val="center"/>
          </w:tcPr>
          <w:p w:rsidR="000D4B3A" w:rsidRPr="00CA37B1" w:rsidRDefault="000D4B3A" w:rsidP="00CA37B1">
            <w:pPr>
              <w:pStyle w:val="TableBodyText"/>
            </w:pPr>
            <w:r w:rsidRPr="00CA37B1">
              <w:t>43.5</w:t>
            </w:r>
          </w:p>
        </w:tc>
        <w:tc>
          <w:tcPr>
            <w:tcW w:w="685" w:type="dxa"/>
            <w:shd w:val="clear" w:color="auto" w:fill="auto"/>
            <w:vAlign w:val="center"/>
          </w:tcPr>
          <w:p w:rsidR="000D4B3A" w:rsidRPr="00CA37B1" w:rsidRDefault="000D4B3A" w:rsidP="00CA37B1">
            <w:pPr>
              <w:pStyle w:val="TableBodyText"/>
            </w:pPr>
            <w:r w:rsidRPr="00CA37B1">
              <w:t>47.8</w:t>
            </w:r>
          </w:p>
        </w:tc>
        <w:tc>
          <w:tcPr>
            <w:tcW w:w="686" w:type="dxa"/>
            <w:shd w:val="clear" w:color="auto" w:fill="auto"/>
            <w:vAlign w:val="center"/>
          </w:tcPr>
          <w:p w:rsidR="000D4B3A" w:rsidRPr="00CA37B1" w:rsidRDefault="000D4B3A" w:rsidP="00CA37B1">
            <w:pPr>
              <w:pStyle w:val="TableBodyText"/>
            </w:pPr>
            <w:r w:rsidRPr="00CA37B1">
              <w:t>30.1</w:t>
            </w:r>
          </w:p>
        </w:tc>
        <w:tc>
          <w:tcPr>
            <w:tcW w:w="686" w:type="dxa"/>
            <w:shd w:val="clear" w:color="auto" w:fill="auto"/>
            <w:vAlign w:val="center"/>
          </w:tcPr>
          <w:p w:rsidR="000D4B3A" w:rsidRPr="00CA37B1" w:rsidRDefault="000D4B3A" w:rsidP="00CA37B1">
            <w:pPr>
              <w:pStyle w:val="TableBodyText"/>
            </w:pPr>
            <w:r w:rsidRPr="00CA37B1">
              <w:t>25.8</w:t>
            </w:r>
          </w:p>
        </w:tc>
        <w:tc>
          <w:tcPr>
            <w:tcW w:w="708" w:type="dxa"/>
            <w:gridSpan w:val="2"/>
            <w:shd w:val="clear" w:color="auto" w:fill="auto"/>
            <w:vAlign w:val="center"/>
          </w:tcPr>
          <w:p w:rsidR="000D4B3A" w:rsidRPr="00CA37B1" w:rsidRDefault="000D4B3A" w:rsidP="00CA37B1">
            <w:pPr>
              <w:pStyle w:val="TableBodyText"/>
            </w:pPr>
            <w:r w:rsidRPr="00CA37B1">
              <w:t>47.2</w:t>
            </w:r>
          </w:p>
        </w:tc>
        <w:tc>
          <w:tcPr>
            <w:tcW w:w="709" w:type="dxa"/>
            <w:gridSpan w:val="2"/>
            <w:shd w:val="clear" w:color="auto" w:fill="auto"/>
            <w:vAlign w:val="center"/>
          </w:tcPr>
          <w:p w:rsidR="000D4B3A" w:rsidRPr="00CA37B1" w:rsidRDefault="000D4B3A" w:rsidP="00CA37B1">
            <w:pPr>
              <w:pStyle w:val="TableBodyText"/>
            </w:pPr>
            <w:r w:rsidRPr="00CA37B1">
              <w:t>25.8</w:t>
            </w:r>
          </w:p>
        </w:tc>
        <w:tc>
          <w:tcPr>
            <w:tcW w:w="710" w:type="dxa"/>
            <w:gridSpan w:val="2"/>
            <w:shd w:val="clear" w:color="auto" w:fill="auto"/>
            <w:vAlign w:val="center"/>
          </w:tcPr>
          <w:p w:rsidR="000D4B3A" w:rsidRPr="00CA37B1" w:rsidRDefault="000D4B3A" w:rsidP="00CA37B1">
            <w:pPr>
              <w:pStyle w:val="TableBodyText"/>
            </w:pPr>
            <w:r w:rsidRPr="00CA37B1">
              <w:t>38.7</w:t>
            </w:r>
          </w:p>
        </w:tc>
      </w:tr>
      <w:tr w:rsidR="000D4B3A" w:rsidRPr="00D868AC" w:rsidTr="00CA37B1">
        <w:tc>
          <w:tcPr>
            <w:tcW w:w="2624" w:type="dxa"/>
            <w:shd w:val="clear" w:color="auto" w:fill="auto"/>
          </w:tcPr>
          <w:p w:rsidR="000D4B3A" w:rsidRPr="00D868AC" w:rsidRDefault="000D4B3A" w:rsidP="0026369A">
            <w:pPr>
              <w:pStyle w:val="TableBodyText"/>
              <w:ind w:left="136"/>
              <w:jc w:val="left"/>
              <w:rPr>
                <w:b/>
              </w:rPr>
            </w:pPr>
            <w:r w:rsidRPr="00D868AC">
              <w:t>Non-government</w:t>
            </w:r>
          </w:p>
        </w:tc>
        <w:tc>
          <w:tcPr>
            <w:tcW w:w="685" w:type="dxa"/>
            <w:shd w:val="clear" w:color="auto" w:fill="auto"/>
            <w:vAlign w:val="center"/>
          </w:tcPr>
          <w:p w:rsidR="000D4B3A" w:rsidRPr="00CA37B1" w:rsidRDefault="000D4B3A" w:rsidP="00CA37B1">
            <w:pPr>
              <w:pStyle w:val="TableBodyText"/>
            </w:pPr>
            <w:r w:rsidRPr="00CA37B1">
              <w:t>38.9</w:t>
            </w:r>
          </w:p>
        </w:tc>
        <w:tc>
          <w:tcPr>
            <w:tcW w:w="685" w:type="dxa"/>
            <w:shd w:val="clear" w:color="auto" w:fill="auto"/>
            <w:vAlign w:val="center"/>
          </w:tcPr>
          <w:p w:rsidR="000D4B3A" w:rsidRPr="00CA37B1" w:rsidRDefault="000D4B3A" w:rsidP="00CA37B1">
            <w:pPr>
              <w:pStyle w:val="TableBodyText"/>
            </w:pPr>
            <w:r w:rsidRPr="00CA37B1">
              <w:t>30.5</w:t>
            </w:r>
          </w:p>
        </w:tc>
        <w:tc>
          <w:tcPr>
            <w:tcW w:w="685" w:type="dxa"/>
            <w:shd w:val="clear" w:color="auto" w:fill="auto"/>
            <w:vAlign w:val="center"/>
          </w:tcPr>
          <w:p w:rsidR="000D4B3A" w:rsidRPr="00CA37B1" w:rsidRDefault="000D4B3A" w:rsidP="00CA37B1">
            <w:pPr>
              <w:pStyle w:val="TableBodyText"/>
            </w:pPr>
            <w:r w:rsidRPr="00CA37B1">
              <w:t>50.2</w:t>
            </w:r>
          </w:p>
        </w:tc>
        <w:tc>
          <w:tcPr>
            <w:tcW w:w="685" w:type="dxa"/>
            <w:shd w:val="clear" w:color="auto" w:fill="auto"/>
            <w:vAlign w:val="center"/>
          </w:tcPr>
          <w:p w:rsidR="000D4B3A" w:rsidRPr="00CA37B1" w:rsidRDefault="000D4B3A" w:rsidP="00CA37B1">
            <w:pPr>
              <w:pStyle w:val="TableBodyText"/>
            </w:pPr>
            <w:r w:rsidRPr="00CA37B1">
              <w:t>30.7</w:t>
            </w:r>
          </w:p>
        </w:tc>
        <w:tc>
          <w:tcPr>
            <w:tcW w:w="686" w:type="dxa"/>
            <w:shd w:val="clear" w:color="auto" w:fill="auto"/>
            <w:vAlign w:val="center"/>
          </w:tcPr>
          <w:p w:rsidR="000D4B3A" w:rsidRPr="00CA37B1" w:rsidRDefault="000D4B3A" w:rsidP="00CA37B1">
            <w:pPr>
              <w:pStyle w:val="TableBodyText"/>
            </w:pPr>
            <w:r w:rsidRPr="00CA37B1">
              <w:t>34.6</w:t>
            </w:r>
          </w:p>
        </w:tc>
        <w:tc>
          <w:tcPr>
            <w:tcW w:w="686" w:type="dxa"/>
            <w:shd w:val="clear" w:color="auto" w:fill="auto"/>
            <w:vAlign w:val="center"/>
          </w:tcPr>
          <w:p w:rsidR="000D4B3A" w:rsidRPr="00CA37B1" w:rsidRDefault="000D4B3A" w:rsidP="00CA37B1">
            <w:pPr>
              <w:pStyle w:val="TableBodyText"/>
            </w:pPr>
            <w:r w:rsidRPr="00CA37B1">
              <w:t>17.9</w:t>
            </w:r>
          </w:p>
        </w:tc>
        <w:tc>
          <w:tcPr>
            <w:tcW w:w="708" w:type="dxa"/>
            <w:gridSpan w:val="2"/>
            <w:shd w:val="clear" w:color="auto" w:fill="auto"/>
            <w:vAlign w:val="center"/>
          </w:tcPr>
          <w:p w:rsidR="000D4B3A" w:rsidRPr="00CA37B1" w:rsidRDefault="000D4B3A" w:rsidP="00CA37B1">
            <w:pPr>
              <w:pStyle w:val="TableBodyText"/>
            </w:pPr>
            <w:r w:rsidRPr="00CA37B1">
              <w:t>48.0</w:t>
            </w:r>
          </w:p>
        </w:tc>
        <w:tc>
          <w:tcPr>
            <w:tcW w:w="709" w:type="dxa"/>
            <w:gridSpan w:val="2"/>
            <w:shd w:val="clear" w:color="auto" w:fill="auto"/>
            <w:vAlign w:val="center"/>
          </w:tcPr>
          <w:p w:rsidR="000D4B3A" w:rsidRPr="00CA37B1" w:rsidRDefault="000D4B3A" w:rsidP="00CA37B1">
            <w:pPr>
              <w:pStyle w:val="TableBodyText"/>
            </w:pPr>
            <w:r w:rsidRPr="00CA37B1">
              <w:t>9.1</w:t>
            </w:r>
          </w:p>
        </w:tc>
        <w:tc>
          <w:tcPr>
            <w:tcW w:w="710" w:type="dxa"/>
            <w:gridSpan w:val="2"/>
            <w:shd w:val="clear" w:color="auto" w:fill="auto"/>
            <w:vAlign w:val="center"/>
          </w:tcPr>
          <w:p w:rsidR="000D4B3A" w:rsidRPr="00CA37B1" w:rsidRDefault="000D4B3A" w:rsidP="00CA37B1">
            <w:pPr>
              <w:pStyle w:val="TableBodyText"/>
            </w:pPr>
            <w:r w:rsidRPr="00CA37B1">
              <w:t>36.7</w:t>
            </w:r>
          </w:p>
        </w:tc>
      </w:tr>
      <w:tr w:rsidR="000D4B3A" w:rsidRPr="00187536" w:rsidTr="00CA37B1">
        <w:tc>
          <w:tcPr>
            <w:tcW w:w="2624" w:type="dxa"/>
            <w:shd w:val="clear" w:color="auto" w:fill="auto"/>
          </w:tcPr>
          <w:p w:rsidR="000D4B3A" w:rsidRPr="00187536" w:rsidRDefault="000D4B3A" w:rsidP="0026369A">
            <w:pPr>
              <w:pStyle w:val="TableBodyText"/>
              <w:ind w:left="136"/>
              <w:jc w:val="left"/>
              <w:rPr>
                <w:b/>
              </w:rPr>
            </w:pPr>
            <w:r w:rsidRPr="00187536">
              <w:rPr>
                <w:b/>
              </w:rPr>
              <w:t>All schools</w:t>
            </w:r>
          </w:p>
        </w:tc>
        <w:tc>
          <w:tcPr>
            <w:tcW w:w="685" w:type="dxa"/>
            <w:shd w:val="clear" w:color="auto" w:fill="auto"/>
            <w:vAlign w:val="center"/>
          </w:tcPr>
          <w:p w:rsidR="000D4B3A" w:rsidRPr="00CA37B1" w:rsidRDefault="000D4B3A" w:rsidP="00CA37B1">
            <w:pPr>
              <w:pStyle w:val="TableBodyText"/>
              <w:rPr>
                <w:b/>
              </w:rPr>
            </w:pPr>
            <w:r w:rsidRPr="00CA37B1">
              <w:rPr>
                <w:b/>
              </w:rPr>
              <w:t>38.4</w:t>
            </w:r>
          </w:p>
        </w:tc>
        <w:tc>
          <w:tcPr>
            <w:tcW w:w="685" w:type="dxa"/>
            <w:shd w:val="clear" w:color="auto" w:fill="auto"/>
            <w:vAlign w:val="center"/>
          </w:tcPr>
          <w:p w:rsidR="000D4B3A" w:rsidRPr="00CA37B1" w:rsidRDefault="000D4B3A" w:rsidP="00CA37B1">
            <w:pPr>
              <w:pStyle w:val="TableBodyText"/>
              <w:rPr>
                <w:b/>
              </w:rPr>
            </w:pPr>
            <w:r w:rsidRPr="00CA37B1">
              <w:rPr>
                <w:b/>
              </w:rPr>
              <w:t>34.7</w:t>
            </w:r>
          </w:p>
        </w:tc>
        <w:tc>
          <w:tcPr>
            <w:tcW w:w="685" w:type="dxa"/>
            <w:shd w:val="clear" w:color="auto" w:fill="auto"/>
            <w:vAlign w:val="center"/>
          </w:tcPr>
          <w:p w:rsidR="000D4B3A" w:rsidRPr="00CA37B1" w:rsidRDefault="000D4B3A" w:rsidP="00CA37B1">
            <w:pPr>
              <w:pStyle w:val="TableBodyText"/>
              <w:rPr>
                <w:b/>
              </w:rPr>
            </w:pPr>
            <w:r w:rsidRPr="00CA37B1">
              <w:rPr>
                <w:b/>
              </w:rPr>
              <w:t>44.9</w:t>
            </w:r>
          </w:p>
        </w:tc>
        <w:tc>
          <w:tcPr>
            <w:tcW w:w="685" w:type="dxa"/>
            <w:shd w:val="clear" w:color="auto" w:fill="auto"/>
            <w:vAlign w:val="center"/>
          </w:tcPr>
          <w:p w:rsidR="000D4B3A" w:rsidRPr="00CA37B1" w:rsidRDefault="000D4B3A" w:rsidP="00CA37B1">
            <w:pPr>
              <w:pStyle w:val="TableBodyText"/>
              <w:rPr>
                <w:b/>
              </w:rPr>
            </w:pPr>
            <w:r w:rsidRPr="00CA37B1">
              <w:rPr>
                <w:b/>
              </w:rPr>
              <w:t>43.9</w:t>
            </w:r>
          </w:p>
        </w:tc>
        <w:tc>
          <w:tcPr>
            <w:tcW w:w="686" w:type="dxa"/>
            <w:shd w:val="clear" w:color="auto" w:fill="auto"/>
            <w:vAlign w:val="center"/>
          </w:tcPr>
          <w:p w:rsidR="000D4B3A" w:rsidRPr="00CA37B1" w:rsidRDefault="000D4B3A" w:rsidP="00CA37B1">
            <w:pPr>
              <w:pStyle w:val="TableBodyText"/>
              <w:rPr>
                <w:b/>
              </w:rPr>
            </w:pPr>
            <w:r w:rsidRPr="00CA37B1">
              <w:rPr>
                <w:b/>
              </w:rPr>
              <w:t>31.1</w:t>
            </w:r>
          </w:p>
        </w:tc>
        <w:tc>
          <w:tcPr>
            <w:tcW w:w="686" w:type="dxa"/>
            <w:shd w:val="clear" w:color="auto" w:fill="auto"/>
            <w:vAlign w:val="center"/>
          </w:tcPr>
          <w:p w:rsidR="000D4B3A" w:rsidRPr="00CA37B1" w:rsidRDefault="000D4B3A" w:rsidP="00CA37B1">
            <w:pPr>
              <w:pStyle w:val="TableBodyText"/>
              <w:rPr>
                <w:b/>
              </w:rPr>
            </w:pPr>
            <w:r w:rsidRPr="00CA37B1">
              <w:rPr>
                <w:b/>
              </w:rPr>
              <w:t>24.4</w:t>
            </w:r>
          </w:p>
        </w:tc>
        <w:tc>
          <w:tcPr>
            <w:tcW w:w="708" w:type="dxa"/>
            <w:gridSpan w:val="2"/>
            <w:shd w:val="clear" w:color="auto" w:fill="auto"/>
            <w:vAlign w:val="center"/>
          </w:tcPr>
          <w:p w:rsidR="000D4B3A" w:rsidRPr="00CA37B1" w:rsidRDefault="000D4B3A" w:rsidP="00CA37B1">
            <w:pPr>
              <w:pStyle w:val="TableBodyText"/>
              <w:rPr>
                <w:b/>
              </w:rPr>
            </w:pPr>
            <w:r w:rsidRPr="00CA37B1">
              <w:rPr>
                <w:b/>
              </w:rPr>
              <w:t>47.4</w:t>
            </w:r>
          </w:p>
        </w:tc>
        <w:tc>
          <w:tcPr>
            <w:tcW w:w="709" w:type="dxa"/>
            <w:gridSpan w:val="2"/>
            <w:shd w:val="clear" w:color="auto" w:fill="auto"/>
            <w:vAlign w:val="center"/>
          </w:tcPr>
          <w:p w:rsidR="000D4B3A" w:rsidRPr="00CA37B1" w:rsidRDefault="000D4B3A" w:rsidP="00CA37B1">
            <w:pPr>
              <w:pStyle w:val="TableBodyText"/>
              <w:rPr>
                <w:b/>
              </w:rPr>
            </w:pPr>
            <w:r w:rsidRPr="00CA37B1">
              <w:rPr>
                <w:b/>
              </w:rPr>
              <w:t>23.4</w:t>
            </w:r>
          </w:p>
        </w:tc>
        <w:tc>
          <w:tcPr>
            <w:tcW w:w="710" w:type="dxa"/>
            <w:gridSpan w:val="2"/>
            <w:shd w:val="clear" w:color="auto" w:fill="auto"/>
            <w:vAlign w:val="center"/>
          </w:tcPr>
          <w:p w:rsidR="000D4B3A" w:rsidRPr="00CA37B1" w:rsidRDefault="000D4B3A" w:rsidP="00CA37B1">
            <w:pPr>
              <w:pStyle w:val="TableBodyText"/>
              <w:rPr>
                <w:b/>
              </w:rPr>
            </w:pPr>
            <w:r w:rsidRPr="00CA37B1">
              <w:rPr>
                <w:b/>
              </w:rPr>
              <w:t>38.2</w:t>
            </w:r>
          </w:p>
        </w:tc>
      </w:tr>
      <w:tr w:rsidR="00CA37B1" w:rsidRPr="00D868AC" w:rsidTr="00CA37B1">
        <w:tc>
          <w:tcPr>
            <w:tcW w:w="8863" w:type="dxa"/>
            <w:gridSpan w:val="13"/>
          </w:tcPr>
          <w:p w:rsidR="00CA37B1" w:rsidRPr="00CA37B1" w:rsidRDefault="00CA37B1" w:rsidP="00CA37B1">
            <w:pPr>
              <w:pStyle w:val="TableBodyText"/>
              <w:jc w:val="left"/>
              <w:rPr>
                <w:b/>
              </w:rPr>
            </w:pPr>
            <w:r w:rsidRPr="00187536">
              <w:t>Proportion of secondary schools enrolling over 600 students (%)</w:t>
            </w:r>
            <w:r w:rsidRPr="00187536">
              <w:rPr>
                <w:rStyle w:val="NoteLabel"/>
                <w:sz w:val="20"/>
              </w:rPr>
              <w:t>c</w:t>
            </w:r>
          </w:p>
        </w:tc>
      </w:tr>
      <w:tr w:rsidR="000D4B3A" w:rsidRPr="00D868AC" w:rsidTr="00CA37B1">
        <w:tc>
          <w:tcPr>
            <w:tcW w:w="2624" w:type="dxa"/>
            <w:shd w:val="clear" w:color="auto" w:fill="auto"/>
          </w:tcPr>
          <w:p w:rsidR="000D4B3A" w:rsidRPr="00D868AC" w:rsidRDefault="000D4B3A" w:rsidP="0026369A">
            <w:pPr>
              <w:pStyle w:val="TableBodyText"/>
              <w:ind w:left="136"/>
              <w:jc w:val="left"/>
              <w:rPr>
                <w:b/>
              </w:rPr>
            </w:pPr>
            <w:r w:rsidRPr="00D868AC">
              <w:t>Government</w:t>
            </w:r>
          </w:p>
        </w:tc>
        <w:tc>
          <w:tcPr>
            <w:tcW w:w="685" w:type="dxa"/>
            <w:shd w:val="clear" w:color="auto" w:fill="auto"/>
            <w:vAlign w:val="center"/>
          </w:tcPr>
          <w:p w:rsidR="000D4B3A" w:rsidRPr="00CA37B1" w:rsidRDefault="000D4B3A" w:rsidP="00CA37B1">
            <w:pPr>
              <w:pStyle w:val="TableBodyText"/>
            </w:pPr>
            <w:r w:rsidRPr="00CA37B1">
              <w:t>69.7</w:t>
            </w:r>
          </w:p>
        </w:tc>
        <w:tc>
          <w:tcPr>
            <w:tcW w:w="685" w:type="dxa"/>
            <w:shd w:val="clear" w:color="auto" w:fill="auto"/>
            <w:vAlign w:val="center"/>
          </w:tcPr>
          <w:p w:rsidR="000D4B3A" w:rsidRPr="00CA37B1" w:rsidRDefault="000D4B3A" w:rsidP="00CA37B1">
            <w:pPr>
              <w:pStyle w:val="TableBodyText"/>
            </w:pPr>
            <w:r w:rsidRPr="00CA37B1">
              <w:t>60.2</w:t>
            </w:r>
          </w:p>
        </w:tc>
        <w:tc>
          <w:tcPr>
            <w:tcW w:w="685" w:type="dxa"/>
            <w:shd w:val="clear" w:color="auto" w:fill="auto"/>
            <w:vAlign w:val="center"/>
          </w:tcPr>
          <w:p w:rsidR="000D4B3A" w:rsidRPr="00CA37B1" w:rsidRDefault="000D4B3A" w:rsidP="00CA37B1">
            <w:pPr>
              <w:pStyle w:val="TableBodyText"/>
            </w:pPr>
            <w:r w:rsidRPr="00CA37B1">
              <w:t>65.9</w:t>
            </w:r>
          </w:p>
        </w:tc>
        <w:tc>
          <w:tcPr>
            <w:tcW w:w="685" w:type="dxa"/>
            <w:shd w:val="clear" w:color="auto" w:fill="auto"/>
            <w:vAlign w:val="center"/>
          </w:tcPr>
          <w:p w:rsidR="000D4B3A" w:rsidRPr="00CA37B1" w:rsidRDefault="000D4B3A" w:rsidP="00CA37B1">
            <w:pPr>
              <w:pStyle w:val="TableBodyText"/>
            </w:pPr>
            <w:r w:rsidRPr="00CA37B1">
              <w:t>44.4</w:t>
            </w:r>
          </w:p>
        </w:tc>
        <w:tc>
          <w:tcPr>
            <w:tcW w:w="686" w:type="dxa"/>
            <w:shd w:val="clear" w:color="auto" w:fill="auto"/>
            <w:vAlign w:val="center"/>
          </w:tcPr>
          <w:p w:rsidR="000D4B3A" w:rsidRPr="00CA37B1" w:rsidRDefault="000D4B3A" w:rsidP="00CA37B1">
            <w:pPr>
              <w:pStyle w:val="TableBodyText"/>
            </w:pPr>
            <w:r w:rsidRPr="00CA37B1">
              <w:t>63.2</w:t>
            </w:r>
          </w:p>
        </w:tc>
        <w:tc>
          <w:tcPr>
            <w:tcW w:w="686" w:type="dxa"/>
            <w:shd w:val="clear" w:color="auto" w:fill="auto"/>
            <w:vAlign w:val="center"/>
          </w:tcPr>
          <w:p w:rsidR="000D4B3A" w:rsidRPr="00CA37B1" w:rsidRDefault="000D4B3A" w:rsidP="00CA37B1">
            <w:pPr>
              <w:pStyle w:val="TableBodyText"/>
            </w:pPr>
            <w:r w:rsidRPr="00CA37B1">
              <w:t>38.7</w:t>
            </w:r>
          </w:p>
        </w:tc>
        <w:tc>
          <w:tcPr>
            <w:tcW w:w="708" w:type="dxa"/>
            <w:gridSpan w:val="2"/>
            <w:shd w:val="clear" w:color="auto" w:fill="auto"/>
            <w:vAlign w:val="center"/>
          </w:tcPr>
          <w:p w:rsidR="000D4B3A" w:rsidRPr="00CA37B1" w:rsidRDefault="000D4B3A" w:rsidP="00CA37B1">
            <w:pPr>
              <w:pStyle w:val="TableBodyText"/>
            </w:pPr>
            <w:r w:rsidRPr="00CA37B1">
              <w:t>55.6</w:t>
            </w:r>
          </w:p>
        </w:tc>
        <w:tc>
          <w:tcPr>
            <w:tcW w:w="709" w:type="dxa"/>
            <w:gridSpan w:val="2"/>
            <w:shd w:val="clear" w:color="auto" w:fill="auto"/>
            <w:vAlign w:val="center"/>
          </w:tcPr>
          <w:p w:rsidR="000D4B3A" w:rsidRPr="00CA37B1" w:rsidRDefault="000D4B3A" w:rsidP="00CA37B1">
            <w:pPr>
              <w:pStyle w:val="TableBodyText"/>
            </w:pPr>
            <w:r w:rsidRPr="00CA37B1">
              <w:t>35.7</w:t>
            </w:r>
          </w:p>
        </w:tc>
        <w:tc>
          <w:tcPr>
            <w:tcW w:w="710" w:type="dxa"/>
            <w:gridSpan w:val="2"/>
            <w:shd w:val="clear" w:color="auto" w:fill="auto"/>
            <w:vAlign w:val="center"/>
          </w:tcPr>
          <w:p w:rsidR="000D4B3A" w:rsidRPr="00CA37B1" w:rsidRDefault="000D4B3A" w:rsidP="00CA37B1">
            <w:pPr>
              <w:pStyle w:val="TableBodyText"/>
            </w:pPr>
            <w:r w:rsidRPr="00CA37B1">
              <w:t>62.3</w:t>
            </w:r>
          </w:p>
        </w:tc>
      </w:tr>
      <w:tr w:rsidR="000D4B3A" w:rsidRPr="00D868AC" w:rsidTr="00CA37B1">
        <w:tc>
          <w:tcPr>
            <w:tcW w:w="2624" w:type="dxa"/>
            <w:shd w:val="clear" w:color="auto" w:fill="auto"/>
          </w:tcPr>
          <w:p w:rsidR="000D4B3A" w:rsidRPr="00D868AC" w:rsidRDefault="000D4B3A" w:rsidP="0026369A">
            <w:pPr>
              <w:pStyle w:val="TableBodyText"/>
              <w:ind w:left="136"/>
              <w:jc w:val="left"/>
              <w:rPr>
                <w:b/>
              </w:rPr>
            </w:pPr>
            <w:r w:rsidRPr="00D868AC">
              <w:t>Non-government</w:t>
            </w:r>
          </w:p>
        </w:tc>
        <w:tc>
          <w:tcPr>
            <w:tcW w:w="685" w:type="dxa"/>
            <w:shd w:val="clear" w:color="auto" w:fill="auto"/>
            <w:vAlign w:val="center"/>
          </w:tcPr>
          <w:p w:rsidR="000D4B3A" w:rsidRPr="00CA37B1" w:rsidRDefault="000D4B3A" w:rsidP="00CA37B1">
            <w:pPr>
              <w:pStyle w:val="TableBodyText"/>
            </w:pPr>
            <w:r w:rsidRPr="00CA37B1">
              <w:t>65.4</w:t>
            </w:r>
          </w:p>
        </w:tc>
        <w:tc>
          <w:tcPr>
            <w:tcW w:w="685" w:type="dxa"/>
            <w:shd w:val="clear" w:color="auto" w:fill="auto"/>
            <w:vAlign w:val="center"/>
          </w:tcPr>
          <w:p w:rsidR="000D4B3A" w:rsidRPr="00CA37B1" w:rsidRDefault="000D4B3A" w:rsidP="00CA37B1">
            <w:pPr>
              <w:pStyle w:val="TableBodyText"/>
            </w:pPr>
            <w:r w:rsidRPr="00CA37B1">
              <w:t>69.0</w:t>
            </w:r>
          </w:p>
        </w:tc>
        <w:tc>
          <w:tcPr>
            <w:tcW w:w="685" w:type="dxa"/>
            <w:shd w:val="clear" w:color="auto" w:fill="auto"/>
            <w:vAlign w:val="center"/>
          </w:tcPr>
          <w:p w:rsidR="000D4B3A" w:rsidRPr="00CA37B1" w:rsidRDefault="000D4B3A" w:rsidP="00CA37B1">
            <w:pPr>
              <w:pStyle w:val="TableBodyText"/>
            </w:pPr>
            <w:r w:rsidRPr="00CA37B1">
              <w:t>48.6</w:t>
            </w:r>
          </w:p>
        </w:tc>
        <w:tc>
          <w:tcPr>
            <w:tcW w:w="685" w:type="dxa"/>
            <w:shd w:val="clear" w:color="auto" w:fill="auto"/>
            <w:vAlign w:val="center"/>
          </w:tcPr>
          <w:p w:rsidR="000D4B3A" w:rsidRPr="00CA37B1" w:rsidRDefault="000D4B3A" w:rsidP="00CA37B1">
            <w:pPr>
              <w:pStyle w:val="TableBodyText"/>
            </w:pPr>
            <w:r w:rsidRPr="00CA37B1">
              <w:t>20.0</w:t>
            </w:r>
          </w:p>
        </w:tc>
        <w:tc>
          <w:tcPr>
            <w:tcW w:w="686" w:type="dxa"/>
            <w:shd w:val="clear" w:color="auto" w:fill="auto"/>
            <w:vAlign w:val="center"/>
          </w:tcPr>
          <w:p w:rsidR="000D4B3A" w:rsidRPr="00CA37B1" w:rsidRDefault="000D4B3A" w:rsidP="00CA37B1">
            <w:pPr>
              <w:pStyle w:val="TableBodyText"/>
            </w:pPr>
            <w:r w:rsidRPr="00CA37B1">
              <w:t>42.1</w:t>
            </w:r>
          </w:p>
        </w:tc>
        <w:tc>
          <w:tcPr>
            <w:tcW w:w="686" w:type="dxa"/>
            <w:shd w:val="clear" w:color="auto" w:fill="auto"/>
            <w:vAlign w:val="center"/>
          </w:tcPr>
          <w:p w:rsidR="000D4B3A" w:rsidRPr="00CA37B1" w:rsidRDefault="000D4B3A" w:rsidP="00CA37B1">
            <w:pPr>
              <w:pStyle w:val="TableBodyText"/>
            </w:pPr>
            <w:r w:rsidRPr="00CA37B1">
              <w:t>80.0</w:t>
            </w:r>
          </w:p>
        </w:tc>
        <w:tc>
          <w:tcPr>
            <w:tcW w:w="708" w:type="dxa"/>
            <w:gridSpan w:val="2"/>
            <w:shd w:val="clear" w:color="auto" w:fill="auto"/>
            <w:vAlign w:val="center"/>
          </w:tcPr>
          <w:p w:rsidR="000D4B3A" w:rsidRPr="00CA37B1" w:rsidRDefault="000D4B3A" w:rsidP="00CA37B1">
            <w:pPr>
              <w:pStyle w:val="TableBodyText"/>
            </w:pPr>
            <w:r w:rsidRPr="00CA37B1">
              <w:t>83.3</w:t>
            </w:r>
          </w:p>
        </w:tc>
        <w:tc>
          <w:tcPr>
            <w:tcW w:w="709" w:type="dxa"/>
            <w:gridSpan w:val="2"/>
            <w:shd w:val="clear" w:color="auto" w:fill="auto"/>
            <w:vAlign w:val="center"/>
          </w:tcPr>
          <w:p w:rsidR="000D4B3A" w:rsidRPr="00CA37B1" w:rsidRDefault="000D4B3A" w:rsidP="00CA37B1">
            <w:pPr>
              <w:pStyle w:val="TableBodyText"/>
            </w:pPr>
            <w:r w:rsidRPr="00CA37B1">
              <w:t>11.1</w:t>
            </w:r>
          </w:p>
        </w:tc>
        <w:tc>
          <w:tcPr>
            <w:tcW w:w="710" w:type="dxa"/>
            <w:gridSpan w:val="2"/>
            <w:shd w:val="clear" w:color="auto" w:fill="auto"/>
            <w:vAlign w:val="center"/>
          </w:tcPr>
          <w:p w:rsidR="000D4B3A" w:rsidRPr="00CA37B1" w:rsidRDefault="000D4B3A" w:rsidP="00CA37B1">
            <w:pPr>
              <w:pStyle w:val="TableBodyText"/>
            </w:pPr>
            <w:r w:rsidRPr="00CA37B1">
              <w:t>59.9</w:t>
            </w:r>
          </w:p>
        </w:tc>
      </w:tr>
      <w:tr w:rsidR="000D4B3A" w:rsidRPr="00EE229D" w:rsidTr="00CA37B1">
        <w:tc>
          <w:tcPr>
            <w:tcW w:w="2624" w:type="dxa"/>
            <w:tcBorders>
              <w:bottom w:val="single" w:sz="6" w:space="0" w:color="auto"/>
            </w:tcBorders>
            <w:shd w:val="clear" w:color="auto" w:fill="auto"/>
          </w:tcPr>
          <w:p w:rsidR="000D4B3A" w:rsidRPr="00EE229D" w:rsidRDefault="000D4B3A" w:rsidP="0026369A">
            <w:pPr>
              <w:pStyle w:val="TableBodyText"/>
              <w:ind w:left="136"/>
              <w:jc w:val="left"/>
              <w:rPr>
                <w:b/>
              </w:rPr>
            </w:pPr>
            <w:r w:rsidRPr="00EE229D">
              <w:rPr>
                <w:b/>
              </w:rPr>
              <w:t>All schools</w:t>
            </w:r>
          </w:p>
        </w:tc>
        <w:tc>
          <w:tcPr>
            <w:tcW w:w="685" w:type="dxa"/>
            <w:tcBorders>
              <w:bottom w:val="single" w:sz="6" w:space="0" w:color="auto"/>
            </w:tcBorders>
            <w:shd w:val="clear" w:color="auto" w:fill="auto"/>
            <w:vAlign w:val="center"/>
          </w:tcPr>
          <w:p w:rsidR="000D4B3A" w:rsidRPr="00CA37B1" w:rsidRDefault="000D4B3A" w:rsidP="00CA37B1">
            <w:pPr>
              <w:pStyle w:val="TableBodyText"/>
              <w:rPr>
                <w:b/>
              </w:rPr>
            </w:pPr>
            <w:r w:rsidRPr="00CA37B1">
              <w:rPr>
                <w:b/>
              </w:rPr>
              <w:t>68.5</w:t>
            </w:r>
          </w:p>
        </w:tc>
        <w:tc>
          <w:tcPr>
            <w:tcW w:w="685" w:type="dxa"/>
            <w:tcBorders>
              <w:bottom w:val="single" w:sz="6" w:space="0" w:color="auto"/>
            </w:tcBorders>
            <w:shd w:val="clear" w:color="auto" w:fill="auto"/>
            <w:vAlign w:val="center"/>
          </w:tcPr>
          <w:p w:rsidR="000D4B3A" w:rsidRPr="00CA37B1" w:rsidRDefault="000D4B3A" w:rsidP="00CA37B1">
            <w:pPr>
              <w:pStyle w:val="TableBodyText"/>
              <w:rPr>
                <w:b/>
              </w:rPr>
            </w:pPr>
            <w:r w:rsidRPr="00CA37B1">
              <w:rPr>
                <w:b/>
              </w:rPr>
              <w:t>62.8</w:t>
            </w:r>
          </w:p>
        </w:tc>
        <w:tc>
          <w:tcPr>
            <w:tcW w:w="685" w:type="dxa"/>
            <w:tcBorders>
              <w:bottom w:val="single" w:sz="6" w:space="0" w:color="auto"/>
            </w:tcBorders>
            <w:shd w:val="clear" w:color="auto" w:fill="auto"/>
            <w:vAlign w:val="center"/>
          </w:tcPr>
          <w:p w:rsidR="000D4B3A" w:rsidRPr="00CA37B1" w:rsidRDefault="000D4B3A" w:rsidP="00CA37B1">
            <w:pPr>
              <w:pStyle w:val="TableBodyText"/>
              <w:rPr>
                <w:b/>
              </w:rPr>
            </w:pPr>
            <w:r w:rsidRPr="00CA37B1">
              <w:rPr>
                <w:b/>
              </w:rPr>
              <w:t>61.0</w:t>
            </w:r>
          </w:p>
        </w:tc>
        <w:tc>
          <w:tcPr>
            <w:tcW w:w="685" w:type="dxa"/>
            <w:tcBorders>
              <w:bottom w:val="single" w:sz="6" w:space="0" w:color="auto"/>
            </w:tcBorders>
            <w:shd w:val="clear" w:color="auto" w:fill="auto"/>
            <w:vAlign w:val="center"/>
          </w:tcPr>
          <w:p w:rsidR="000D4B3A" w:rsidRPr="00CA37B1" w:rsidRDefault="000D4B3A" w:rsidP="00CA37B1">
            <w:pPr>
              <w:pStyle w:val="TableBodyText"/>
              <w:rPr>
                <w:b/>
              </w:rPr>
            </w:pPr>
            <w:r w:rsidRPr="00CA37B1">
              <w:rPr>
                <w:b/>
              </w:rPr>
              <w:t>42.2</w:t>
            </w:r>
          </w:p>
        </w:tc>
        <w:tc>
          <w:tcPr>
            <w:tcW w:w="686" w:type="dxa"/>
            <w:tcBorders>
              <w:bottom w:val="single" w:sz="6" w:space="0" w:color="auto"/>
            </w:tcBorders>
            <w:shd w:val="clear" w:color="auto" w:fill="auto"/>
            <w:vAlign w:val="center"/>
          </w:tcPr>
          <w:p w:rsidR="000D4B3A" w:rsidRPr="00CA37B1" w:rsidRDefault="000D4B3A" w:rsidP="00CA37B1">
            <w:pPr>
              <w:pStyle w:val="TableBodyText"/>
              <w:rPr>
                <w:b/>
              </w:rPr>
            </w:pPr>
            <w:r w:rsidRPr="00CA37B1">
              <w:rPr>
                <w:b/>
              </w:rPr>
              <w:t>58.6</w:t>
            </w:r>
          </w:p>
        </w:tc>
        <w:tc>
          <w:tcPr>
            <w:tcW w:w="686" w:type="dxa"/>
            <w:tcBorders>
              <w:bottom w:val="single" w:sz="6" w:space="0" w:color="auto"/>
            </w:tcBorders>
            <w:shd w:val="clear" w:color="auto" w:fill="auto"/>
            <w:vAlign w:val="center"/>
          </w:tcPr>
          <w:p w:rsidR="000D4B3A" w:rsidRPr="00CA37B1" w:rsidRDefault="000D4B3A" w:rsidP="00CA37B1">
            <w:pPr>
              <w:pStyle w:val="TableBodyText"/>
              <w:rPr>
                <w:b/>
              </w:rPr>
            </w:pPr>
            <w:r w:rsidRPr="00CA37B1">
              <w:rPr>
                <w:b/>
              </w:rPr>
              <w:t>44.4</w:t>
            </w:r>
          </w:p>
        </w:tc>
        <w:tc>
          <w:tcPr>
            <w:tcW w:w="708" w:type="dxa"/>
            <w:gridSpan w:val="2"/>
            <w:tcBorders>
              <w:bottom w:val="single" w:sz="6" w:space="0" w:color="auto"/>
            </w:tcBorders>
            <w:shd w:val="clear" w:color="auto" w:fill="auto"/>
            <w:vAlign w:val="center"/>
          </w:tcPr>
          <w:p w:rsidR="000D4B3A" w:rsidRPr="00CA37B1" w:rsidRDefault="000D4B3A" w:rsidP="00CA37B1">
            <w:pPr>
              <w:pStyle w:val="TableBodyText"/>
              <w:rPr>
                <w:b/>
              </w:rPr>
            </w:pPr>
            <w:r w:rsidRPr="00CA37B1">
              <w:rPr>
                <w:b/>
              </w:rPr>
              <w:t>62.5</w:t>
            </w:r>
          </w:p>
        </w:tc>
        <w:tc>
          <w:tcPr>
            <w:tcW w:w="709" w:type="dxa"/>
            <w:gridSpan w:val="2"/>
            <w:tcBorders>
              <w:bottom w:val="single" w:sz="6" w:space="0" w:color="auto"/>
            </w:tcBorders>
            <w:shd w:val="clear" w:color="auto" w:fill="auto"/>
            <w:vAlign w:val="center"/>
          </w:tcPr>
          <w:p w:rsidR="000D4B3A" w:rsidRPr="00CA37B1" w:rsidRDefault="000D4B3A" w:rsidP="00CA37B1">
            <w:pPr>
              <w:pStyle w:val="TableBodyText"/>
              <w:rPr>
                <w:b/>
              </w:rPr>
            </w:pPr>
            <w:r w:rsidRPr="00CA37B1">
              <w:rPr>
                <w:b/>
              </w:rPr>
              <w:t>26.1</w:t>
            </w:r>
          </w:p>
        </w:tc>
        <w:tc>
          <w:tcPr>
            <w:tcW w:w="710" w:type="dxa"/>
            <w:gridSpan w:val="2"/>
            <w:tcBorders>
              <w:bottom w:val="single" w:sz="6" w:space="0" w:color="auto"/>
            </w:tcBorders>
            <w:shd w:val="clear" w:color="auto" w:fill="auto"/>
            <w:vAlign w:val="center"/>
          </w:tcPr>
          <w:p w:rsidR="000D4B3A" w:rsidRPr="00CA37B1" w:rsidRDefault="000D4B3A" w:rsidP="00CA37B1">
            <w:pPr>
              <w:pStyle w:val="TableBodyText"/>
              <w:rPr>
                <w:b/>
              </w:rPr>
            </w:pPr>
            <w:r w:rsidRPr="00CA37B1">
              <w:rPr>
                <w:b/>
              </w:rPr>
              <w:t>61.6</w:t>
            </w:r>
          </w:p>
        </w:tc>
      </w:tr>
    </w:tbl>
    <w:p w:rsidR="0026369A" w:rsidRDefault="0026369A" w:rsidP="0082251B">
      <w:pPr>
        <w:pStyle w:val="Note"/>
      </w:pPr>
      <w:r w:rsidRPr="000B23DD">
        <w:rPr>
          <w:rStyle w:val="NoteLabel"/>
        </w:rPr>
        <w:t>a</w:t>
      </w:r>
      <w:r>
        <w:sym w:font="Symbol" w:char="F020"/>
      </w:r>
      <w:r w:rsidRPr="009C0C9E">
        <w:t xml:space="preserve">Combined primary and secondary schools. </w:t>
      </w:r>
      <w:r w:rsidRPr="009C0C9E">
        <w:rPr>
          <w:rStyle w:val="NoteLabel"/>
        </w:rPr>
        <w:t>b</w:t>
      </w:r>
      <w:r w:rsidRPr="009C0C9E">
        <w:t xml:space="preserve"> Special schools provide special instruction for students with a physical and/or mental </w:t>
      </w:r>
      <w:r>
        <w:t>disability/</w:t>
      </w:r>
      <w:r w:rsidRPr="009C0C9E">
        <w:t>impairment, or with social problems. Students must exhibit one or more of the following characteristics before enrolment is allowed: mental or physical disability or impairment, slow learning ability, social or emotional problems, and in custody, on remand or in hospital.</w:t>
      </w:r>
      <w:r>
        <w:t xml:space="preserve"> </w:t>
      </w:r>
      <w:r>
        <w:rPr>
          <w:rStyle w:val="NoteLabel"/>
        </w:rPr>
        <w:t xml:space="preserve">c </w:t>
      </w:r>
      <w:r w:rsidRPr="00D868AC">
        <w:t>Excludes special schools.</w:t>
      </w:r>
    </w:p>
    <w:p w:rsidR="0026369A" w:rsidRPr="00825993" w:rsidRDefault="0026369A" w:rsidP="0082251B">
      <w:pPr>
        <w:pStyle w:val="Note"/>
      </w:pPr>
      <w:r w:rsidRPr="009C0C9E">
        <w:rPr>
          <w:b/>
        </w:rPr>
        <w:t>–</w:t>
      </w:r>
      <w:r w:rsidRPr="009C0C9E">
        <w:t xml:space="preserve"> Nil or rounded to </w:t>
      </w:r>
      <w:r w:rsidRPr="00825993">
        <w:t>zero.</w:t>
      </w:r>
    </w:p>
    <w:p w:rsidR="000A54DF" w:rsidRPr="00907BB7" w:rsidRDefault="0026369A" w:rsidP="0082251B">
      <w:pPr>
        <w:pStyle w:val="Source"/>
      </w:pPr>
      <w:r>
        <w:rPr>
          <w:i/>
        </w:rPr>
        <w:t>Source</w:t>
      </w:r>
      <w:r>
        <w:t xml:space="preserve">: </w:t>
      </w:r>
      <w:r w:rsidRPr="00DE354D">
        <w:t>ABS (201</w:t>
      </w:r>
      <w:r w:rsidR="00A01691">
        <w:t>2</w:t>
      </w:r>
      <w:r w:rsidRPr="00DE354D">
        <w:t xml:space="preserve"> and unpublished) </w:t>
      </w:r>
      <w:r w:rsidRPr="00DE354D">
        <w:rPr>
          <w:i/>
        </w:rPr>
        <w:t>Schools</w:t>
      </w:r>
      <w:r>
        <w:rPr>
          <w:i/>
        </w:rPr>
        <w:t xml:space="preserve"> Australia 201</w:t>
      </w:r>
      <w:r w:rsidR="000D4B3A">
        <w:rPr>
          <w:i/>
        </w:rPr>
        <w:t>1</w:t>
      </w:r>
      <w:r>
        <w:rPr>
          <w:i/>
        </w:rPr>
        <w:t xml:space="preserve">, </w:t>
      </w:r>
      <w:r w:rsidR="000D4B3A">
        <w:t>Cat. no. 4221.0, data cube</w:t>
      </w:r>
      <w:r>
        <w:t xml:space="preserve"> NSSC </w:t>
      </w:r>
      <w:proofErr w:type="spellStart"/>
      <w:r>
        <w:t>T35a</w:t>
      </w:r>
      <w:proofErr w:type="spellEnd"/>
      <w:r>
        <w:t>.</w:t>
      </w:r>
    </w:p>
    <w:p w:rsidR="00C41CD3" w:rsidRDefault="00BD0566" w:rsidP="00BD0566">
      <w:pPr>
        <w:pStyle w:val="Heading3"/>
      </w:pPr>
      <w:r>
        <w:br w:type="page"/>
      </w:r>
      <w:r w:rsidR="00A222BD">
        <w:lastRenderedPageBreak/>
        <w:t>NEA o</w:t>
      </w:r>
      <w:r w:rsidR="00C41CD3">
        <w:t>utputs</w:t>
      </w:r>
    </w:p>
    <w:p w:rsidR="00C41CD3" w:rsidRDefault="00C41CD3" w:rsidP="00F225AF">
      <w:pPr>
        <w:pStyle w:val="BodyText"/>
      </w:pPr>
      <w:r w:rsidRPr="00AA6B11">
        <w:t xml:space="preserve">The </w:t>
      </w:r>
      <w:r w:rsidR="00A222BD" w:rsidRPr="00AA6B11">
        <w:t xml:space="preserve">following </w:t>
      </w:r>
      <w:r w:rsidRPr="00AA6B11">
        <w:t xml:space="preserve">outputs </w:t>
      </w:r>
      <w:r w:rsidR="00A222BD" w:rsidRPr="00AA6B11">
        <w:t xml:space="preserve">have been identified </w:t>
      </w:r>
      <w:r w:rsidRPr="00AA6B11">
        <w:t xml:space="preserve">in the NEA </w:t>
      </w:r>
      <w:r w:rsidR="00A222BD" w:rsidRPr="00AA6B11">
        <w:t>as supporting achievement of the NEA outcomes</w:t>
      </w:r>
      <w:r w:rsidRPr="00AA6B11">
        <w:t>:</w:t>
      </w:r>
    </w:p>
    <w:p w:rsidR="00D4326A" w:rsidRDefault="00C41CD3" w:rsidP="00961368">
      <w:pPr>
        <w:pStyle w:val="ListBullet"/>
      </w:pPr>
      <w:r>
        <w:t>Number of studen</w:t>
      </w:r>
      <w:r w:rsidR="00D4326A">
        <w:t>ts enrolled in school</w:t>
      </w:r>
      <w:r w:rsidR="000E1634">
        <w:t>, including e</w:t>
      </w:r>
      <w:r w:rsidR="00D4326A">
        <w:t>nrolled in VET in school</w:t>
      </w:r>
      <w:r w:rsidR="006233FE">
        <w:t xml:space="preserve">, </w:t>
      </w:r>
      <w:r w:rsidR="00D4326A">
        <w:t>disaggregated by:</w:t>
      </w:r>
    </w:p>
    <w:p w:rsidR="00D4326A" w:rsidRDefault="00D4326A" w:rsidP="00961368">
      <w:pPr>
        <w:pStyle w:val="ListBullet2"/>
      </w:pPr>
      <w:r>
        <w:t>school sector</w:t>
      </w:r>
    </w:p>
    <w:p w:rsidR="00D4326A" w:rsidRDefault="00D4326A" w:rsidP="00961368">
      <w:pPr>
        <w:pStyle w:val="ListBullet2"/>
      </w:pPr>
      <w:r>
        <w:t>Indigenous status</w:t>
      </w:r>
    </w:p>
    <w:p w:rsidR="00D4326A" w:rsidRDefault="00D4326A" w:rsidP="00961368">
      <w:pPr>
        <w:pStyle w:val="ListBullet2"/>
      </w:pPr>
      <w:r>
        <w:t>socioeconomic status of schools</w:t>
      </w:r>
      <w:r w:rsidR="00A222BD">
        <w:t>.</w:t>
      </w:r>
    </w:p>
    <w:p w:rsidR="008651AB" w:rsidRDefault="008651AB" w:rsidP="008651AB">
      <w:pPr>
        <w:pStyle w:val="BodyText"/>
      </w:pPr>
      <w:r w:rsidRPr="008651AB">
        <w:t xml:space="preserve">Data for the </w:t>
      </w:r>
      <w:r>
        <w:t xml:space="preserve">NEA outputs for </w:t>
      </w:r>
      <w:r w:rsidR="0026369A">
        <w:t>the current reporting year (2011</w:t>
      </w:r>
      <w:r>
        <w:t>)</w:t>
      </w:r>
      <w:r w:rsidR="00292829">
        <w:t xml:space="preserve"> have been provided</w:t>
      </w:r>
      <w:r w:rsidR="00D94104">
        <w:t xml:space="preserve"> where available</w:t>
      </w:r>
      <w:r w:rsidR="00292829">
        <w:t xml:space="preserve">. </w:t>
      </w:r>
      <w:r w:rsidR="004860DF">
        <w:t xml:space="preserve">At the request of the </w:t>
      </w:r>
      <w:r w:rsidR="00292829">
        <w:t xml:space="preserve">CRC, </w:t>
      </w:r>
      <w:r w:rsidR="004A4038">
        <w:t>historical</w:t>
      </w:r>
      <w:r w:rsidR="00292829">
        <w:t xml:space="preserve"> data have </w:t>
      </w:r>
      <w:r w:rsidR="00C07912">
        <w:t xml:space="preserve">only </w:t>
      </w:r>
      <w:r w:rsidR="00292829">
        <w:t xml:space="preserve">been provided where data </w:t>
      </w:r>
      <w:r w:rsidR="004A4038">
        <w:t xml:space="preserve">are new or </w:t>
      </w:r>
      <w:r w:rsidR="00292829">
        <w:t>have been amended</w:t>
      </w:r>
      <w:r w:rsidR="00641812">
        <w:t xml:space="preserve"> since the previous report.</w:t>
      </w:r>
    </w:p>
    <w:p w:rsidR="00CE6596" w:rsidRDefault="00CE6596" w:rsidP="00A222BD">
      <w:pPr>
        <w:pStyle w:val="Heading4"/>
      </w:pPr>
      <w:r>
        <w:t>Number of students enrolled in school</w:t>
      </w:r>
    </w:p>
    <w:p w:rsidR="0026369A" w:rsidRDefault="0026369A" w:rsidP="0026369A">
      <w:pPr>
        <w:pStyle w:val="BodyText"/>
      </w:pPr>
      <w:r>
        <w:t xml:space="preserve">Full-time equivalent (FTE) student enrolments in primary and secondary schools for 2011 are in </w:t>
      </w:r>
      <w:r w:rsidRPr="00452BDA">
        <w:t>table</w:t>
      </w:r>
      <w:r w:rsidR="002A66B3">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"OLE_LINK7" \a \t </w:instrText>
      </w:r>
      <w:r w:rsidR="002A66B3">
        <w:fldChar w:fldCharType="separate"/>
      </w:r>
      <w:r w:rsidR="002A66B3">
        <w:t>3</w:t>
      </w:r>
      <w:r w:rsidR="002A66B3">
        <w:fldChar w:fldCharType="end"/>
      </w:r>
      <w:r w:rsidRPr="002236EB">
        <w:t xml:space="preserve">. </w:t>
      </w:r>
      <w:r>
        <w:t>Student enrolments include enrolled students studying Vocational Education and Training (VET) in schools.</w:t>
      </w:r>
    </w:p>
    <w:p w:rsidR="0026369A" w:rsidRPr="005B25FA" w:rsidRDefault="0026369A" w:rsidP="0026369A">
      <w:pPr>
        <w:pStyle w:val="BodyText"/>
      </w:pPr>
      <w:r w:rsidRPr="005B25FA">
        <w:t xml:space="preserve">Comparability </w:t>
      </w:r>
      <w:r>
        <w:t>across</w:t>
      </w:r>
      <w:r w:rsidRPr="005B25FA">
        <w:t xml:space="preserve"> states and territories may be affected by differences in the organisation of grades, policy on</w:t>
      </w:r>
      <w:r>
        <w:t xml:space="preserve"> student intake and advancement</w:t>
      </w:r>
      <w:r w:rsidR="006233FE">
        <w:t>,</w:t>
      </w:r>
      <w:r>
        <w:t xml:space="preserve"> and</w:t>
      </w:r>
      <w:r w:rsidRPr="005B25FA">
        <w:t xml:space="preserve"> flows from secondary to vocational education</w:t>
      </w:r>
      <w:r>
        <w:t xml:space="preserve"> (ABS </w:t>
      </w:r>
      <w:proofErr w:type="spellStart"/>
      <w:r>
        <w:t>2012b</w:t>
      </w:r>
      <w:proofErr w:type="spellEnd"/>
      <w:r w:rsidRPr="005B25FA">
        <w:t xml:space="preserve">). In addition, the ACT is </w:t>
      </w:r>
      <w:r>
        <w:t>affected</w:t>
      </w:r>
      <w:r w:rsidRPr="005B25FA">
        <w:t xml:space="preserve"> by cross border us</w:t>
      </w:r>
      <w:r>
        <w:t>e of services, in particular by</w:t>
      </w:r>
      <w:r w:rsidRPr="005B25FA">
        <w:t xml:space="preserve"> NSW students attending ACT schools (ACT </w:t>
      </w:r>
      <w:r>
        <w:t>personal communication</w:t>
      </w:r>
      <w:r w:rsidRPr="005B25FA">
        <w:t>).</w:t>
      </w:r>
    </w:p>
    <w:p w:rsidR="0026369A" w:rsidRDefault="0026369A" w:rsidP="0082251B">
      <w:pPr>
        <w:pStyle w:val="TableTitle"/>
      </w:pPr>
      <w:r>
        <w:rPr>
          <w:b w:val="0"/>
        </w:rPr>
        <w:t xml:space="preserve">Table </w:t>
      </w:r>
      <w:bookmarkStart w:id="8" w:name="OLE_LINK7"/>
      <w:r>
        <w:rPr>
          <w:b w:val="0"/>
        </w:rPr>
        <w:fldChar w:fldCharType="begin"/>
      </w:r>
      <w:r>
        <w:rPr>
          <w:b w:val="0"/>
        </w:rPr>
        <w:instrText xml:space="preserve"> SEQ Table \* ARABIC </w:instrText>
      </w:r>
      <w:r>
        <w:rPr>
          <w:b w:val="0"/>
        </w:rPr>
        <w:fldChar w:fldCharType="separate"/>
      </w:r>
      <w:r w:rsidR="00936B93">
        <w:rPr>
          <w:b w:val="0"/>
          <w:noProof/>
        </w:rPr>
        <w:t>3</w:t>
      </w:r>
      <w:r>
        <w:rPr>
          <w:b w:val="0"/>
        </w:rPr>
        <w:fldChar w:fldCharType="end"/>
      </w:r>
      <w:bookmarkEnd w:id="8"/>
      <w:r>
        <w:tab/>
      </w:r>
      <w:r w:rsidR="00FF3A86">
        <w:t xml:space="preserve">FTE </w:t>
      </w:r>
      <w:r>
        <w:t>student enrolments by level of education,</w:t>
      </w:r>
      <w:r w:rsidR="002A66B3">
        <w:br/>
      </w:r>
      <w:r>
        <w:t>2011 (‘000)</w:t>
      </w:r>
      <w:r w:rsidRPr="00C96BF6">
        <w:rPr>
          <w:rStyle w:val="NoteLabel"/>
          <w:b/>
        </w:rPr>
        <w:t>a, b</w:t>
      </w:r>
    </w:p>
    <w:tbl>
      <w:tblPr>
        <w:tblW w:w="8790" w:type="dxa"/>
        <w:tblLayout w:type="fixed"/>
        <w:tblCellMar>
          <w:left w:w="0" w:type="dxa"/>
          <w:right w:w="0" w:type="dxa"/>
        </w:tblCellMar>
        <w:tblLook w:val="0000" w:firstRow="0" w:lastRow="0" w:firstColumn="0" w:lastColumn="0" w:noHBand="0" w:noVBand="0"/>
      </w:tblPr>
      <w:tblGrid>
        <w:gridCol w:w="1980"/>
        <w:gridCol w:w="898"/>
        <w:gridCol w:w="739"/>
        <w:gridCol w:w="739"/>
        <w:gridCol w:w="739"/>
        <w:gridCol w:w="739"/>
        <w:gridCol w:w="739"/>
        <w:gridCol w:w="739"/>
        <w:gridCol w:w="608"/>
        <w:gridCol w:w="870"/>
      </w:tblGrid>
      <w:tr w:rsidR="0026369A" w:rsidTr="0026369A">
        <w:tc>
          <w:tcPr>
            <w:tcW w:w="1980" w:type="dxa"/>
            <w:tcBorders>
              <w:top w:val="single" w:sz="6" w:space="0" w:color="auto"/>
              <w:bottom w:val="single" w:sz="6" w:space="0" w:color="auto"/>
            </w:tcBorders>
            <w:shd w:val="clear" w:color="auto" w:fill="auto"/>
          </w:tcPr>
          <w:p w:rsidR="0026369A" w:rsidRDefault="0026369A" w:rsidP="0026369A">
            <w:pPr>
              <w:pStyle w:val="TableColumnHeading"/>
              <w:jc w:val="left"/>
            </w:pPr>
          </w:p>
        </w:tc>
        <w:tc>
          <w:tcPr>
            <w:tcW w:w="898" w:type="dxa"/>
            <w:tcBorders>
              <w:top w:val="single" w:sz="6" w:space="0" w:color="auto"/>
              <w:bottom w:val="single" w:sz="6" w:space="0" w:color="auto"/>
            </w:tcBorders>
            <w:shd w:val="clear" w:color="auto" w:fill="auto"/>
          </w:tcPr>
          <w:p w:rsidR="0026369A" w:rsidRPr="009C2A4F" w:rsidRDefault="0026369A" w:rsidP="0026369A">
            <w:pPr>
              <w:pStyle w:val="TableColumnHeading"/>
            </w:pPr>
            <w:r w:rsidRPr="009C2A4F">
              <w:t>NSW</w:t>
            </w:r>
          </w:p>
        </w:tc>
        <w:tc>
          <w:tcPr>
            <w:tcW w:w="739" w:type="dxa"/>
            <w:tcBorders>
              <w:top w:val="single" w:sz="6" w:space="0" w:color="auto"/>
              <w:bottom w:val="single" w:sz="6" w:space="0" w:color="auto"/>
            </w:tcBorders>
            <w:shd w:val="clear" w:color="auto" w:fill="auto"/>
          </w:tcPr>
          <w:p w:rsidR="0026369A" w:rsidRPr="009C2A4F" w:rsidRDefault="0026369A" w:rsidP="0026369A">
            <w:pPr>
              <w:pStyle w:val="TableColumnHeading"/>
            </w:pPr>
            <w:r w:rsidRPr="009C2A4F">
              <w:t>Vic</w:t>
            </w:r>
          </w:p>
        </w:tc>
        <w:tc>
          <w:tcPr>
            <w:tcW w:w="739" w:type="dxa"/>
            <w:tcBorders>
              <w:top w:val="single" w:sz="6" w:space="0" w:color="auto"/>
              <w:bottom w:val="single" w:sz="6" w:space="0" w:color="auto"/>
            </w:tcBorders>
            <w:shd w:val="clear" w:color="auto" w:fill="auto"/>
          </w:tcPr>
          <w:p w:rsidR="0026369A" w:rsidRPr="009C2A4F" w:rsidRDefault="0026369A" w:rsidP="0026369A">
            <w:pPr>
              <w:pStyle w:val="TableColumnHeading"/>
            </w:pPr>
            <w:r w:rsidRPr="009C2A4F">
              <w:t>Qld</w:t>
            </w:r>
          </w:p>
        </w:tc>
        <w:tc>
          <w:tcPr>
            <w:tcW w:w="739" w:type="dxa"/>
            <w:tcBorders>
              <w:top w:val="single" w:sz="6" w:space="0" w:color="auto"/>
              <w:bottom w:val="single" w:sz="6" w:space="0" w:color="auto"/>
            </w:tcBorders>
            <w:shd w:val="clear" w:color="auto" w:fill="auto"/>
          </w:tcPr>
          <w:p w:rsidR="0026369A" w:rsidRPr="009C2A4F" w:rsidRDefault="0026369A" w:rsidP="0026369A">
            <w:pPr>
              <w:pStyle w:val="TableColumnHeading"/>
            </w:pPr>
            <w:r w:rsidRPr="009C2A4F">
              <w:t>WA</w:t>
            </w:r>
          </w:p>
        </w:tc>
        <w:tc>
          <w:tcPr>
            <w:tcW w:w="739" w:type="dxa"/>
            <w:tcBorders>
              <w:top w:val="single" w:sz="6" w:space="0" w:color="auto"/>
              <w:bottom w:val="single" w:sz="6" w:space="0" w:color="auto"/>
            </w:tcBorders>
            <w:shd w:val="clear" w:color="auto" w:fill="auto"/>
          </w:tcPr>
          <w:p w:rsidR="0026369A" w:rsidRPr="009C2A4F" w:rsidRDefault="0026369A" w:rsidP="0026369A">
            <w:pPr>
              <w:pStyle w:val="TableColumnHeading"/>
            </w:pPr>
            <w:r w:rsidRPr="009C2A4F">
              <w:t>SA</w:t>
            </w:r>
          </w:p>
        </w:tc>
        <w:tc>
          <w:tcPr>
            <w:tcW w:w="739" w:type="dxa"/>
            <w:tcBorders>
              <w:top w:val="single" w:sz="6" w:space="0" w:color="auto"/>
              <w:bottom w:val="single" w:sz="6" w:space="0" w:color="auto"/>
            </w:tcBorders>
            <w:shd w:val="clear" w:color="auto" w:fill="auto"/>
          </w:tcPr>
          <w:p w:rsidR="0026369A" w:rsidRPr="009C2A4F" w:rsidRDefault="0026369A" w:rsidP="0026369A">
            <w:pPr>
              <w:pStyle w:val="TableColumnHeading"/>
            </w:pPr>
            <w:r w:rsidRPr="009C2A4F">
              <w:t>Tas</w:t>
            </w:r>
          </w:p>
        </w:tc>
        <w:tc>
          <w:tcPr>
            <w:tcW w:w="739" w:type="dxa"/>
            <w:tcBorders>
              <w:top w:val="single" w:sz="6" w:space="0" w:color="auto"/>
              <w:bottom w:val="single" w:sz="6" w:space="0" w:color="auto"/>
            </w:tcBorders>
            <w:shd w:val="clear" w:color="auto" w:fill="auto"/>
          </w:tcPr>
          <w:p w:rsidR="0026369A" w:rsidRPr="009C2A4F" w:rsidRDefault="0026369A" w:rsidP="0026369A">
            <w:pPr>
              <w:pStyle w:val="TableColumnHeading"/>
            </w:pPr>
            <w:r w:rsidRPr="009C2A4F">
              <w:t>ACT</w:t>
            </w:r>
          </w:p>
        </w:tc>
        <w:tc>
          <w:tcPr>
            <w:tcW w:w="608" w:type="dxa"/>
            <w:tcBorders>
              <w:top w:val="single" w:sz="6" w:space="0" w:color="auto"/>
              <w:bottom w:val="single" w:sz="6" w:space="0" w:color="auto"/>
            </w:tcBorders>
            <w:shd w:val="clear" w:color="auto" w:fill="auto"/>
          </w:tcPr>
          <w:p w:rsidR="0026369A" w:rsidRPr="009C2A4F" w:rsidRDefault="0026369A" w:rsidP="0026369A">
            <w:pPr>
              <w:pStyle w:val="TableColumnHeading"/>
            </w:pPr>
            <w:r w:rsidRPr="009C2A4F">
              <w:t>NT</w:t>
            </w:r>
          </w:p>
        </w:tc>
        <w:tc>
          <w:tcPr>
            <w:tcW w:w="870" w:type="dxa"/>
            <w:tcBorders>
              <w:top w:val="single" w:sz="6" w:space="0" w:color="auto"/>
              <w:bottom w:val="single" w:sz="6" w:space="0" w:color="auto"/>
            </w:tcBorders>
            <w:shd w:val="clear" w:color="auto" w:fill="auto"/>
          </w:tcPr>
          <w:p w:rsidR="0026369A" w:rsidRDefault="0026369A" w:rsidP="0026369A">
            <w:pPr>
              <w:pStyle w:val="TableColumnHeading"/>
              <w:ind w:right="0"/>
            </w:pPr>
            <w:proofErr w:type="spellStart"/>
            <w:r w:rsidRPr="009C2A4F">
              <w:t>Aust</w:t>
            </w:r>
            <w:proofErr w:type="spellEnd"/>
          </w:p>
        </w:tc>
      </w:tr>
      <w:tr w:rsidR="0026369A" w:rsidTr="0026369A">
        <w:tc>
          <w:tcPr>
            <w:tcW w:w="7920" w:type="dxa"/>
            <w:gridSpan w:val="9"/>
          </w:tcPr>
          <w:p w:rsidR="0026369A" w:rsidRPr="00BE5140" w:rsidRDefault="0026369A" w:rsidP="0026369A">
            <w:pPr>
              <w:pStyle w:val="TableBodyText"/>
              <w:spacing w:before="80" w:after="80"/>
              <w:jc w:val="left"/>
            </w:pPr>
            <w:r w:rsidRPr="00BE5140">
              <w:t>Total FTE student enrolments at</w:t>
            </w:r>
            <w:r>
              <w:t xml:space="preserve"> level of education</w:t>
            </w:r>
          </w:p>
        </w:tc>
        <w:tc>
          <w:tcPr>
            <w:tcW w:w="870" w:type="dxa"/>
          </w:tcPr>
          <w:p w:rsidR="0026369A" w:rsidRPr="00BE5140" w:rsidRDefault="0026369A" w:rsidP="0026369A">
            <w:pPr>
              <w:pStyle w:val="TableBodyText"/>
              <w:ind w:right="0"/>
            </w:pPr>
          </w:p>
        </w:tc>
      </w:tr>
      <w:tr w:rsidR="000D4B3A" w:rsidTr="000D4B3A">
        <w:tc>
          <w:tcPr>
            <w:tcW w:w="1980" w:type="dxa"/>
          </w:tcPr>
          <w:p w:rsidR="000D4B3A" w:rsidRPr="00BE5140" w:rsidRDefault="000D4B3A" w:rsidP="0026369A">
            <w:pPr>
              <w:pStyle w:val="TableBodyText"/>
              <w:ind w:left="136"/>
              <w:jc w:val="left"/>
            </w:pPr>
            <w:r w:rsidRPr="00BE5140">
              <w:t>Primary schools</w:t>
            </w:r>
          </w:p>
        </w:tc>
        <w:tc>
          <w:tcPr>
            <w:tcW w:w="898" w:type="dxa"/>
            <w:vAlign w:val="center"/>
          </w:tcPr>
          <w:p w:rsidR="000D4B3A" w:rsidRPr="001E3C2C" w:rsidRDefault="000D4B3A" w:rsidP="001E3C2C">
            <w:pPr>
              <w:pStyle w:val="TableBodyText"/>
            </w:pPr>
            <w:r w:rsidRPr="001E3C2C">
              <w:t xml:space="preserve">  627.4</w:t>
            </w:r>
          </w:p>
        </w:tc>
        <w:tc>
          <w:tcPr>
            <w:tcW w:w="739" w:type="dxa"/>
            <w:vAlign w:val="center"/>
          </w:tcPr>
          <w:p w:rsidR="000D4B3A" w:rsidRPr="001E3C2C" w:rsidRDefault="000D4B3A" w:rsidP="001E3C2C">
            <w:pPr>
              <w:pStyle w:val="TableBodyText"/>
            </w:pPr>
            <w:r w:rsidRPr="001E3C2C">
              <w:t xml:space="preserve">  468.2</w:t>
            </w:r>
          </w:p>
        </w:tc>
        <w:tc>
          <w:tcPr>
            <w:tcW w:w="739" w:type="dxa"/>
            <w:vAlign w:val="center"/>
          </w:tcPr>
          <w:p w:rsidR="000D4B3A" w:rsidRPr="001E3C2C" w:rsidRDefault="000D4B3A" w:rsidP="001E3C2C">
            <w:pPr>
              <w:pStyle w:val="TableBodyText"/>
            </w:pPr>
            <w:r w:rsidRPr="001E3C2C">
              <w:t xml:space="preserve">  451.5</w:t>
            </w:r>
          </w:p>
        </w:tc>
        <w:tc>
          <w:tcPr>
            <w:tcW w:w="739" w:type="dxa"/>
            <w:vAlign w:val="center"/>
          </w:tcPr>
          <w:p w:rsidR="000D4B3A" w:rsidRPr="001E3C2C" w:rsidRDefault="000D4B3A" w:rsidP="001E3C2C">
            <w:pPr>
              <w:pStyle w:val="TableBodyText"/>
            </w:pPr>
            <w:r w:rsidRPr="001E3C2C">
              <w:t xml:space="preserve">  235.2</w:t>
            </w:r>
          </w:p>
        </w:tc>
        <w:tc>
          <w:tcPr>
            <w:tcW w:w="739" w:type="dxa"/>
            <w:vAlign w:val="center"/>
          </w:tcPr>
          <w:p w:rsidR="000D4B3A" w:rsidRPr="001E3C2C" w:rsidRDefault="000D4B3A" w:rsidP="001E3C2C">
            <w:pPr>
              <w:pStyle w:val="TableBodyText"/>
            </w:pPr>
            <w:r w:rsidRPr="001E3C2C">
              <w:t xml:space="preserve">  157.1</w:t>
            </w:r>
          </w:p>
        </w:tc>
        <w:tc>
          <w:tcPr>
            <w:tcW w:w="739" w:type="dxa"/>
            <w:vAlign w:val="center"/>
          </w:tcPr>
          <w:p w:rsidR="000D4B3A" w:rsidRPr="001E3C2C" w:rsidRDefault="000D4B3A" w:rsidP="001E3C2C">
            <w:pPr>
              <w:pStyle w:val="TableBodyText"/>
            </w:pPr>
            <w:r w:rsidRPr="001E3C2C">
              <w:t xml:space="preserve">  43.8</w:t>
            </w:r>
          </w:p>
        </w:tc>
        <w:tc>
          <w:tcPr>
            <w:tcW w:w="739" w:type="dxa"/>
            <w:vAlign w:val="center"/>
          </w:tcPr>
          <w:p w:rsidR="000D4B3A" w:rsidRPr="001E3C2C" w:rsidRDefault="000D4B3A" w:rsidP="001E3C2C">
            <w:pPr>
              <w:pStyle w:val="TableBodyText"/>
            </w:pPr>
            <w:r w:rsidRPr="001E3C2C">
              <w:t xml:space="preserve">  32.1</w:t>
            </w:r>
          </w:p>
        </w:tc>
        <w:tc>
          <w:tcPr>
            <w:tcW w:w="608" w:type="dxa"/>
            <w:vAlign w:val="center"/>
          </w:tcPr>
          <w:p w:rsidR="000D4B3A" w:rsidRPr="001E3C2C" w:rsidRDefault="000D4B3A" w:rsidP="001E3C2C">
            <w:pPr>
              <w:pStyle w:val="TableBodyText"/>
            </w:pPr>
            <w:r w:rsidRPr="001E3C2C">
              <w:t xml:space="preserve"> 23.7</w:t>
            </w:r>
          </w:p>
        </w:tc>
        <w:tc>
          <w:tcPr>
            <w:tcW w:w="870" w:type="dxa"/>
            <w:vAlign w:val="center"/>
          </w:tcPr>
          <w:p w:rsidR="000D4B3A" w:rsidRPr="00A25FEC" w:rsidRDefault="000D4B3A" w:rsidP="00A25FEC">
            <w:pPr>
              <w:pStyle w:val="TableColumnHeading"/>
              <w:spacing w:before="0" w:after="40"/>
              <w:ind w:right="0"/>
              <w:rPr>
                <w:i w:val="0"/>
              </w:rPr>
            </w:pPr>
            <w:r w:rsidRPr="00A25FEC">
              <w:rPr>
                <w:i w:val="0"/>
              </w:rPr>
              <w:t xml:space="preserve"> 2 039.1</w:t>
            </w:r>
          </w:p>
        </w:tc>
      </w:tr>
      <w:tr w:rsidR="000D4B3A" w:rsidTr="000D4B3A">
        <w:tc>
          <w:tcPr>
            <w:tcW w:w="1980" w:type="dxa"/>
          </w:tcPr>
          <w:p w:rsidR="000D4B3A" w:rsidRPr="00BE5140" w:rsidRDefault="000D4B3A" w:rsidP="0026369A">
            <w:pPr>
              <w:pStyle w:val="TableBodyText"/>
              <w:ind w:left="136"/>
              <w:jc w:val="left"/>
            </w:pPr>
            <w:r w:rsidRPr="00BE5140">
              <w:t>Secondary schools</w:t>
            </w:r>
          </w:p>
        </w:tc>
        <w:tc>
          <w:tcPr>
            <w:tcW w:w="898" w:type="dxa"/>
            <w:vAlign w:val="center"/>
          </w:tcPr>
          <w:p w:rsidR="000D4B3A" w:rsidRPr="001E3C2C" w:rsidRDefault="000D4B3A" w:rsidP="001E3C2C">
            <w:pPr>
              <w:pStyle w:val="TableBodyText"/>
            </w:pPr>
            <w:r w:rsidRPr="001E3C2C">
              <w:t xml:space="preserve">  502.3</w:t>
            </w:r>
          </w:p>
        </w:tc>
        <w:tc>
          <w:tcPr>
            <w:tcW w:w="739" w:type="dxa"/>
            <w:vAlign w:val="center"/>
          </w:tcPr>
          <w:p w:rsidR="000D4B3A" w:rsidRPr="001E3C2C" w:rsidRDefault="000D4B3A" w:rsidP="001E3C2C">
            <w:pPr>
              <w:pStyle w:val="TableBodyText"/>
            </w:pPr>
            <w:r w:rsidRPr="001E3C2C">
              <w:t xml:space="preserve">  389.4</w:t>
            </w:r>
          </w:p>
        </w:tc>
        <w:tc>
          <w:tcPr>
            <w:tcW w:w="739" w:type="dxa"/>
            <w:vAlign w:val="center"/>
          </w:tcPr>
          <w:p w:rsidR="000D4B3A" w:rsidRPr="001E3C2C" w:rsidRDefault="000D4B3A" w:rsidP="001E3C2C">
            <w:pPr>
              <w:pStyle w:val="TableBodyText"/>
            </w:pPr>
            <w:r w:rsidRPr="001E3C2C">
              <w:t xml:space="preserve">  284.6</w:t>
            </w:r>
          </w:p>
        </w:tc>
        <w:tc>
          <w:tcPr>
            <w:tcW w:w="739" w:type="dxa"/>
            <w:vAlign w:val="center"/>
          </w:tcPr>
          <w:p w:rsidR="000D4B3A" w:rsidRPr="001E3C2C" w:rsidRDefault="000D4B3A" w:rsidP="001E3C2C">
            <w:pPr>
              <w:pStyle w:val="TableBodyText"/>
            </w:pPr>
            <w:r w:rsidRPr="001E3C2C">
              <w:t xml:space="preserve">  129.5</w:t>
            </w:r>
          </w:p>
        </w:tc>
        <w:tc>
          <w:tcPr>
            <w:tcW w:w="739" w:type="dxa"/>
            <w:vAlign w:val="center"/>
          </w:tcPr>
          <w:p w:rsidR="000D4B3A" w:rsidRPr="001E3C2C" w:rsidRDefault="000D4B3A" w:rsidP="001E3C2C">
            <w:pPr>
              <w:pStyle w:val="TableBodyText"/>
            </w:pPr>
            <w:r w:rsidRPr="001E3C2C">
              <w:t xml:space="preserve">  101.8</w:t>
            </w:r>
          </w:p>
        </w:tc>
        <w:tc>
          <w:tcPr>
            <w:tcW w:w="739" w:type="dxa"/>
            <w:vAlign w:val="center"/>
          </w:tcPr>
          <w:p w:rsidR="000D4B3A" w:rsidRPr="001E3C2C" w:rsidRDefault="000D4B3A" w:rsidP="001E3C2C">
            <w:pPr>
              <w:pStyle w:val="TableBodyText"/>
            </w:pPr>
            <w:r w:rsidRPr="001E3C2C">
              <w:t xml:space="preserve">  38.3</w:t>
            </w:r>
          </w:p>
        </w:tc>
        <w:tc>
          <w:tcPr>
            <w:tcW w:w="739" w:type="dxa"/>
            <w:vAlign w:val="center"/>
          </w:tcPr>
          <w:p w:rsidR="000D4B3A" w:rsidRPr="001E3C2C" w:rsidRDefault="000D4B3A" w:rsidP="001E3C2C">
            <w:pPr>
              <w:pStyle w:val="TableBodyText"/>
            </w:pPr>
            <w:r w:rsidRPr="001E3C2C">
              <w:t xml:space="preserve">  28.9</w:t>
            </w:r>
          </w:p>
        </w:tc>
        <w:tc>
          <w:tcPr>
            <w:tcW w:w="608" w:type="dxa"/>
            <w:vAlign w:val="center"/>
          </w:tcPr>
          <w:p w:rsidR="000D4B3A" w:rsidRPr="001E3C2C" w:rsidRDefault="000D4B3A" w:rsidP="001E3C2C">
            <w:pPr>
              <w:pStyle w:val="TableBodyText"/>
            </w:pPr>
            <w:r w:rsidRPr="001E3C2C">
              <w:t xml:space="preserve"> 15.7</w:t>
            </w:r>
          </w:p>
        </w:tc>
        <w:tc>
          <w:tcPr>
            <w:tcW w:w="870" w:type="dxa"/>
            <w:vAlign w:val="center"/>
          </w:tcPr>
          <w:p w:rsidR="000D4B3A" w:rsidRPr="00A25FEC" w:rsidRDefault="000D4B3A" w:rsidP="00A25FEC">
            <w:pPr>
              <w:pStyle w:val="TableColumnHeading"/>
              <w:spacing w:before="0" w:after="40"/>
              <w:ind w:right="0"/>
              <w:rPr>
                <w:i w:val="0"/>
              </w:rPr>
            </w:pPr>
            <w:r w:rsidRPr="00A25FEC">
              <w:rPr>
                <w:i w:val="0"/>
              </w:rPr>
              <w:t xml:space="preserve"> 1 490.5</w:t>
            </w:r>
          </w:p>
        </w:tc>
      </w:tr>
      <w:tr w:rsidR="000D4B3A" w:rsidRPr="00A25FEC" w:rsidTr="000D4B3A">
        <w:tc>
          <w:tcPr>
            <w:tcW w:w="1980" w:type="dxa"/>
            <w:tcBorders>
              <w:bottom w:val="single" w:sz="4" w:space="0" w:color="auto"/>
            </w:tcBorders>
          </w:tcPr>
          <w:p w:rsidR="000D4B3A" w:rsidRPr="00BE5140" w:rsidRDefault="000D4B3A" w:rsidP="0026369A">
            <w:pPr>
              <w:pStyle w:val="TableBodyText"/>
              <w:ind w:left="136"/>
              <w:jc w:val="left"/>
              <w:rPr>
                <w:b/>
              </w:rPr>
            </w:pPr>
            <w:r w:rsidRPr="00BE5140">
              <w:rPr>
                <w:b/>
              </w:rPr>
              <w:t>All schools</w:t>
            </w:r>
          </w:p>
        </w:tc>
        <w:tc>
          <w:tcPr>
            <w:tcW w:w="898" w:type="dxa"/>
            <w:tcBorders>
              <w:bottom w:val="single" w:sz="4" w:space="0" w:color="auto"/>
            </w:tcBorders>
            <w:vAlign w:val="center"/>
          </w:tcPr>
          <w:p w:rsidR="000D4B3A" w:rsidRPr="001E3C2C" w:rsidRDefault="000D4B3A" w:rsidP="001E3C2C">
            <w:pPr>
              <w:pStyle w:val="TableBodyText"/>
              <w:rPr>
                <w:b/>
              </w:rPr>
            </w:pPr>
            <w:r w:rsidRPr="001E3C2C">
              <w:rPr>
                <w:b/>
              </w:rPr>
              <w:t xml:space="preserve"> 1 129.7</w:t>
            </w:r>
          </w:p>
        </w:tc>
        <w:tc>
          <w:tcPr>
            <w:tcW w:w="739" w:type="dxa"/>
            <w:tcBorders>
              <w:bottom w:val="single" w:sz="4" w:space="0" w:color="auto"/>
            </w:tcBorders>
            <w:vAlign w:val="center"/>
          </w:tcPr>
          <w:p w:rsidR="000D4B3A" w:rsidRPr="001E3C2C" w:rsidRDefault="000D4B3A" w:rsidP="001E3C2C">
            <w:pPr>
              <w:pStyle w:val="TableBodyText"/>
              <w:rPr>
                <w:b/>
              </w:rPr>
            </w:pPr>
            <w:r w:rsidRPr="001E3C2C">
              <w:rPr>
                <w:b/>
              </w:rPr>
              <w:t xml:space="preserve">  857.7</w:t>
            </w:r>
          </w:p>
        </w:tc>
        <w:tc>
          <w:tcPr>
            <w:tcW w:w="739" w:type="dxa"/>
            <w:tcBorders>
              <w:bottom w:val="single" w:sz="4" w:space="0" w:color="auto"/>
            </w:tcBorders>
            <w:vAlign w:val="center"/>
          </w:tcPr>
          <w:p w:rsidR="000D4B3A" w:rsidRPr="001E3C2C" w:rsidRDefault="000D4B3A" w:rsidP="001E3C2C">
            <w:pPr>
              <w:pStyle w:val="TableBodyText"/>
              <w:rPr>
                <w:b/>
              </w:rPr>
            </w:pPr>
            <w:r w:rsidRPr="001E3C2C">
              <w:rPr>
                <w:b/>
              </w:rPr>
              <w:t xml:space="preserve">  736.1</w:t>
            </w:r>
          </w:p>
        </w:tc>
        <w:tc>
          <w:tcPr>
            <w:tcW w:w="739" w:type="dxa"/>
            <w:tcBorders>
              <w:bottom w:val="single" w:sz="4" w:space="0" w:color="auto"/>
            </w:tcBorders>
            <w:vAlign w:val="center"/>
          </w:tcPr>
          <w:p w:rsidR="000D4B3A" w:rsidRPr="001E3C2C" w:rsidRDefault="000D4B3A" w:rsidP="001E3C2C">
            <w:pPr>
              <w:pStyle w:val="TableBodyText"/>
              <w:rPr>
                <w:b/>
              </w:rPr>
            </w:pPr>
            <w:r w:rsidRPr="001E3C2C">
              <w:rPr>
                <w:b/>
              </w:rPr>
              <w:t xml:space="preserve">  364.6</w:t>
            </w:r>
          </w:p>
        </w:tc>
        <w:tc>
          <w:tcPr>
            <w:tcW w:w="739" w:type="dxa"/>
            <w:tcBorders>
              <w:bottom w:val="single" w:sz="4" w:space="0" w:color="auto"/>
            </w:tcBorders>
            <w:vAlign w:val="center"/>
          </w:tcPr>
          <w:p w:rsidR="000D4B3A" w:rsidRPr="001E3C2C" w:rsidRDefault="000D4B3A" w:rsidP="001E3C2C">
            <w:pPr>
              <w:pStyle w:val="TableBodyText"/>
              <w:rPr>
                <w:b/>
              </w:rPr>
            </w:pPr>
            <w:r w:rsidRPr="001E3C2C">
              <w:rPr>
                <w:b/>
              </w:rPr>
              <w:t xml:space="preserve">  258.9</w:t>
            </w:r>
          </w:p>
        </w:tc>
        <w:tc>
          <w:tcPr>
            <w:tcW w:w="739" w:type="dxa"/>
            <w:tcBorders>
              <w:bottom w:val="single" w:sz="4" w:space="0" w:color="auto"/>
            </w:tcBorders>
            <w:vAlign w:val="center"/>
          </w:tcPr>
          <w:p w:rsidR="000D4B3A" w:rsidRPr="001E3C2C" w:rsidRDefault="000D4B3A" w:rsidP="001E3C2C">
            <w:pPr>
              <w:pStyle w:val="TableBodyText"/>
              <w:rPr>
                <w:b/>
              </w:rPr>
            </w:pPr>
            <w:r w:rsidRPr="001E3C2C">
              <w:rPr>
                <w:b/>
              </w:rPr>
              <w:t xml:space="preserve">  82.2</w:t>
            </w:r>
          </w:p>
        </w:tc>
        <w:tc>
          <w:tcPr>
            <w:tcW w:w="739" w:type="dxa"/>
            <w:tcBorders>
              <w:bottom w:val="single" w:sz="4" w:space="0" w:color="auto"/>
            </w:tcBorders>
            <w:vAlign w:val="center"/>
          </w:tcPr>
          <w:p w:rsidR="000D4B3A" w:rsidRPr="001E3C2C" w:rsidRDefault="000D4B3A" w:rsidP="001E3C2C">
            <w:pPr>
              <w:pStyle w:val="TableBodyText"/>
              <w:rPr>
                <w:b/>
              </w:rPr>
            </w:pPr>
            <w:r w:rsidRPr="001E3C2C">
              <w:rPr>
                <w:b/>
              </w:rPr>
              <w:t xml:space="preserve">  60.9</w:t>
            </w:r>
          </w:p>
        </w:tc>
        <w:tc>
          <w:tcPr>
            <w:tcW w:w="608" w:type="dxa"/>
            <w:tcBorders>
              <w:bottom w:val="single" w:sz="4" w:space="0" w:color="auto"/>
            </w:tcBorders>
            <w:vAlign w:val="center"/>
          </w:tcPr>
          <w:p w:rsidR="000D4B3A" w:rsidRPr="001E3C2C" w:rsidRDefault="000D4B3A" w:rsidP="001E3C2C">
            <w:pPr>
              <w:pStyle w:val="TableBodyText"/>
              <w:rPr>
                <w:b/>
              </w:rPr>
            </w:pPr>
            <w:r w:rsidRPr="001E3C2C">
              <w:rPr>
                <w:b/>
              </w:rPr>
              <w:t xml:space="preserve"> 39.5</w:t>
            </w:r>
          </w:p>
        </w:tc>
        <w:tc>
          <w:tcPr>
            <w:tcW w:w="870" w:type="dxa"/>
            <w:tcBorders>
              <w:bottom w:val="single" w:sz="4" w:space="0" w:color="auto"/>
            </w:tcBorders>
            <w:vAlign w:val="center"/>
          </w:tcPr>
          <w:p w:rsidR="000D4B3A" w:rsidRPr="00A25FEC" w:rsidRDefault="000D4B3A" w:rsidP="00A25FEC">
            <w:pPr>
              <w:pStyle w:val="TableColumnHeading"/>
              <w:spacing w:before="0" w:after="40"/>
              <w:ind w:right="0"/>
              <w:rPr>
                <w:b/>
                <w:i w:val="0"/>
              </w:rPr>
            </w:pPr>
            <w:r w:rsidRPr="00A25FEC">
              <w:rPr>
                <w:b/>
                <w:i w:val="0"/>
              </w:rPr>
              <w:t xml:space="preserve"> 3 529.5</w:t>
            </w:r>
          </w:p>
        </w:tc>
      </w:tr>
    </w:tbl>
    <w:p w:rsidR="0026369A" w:rsidRDefault="0026369A" w:rsidP="0082251B">
      <w:pPr>
        <w:pStyle w:val="Note"/>
      </w:pPr>
      <w:proofErr w:type="spellStart"/>
      <w:r w:rsidRPr="00C96BF6">
        <w:rPr>
          <w:rStyle w:val="NoteLabel"/>
        </w:rPr>
        <w:t>a</w:t>
      </w:r>
      <w:proofErr w:type="spellEnd"/>
      <w:r>
        <w:sym w:font="Symbol" w:char="F020"/>
      </w:r>
      <w:r>
        <w:t>Includes students enrolled in special schools. Ungraded students are allocated to either primary or secondary school, depending on the age</w:t>
      </w:r>
      <w:r w:rsidR="00852A68">
        <w:t xml:space="preserve"> level in each jurisdiction</w:t>
      </w:r>
      <w:r>
        <w:t xml:space="preserve">. </w:t>
      </w:r>
      <w:r w:rsidRPr="00C96BF6">
        <w:rPr>
          <w:rStyle w:val="NoteLabel"/>
        </w:rPr>
        <w:t>b</w:t>
      </w:r>
      <w:r>
        <w:t xml:space="preserve"> Results of calculations may vary from the tab</w:t>
      </w:r>
      <w:r w:rsidR="00CE44B1">
        <w:t>le due to rounding differences.</w:t>
      </w:r>
    </w:p>
    <w:p w:rsidR="0026369A" w:rsidRPr="00C96BF6" w:rsidRDefault="0026369A" w:rsidP="0082251B">
      <w:pPr>
        <w:pStyle w:val="Source"/>
      </w:pPr>
      <w:r>
        <w:rPr>
          <w:i/>
        </w:rPr>
        <w:t>Source</w:t>
      </w:r>
      <w:r>
        <w:t xml:space="preserve">: </w:t>
      </w:r>
      <w:bookmarkStart w:id="9" w:name="OLE_LINK14"/>
      <w:bookmarkStart w:id="10" w:name="OLE_LINK16"/>
      <w:r>
        <w:t>ABS (</w:t>
      </w:r>
      <w:r w:rsidRPr="00DE354D">
        <w:t>201</w:t>
      </w:r>
      <w:r w:rsidR="00A01691">
        <w:t>2</w:t>
      </w:r>
      <w:r w:rsidRPr="00DE354D">
        <w:t xml:space="preserve"> and unpublished) </w:t>
      </w:r>
      <w:r w:rsidRPr="00DE354D">
        <w:rPr>
          <w:i/>
        </w:rPr>
        <w:t>Schools, Australia, 2011</w:t>
      </w:r>
      <w:r w:rsidRPr="00DE354D">
        <w:t>, Cat. no. 4221.0.</w:t>
      </w:r>
    </w:p>
    <w:bookmarkEnd w:id="9"/>
    <w:bookmarkEnd w:id="10"/>
    <w:p w:rsidR="00EA4F32" w:rsidRDefault="00EA4F32" w:rsidP="00EA4F32">
      <w:pPr>
        <w:pStyle w:val="Heading4"/>
      </w:pPr>
      <w:r>
        <w:lastRenderedPageBreak/>
        <w:t>Number of students enrolled in school by school sector</w:t>
      </w:r>
    </w:p>
    <w:p w:rsidR="0026369A" w:rsidRDefault="0026369A" w:rsidP="0026369A">
      <w:pPr>
        <w:pStyle w:val="BodyText"/>
      </w:pPr>
      <w:r>
        <w:t xml:space="preserve">FTE student enrolments in government and non-government schools for 2011 are in </w:t>
      </w:r>
      <w:r w:rsidRPr="00452BDA">
        <w:t>table</w:t>
      </w:r>
      <w:r w:rsidR="002A66B3">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"OLE_LINK8" \a \t </w:instrText>
      </w:r>
      <w:r w:rsidR="002A66B3">
        <w:fldChar w:fldCharType="separate"/>
      </w:r>
      <w:r w:rsidR="002A66B3">
        <w:t>4</w:t>
      </w:r>
      <w:r w:rsidR="002A66B3">
        <w:fldChar w:fldCharType="end"/>
      </w:r>
      <w:r w:rsidR="00CE44B1">
        <w:t>.</w:t>
      </w:r>
    </w:p>
    <w:p w:rsidR="0026369A" w:rsidRDefault="0026369A" w:rsidP="0082251B">
      <w:pPr>
        <w:pStyle w:val="TableTitle"/>
      </w:pPr>
      <w:r>
        <w:rPr>
          <w:b w:val="0"/>
        </w:rPr>
        <w:t xml:space="preserve">Table </w:t>
      </w:r>
      <w:bookmarkStart w:id="11" w:name="OLE_LINK8"/>
      <w:r>
        <w:rPr>
          <w:b w:val="0"/>
        </w:rPr>
        <w:fldChar w:fldCharType="begin"/>
      </w:r>
      <w:r>
        <w:rPr>
          <w:b w:val="0"/>
        </w:rPr>
        <w:instrText xml:space="preserve"> SEQ Table \* ARABIC </w:instrText>
      </w:r>
      <w:r>
        <w:rPr>
          <w:b w:val="0"/>
        </w:rPr>
        <w:fldChar w:fldCharType="separate"/>
      </w:r>
      <w:r w:rsidR="00936B93">
        <w:rPr>
          <w:b w:val="0"/>
          <w:noProof/>
        </w:rPr>
        <w:t>4</w:t>
      </w:r>
      <w:r>
        <w:rPr>
          <w:b w:val="0"/>
        </w:rPr>
        <w:fldChar w:fldCharType="end"/>
      </w:r>
      <w:bookmarkEnd w:id="11"/>
      <w:r>
        <w:tab/>
        <w:t>Number and proportion of FTE students who were enrolled in government and non-government schools, by level of education, 2011</w:t>
      </w:r>
      <w:r w:rsidRPr="00C96BF6">
        <w:rPr>
          <w:rStyle w:val="NoteLabel"/>
          <w:b/>
        </w:rPr>
        <w:t>a, b</w:t>
      </w:r>
    </w:p>
    <w:tbl>
      <w:tblPr>
        <w:tblW w:w="8790" w:type="dxa"/>
        <w:tblLayout w:type="fixed"/>
        <w:tblCellMar>
          <w:left w:w="0" w:type="dxa"/>
          <w:right w:w="0" w:type="dxa"/>
        </w:tblCellMar>
        <w:tblLook w:val="0000" w:firstRow="0" w:lastRow="0" w:firstColumn="0" w:lastColumn="0" w:noHBand="0" w:noVBand="0"/>
      </w:tblPr>
      <w:tblGrid>
        <w:gridCol w:w="2146"/>
        <w:gridCol w:w="734"/>
        <w:gridCol w:w="720"/>
        <w:gridCol w:w="720"/>
        <w:gridCol w:w="720"/>
        <w:gridCol w:w="720"/>
        <w:gridCol w:w="720"/>
        <w:gridCol w:w="720"/>
        <w:gridCol w:w="720"/>
        <w:gridCol w:w="870"/>
      </w:tblGrid>
      <w:tr w:rsidR="0026369A" w:rsidTr="0026369A">
        <w:tc>
          <w:tcPr>
            <w:tcW w:w="2146" w:type="dxa"/>
            <w:tcBorders>
              <w:top w:val="single" w:sz="6" w:space="0" w:color="auto"/>
              <w:bottom w:val="single" w:sz="6" w:space="0" w:color="auto"/>
            </w:tcBorders>
            <w:shd w:val="clear" w:color="auto" w:fill="auto"/>
          </w:tcPr>
          <w:p w:rsidR="0026369A" w:rsidRDefault="0026369A" w:rsidP="0026369A">
            <w:pPr>
              <w:pStyle w:val="TableColumnHeading"/>
              <w:jc w:val="left"/>
            </w:pPr>
          </w:p>
        </w:tc>
        <w:tc>
          <w:tcPr>
            <w:tcW w:w="734" w:type="dxa"/>
            <w:tcBorders>
              <w:top w:val="single" w:sz="6" w:space="0" w:color="auto"/>
              <w:bottom w:val="single" w:sz="6" w:space="0" w:color="auto"/>
            </w:tcBorders>
            <w:shd w:val="clear" w:color="auto" w:fill="auto"/>
          </w:tcPr>
          <w:p w:rsidR="0026369A" w:rsidRPr="009C2A4F" w:rsidRDefault="0026369A" w:rsidP="0026369A">
            <w:pPr>
              <w:pStyle w:val="TableColumnHeading"/>
              <w:ind w:right="0"/>
            </w:pPr>
            <w:r w:rsidRPr="009C2A4F">
              <w:t>NSW</w:t>
            </w:r>
          </w:p>
        </w:tc>
        <w:tc>
          <w:tcPr>
            <w:tcW w:w="720" w:type="dxa"/>
            <w:tcBorders>
              <w:top w:val="single" w:sz="6" w:space="0" w:color="auto"/>
              <w:bottom w:val="single" w:sz="6" w:space="0" w:color="auto"/>
            </w:tcBorders>
            <w:shd w:val="clear" w:color="auto" w:fill="auto"/>
          </w:tcPr>
          <w:p w:rsidR="0026369A" w:rsidRPr="009C2A4F" w:rsidRDefault="0026369A" w:rsidP="0026369A">
            <w:pPr>
              <w:pStyle w:val="TableColumnHeading"/>
              <w:ind w:right="0"/>
            </w:pPr>
            <w:r w:rsidRPr="009C2A4F">
              <w:t>Vic</w:t>
            </w:r>
          </w:p>
        </w:tc>
        <w:tc>
          <w:tcPr>
            <w:tcW w:w="720" w:type="dxa"/>
            <w:tcBorders>
              <w:top w:val="single" w:sz="6" w:space="0" w:color="auto"/>
              <w:bottom w:val="single" w:sz="6" w:space="0" w:color="auto"/>
            </w:tcBorders>
            <w:shd w:val="clear" w:color="auto" w:fill="auto"/>
          </w:tcPr>
          <w:p w:rsidR="0026369A" w:rsidRPr="009C2A4F" w:rsidRDefault="0026369A" w:rsidP="0026369A">
            <w:pPr>
              <w:pStyle w:val="TableColumnHeading"/>
              <w:ind w:right="0"/>
            </w:pPr>
            <w:r w:rsidRPr="009C2A4F">
              <w:t>Qld</w:t>
            </w:r>
          </w:p>
        </w:tc>
        <w:tc>
          <w:tcPr>
            <w:tcW w:w="720" w:type="dxa"/>
            <w:tcBorders>
              <w:top w:val="single" w:sz="6" w:space="0" w:color="auto"/>
              <w:bottom w:val="single" w:sz="6" w:space="0" w:color="auto"/>
            </w:tcBorders>
            <w:shd w:val="clear" w:color="auto" w:fill="auto"/>
          </w:tcPr>
          <w:p w:rsidR="0026369A" w:rsidRPr="009C2A4F" w:rsidRDefault="0026369A" w:rsidP="0026369A">
            <w:pPr>
              <w:pStyle w:val="TableColumnHeading"/>
              <w:ind w:right="0"/>
            </w:pPr>
            <w:r w:rsidRPr="009C2A4F">
              <w:t>WA</w:t>
            </w:r>
          </w:p>
        </w:tc>
        <w:tc>
          <w:tcPr>
            <w:tcW w:w="720" w:type="dxa"/>
            <w:tcBorders>
              <w:top w:val="single" w:sz="6" w:space="0" w:color="auto"/>
              <w:bottom w:val="single" w:sz="6" w:space="0" w:color="auto"/>
            </w:tcBorders>
            <w:shd w:val="clear" w:color="auto" w:fill="auto"/>
          </w:tcPr>
          <w:p w:rsidR="0026369A" w:rsidRPr="009C2A4F" w:rsidRDefault="0026369A" w:rsidP="0026369A">
            <w:pPr>
              <w:pStyle w:val="TableColumnHeading"/>
              <w:ind w:right="0"/>
            </w:pPr>
            <w:r w:rsidRPr="009C2A4F">
              <w:t>SA</w:t>
            </w:r>
          </w:p>
        </w:tc>
        <w:tc>
          <w:tcPr>
            <w:tcW w:w="720" w:type="dxa"/>
            <w:tcBorders>
              <w:top w:val="single" w:sz="6" w:space="0" w:color="auto"/>
              <w:bottom w:val="single" w:sz="6" w:space="0" w:color="auto"/>
            </w:tcBorders>
            <w:shd w:val="clear" w:color="auto" w:fill="auto"/>
          </w:tcPr>
          <w:p w:rsidR="0026369A" w:rsidRPr="009C2A4F" w:rsidRDefault="0026369A" w:rsidP="0026369A">
            <w:pPr>
              <w:pStyle w:val="TableColumnHeading"/>
              <w:ind w:right="0"/>
            </w:pPr>
            <w:r w:rsidRPr="009C2A4F">
              <w:t>Tas</w:t>
            </w:r>
          </w:p>
        </w:tc>
        <w:tc>
          <w:tcPr>
            <w:tcW w:w="720" w:type="dxa"/>
            <w:tcBorders>
              <w:top w:val="single" w:sz="6" w:space="0" w:color="auto"/>
              <w:bottom w:val="single" w:sz="6" w:space="0" w:color="auto"/>
            </w:tcBorders>
            <w:shd w:val="clear" w:color="auto" w:fill="auto"/>
          </w:tcPr>
          <w:p w:rsidR="0026369A" w:rsidRPr="009C2A4F" w:rsidRDefault="0026369A" w:rsidP="0026369A">
            <w:pPr>
              <w:pStyle w:val="TableColumnHeading"/>
              <w:ind w:right="0"/>
            </w:pPr>
            <w:r w:rsidRPr="009C2A4F">
              <w:t>ACT</w:t>
            </w:r>
          </w:p>
        </w:tc>
        <w:tc>
          <w:tcPr>
            <w:tcW w:w="720" w:type="dxa"/>
            <w:tcBorders>
              <w:top w:val="single" w:sz="6" w:space="0" w:color="auto"/>
              <w:bottom w:val="single" w:sz="6" w:space="0" w:color="auto"/>
            </w:tcBorders>
            <w:shd w:val="clear" w:color="auto" w:fill="auto"/>
          </w:tcPr>
          <w:p w:rsidR="0026369A" w:rsidRPr="009C2A4F" w:rsidRDefault="0026369A" w:rsidP="0026369A">
            <w:pPr>
              <w:pStyle w:val="TableColumnHeading"/>
              <w:ind w:right="0"/>
            </w:pPr>
            <w:r w:rsidRPr="009C2A4F">
              <w:t>NT</w:t>
            </w:r>
          </w:p>
        </w:tc>
        <w:tc>
          <w:tcPr>
            <w:tcW w:w="870" w:type="dxa"/>
            <w:tcBorders>
              <w:top w:val="single" w:sz="6" w:space="0" w:color="auto"/>
              <w:bottom w:val="single" w:sz="6" w:space="0" w:color="auto"/>
            </w:tcBorders>
            <w:shd w:val="clear" w:color="auto" w:fill="auto"/>
          </w:tcPr>
          <w:p w:rsidR="0026369A" w:rsidRDefault="0026369A" w:rsidP="0026369A">
            <w:pPr>
              <w:pStyle w:val="TableColumnHeading"/>
              <w:ind w:right="0"/>
            </w:pPr>
            <w:proofErr w:type="spellStart"/>
            <w:r w:rsidRPr="009C2A4F">
              <w:t>Aust</w:t>
            </w:r>
            <w:proofErr w:type="spellEnd"/>
          </w:p>
        </w:tc>
      </w:tr>
      <w:tr w:rsidR="0026369A" w:rsidTr="0026369A">
        <w:tc>
          <w:tcPr>
            <w:tcW w:w="7920" w:type="dxa"/>
            <w:gridSpan w:val="9"/>
          </w:tcPr>
          <w:p w:rsidR="0026369A" w:rsidRDefault="0026369A" w:rsidP="0026369A">
            <w:pPr>
              <w:pStyle w:val="TableBodyText"/>
              <w:spacing w:before="80"/>
              <w:jc w:val="left"/>
            </w:pPr>
            <w:r>
              <w:t>Number of FTE students enrolled in government schools (‘000)</w:t>
            </w:r>
          </w:p>
        </w:tc>
        <w:tc>
          <w:tcPr>
            <w:tcW w:w="870" w:type="dxa"/>
          </w:tcPr>
          <w:p w:rsidR="0026369A" w:rsidRDefault="0026369A" w:rsidP="0026369A">
            <w:pPr>
              <w:pStyle w:val="TableBodyText"/>
            </w:pPr>
          </w:p>
        </w:tc>
      </w:tr>
      <w:tr w:rsidR="00B630D7" w:rsidTr="00B630D7">
        <w:tc>
          <w:tcPr>
            <w:tcW w:w="2146" w:type="dxa"/>
          </w:tcPr>
          <w:p w:rsidR="00B630D7" w:rsidRDefault="00B630D7" w:rsidP="0026369A">
            <w:pPr>
              <w:pStyle w:val="TableBodyText"/>
              <w:ind w:left="180"/>
              <w:jc w:val="left"/>
            </w:pPr>
            <w:r>
              <w:t>Primary schools</w:t>
            </w:r>
          </w:p>
        </w:tc>
        <w:tc>
          <w:tcPr>
            <w:tcW w:w="734" w:type="dxa"/>
            <w:vAlign w:val="center"/>
          </w:tcPr>
          <w:p w:rsidR="00B630D7" w:rsidRPr="001E3C2C" w:rsidRDefault="00B630D7" w:rsidP="00552D69">
            <w:pPr>
              <w:pStyle w:val="TableBodyText"/>
              <w:ind w:right="0"/>
              <w:rPr>
                <w:b/>
                <w:i/>
              </w:rPr>
            </w:pPr>
            <w:r w:rsidRPr="001E3C2C">
              <w:t xml:space="preserve">  435.7</w:t>
            </w:r>
          </w:p>
        </w:tc>
        <w:tc>
          <w:tcPr>
            <w:tcW w:w="720" w:type="dxa"/>
            <w:vAlign w:val="center"/>
          </w:tcPr>
          <w:p w:rsidR="00B630D7" w:rsidRPr="001E3C2C" w:rsidRDefault="00B630D7" w:rsidP="00552D69">
            <w:pPr>
              <w:pStyle w:val="TableBodyText"/>
              <w:ind w:right="0"/>
              <w:rPr>
                <w:b/>
                <w:i/>
              </w:rPr>
            </w:pPr>
            <w:r w:rsidRPr="001E3C2C">
              <w:t xml:space="preserve"> 315.9</w:t>
            </w:r>
          </w:p>
        </w:tc>
        <w:tc>
          <w:tcPr>
            <w:tcW w:w="720" w:type="dxa"/>
            <w:vAlign w:val="center"/>
          </w:tcPr>
          <w:p w:rsidR="00B630D7" w:rsidRPr="001E3C2C" w:rsidRDefault="00B630D7" w:rsidP="00552D69">
            <w:pPr>
              <w:pStyle w:val="TableBodyText"/>
              <w:ind w:right="0"/>
              <w:rPr>
                <w:b/>
                <w:i/>
              </w:rPr>
            </w:pPr>
            <w:r w:rsidRPr="001E3C2C">
              <w:t xml:space="preserve"> 316.3</w:t>
            </w:r>
          </w:p>
        </w:tc>
        <w:tc>
          <w:tcPr>
            <w:tcW w:w="720" w:type="dxa"/>
            <w:vAlign w:val="center"/>
          </w:tcPr>
          <w:p w:rsidR="00B630D7" w:rsidRPr="001E3C2C" w:rsidRDefault="00B630D7" w:rsidP="00552D69">
            <w:pPr>
              <w:pStyle w:val="TableBodyText"/>
              <w:ind w:right="0"/>
              <w:rPr>
                <w:b/>
                <w:i/>
              </w:rPr>
            </w:pPr>
            <w:r w:rsidRPr="001E3C2C">
              <w:t xml:space="preserve"> 162.9</w:t>
            </w:r>
          </w:p>
        </w:tc>
        <w:tc>
          <w:tcPr>
            <w:tcW w:w="720" w:type="dxa"/>
            <w:vAlign w:val="center"/>
          </w:tcPr>
          <w:p w:rsidR="00B630D7" w:rsidRPr="001E3C2C" w:rsidRDefault="00B630D7" w:rsidP="00552D69">
            <w:pPr>
              <w:pStyle w:val="TableBodyText"/>
              <w:ind w:right="0"/>
              <w:rPr>
                <w:b/>
                <w:i/>
              </w:rPr>
            </w:pPr>
            <w:r w:rsidRPr="001E3C2C">
              <w:t xml:space="preserve"> 103.9</w:t>
            </w:r>
          </w:p>
        </w:tc>
        <w:tc>
          <w:tcPr>
            <w:tcW w:w="720" w:type="dxa"/>
            <w:vAlign w:val="center"/>
          </w:tcPr>
          <w:p w:rsidR="00B630D7" w:rsidRPr="001E3C2C" w:rsidRDefault="00B630D7" w:rsidP="00552D69">
            <w:pPr>
              <w:pStyle w:val="TableBodyText"/>
              <w:ind w:right="0"/>
              <w:rPr>
                <w:b/>
                <w:i/>
              </w:rPr>
            </w:pPr>
            <w:r w:rsidRPr="001E3C2C">
              <w:t xml:space="preserve">  32.3</w:t>
            </w:r>
          </w:p>
        </w:tc>
        <w:tc>
          <w:tcPr>
            <w:tcW w:w="720" w:type="dxa"/>
            <w:vAlign w:val="center"/>
          </w:tcPr>
          <w:p w:rsidR="00B630D7" w:rsidRPr="001E3C2C" w:rsidRDefault="00B630D7" w:rsidP="00552D69">
            <w:pPr>
              <w:pStyle w:val="TableBodyText"/>
              <w:ind w:right="0"/>
              <w:rPr>
                <w:b/>
                <w:i/>
              </w:rPr>
            </w:pPr>
            <w:r w:rsidRPr="001E3C2C">
              <w:t xml:space="preserve">  19.2</w:t>
            </w:r>
          </w:p>
        </w:tc>
        <w:tc>
          <w:tcPr>
            <w:tcW w:w="720" w:type="dxa"/>
            <w:vAlign w:val="center"/>
          </w:tcPr>
          <w:p w:rsidR="00B630D7" w:rsidRPr="001E3C2C" w:rsidRDefault="00B630D7" w:rsidP="00552D69">
            <w:pPr>
              <w:pStyle w:val="TableBodyText"/>
              <w:ind w:right="0"/>
              <w:rPr>
                <w:b/>
                <w:i/>
              </w:rPr>
            </w:pPr>
            <w:r w:rsidRPr="001E3C2C">
              <w:t xml:space="preserve">  18.6</w:t>
            </w:r>
          </w:p>
        </w:tc>
        <w:tc>
          <w:tcPr>
            <w:tcW w:w="870" w:type="dxa"/>
            <w:vAlign w:val="center"/>
          </w:tcPr>
          <w:p w:rsidR="00B630D7" w:rsidRPr="001E3C2C" w:rsidRDefault="00B630D7" w:rsidP="00552D69">
            <w:pPr>
              <w:pStyle w:val="TableBodyText"/>
              <w:ind w:right="0"/>
              <w:rPr>
                <w:b/>
                <w:i/>
              </w:rPr>
            </w:pPr>
            <w:r w:rsidRPr="001E3C2C">
              <w:t xml:space="preserve"> 1 404.8</w:t>
            </w:r>
          </w:p>
        </w:tc>
      </w:tr>
      <w:tr w:rsidR="00B630D7" w:rsidTr="00B630D7">
        <w:tc>
          <w:tcPr>
            <w:tcW w:w="2146" w:type="dxa"/>
          </w:tcPr>
          <w:p w:rsidR="00B630D7" w:rsidRDefault="00B630D7" w:rsidP="0026369A">
            <w:pPr>
              <w:pStyle w:val="TableBodyText"/>
              <w:ind w:left="180"/>
              <w:jc w:val="left"/>
            </w:pPr>
            <w:r>
              <w:t>Secondary schools</w:t>
            </w:r>
          </w:p>
        </w:tc>
        <w:tc>
          <w:tcPr>
            <w:tcW w:w="734" w:type="dxa"/>
            <w:vAlign w:val="center"/>
          </w:tcPr>
          <w:p w:rsidR="00B630D7" w:rsidRPr="001E3C2C" w:rsidRDefault="00B630D7" w:rsidP="00552D69">
            <w:pPr>
              <w:pStyle w:val="TableBodyText"/>
              <w:ind w:right="0"/>
              <w:rPr>
                <w:b/>
                <w:i/>
              </w:rPr>
            </w:pPr>
            <w:r w:rsidRPr="001E3C2C">
              <w:t xml:space="preserve">  309.8</w:t>
            </w:r>
          </w:p>
        </w:tc>
        <w:tc>
          <w:tcPr>
            <w:tcW w:w="720" w:type="dxa"/>
            <w:vAlign w:val="center"/>
          </w:tcPr>
          <w:p w:rsidR="00B630D7" w:rsidRPr="001E3C2C" w:rsidRDefault="00B630D7" w:rsidP="00552D69">
            <w:pPr>
              <w:pStyle w:val="TableBodyText"/>
              <w:ind w:right="0"/>
              <w:rPr>
                <w:b/>
                <w:i/>
              </w:rPr>
            </w:pPr>
            <w:r w:rsidRPr="001E3C2C">
              <w:t xml:space="preserve"> 225.3</w:t>
            </w:r>
          </w:p>
        </w:tc>
        <w:tc>
          <w:tcPr>
            <w:tcW w:w="720" w:type="dxa"/>
            <w:vAlign w:val="center"/>
          </w:tcPr>
          <w:p w:rsidR="00B630D7" w:rsidRPr="001E3C2C" w:rsidRDefault="00B630D7" w:rsidP="00552D69">
            <w:pPr>
              <w:pStyle w:val="TableBodyText"/>
              <w:ind w:right="0"/>
              <w:rPr>
                <w:b/>
                <w:i/>
              </w:rPr>
            </w:pPr>
            <w:r w:rsidRPr="001E3C2C">
              <w:t xml:space="preserve"> 175.5</w:t>
            </w:r>
          </w:p>
        </w:tc>
        <w:tc>
          <w:tcPr>
            <w:tcW w:w="720" w:type="dxa"/>
            <w:vAlign w:val="center"/>
          </w:tcPr>
          <w:p w:rsidR="00B630D7" w:rsidRPr="001E3C2C" w:rsidRDefault="00B630D7" w:rsidP="00552D69">
            <w:pPr>
              <w:pStyle w:val="TableBodyText"/>
              <w:ind w:right="0"/>
              <w:rPr>
                <w:b/>
                <w:i/>
              </w:rPr>
            </w:pPr>
            <w:r w:rsidRPr="001E3C2C">
              <w:t xml:space="preserve">  74.3</w:t>
            </w:r>
          </w:p>
        </w:tc>
        <w:tc>
          <w:tcPr>
            <w:tcW w:w="720" w:type="dxa"/>
            <w:vAlign w:val="center"/>
          </w:tcPr>
          <w:p w:rsidR="00B630D7" w:rsidRPr="001E3C2C" w:rsidRDefault="00B630D7" w:rsidP="00552D69">
            <w:pPr>
              <w:pStyle w:val="TableBodyText"/>
              <w:ind w:right="0"/>
              <w:rPr>
                <w:b/>
                <w:i/>
              </w:rPr>
            </w:pPr>
            <w:r w:rsidRPr="001E3C2C">
              <w:t xml:space="preserve">  62.0</w:t>
            </w:r>
          </w:p>
        </w:tc>
        <w:tc>
          <w:tcPr>
            <w:tcW w:w="720" w:type="dxa"/>
            <w:vAlign w:val="center"/>
          </w:tcPr>
          <w:p w:rsidR="00B630D7" w:rsidRPr="001E3C2C" w:rsidRDefault="00B630D7" w:rsidP="00552D69">
            <w:pPr>
              <w:pStyle w:val="TableBodyText"/>
              <w:ind w:right="0"/>
              <w:rPr>
                <w:b/>
                <w:i/>
              </w:rPr>
            </w:pPr>
            <w:r w:rsidRPr="001E3C2C">
              <w:t xml:space="preserve">  26.1</w:t>
            </w:r>
          </w:p>
        </w:tc>
        <w:tc>
          <w:tcPr>
            <w:tcW w:w="720" w:type="dxa"/>
            <w:vAlign w:val="center"/>
          </w:tcPr>
          <w:p w:rsidR="00B630D7" w:rsidRPr="001E3C2C" w:rsidRDefault="00B630D7" w:rsidP="00552D69">
            <w:pPr>
              <w:pStyle w:val="TableBodyText"/>
              <w:ind w:right="0"/>
              <w:rPr>
                <w:b/>
                <w:i/>
              </w:rPr>
            </w:pPr>
            <w:r w:rsidRPr="001E3C2C">
              <w:t xml:space="preserve">  15.5</w:t>
            </w:r>
          </w:p>
        </w:tc>
        <w:tc>
          <w:tcPr>
            <w:tcW w:w="720" w:type="dxa"/>
            <w:vAlign w:val="center"/>
          </w:tcPr>
          <w:p w:rsidR="00B630D7" w:rsidRPr="001E3C2C" w:rsidRDefault="00B630D7" w:rsidP="00552D69">
            <w:pPr>
              <w:pStyle w:val="TableBodyText"/>
              <w:ind w:right="0"/>
              <w:rPr>
                <w:b/>
                <w:i/>
              </w:rPr>
            </w:pPr>
            <w:r w:rsidRPr="001E3C2C">
              <w:t xml:space="preserve">  10.6</w:t>
            </w:r>
          </w:p>
        </w:tc>
        <w:tc>
          <w:tcPr>
            <w:tcW w:w="870" w:type="dxa"/>
            <w:vAlign w:val="center"/>
          </w:tcPr>
          <w:p w:rsidR="00B630D7" w:rsidRPr="001E3C2C" w:rsidRDefault="00B630D7" w:rsidP="00552D69">
            <w:pPr>
              <w:pStyle w:val="TableBodyText"/>
              <w:ind w:right="0"/>
              <w:rPr>
                <w:b/>
                <w:i/>
              </w:rPr>
            </w:pPr>
            <w:r w:rsidRPr="001E3C2C">
              <w:t xml:space="preserve">  899.0</w:t>
            </w:r>
          </w:p>
        </w:tc>
      </w:tr>
      <w:tr w:rsidR="00B630D7" w:rsidTr="00B630D7">
        <w:tc>
          <w:tcPr>
            <w:tcW w:w="2146" w:type="dxa"/>
          </w:tcPr>
          <w:p w:rsidR="00B630D7" w:rsidRDefault="00B630D7" w:rsidP="0026369A">
            <w:pPr>
              <w:pStyle w:val="TableBodyText"/>
              <w:ind w:left="180"/>
              <w:jc w:val="left"/>
            </w:pPr>
            <w:r w:rsidRPr="002F0556">
              <w:rPr>
                <w:b/>
              </w:rPr>
              <w:t>All schools</w:t>
            </w:r>
          </w:p>
        </w:tc>
        <w:tc>
          <w:tcPr>
            <w:tcW w:w="734" w:type="dxa"/>
            <w:vAlign w:val="center"/>
          </w:tcPr>
          <w:p w:rsidR="00B630D7" w:rsidRPr="001E3C2C" w:rsidRDefault="00B630D7" w:rsidP="00552D69">
            <w:pPr>
              <w:pStyle w:val="TableBodyText"/>
              <w:ind w:right="0"/>
              <w:rPr>
                <w:b/>
                <w:i/>
              </w:rPr>
            </w:pPr>
            <w:r w:rsidRPr="001E3C2C">
              <w:rPr>
                <w:b/>
              </w:rPr>
              <w:t xml:space="preserve">  745.5</w:t>
            </w:r>
          </w:p>
        </w:tc>
        <w:tc>
          <w:tcPr>
            <w:tcW w:w="720" w:type="dxa"/>
            <w:vAlign w:val="center"/>
          </w:tcPr>
          <w:p w:rsidR="00B630D7" w:rsidRPr="001E3C2C" w:rsidRDefault="00B630D7" w:rsidP="00552D69">
            <w:pPr>
              <w:pStyle w:val="TableBodyText"/>
              <w:ind w:right="0"/>
              <w:rPr>
                <w:b/>
                <w:i/>
              </w:rPr>
            </w:pPr>
            <w:r w:rsidRPr="001E3C2C">
              <w:rPr>
                <w:b/>
              </w:rPr>
              <w:t xml:space="preserve"> 541.2</w:t>
            </w:r>
          </w:p>
        </w:tc>
        <w:tc>
          <w:tcPr>
            <w:tcW w:w="720" w:type="dxa"/>
            <w:vAlign w:val="center"/>
          </w:tcPr>
          <w:p w:rsidR="00B630D7" w:rsidRPr="001E3C2C" w:rsidRDefault="00B630D7" w:rsidP="00552D69">
            <w:pPr>
              <w:pStyle w:val="TableBodyText"/>
              <w:ind w:right="0"/>
              <w:rPr>
                <w:b/>
                <w:i/>
              </w:rPr>
            </w:pPr>
            <w:r w:rsidRPr="001E3C2C">
              <w:rPr>
                <w:b/>
              </w:rPr>
              <w:t xml:space="preserve"> 491.8</w:t>
            </w:r>
          </w:p>
        </w:tc>
        <w:tc>
          <w:tcPr>
            <w:tcW w:w="720" w:type="dxa"/>
            <w:vAlign w:val="center"/>
          </w:tcPr>
          <w:p w:rsidR="00B630D7" w:rsidRPr="001E3C2C" w:rsidRDefault="00B630D7" w:rsidP="00552D69">
            <w:pPr>
              <w:pStyle w:val="TableBodyText"/>
              <w:ind w:right="0"/>
              <w:rPr>
                <w:b/>
                <w:i/>
              </w:rPr>
            </w:pPr>
            <w:r w:rsidRPr="001E3C2C">
              <w:rPr>
                <w:b/>
              </w:rPr>
              <w:t xml:space="preserve"> 237.1</w:t>
            </w:r>
          </w:p>
        </w:tc>
        <w:tc>
          <w:tcPr>
            <w:tcW w:w="720" w:type="dxa"/>
            <w:vAlign w:val="center"/>
          </w:tcPr>
          <w:p w:rsidR="00B630D7" w:rsidRPr="001E3C2C" w:rsidRDefault="00B630D7" w:rsidP="00552D69">
            <w:pPr>
              <w:pStyle w:val="TableBodyText"/>
              <w:ind w:right="0"/>
              <w:rPr>
                <w:b/>
                <w:i/>
              </w:rPr>
            </w:pPr>
            <w:r w:rsidRPr="001E3C2C">
              <w:rPr>
                <w:b/>
              </w:rPr>
              <w:t xml:space="preserve"> 165.9</w:t>
            </w:r>
          </w:p>
        </w:tc>
        <w:tc>
          <w:tcPr>
            <w:tcW w:w="720" w:type="dxa"/>
            <w:vAlign w:val="center"/>
          </w:tcPr>
          <w:p w:rsidR="00B630D7" w:rsidRPr="001E3C2C" w:rsidRDefault="00B630D7" w:rsidP="00552D69">
            <w:pPr>
              <w:pStyle w:val="TableBodyText"/>
              <w:ind w:right="0"/>
              <w:rPr>
                <w:b/>
                <w:i/>
              </w:rPr>
            </w:pPr>
            <w:r w:rsidRPr="001E3C2C">
              <w:rPr>
                <w:b/>
              </w:rPr>
              <w:t xml:space="preserve">  58.5</w:t>
            </w:r>
          </w:p>
        </w:tc>
        <w:tc>
          <w:tcPr>
            <w:tcW w:w="720" w:type="dxa"/>
            <w:vAlign w:val="center"/>
          </w:tcPr>
          <w:p w:rsidR="00B630D7" w:rsidRPr="001E3C2C" w:rsidRDefault="00B630D7" w:rsidP="00552D69">
            <w:pPr>
              <w:pStyle w:val="TableBodyText"/>
              <w:ind w:right="0"/>
              <w:rPr>
                <w:b/>
                <w:i/>
              </w:rPr>
            </w:pPr>
            <w:r w:rsidRPr="001E3C2C">
              <w:rPr>
                <w:b/>
              </w:rPr>
              <w:t xml:space="preserve">  34.6</w:t>
            </w:r>
          </w:p>
        </w:tc>
        <w:tc>
          <w:tcPr>
            <w:tcW w:w="720" w:type="dxa"/>
            <w:vAlign w:val="center"/>
          </w:tcPr>
          <w:p w:rsidR="00B630D7" w:rsidRPr="001E3C2C" w:rsidRDefault="00B630D7" w:rsidP="00552D69">
            <w:pPr>
              <w:pStyle w:val="TableBodyText"/>
              <w:ind w:right="0"/>
              <w:rPr>
                <w:b/>
                <w:i/>
              </w:rPr>
            </w:pPr>
            <w:r w:rsidRPr="001E3C2C">
              <w:rPr>
                <w:b/>
              </w:rPr>
              <w:t xml:space="preserve">  29.2</w:t>
            </w:r>
          </w:p>
        </w:tc>
        <w:tc>
          <w:tcPr>
            <w:tcW w:w="870" w:type="dxa"/>
            <w:vAlign w:val="center"/>
          </w:tcPr>
          <w:p w:rsidR="00B630D7" w:rsidRPr="001E3C2C" w:rsidRDefault="00B630D7" w:rsidP="00552D69">
            <w:pPr>
              <w:pStyle w:val="TableBodyText"/>
              <w:ind w:right="0"/>
              <w:rPr>
                <w:b/>
                <w:i/>
              </w:rPr>
            </w:pPr>
            <w:r w:rsidRPr="001E3C2C">
              <w:rPr>
                <w:b/>
              </w:rPr>
              <w:t xml:space="preserve"> 2 303.8</w:t>
            </w:r>
          </w:p>
        </w:tc>
      </w:tr>
      <w:tr w:rsidR="0026369A" w:rsidTr="0026369A">
        <w:tc>
          <w:tcPr>
            <w:tcW w:w="8790" w:type="dxa"/>
            <w:gridSpan w:val="10"/>
          </w:tcPr>
          <w:p w:rsidR="0026369A" w:rsidRPr="00447328" w:rsidRDefault="0026369A" w:rsidP="0026369A">
            <w:pPr>
              <w:pStyle w:val="TableBodyText"/>
              <w:spacing w:before="80"/>
              <w:jc w:val="left"/>
              <w:rPr>
                <w:b/>
              </w:rPr>
            </w:pPr>
            <w:r>
              <w:t>Number of FTE students enrolled in non-government schools (‘000)</w:t>
            </w:r>
          </w:p>
        </w:tc>
      </w:tr>
      <w:tr w:rsidR="00B630D7" w:rsidTr="00B630D7">
        <w:tc>
          <w:tcPr>
            <w:tcW w:w="2146" w:type="dxa"/>
          </w:tcPr>
          <w:p w:rsidR="00B630D7" w:rsidRPr="002F0556" w:rsidRDefault="00B630D7" w:rsidP="0026369A">
            <w:pPr>
              <w:pStyle w:val="TableBodyText"/>
              <w:ind w:left="136"/>
              <w:jc w:val="both"/>
              <w:rPr>
                <w:b/>
              </w:rPr>
            </w:pPr>
            <w:r>
              <w:t>Primary schools</w:t>
            </w:r>
          </w:p>
        </w:tc>
        <w:tc>
          <w:tcPr>
            <w:tcW w:w="734" w:type="dxa"/>
            <w:vAlign w:val="center"/>
          </w:tcPr>
          <w:p w:rsidR="00B630D7" w:rsidRPr="001E3C2C" w:rsidRDefault="00B630D7" w:rsidP="00552D69">
            <w:pPr>
              <w:pStyle w:val="TableBodyText"/>
              <w:ind w:right="0"/>
              <w:rPr>
                <w:b/>
                <w:i/>
              </w:rPr>
            </w:pPr>
            <w:r w:rsidRPr="001E3C2C">
              <w:t xml:space="preserve">  191.7</w:t>
            </w:r>
          </w:p>
        </w:tc>
        <w:tc>
          <w:tcPr>
            <w:tcW w:w="720" w:type="dxa"/>
            <w:vAlign w:val="center"/>
          </w:tcPr>
          <w:p w:rsidR="00B630D7" w:rsidRPr="001E3C2C" w:rsidRDefault="00B630D7" w:rsidP="00552D69">
            <w:pPr>
              <w:pStyle w:val="TableBodyText"/>
              <w:ind w:right="0"/>
              <w:rPr>
                <w:b/>
                <w:i/>
              </w:rPr>
            </w:pPr>
            <w:r w:rsidRPr="001E3C2C">
              <w:t xml:space="preserve"> 152.3</w:t>
            </w:r>
          </w:p>
        </w:tc>
        <w:tc>
          <w:tcPr>
            <w:tcW w:w="720" w:type="dxa"/>
            <w:vAlign w:val="center"/>
          </w:tcPr>
          <w:p w:rsidR="00B630D7" w:rsidRPr="001E3C2C" w:rsidRDefault="00B630D7" w:rsidP="00552D69">
            <w:pPr>
              <w:pStyle w:val="TableBodyText"/>
              <w:ind w:right="0"/>
              <w:rPr>
                <w:b/>
                <w:i/>
              </w:rPr>
            </w:pPr>
            <w:r w:rsidRPr="001E3C2C">
              <w:t xml:space="preserve"> 135.2</w:t>
            </w:r>
          </w:p>
        </w:tc>
        <w:tc>
          <w:tcPr>
            <w:tcW w:w="720" w:type="dxa"/>
            <w:vAlign w:val="center"/>
          </w:tcPr>
          <w:p w:rsidR="00B630D7" w:rsidRPr="001E3C2C" w:rsidRDefault="00B630D7" w:rsidP="00552D69">
            <w:pPr>
              <w:pStyle w:val="TableBodyText"/>
              <w:ind w:right="0"/>
              <w:rPr>
                <w:b/>
                <w:i/>
              </w:rPr>
            </w:pPr>
            <w:r w:rsidRPr="001E3C2C">
              <w:t xml:space="preserve">  72.3</w:t>
            </w:r>
          </w:p>
        </w:tc>
        <w:tc>
          <w:tcPr>
            <w:tcW w:w="720" w:type="dxa"/>
            <w:vAlign w:val="center"/>
          </w:tcPr>
          <w:p w:rsidR="00B630D7" w:rsidRPr="001E3C2C" w:rsidRDefault="00B630D7" w:rsidP="00552D69">
            <w:pPr>
              <w:pStyle w:val="TableBodyText"/>
              <w:ind w:right="0"/>
              <w:rPr>
                <w:b/>
                <w:i/>
              </w:rPr>
            </w:pPr>
            <w:r w:rsidRPr="001E3C2C">
              <w:t xml:space="preserve">  53.2</w:t>
            </w:r>
          </w:p>
        </w:tc>
        <w:tc>
          <w:tcPr>
            <w:tcW w:w="720" w:type="dxa"/>
            <w:vAlign w:val="center"/>
          </w:tcPr>
          <w:p w:rsidR="00B630D7" w:rsidRPr="001E3C2C" w:rsidRDefault="00B630D7" w:rsidP="00552D69">
            <w:pPr>
              <w:pStyle w:val="TableBodyText"/>
              <w:ind w:right="0"/>
              <w:rPr>
                <w:b/>
                <w:i/>
              </w:rPr>
            </w:pPr>
            <w:r w:rsidRPr="001E3C2C">
              <w:t xml:space="preserve">  11.5</w:t>
            </w:r>
          </w:p>
        </w:tc>
        <w:tc>
          <w:tcPr>
            <w:tcW w:w="720" w:type="dxa"/>
            <w:vAlign w:val="center"/>
          </w:tcPr>
          <w:p w:rsidR="00B630D7" w:rsidRPr="001E3C2C" w:rsidRDefault="00B630D7" w:rsidP="00552D69">
            <w:pPr>
              <w:pStyle w:val="TableBodyText"/>
              <w:ind w:right="0"/>
              <w:rPr>
                <w:b/>
                <w:i/>
              </w:rPr>
            </w:pPr>
            <w:r w:rsidRPr="001E3C2C">
              <w:t xml:space="preserve">  12.9</w:t>
            </w:r>
          </w:p>
        </w:tc>
        <w:tc>
          <w:tcPr>
            <w:tcW w:w="720" w:type="dxa"/>
            <w:vAlign w:val="center"/>
          </w:tcPr>
          <w:p w:rsidR="00B630D7" w:rsidRPr="001E3C2C" w:rsidRDefault="00B630D7" w:rsidP="00552D69">
            <w:pPr>
              <w:pStyle w:val="TableBodyText"/>
              <w:ind w:right="0"/>
              <w:rPr>
                <w:b/>
                <w:i/>
              </w:rPr>
            </w:pPr>
            <w:r w:rsidRPr="001E3C2C">
              <w:t xml:space="preserve">  5.1</w:t>
            </w:r>
          </w:p>
        </w:tc>
        <w:tc>
          <w:tcPr>
            <w:tcW w:w="870" w:type="dxa"/>
            <w:vAlign w:val="center"/>
          </w:tcPr>
          <w:p w:rsidR="00B630D7" w:rsidRPr="001E3C2C" w:rsidRDefault="00B630D7" w:rsidP="00552D69">
            <w:pPr>
              <w:pStyle w:val="TableBodyText"/>
              <w:ind w:right="0"/>
              <w:rPr>
                <w:b/>
                <w:i/>
              </w:rPr>
            </w:pPr>
            <w:r w:rsidRPr="001E3C2C">
              <w:t xml:space="preserve">  634.3</w:t>
            </w:r>
          </w:p>
        </w:tc>
      </w:tr>
      <w:tr w:rsidR="00B630D7" w:rsidTr="00B630D7">
        <w:tc>
          <w:tcPr>
            <w:tcW w:w="2146" w:type="dxa"/>
          </w:tcPr>
          <w:p w:rsidR="00B630D7" w:rsidRPr="002F0556" w:rsidRDefault="00B630D7" w:rsidP="0026369A">
            <w:pPr>
              <w:pStyle w:val="TableBodyText"/>
              <w:ind w:left="136"/>
              <w:jc w:val="both"/>
              <w:rPr>
                <w:b/>
              </w:rPr>
            </w:pPr>
            <w:r>
              <w:t>Secondary schools</w:t>
            </w:r>
          </w:p>
        </w:tc>
        <w:tc>
          <w:tcPr>
            <w:tcW w:w="734" w:type="dxa"/>
            <w:vAlign w:val="center"/>
          </w:tcPr>
          <w:p w:rsidR="00B630D7" w:rsidRPr="001E3C2C" w:rsidRDefault="00B630D7" w:rsidP="00552D69">
            <w:pPr>
              <w:pStyle w:val="TableBodyText"/>
              <w:ind w:right="0"/>
              <w:rPr>
                <w:b/>
                <w:i/>
              </w:rPr>
            </w:pPr>
            <w:r w:rsidRPr="001E3C2C">
              <w:t xml:space="preserve">  192.5</w:t>
            </w:r>
          </w:p>
        </w:tc>
        <w:tc>
          <w:tcPr>
            <w:tcW w:w="720" w:type="dxa"/>
            <w:vAlign w:val="center"/>
          </w:tcPr>
          <w:p w:rsidR="00B630D7" w:rsidRPr="001E3C2C" w:rsidRDefault="00B630D7" w:rsidP="00552D69">
            <w:pPr>
              <w:pStyle w:val="TableBodyText"/>
              <w:ind w:right="0"/>
              <w:rPr>
                <w:b/>
                <w:i/>
              </w:rPr>
            </w:pPr>
            <w:r w:rsidRPr="001E3C2C">
              <w:t xml:space="preserve"> 164.1</w:t>
            </w:r>
          </w:p>
        </w:tc>
        <w:tc>
          <w:tcPr>
            <w:tcW w:w="720" w:type="dxa"/>
            <w:vAlign w:val="center"/>
          </w:tcPr>
          <w:p w:rsidR="00B630D7" w:rsidRPr="001E3C2C" w:rsidRDefault="00B630D7" w:rsidP="00552D69">
            <w:pPr>
              <w:pStyle w:val="TableBodyText"/>
              <w:ind w:right="0"/>
              <w:rPr>
                <w:b/>
                <w:i/>
              </w:rPr>
            </w:pPr>
            <w:r w:rsidRPr="001E3C2C">
              <w:t xml:space="preserve"> 109.1</w:t>
            </w:r>
          </w:p>
        </w:tc>
        <w:tc>
          <w:tcPr>
            <w:tcW w:w="720" w:type="dxa"/>
            <w:vAlign w:val="center"/>
          </w:tcPr>
          <w:p w:rsidR="00B630D7" w:rsidRPr="001E3C2C" w:rsidRDefault="00B630D7" w:rsidP="00552D69">
            <w:pPr>
              <w:pStyle w:val="TableBodyText"/>
              <w:ind w:right="0"/>
              <w:rPr>
                <w:b/>
                <w:i/>
              </w:rPr>
            </w:pPr>
            <w:r w:rsidRPr="001E3C2C">
              <w:t xml:space="preserve">  55.2</w:t>
            </w:r>
          </w:p>
        </w:tc>
        <w:tc>
          <w:tcPr>
            <w:tcW w:w="720" w:type="dxa"/>
            <w:vAlign w:val="center"/>
          </w:tcPr>
          <w:p w:rsidR="00B630D7" w:rsidRPr="001E3C2C" w:rsidRDefault="00B630D7" w:rsidP="00552D69">
            <w:pPr>
              <w:pStyle w:val="TableBodyText"/>
              <w:ind w:right="0"/>
              <w:rPr>
                <w:b/>
                <w:i/>
              </w:rPr>
            </w:pPr>
            <w:r w:rsidRPr="001E3C2C">
              <w:t xml:space="preserve">  39.8</w:t>
            </w:r>
          </w:p>
        </w:tc>
        <w:tc>
          <w:tcPr>
            <w:tcW w:w="720" w:type="dxa"/>
            <w:vAlign w:val="center"/>
          </w:tcPr>
          <w:p w:rsidR="00B630D7" w:rsidRPr="001E3C2C" w:rsidRDefault="00B630D7" w:rsidP="00552D69">
            <w:pPr>
              <w:pStyle w:val="TableBodyText"/>
              <w:ind w:right="0"/>
              <w:rPr>
                <w:b/>
                <w:i/>
              </w:rPr>
            </w:pPr>
            <w:r w:rsidRPr="001E3C2C">
              <w:t xml:space="preserve">  12.2</w:t>
            </w:r>
          </w:p>
        </w:tc>
        <w:tc>
          <w:tcPr>
            <w:tcW w:w="720" w:type="dxa"/>
            <w:vAlign w:val="center"/>
          </w:tcPr>
          <w:p w:rsidR="00B630D7" w:rsidRPr="001E3C2C" w:rsidRDefault="00B630D7" w:rsidP="00552D69">
            <w:pPr>
              <w:pStyle w:val="TableBodyText"/>
              <w:ind w:right="0"/>
              <w:rPr>
                <w:b/>
                <w:i/>
              </w:rPr>
            </w:pPr>
            <w:r w:rsidRPr="001E3C2C">
              <w:t xml:space="preserve">  13.4</w:t>
            </w:r>
          </w:p>
        </w:tc>
        <w:tc>
          <w:tcPr>
            <w:tcW w:w="720" w:type="dxa"/>
            <w:vAlign w:val="center"/>
          </w:tcPr>
          <w:p w:rsidR="00B630D7" w:rsidRPr="001E3C2C" w:rsidRDefault="00B630D7" w:rsidP="00552D69">
            <w:pPr>
              <w:pStyle w:val="TableBodyText"/>
              <w:ind w:right="0"/>
              <w:rPr>
                <w:b/>
                <w:i/>
              </w:rPr>
            </w:pPr>
            <w:r w:rsidRPr="001E3C2C">
              <w:t xml:space="preserve">  5.1</w:t>
            </w:r>
          </w:p>
        </w:tc>
        <w:tc>
          <w:tcPr>
            <w:tcW w:w="870" w:type="dxa"/>
            <w:vAlign w:val="center"/>
          </w:tcPr>
          <w:p w:rsidR="00B630D7" w:rsidRPr="001E3C2C" w:rsidRDefault="00B630D7" w:rsidP="00552D69">
            <w:pPr>
              <w:pStyle w:val="TableBodyText"/>
              <w:ind w:right="0"/>
              <w:rPr>
                <w:b/>
                <w:i/>
              </w:rPr>
            </w:pPr>
            <w:r w:rsidRPr="001E3C2C">
              <w:t xml:space="preserve">  591.5</w:t>
            </w:r>
          </w:p>
        </w:tc>
      </w:tr>
      <w:tr w:rsidR="00B630D7" w:rsidTr="00B630D7">
        <w:tc>
          <w:tcPr>
            <w:tcW w:w="2146" w:type="dxa"/>
          </w:tcPr>
          <w:p w:rsidR="00B630D7" w:rsidRPr="002F0556" w:rsidRDefault="00B630D7" w:rsidP="0026369A">
            <w:pPr>
              <w:pStyle w:val="TableBodyText"/>
              <w:ind w:left="136"/>
              <w:jc w:val="both"/>
              <w:rPr>
                <w:b/>
              </w:rPr>
            </w:pPr>
            <w:r w:rsidRPr="002F0556">
              <w:rPr>
                <w:b/>
              </w:rPr>
              <w:t>All schools</w:t>
            </w:r>
          </w:p>
        </w:tc>
        <w:tc>
          <w:tcPr>
            <w:tcW w:w="734" w:type="dxa"/>
            <w:vAlign w:val="center"/>
          </w:tcPr>
          <w:p w:rsidR="00B630D7" w:rsidRPr="001E3C2C" w:rsidRDefault="00B630D7" w:rsidP="00552D69">
            <w:pPr>
              <w:pStyle w:val="TableBodyText"/>
              <w:ind w:right="0"/>
              <w:rPr>
                <w:b/>
                <w:i/>
              </w:rPr>
            </w:pPr>
            <w:r w:rsidRPr="001E3C2C">
              <w:rPr>
                <w:b/>
              </w:rPr>
              <w:t xml:space="preserve">  384.2</w:t>
            </w:r>
          </w:p>
        </w:tc>
        <w:tc>
          <w:tcPr>
            <w:tcW w:w="720" w:type="dxa"/>
            <w:vAlign w:val="center"/>
          </w:tcPr>
          <w:p w:rsidR="00B630D7" w:rsidRPr="001E3C2C" w:rsidRDefault="00B630D7" w:rsidP="00552D69">
            <w:pPr>
              <w:pStyle w:val="TableBodyText"/>
              <w:ind w:right="0"/>
              <w:rPr>
                <w:b/>
                <w:i/>
              </w:rPr>
            </w:pPr>
            <w:r w:rsidRPr="001E3C2C">
              <w:rPr>
                <w:b/>
              </w:rPr>
              <w:t xml:space="preserve"> 316.5</w:t>
            </w:r>
          </w:p>
        </w:tc>
        <w:tc>
          <w:tcPr>
            <w:tcW w:w="720" w:type="dxa"/>
            <w:vAlign w:val="center"/>
          </w:tcPr>
          <w:p w:rsidR="00B630D7" w:rsidRPr="001E3C2C" w:rsidRDefault="00B630D7" w:rsidP="00552D69">
            <w:pPr>
              <w:pStyle w:val="TableBodyText"/>
              <w:ind w:right="0"/>
              <w:rPr>
                <w:b/>
                <w:i/>
              </w:rPr>
            </w:pPr>
            <w:r w:rsidRPr="001E3C2C">
              <w:rPr>
                <w:b/>
              </w:rPr>
              <w:t xml:space="preserve"> 244.3</w:t>
            </w:r>
          </w:p>
        </w:tc>
        <w:tc>
          <w:tcPr>
            <w:tcW w:w="720" w:type="dxa"/>
            <w:vAlign w:val="center"/>
          </w:tcPr>
          <w:p w:rsidR="00B630D7" w:rsidRPr="001E3C2C" w:rsidRDefault="00B630D7" w:rsidP="00552D69">
            <w:pPr>
              <w:pStyle w:val="TableBodyText"/>
              <w:ind w:right="0"/>
              <w:rPr>
                <w:b/>
                <w:i/>
              </w:rPr>
            </w:pPr>
            <w:r w:rsidRPr="001E3C2C">
              <w:rPr>
                <w:b/>
              </w:rPr>
              <w:t xml:space="preserve"> 127.5</w:t>
            </w:r>
          </w:p>
        </w:tc>
        <w:tc>
          <w:tcPr>
            <w:tcW w:w="720" w:type="dxa"/>
            <w:vAlign w:val="center"/>
          </w:tcPr>
          <w:p w:rsidR="00B630D7" w:rsidRPr="001E3C2C" w:rsidRDefault="00B630D7" w:rsidP="00552D69">
            <w:pPr>
              <w:pStyle w:val="TableBodyText"/>
              <w:ind w:right="0"/>
              <w:rPr>
                <w:b/>
                <w:i/>
              </w:rPr>
            </w:pPr>
            <w:r w:rsidRPr="001E3C2C">
              <w:rPr>
                <w:b/>
              </w:rPr>
              <w:t xml:space="preserve">  93.0</w:t>
            </w:r>
          </w:p>
        </w:tc>
        <w:tc>
          <w:tcPr>
            <w:tcW w:w="720" w:type="dxa"/>
            <w:vAlign w:val="center"/>
          </w:tcPr>
          <w:p w:rsidR="00B630D7" w:rsidRPr="001E3C2C" w:rsidRDefault="00B630D7" w:rsidP="00552D69">
            <w:pPr>
              <w:pStyle w:val="TableBodyText"/>
              <w:ind w:right="0"/>
              <w:rPr>
                <w:b/>
                <w:i/>
              </w:rPr>
            </w:pPr>
            <w:r w:rsidRPr="001E3C2C">
              <w:rPr>
                <w:b/>
              </w:rPr>
              <w:t xml:space="preserve">  23.7</w:t>
            </w:r>
          </w:p>
        </w:tc>
        <w:tc>
          <w:tcPr>
            <w:tcW w:w="720" w:type="dxa"/>
            <w:vAlign w:val="center"/>
          </w:tcPr>
          <w:p w:rsidR="00B630D7" w:rsidRPr="001E3C2C" w:rsidRDefault="00B630D7" w:rsidP="00552D69">
            <w:pPr>
              <w:pStyle w:val="TableBodyText"/>
              <w:ind w:right="0"/>
              <w:rPr>
                <w:b/>
                <w:i/>
              </w:rPr>
            </w:pPr>
            <w:r w:rsidRPr="001E3C2C">
              <w:rPr>
                <w:b/>
              </w:rPr>
              <w:t xml:space="preserve">  26.3</w:t>
            </w:r>
          </w:p>
        </w:tc>
        <w:tc>
          <w:tcPr>
            <w:tcW w:w="720" w:type="dxa"/>
            <w:vAlign w:val="center"/>
          </w:tcPr>
          <w:p w:rsidR="00B630D7" w:rsidRPr="001E3C2C" w:rsidRDefault="00B630D7" w:rsidP="00552D69">
            <w:pPr>
              <w:pStyle w:val="TableBodyText"/>
              <w:ind w:right="0"/>
              <w:rPr>
                <w:b/>
                <w:i/>
              </w:rPr>
            </w:pPr>
            <w:r w:rsidRPr="001E3C2C">
              <w:rPr>
                <w:b/>
              </w:rPr>
              <w:t xml:space="preserve">  10.3</w:t>
            </w:r>
          </w:p>
        </w:tc>
        <w:tc>
          <w:tcPr>
            <w:tcW w:w="870" w:type="dxa"/>
            <w:vAlign w:val="center"/>
          </w:tcPr>
          <w:p w:rsidR="00B630D7" w:rsidRPr="001E3C2C" w:rsidRDefault="00B630D7" w:rsidP="00552D69">
            <w:pPr>
              <w:pStyle w:val="TableBodyText"/>
              <w:ind w:right="0"/>
              <w:rPr>
                <w:b/>
                <w:i/>
              </w:rPr>
            </w:pPr>
            <w:r w:rsidRPr="001E3C2C">
              <w:rPr>
                <w:b/>
              </w:rPr>
              <w:t xml:space="preserve"> 1 225.7</w:t>
            </w:r>
          </w:p>
        </w:tc>
      </w:tr>
      <w:tr w:rsidR="0026369A" w:rsidTr="0026369A">
        <w:tc>
          <w:tcPr>
            <w:tcW w:w="7920" w:type="dxa"/>
            <w:gridSpan w:val="9"/>
          </w:tcPr>
          <w:p w:rsidR="0026369A" w:rsidRDefault="0026369A" w:rsidP="0026369A">
            <w:pPr>
              <w:pStyle w:val="TableBodyText"/>
              <w:spacing w:before="80"/>
              <w:jc w:val="left"/>
            </w:pPr>
            <w:r>
              <w:t>Proportion of FTE students who were enrolled in government schools (per cent)</w:t>
            </w:r>
          </w:p>
        </w:tc>
        <w:tc>
          <w:tcPr>
            <w:tcW w:w="870" w:type="dxa"/>
          </w:tcPr>
          <w:p w:rsidR="0026369A" w:rsidRDefault="0026369A" w:rsidP="0026369A">
            <w:pPr>
              <w:pStyle w:val="TableBodyText"/>
              <w:ind w:right="28"/>
            </w:pPr>
          </w:p>
        </w:tc>
      </w:tr>
      <w:tr w:rsidR="00B630D7" w:rsidTr="00B630D7">
        <w:tc>
          <w:tcPr>
            <w:tcW w:w="2146" w:type="dxa"/>
          </w:tcPr>
          <w:p w:rsidR="00B630D7" w:rsidRDefault="00B630D7" w:rsidP="0026369A">
            <w:pPr>
              <w:pStyle w:val="TableBodyText"/>
              <w:ind w:left="180"/>
              <w:jc w:val="left"/>
            </w:pPr>
            <w:r>
              <w:t>Primary schools</w:t>
            </w:r>
          </w:p>
        </w:tc>
        <w:tc>
          <w:tcPr>
            <w:tcW w:w="734" w:type="dxa"/>
            <w:vAlign w:val="center"/>
          </w:tcPr>
          <w:p w:rsidR="00B630D7" w:rsidRPr="001E3C2C" w:rsidRDefault="00B630D7" w:rsidP="00552D69">
            <w:pPr>
              <w:pStyle w:val="TableBodyText"/>
              <w:ind w:right="0"/>
              <w:rPr>
                <w:b/>
                <w:i/>
              </w:rPr>
            </w:pPr>
            <w:r w:rsidRPr="001E3C2C">
              <w:t xml:space="preserve">  69.4</w:t>
            </w:r>
          </w:p>
        </w:tc>
        <w:tc>
          <w:tcPr>
            <w:tcW w:w="720" w:type="dxa"/>
            <w:vAlign w:val="center"/>
          </w:tcPr>
          <w:p w:rsidR="00B630D7" w:rsidRPr="001E3C2C" w:rsidRDefault="00B630D7" w:rsidP="00552D69">
            <w:pPr>
              <w:pStyle w:val="TableBodyText"/>
              <w:ind w:right="0"/>
              <w:rPr>
                <w:b/>
                <w:i/>
              </w:rPr>
            </w:pPr>
            <w:r w:rsidRPr="001E3C2C">
              <w:t xml:space="preserve">  67.5</w:t>
            </w:r>
          </w:p>
        </w:tc>
        <w:tc>
          <w:tcPr>
            <w:tcW w:w="720" w:type="dxa"/>
            <w:vAlign w:val="center"/>
          </w:tcPr>
          <w:p w:rsidR="00B630D7" w:rsidRPr="001E3C2C" w:rsidRDefault="00B630D7" w:rsidP="00552D69">
            <w:pPr>
              <w:pStyle w:val="TableBodyText"/>
              <w:ind w:right="0"/>
              <w:rPr>
                <w:b/>
                <w:i/>
              </w:rPr>
            </w:pPr>
            <w:r w:rsidRPr="001E3C2C">
              <w:t xml:space="preserve">  70.1</w:t>
            </w:r>
          </w:p>
        </w:tc>
        <w:tc>
          <w:tcPr>
            <w:tcW w:w="720" w:type="dxa"/>
            <w:vAlign w:val="center"/>
          </w:tcPr>
          <w:p w:rsidR="00B630D7" w:rsidRPr="001E3C2C" w:rsidRDefault="00B630D7" w:rsidP="00552D69">
            <w:pPr>
              <w:pStyle w:val="TableBodyText"/>
              <w:ind w:right="0"/>
              <w:rPr>
                <w:b/>
                <w:i/>
              </w:rPr>
            </w:pPr>
            <w:r w:rsidRPr="001E3C2C">
              <w:t xml:space="preserve">  69.3</w:t>
            </w:r>
          </w:p>
        </w:tc>
        <w:tc>
          <w:tcPr>
            <w:tcW w:w="720" w:type="dxa"/>
            <w:vAlign w:val="center"/>
          </w:tcPr>
          <w:p w:rsidR="00B630D7" w:rsidRPr="001E3C2C" w:rsidRDefault="00B630D7" w:rsidP="00552D69">
            <w:pPr>
              <w:pStyle w:val="TableBodyText"/>
              <w:ind w:right="0"/>
              <w:rPr>
                <w:b/>
                <w:i/>
              </w:rPr>
            </w:pPr>
            <w:r w:rsidRPr="001E3C2C">
              <w:t xml:space="preserve">  66.1</w:t>
            </w:r>
          </w:p>
        </w:tc>
        <w:tc>
          <w:tcPr>
            <w:tcW w:w="720" w:type="dxa"/>
            <w:vAlign w:val="center"/>
          </w:tcPr>
          <w:p w:rsidR="00B630D7" w:rsidRPr="001E3C2C" w:rsidRDefault="00B630D7" w:rsidP="00552D69">
            <w:pPr>
              <w:pStyle w:val="TableBodyText"/>
              <w:ind w:right="0"/>
              <w:rPr>
                <w:b/>
                <w:i/>
              </w:rPr>
            </w:pPr>
            <w:r w:rsidRPr="001E3C2C">
              <w:t xml:space="preserve">  73.7</w:t>
            </w:r>
          </w:p>
        </w:tc>
        <w:tc>
          <w:tcPr>
            <w:tcW w:w="720" w:type="dxa"/>
            <w:vAlign w:val="center"/>
          </w:tcPr>
          <w:p w:rsidR="00B630D7" w:rsidRPr="001E3C2C" w:rsidRDefault="00B630D7" w:rsidP="00552D69">
            <w:pPr>
              <w:pStyle w:val="TableBodyText"/>
              <w:ind w:right="0"/>
              <w:rPr>
                <w:b/>
                <w:i/>
              </w:rPr>
            </w:pPr>
            <w:r w:rsidRPr="001E3C2C">
              <w:t xml:space="preserve">  59.8</w:t>
            </w:r>
          </w:p>
        </w:tc>
        <w:tc>
          <w:tcPr>
            <w:tcW w:w="720" w:type="dxa"/>
            <w:vAlign w:val="center"/>
          </w:tcPr>
          <w:p w:rsidR="00B630D7" w:rsidRPr="001E3C2C" w:rsidRDefault="00B630D7" w:rsidP="00552D69">
            <w:pPr>
              <w:pStyle w:val="TableBodyText"/>
              <w:ind w:right="0"/>
              <w:rPr>
                <w:b/>
                <w:i/>
              </w:rPr>
            </w:pPr>
            <w:r w:rsidRPr="001E3C2C">
              <w:t xml:space="preserve">  78.5</w:t>
            </w:r>
          </w:p>
        </w:tc>
        <w:tc>
          <w:tcPr>
            <w:tcW w:w="870" w:type="dxa"/>
            <w:vAlign w:val="center"/>
          </w:tcPr>
          <w:p w:rsidR="00B630D7" w:rsidRPr="001E3C2C" w:rsidRDefault="00B630D7" w:rsidP="00552D69">
            <w:pPr>
              <w:pStyle w:val="TableBodyText"/>
              <w:ind w:right="0"/>
              <w:rPr>
                <w:b/>
                <w:i/>
              </w:rPr>
            </w:pPr>
            <w:r w:rsidRPr="001E3C2C">
              <w:t xml:space="preserve">  68.9</w:t>
            </w:r>
          </w:p>
        </w:tc>
      </w:tr>
      <w:tr w:rsidR="00B630D7" w:rsidTr="00B630D7">
        <w:tc>
          <w:tcPr>
            <w:tcW w:w="2146" w:type="dxa"/>
          </w:tcPr>
          <w:p w:rsidR="00B630D7" w:rsidRDefault="00B630D7" w:rsidP="0026369A">
            <w:pPr>
              <w:pStyle w:val="TableBodyText"/>
              <w:ind w:left="180"/>
              <w:jc w:val="left"/>
            </w:pPr>
            <w:r>
              <w:t>Secondary schools</w:t>
            </w:r>
          </w:p>
        </w:tc>
        <w:tc>
          <w:tcPr>
            <w:tcW w:w="734" w:type="dxa"/>
            <w:vAlign w:val="center"/>
          </w:tcPr>
          <w:p w:rsidR="00B630D7" w:rsidRPr="001E3C2C" w:rsidRDefault="00B630D7" w:rsidP="00552D69">
            <w:pPr>
              <w:pStyle w:val="TableBodyText"/>
              <w:ind w:right="0"/>
              <w:rPr>
                <w:b/>
                <w:i/>
              </w:rPr>
            </w:pPr>
            <w:r w:rsidRPr="001E3C2C">
              <w:t xml:space="preserve">  61.7</w:t>
            </w:r>
          </w:p>
        </w:tc>
        <w:tc>
          <w:tcPr>
            <w:tcW w:w="720" w:type="dxa"/>
            <w:vAlign w:val="center"/>
          </w:tcPr>
          <w:p w:rsidR="00B630D7" w:rsidRPr="001E3C2C" w:rsidRDefault="00B630D7" w:rsidP="00552D69">
            <w:pPr>
              <w:pStyle w:val="TableBodyText"/>
              <w:ind w:right="0"/>
              <w:rPr>
                <w:b/>
                <w:i/>
              </w:rPr>
            </w:pPr>
            <w:r w:rsidRPr="001E3C2C">
              <w:t xml:space="preserve">  57.9</w:t>
            </w:r>
          </w:p>
        </w:tc>
        <w:tc>
          <w:tcPr>
            <w:tcW w:w="720" w:type="dxa"/>
            <w:vAlign w:val="center"/>
          </w:tcPr>
          <w:p w:rsidR="00B630D7" w:rsidRPr="001E3C2C" w:rsidRDefault="00B630D7" w:rsidP="00552D69">
            <w:pPr>
              <w:pStyle w:val="TableBodyText"/>
              <w:ind w:right="0"/>
              <w:rPr>
                <w:b/>
                <w:i/>
              </w:rPr>
            </w:pPr>
            <w:r w:rsidRPr="001E3C2C">
              <w:t xml:space="preserve">  61.7</w:t>
            </w:r>
          </w:p>
        </w:tc>
        <w:tc>
          <w:tcPr>
            <w:tcW w:w="720" w:type="dxa"/>
            <w:vAlign w:val="center"/>
          </w:tcPr>
          <w:p w:rsidR="00B630D7" w:rsidRPr="001E3C2C" w:rsidRDefault="00B630D7" w:rsidP="00552D69">
            <w:pPr>
              <w:pStyle w:val="TableBodyText"/>
              <w:ind w:right="0"/>
              <w:rPr>
                <w:b/>
                <w:i/>
              </w:rPr>
            </w:pPr>
            <w:r w:rsidRPr="001E3C2C">
              <w:t xml:space="preserve">  57.4</w:t>
            </w:r>
          </w:p>
        </w:tc>
        <w:tc>
          <w:tcPr>
            <w:tcW w:w="720" w:type="dxa"/>
            <w:vAlign w:val="center"/>
          </w:tcPr>
          <w:p w:rsidR="00B630D7" w:rsidRPr="001E3C2C" w:rsidRDefault="00B630D7" w:rsidP="00552D69">
            <w:pPr>
              <w:pStyle w:val="TableBodyText"/>
              <w:ind w:right="0"/>
              <w:rPr>
                <w:b/>
                <w:i/>
              </w:rPr>
            </w:pPr>
            <w:r w:rsidRPr="001E3C2C">
              <w:t xml:space="preserve">  60.9</w:t>
            </w:r>
          </w:p>
        </w:tc>
        <w:tc>
          <w:tcPr>
            <w:tcW w:w="720" w:type="dxa"/>
            <w:vAlign w:val="center"/>
          </w:tcPr>
          <w:p w:rsidR="00B630D7" w:rsidRPr="001E3C2C" w:rsidRDefault="00B630D7" w:rsidP="00552D69">
            <w:pPr>
              <w:pStyle w:val="TableBodyText"/>
              <w:ind w:right="0"/>
              <w:rPr>
                <w:b/>
                <w:i/>
              </w:rPr>
            </w:pPr>
            <w:r w:rsidRPr="001E3C2C">
              <w:t xml:space="preserve">  68.1</w:t>
            </w:r>
          </w:p>
        </w:tc>
        <w:tc>
          <w:tcPr>
            <w:tcW w:w="720" w:type="dxa"/>
            <w:vAlign w:val="center"/>
          </w:tcPr>
          <w:p w:rsidR="00B630D7" w:rsidRPr="001E3C2C" w:rsidRDefault="00B630D7" w:rsidP="00552D69">
            <w:pPr>
              <w:pStyle w:val="TableBodyText"/>
              <w:ind w:right="0"/>
              <w:rPr>
                <w:b/>
                <w:i/>
              </w:rPr>
            </w:pPr>
            <w:r w:rsidRPr="001E3C2C">
              <w:t xml:space="preserve">  53.6</w:t>
            </w:r>
          </w:p>
        </w:tc>
        <w:tc>
          <w:tcPr>
            <w:tcW w:w="720" w:type="dxa"/>
            <w:vAlign w:val="center"/>
          </w:tcPr>
          <w:p w:rsidR="00B630D7" w:rsidRPr="001E3C2C" w:rsidRDefault="00B630D7" w:rsidP="00552D69">
            <w:pPr>
              <w:pStyle w:val="TableBodyText"/>
              <w:ind w:right="0"/>
              <w:rPr>
                <w:b/>
                <w:i/>
              </w:rPr>
            </w:pPr>
            <w:r w:rsidRPr="001E3C2C">
              <w:t xml:space="preserve">  67.5</w:t>
            </w:r>
          </w:p>
        </w:tc>
        <w:tc>
          <w:tcPr>
            <w:tcW w:w="870" w:type="dxa"/>
            <w:vAlign w:val="center"/>
          </w:tcPr>
          <w:p w:rsidR="00B630D7" w:rsidRPr="001E3C2C" w:rsidRDefault="00B630D7" w:rsidP="00552D69">
            <w:pPr>
              <w:pStyle w:val="TableBodyText"/>
              <w:ind w:right="0"/>
              <w:rPr>
                <w:b/>
                <w:i/>
              </w:rPr>
            </w:pPr>
            <w:r w:rsidRPr="001E3C2C">
              <w:t xml:space="preserve">  60.3</w:t>
            </w:r>
          </w:p>
        </w:tc>
      </w:tr>
      <w:tr w:rsidR="00B630D7" w:rsidTr="00B630D7">
        <w:tc>
          <w:tcPr>
            <w:tcW w:w="2146" w:type="dxa"/>
            <w:tcBorders>
              <w:bottom w:val="single" w:sz="4" w:space="0" w:color="auto"/>
            </w:tcBorders>
          </w:tcPr>
          <w:p w:rsidR="00B630D7" w:rsidRPr="002F0556" w:rsidRDefault="00B630D7" w:rsidP="0026369A">
            <w:pPr>
              <w:pStyle w:val="TableBodyText"/>
              <w:ind w:left="136"/>
              <w:jc w:val="both"/>
              <w:rPr>
                <w:b/>
              </w:rPr>
            </w:pPr>
            <w:r w:rsidRPr="002F0556">
              <w:rPr>
                <w:b/>
              </w:rPr>
              <w:t>All schools</w:t>
            </w:r>
          </w:p>
        </w:tc>
        <w:tc>
          <w:tcPr>
            <w:tcW w:w="734" w:type="dxa"/>
            <w:tcBorders>
              <w:bottom w:val="single" w:sz="4" w:space="0" w:color="auto"/>
            </w:tcBorders>
            <w:vAlign w:val="center"/>
          </w:tcPr>
          <w:p w:rsidR="00B630D7" w:rsidRPr="001E3C2C" w:rsidRDefault="00B630D7" w:rsidP="00552D69">
            <w:pPr>
              <w:pStyle w:val="TableBodyText"/>
              <w:ind w:right="0"/>
              <w:rPr>
                <w:b/>
                <w:i/>
              </w:rPr>
            </w:pPr>
            <w:r w:rsidRPr="001E3C2C">
              <w:rPr>
                <w:b/>
              </w:rPr>
              <w:t xml:space="preserve">  66.0</w:t>
            </w:r>
          </w:p>
        </w:tc>
        <w:tc>
          <w:tcPr>
            <w:tcW w:w="720" w:type="dxa"/>
            <w:tcBorders>
              <w:bottom w:val="single" w:sz="4" w:space="0" w:color="auto"/>
            </w:tcBorders>
            <w:vAlign w:val="center"/>
          </w:tcPr>
          <w:p w:rsidR="00B630D7" w:rsidRPr="001E3C2C" w:rsidRDefault="00B630D7" w:rsidP="00552D69">
            <w:pPr>
              <w:pStyle w:val="TableBodyText"/>
              <w:ind w:right="0"/>
              <w:rPr>
                <w:b/>
                <w:i/>
              </w:rPr>
            </w:pPr>
            <w:r w:rsidRPr="001E3C2C">
              <w:rPr>
                <w:b/>
              </w:rPr>
              <w:t xml:space="preserve">  63.1</w:t>
            </w:r>
          </w:p>
        </w:tc>
        <w:tc>
          <w:tcPr>
            <w:tcW w:w="720" w:type="dxa"/>
            <w:tcBorders>
              <w:bottom w:val="single" w:sz="4" w:space="0" w:color="auto"/>
            </w:tcBorders>
            <w:vAlign w:val="center"/>
          </w:tcPr>
          <w:p w:rsidR="00B630D7" w:rsidRPr="001E3C2C" w:rsidRDefault="00B630D7" w:rsidP="00552D69">
            <w:pPr>
              <w:pStyle w:val="TableBodyText"/>
              <w:ind w:right="0"/>
              <w:rPr>
                <w:b/>
                <w:i/>
              </w:rPr>
            </w:pPr>
            <w:r w:rsidRPr="001E3C2C">
              <w:rPr>
                <w:b/>
              </w:rPr>
              <w:t xml:space="preserve">  66.8</w:t>
            </w:r>
          </w:p>
        </w:tc>
        <w:tc>
          <w:tcPr>
            <w:tcW w:w="720" w:type="dxa"/>
            <w:tcBorders>
              <w:bottom w:val="single" w:sz="4" w:space="0" w:color="auto"/>
            </w:tcBorders>
            <w:vAlign w:val="center"/>
          </w:tcPr>
          <w:p w:rsidR="00B630D7" w:rsidRPr="001E3C2C" w:rsidRDefault="00B630D7" w:rsidP="00552D69">
            <w:pPr>
              <w:pStyle w:val="TableBodyText"/>
              <w:ind w:right="0"/>
              <w:rPr>
                <w:b/>
                <w:i/>
              </w:rPr>
            </w:pPr>
            <w:r w:rsidRPr="001E3C2C">
              <w:rPr>
                <w:b/>
              </w:rPr>
              <w:t xml:space="preserve">  65.0</w:t>
            </w:r>
          </w:p>
        </w:tc>
        <w:tc>
          <w:tcPr>
            <w:tcW w:w="720" w:type="dxa"/>
            <w:tcBorders>
              <w:bottom w:val="single" w:sz="4" w:space="0" w:color="auto"/>
            </w:tcBorders>
            <w:vAlign w:val="center"/>
          </w:tcPr>
          <w:p w:rsidR="00B630D7" w:rsidRPr="001E3C2C" w:rsidRDefault="00B630D7" w:rsidP="00552D69">
            <w:pPr>
              <w:pStyle w:val="TableBodyText"/>
              <w:ind w:right="0"/>
              <w:rPr>
                <w:b/>
                <w:i/>
              </w:rPr>
            </w:pPr>
            <w:r w:rsidRPr="001E3C2C">
              <w:rPr>
                <w:b/>
              </w:rPr>
              <w:t xml:space="preserve">  64.1</w:t>
            </w:r>
          </w:p>
        </w:tc>
        <w:tc>
          <w:tcPr>
            <w:tcW w:w="720" w:type="dxa"/>
            <w:tcBorders>
              <w:bottom w:val="single" w:sz="4" w:space="0" w:color="auto"/>
            </w:tcBorders>
            <w:vAlign w:val="center"/>
          </w:tcPr>
          <w:p w:rsidR="00B630D7" w:rsidRPr="001E3C2C" w:rsidRDefault="00B630D7" w:rsidP="00552D69">
            <w:pPr>
              <w:pStyle w:val="TableBodyText"/>
              <w:ind w:right="0"/>
              <w:rPr>
                <w:b/>
                <w:i/>
              </w:rPr>
            </w:pPr>
            <w:r w:rsidRPr="001E3C2C">
              <w:rPr>
                <w:b/>
              </w:rPr>
              <w:t xml:space="preserve">  71.2</w:t>
            </w:r>
          </w:p>
        </w:tc>
        <w:tc>
          <w:tcPr>
            <w:tcW w:w="720" w:type="dxa"/>
            <w:tcBorders>
              <w:bottom w:val="single" w:sz="4" w:space="0" w:color="auto"/>
            </w:tcBorders>
            <w:vAlign w:val="center"/>
          </w:tcPr>
          <w:p w:rsidR="00B630D7" w:rsidRPr="001E3C2C" w:rsidRDefault="00B630D7" w:rsidP="00552D69">
            <w:pPr>
              <w:pStyle w:val="TableBodyText"/>
              <w:ind w:right="0"/>
              <w:rPr>
                <w:b/>
                <w:i/>
              </w:rPr>
            </w:pPr>
            <w:r w:rsidRPr="001E3C2C">
              <w:rPr>
                <w:b/>
              </w:rPr>
              <w:t xml:space="preserve">  56.8</w:t>
            </w:r>
          </w:p>
        </w:tc>
        <w:tc>
          <w:tcPr>
            <w:tcW w:w="720" w:type="dxa"/>
            <w:tcBorders>
              <w:bottom w:val="single" w:sz="4" w:space="0" w:color="auto"/>
            </w:tcBorders>
            <w:vAlign w:val="center"/>
          </w:tcPr>
          <w:p w:rsidR="00B630D7" w:rsidRPr="001E3C2C" w:rsidRDefault="00B630D7" w:rsidP="00552D69">
            <w:pPr>
              <w:pStyle w:val="TableBodyText"/>
              <w:ind w:right="0"/>
              <w:rPr>
                <w:b/>
                <w:i/>
              </w:rPr>
            </w:pPr>
            <w:r w:rsidRPr="001E3C2C">
              <w:rPr>
                <w:b/>
              </w:rPr>
              <w:t xml:space="preserve">  73.9</w:t>
            </w:r>
          </w:p>
        </w:tc>
        <w:tc>
          <w:tcPr>
            <w:tcW w:w="870" w:type="dxa"/>
            <w:tcBorders>
              <w:bottom w:val="single" w:sz="4" w:space="0" w:color="auto"/>
            </w:tcBorders>
            <w:vAlign w:val="center"/>
          </w:tcPr>
          <w:p w:rsidR="00B630D7" w:rsidRPr="001E3C2C" w:rsidRDefault="00B630D7" w:rsidP="00552D69">
            <w:pPr>
              <w:pStyle w:val="TableBodyText"/>
              <w:ind w:right="0"/>
              <w:rPr>
                <w:b/>
                <w:i/>
              </w:rPr>
            </w:pPr>
            <w:r w:rsidRPr="001E3C2C">
              <w:rPr>
                <w:b/>
              </w:rPr>
              <w:t xml:space="preserve">  65.3</w:t>
            </w:r>
          </w:p>
        </w:tc>
      </w:tr>
    </w:tbl>
    <w:p w:rsidR="0026369A" w:rsidRDefault="0026369A" w:rsidP="0082251B">
      <w:pPr>
        <w:pStyle w:val="Note"/>
      </w:pPr>
      <w:proofErr w:type="spellStart"/>
      <w:r w:rsidRPr="00C96BF6">
        <w:rPr>
          <w:rStyle w:val="NoteLabel"/>
        </w:rPr>
        <w:t>a</w:t>
      </w:r>
      <w:proofErr w:type="spellEnd"/>
      <w:r>
        <w:sym w:font="Symbol" w:char="F020"/>
      </w:r>
      <w:r>
        <w:t xml:space="preserve">Includes students enrolled in special schools. </w:t>
      </w:r>
      <w:r w:rsidR="00B630D7">
        <w:t xml:space="preserve">Ungraded students are allocated to either primary or secondary school, depending on the age level in each jurisdiction. </w:t>
      </w:r>
      <w:r w:rsidRPr="00C96BF6">
        <w:rPr>
          <w:rStyle w:val="NoteLabel"/>
        </w:rPr>
        <w:t>b</w:t>
      </w:r>
      <w:r>
        <w:t xml:space="preserve"> Results of calculations may vary from the tab</w:t>
      </w:r>
      <w:r w:rsidR="00CE44B1">
        <w:t>le due to rounding differences.</w:t>
      </w:r>
    </w:p>
    <w:p w:rsidR="0026369A" w:rsidRPr="000334E2" w:rsidRDefault="0026369A" w:rsidP="0082251B">
      <w:pPr>
        <w:pStyle w:val="Source"/>
      </w:pPr>
      <w:r w:rsidRPr="00DE354D">
        <w:rPr>
          <w:i/>
        </w:rPr>
        <w:t>Source</w:t>
      </w:r>
      <w:r w:rsidRPr="00DE354D">
        <w:t>: ABS (201</w:t>
      </w:r>
      <w:r w:rsidR="00A01691">
        <w:t>2</w:t>
      </w:r>
      <w:r w:rsidRPr="00DE354D">
        <w:t xml:space="preserve"> and unpublished) </w:t>
      </w:r>
      <w:r w:rsidRPr="00DE354D">
        <w:rPr>
          <w:i/>
        </w:rPr>
        <w:t>Schools Australia, 2011</w:t>
      </w:r>
      <w:r w:rsidRPr="00DE354D">
        <w:t>, Cat. no. 4221.0.</w:t>
      </w:r>
    </w:p>
    <w:p w:rsidR="000C5178" w:rsidRDefault="000C5178" w:rsidP="00FF7ED9">
      <w:pPr>
        <w:pStyle w:val="Heading4"/>
      </w:pPr>
      <w:r>
        <w:t xml:space="preserve">Number of students enrolled in </w:t>
      </w:r>
      <w:r w:rsidR="00EA4F32">
        <w:t xml:space="preserve">VET in </w:t>
      </w:r>
      <w:r>
        <w:t>school</w:t>
      </w:r>
      <w:r w:rsidR="00EA4F32">
        <w:t>s</w:t>
      </w:r>
    </w:p>
    <w:p w:rsidR="0026369A" w:rsidRPr="004106E3" w:rsidRDefault="0026369A" w:rsidP="0026369A">
      <w:pPr>
        <w:pStyle w:val="BodyText"/>
        <w:rPr>
          <w:rStyle w:val="DraftingNote"/>
          <w:color w:val="auto"/>
        </w:rPr>
      </w:pPr>
      <w:r>
        <w:t>A student is counted as undertaking VET</w:t>
      </w:r>
      <w:r w:rsidRPr="007A1275">
        <w:t xml:space="preserve"> </w:t>
      </w:r>
      <w:r w:rsidR="006233FE">
        <w:t xml:space="preserve">in school </w:t>
      </w:r>
      <w:r w:rsidRPr="007A1275">
        <w:t xml:space="preserve">if completion </w:t>
      </w:r>
      <w:r>
        <w:t>of a unit of study undertaken as part of a senior secondary certificate p</w:t>
      </w:r>
      <w:r w:rsidRPr="007A1275">
        <w:t xml:space="preserve">rovides credit towards </w:t>
      </w:r>
      <w:r>
        <w:t xml:space="preserve">a </w:t>
      </w:r>
      <w:r w:rsidRPr="007A1275">
        <w:t xml:space="preserve">recognised </w:t>
      </w:r>
      <w:r>
        <w:t>VET</w:t>
      </w:r>
      <w:r w:rsidRPr="007A1275">
        <w:t xml:space="preserve"> credential within the Australian Qualification</w:t>
      </w:r>
      <w:r>
        <w:t>s</w:t>
      </w:r>
      <w:r w:rsidRPr="007A1275">
        <w:t xml:space="preserve"> Framework</w:t>
      </w:r>
      <w:r>
        <w:t xml:space="preserve"> (</w:t>
      </w:r>
      <w:proofErr w:type="spellStart"/>
      <w:r>
        <w:t>AQF</w:t>
      </w:r>
      <w:proofErr w:type="spellEnd"/>
      <w:r>
        <w:t>) (NCVER 2010</w:t>
      </w:r>
      <w:r w:rsidRPr="004106E3">
        <w:t>).</w:t>
      </w:r>
    </w:p>
    <w:p w:rsidR="0026369A" w:rsidRPr="004106E3" w:rsidRDefault="0026369A" w:rsidP="0026369A">
      <w:pPr>
        <w:pStyle w:val="BodyText"/>
        <w:rPr>
          <w:rStyle w:val="DraftingNote"/>
          <w:color w:val="auto"/>
        </w:rPr>
      </w:pPr>
      <w:r w:rsidRPr="004106E3">
        <w:t>The most recent data on the number of students enrolled i</w:t>
      </w:r>
      <w:r>
        <w:t xml:space="preserve">n VET in schools </w:t>
      </w:r>
      <w:r w:rsidR="005D4241">
        <w:t>are</w:t>
      </w:r>
      <w:r>
        <w:t xml:space="preserve"> for the 2010</w:t>
      </w:r>
      <w:r w:rsidRPr="004106E3">
        <w:t xml:space="preserve"> school year (table</w:t>
      </w:r>
      <w:r w:rsidR="00E70B10">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"OLE_LINK9" \a \t </w:instrText>
      </w:r>
      <w:r w:rsidR="002A66B3">
        <w:fldChar w:fldCharType="separate"/>
      </w:r>
      <w:r w:rsidR="002A66B3">
        <w:t>5</w:t>
      </w:r>
      <w:r w:rsidR="002A66B3">
        <w:fldChar w:fldCharType="end"/>
      </w:r>
      <w:r w:rsidRPr="004106E3">
        <w:t>).</w:t>
      </w:r>
    </w:p>
    <w:p w:rsidR="0026369A" w:rsidRPr="004106E3" w:rsidRDefault="0026369A" w:rsidP="0026369A">
      <w:pPr>
        <w:pStyle w:val="TableTitle"/>
      </w:pPr>
      <w:r w:rsidRPr="004106E3">
        <w:rPr>
          <w:b w:val="0"/>
        </w:rPr>
        <w:t xml:space="preserve">Table </w:t>
      </w:r>
      <w:bookmarkStart w:id="12" w:name="OLE_LINK9"/>
      <w:r w:rsidRPr="004106E3">
        <w:rPr>
          <w:b w:val="0"/>
        </w:rPr>
        <w:fldChar w:fldCharType="begin"/>
      </w:r>
      <w:r w:rsidRPr="004106E3">
        <w:rPr>
          <w:b w:val="0"/>
        </w:rPr>
        <w:instrText xml:space="preserve"> SEQ Table \* ARABIC </w:instrText>
      </w:r>
      <w:r w:rsidRPr="004106E3">
        <w:rPr>
          <w:b w:val="0"/>
        </w:rPr>
        <w:fldChar w:fldCharType="separate"/>
      </w:r>
      <w:r w:rsidR="00936B93">
        <w:rPr>
          <w:b w:val="0"/>
          <w:noProof/>
        </w:rPr>
        <w:t>5</w:t>
      </w:r>
      <w:r w:rsidRPr="004106E3">
        <w:rPr>
          <w:b w:val="0"/>
        </w:rPr>
        <w:fldChar w:fldCharType="end"/>
      </w:r>
      <w:bookmarkEnd w:id="12"/>
      <w:r w:rsidRPr="004106E3">
        <w:tab/>
        <w:t>Total VET in schools students, 20</w:t>
      </w:r>
      <w:r>
        <w:t>10</w:t>
      </w:r>
      <w:r w:rsidRPr="004106E3">
        <w:t xml:space="preserve"> (‘000)</w:t>
      </w:r>
      <w:r w:rsidRPr="004106E3">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1800"/>
        <w:gridCol w:w="900"/>
        <w:gridCol w:w="720"/>
        <w:gridCol w:w="975"/>
        <w:gridCol w:w="708"/>
        <w:gridCol w:w="709"/>
        <w:gridCol w:w="709"/>
        <w:gridCol w:w="709"/>
        <w:gridCol w:w="708"/>
        <w:gridCol w:w="852"/>
      </w:tblGrid>
      <w:tr w:rsidR="0026369A" w:rsidRPr="004106E3" w:rsidTr="0026369A">
        <w:tc>
          <w:tcPr>
            <w:tcW w:w="1800" w:type="dxa"/>
            <w:tcBorders>
              <w:top w:val="single" w:sz="6" w:space="0" w:color="auto"/>
              <w:bottom w:val="single" w:sz="4" w:space="0" w:color="auto"/>
            </w:tcBorders>
            <w:shd w:val="clear" w:color="auto" w:fill="auto"/>
          </w:tcPr>
          <w:p w:rsidR="0026369A" w:rsidRPr="004106E3" w:rsidRDefault="0026369A" w:rsidP="0026369A">
            <w:pPr>
              <w:pStyle w:val="TableColumnHeading"/>
              <w:jc w:val="left"/>
            </w:pPr>
          </w:p>
        </w:tc>
        <w:tc>
          <w:tcPr>
            <w:tcW w:w="900" w:type="dxa"/>
            <w:tcBorders>
              <w:top w:val="single" w:sz="6" w:space="0" w:color="auto"/>
              <w:bottom w:val="single" w:sz="4" w:space="0" w:color="auto"/>
            </w:tcBorders>
            <w:shd w:val="clear" w:color="auto" w:fill="auto"/>
          </w:tcPr>
          <w:p w:rsidR="0026369A" w:rsidRPr="004106E3" w:rsidRDefault="0026369A" w:rsidP="0026369A">
            <w:pPr>
              <w:pStyle w:val="TableColumnHeading"/>
              <w:ind w:right="0"/>
            </w:pPr>
            <w:r w:rsidRPr="004106E3">
              <w:t>NSW</w:t>
            </w:r>
          </w:p>
        </w:tc>
        <w:tc>
          <w:tcPr>
            <w:tcW w:w="720" w:type="dxa"/>
            <w:tcBorders>
              <w:top w:val="single" w:sz="6" w:space="0" w:color="auto"/>
              <w:bottom w:val="single" w:sz="4" w:space="0" w:color="auto"/>
            </w:tcBorders>
            <w:shd w:val="clear" w:color="auto" w:fill="auto"/>
          </w:tcPr>
          <w:p w:rsidR="0026369A" w:rsidRPr="004106E3" w:rsidRDefault="0026369A" w:rsidP="0026369A">
            <w:pPr>
              <w:pStyle w:val="TableColumnHeading"/>
              <w:ind w:right="0"/>
            </w:pPr>
            <w:r w:rsidRPr="004106E3">
              <w:t>Vic</w:t>
            </w:r>
          </w:p>
        </w:tc>
        <w:tc>
          <w:tcPr>
            <w:tcW w:w="975" w:type="dxa"/>
            <w:tcBorders>
              <w:top w:val="single" w:sz="6" w:space="0" w:color="auto"/>
              <w:bottom w:val="single" w:sz="4" w:space="0" w:color="auto"/>
            </w:tcBorders>
            <w:shd w:val="clear" w:color="auto" w:fill="auto"/>
          </w:tcPr>
          <w:p w:rsidR="0026369A" w:rsidRPr="004106E3" w:rsidRDefault="0026369A" w:rsidP="0026369A">
            <w:pPr>
              <w:pStyle w:val="TableColumnHeading"/>
              <w:ind w:right="0"/>
            </w:pPr>
            <w:r w:rsidRPr="004106E3">
              <w:t>Qld</w:t>
            </w:r>
          </w:p>
        </w:tc>
        <w:tc>
          <w:tcPr>
            <w:tcW w:w="708" w:type="dxa"/>
            <w:tcBorders>
              <w:top w:val="single" w:sz="6" w:space="0" w:color="auto"/>
              <w:bottom w:val="single" w:sz="4" w:space="0" w:color="auto"/>
            </w:tcBorders>
            <w:shd w:val="clear" w:color="auto" w:fill="auto"/>
          </w:tcPr>
          <w:p w:rsidR="0026369A" w:rsidRPr="004106E3" w:rsidRDefault="0026369A" w:rsidP="0026369A">
            <w:pPr>
              <w:pStyle w:val="TableColumnHeading"/>
              <w:ind w:right="0"/>
            </w:pPr>
            <w:r w:rsidRPr="004106E3">
              <w:t>WA</w:t>
            </w:r>
          </w:p>
        </w:tc>
        <w:tc>
          <w:tcPr>
            <w:tcW w:w="709" w:type="dxa"/>
            <w:tcBorders>
              <w:top w:val="single" w:sz="6" w:space="0" w:color="auto"/>
              <w:bottom w:val="single" w:sz="4" w:space="0" w:color="auto"/>
            </w:tcBorders>
            <w:shd w:val="clear" w:color="auto" w:fill="auto"/>
          </w:tcPr>
          <w:p w:rsidR="0026369A" w:rsidRPr="004106E3" w:rsidRDefault="0026369A" w:rsidP="0026369A">
            <w:pPr>
              <w:pStyle w:val="TableColumnHeading"/>
              <w:ind w:right="0"/>
            </w:pPr>
            <w:r w:rsidRPr="004106E3">
              <w:t>SA</w:t>
            </w:r>
          </w:p>
        </w:tc>
        <w:tc>
          <w:tcPr>
            <w:tcW w:w="709" w:type="dxa"/>
            <w:tcBorders>
              <w:top w:val="single" w:sz="6" w:space="0" w:color="auto"/>
              <w:bottom w:val="single" w:sz="4" w:space="0" w:color="auto"/>
            </w:tcBorders>
            <w:shd w:val="clear" w:color="auto" w:fill="auto"/>
          </w:tcPr>
          <w:p w:rsidR="0026369A" w:rsidRPr="004106E3" w:rsidRDefault="0026369A" w:rsidP="0026369A">
            <w:pPr>
              <w:pStyle w:val="TableColumnHeading"/>
              <w:ind w:right="0"/>
            </w:pPr>
            <w:r w:rsidRPr="004106E3">
              <w:t>Tas</w:t>
            </w:r>
          </w:p>
        </w:tc>
        <w:tc>
          <w:tcPr>
            <w:tcW w:w="709" w:type="dxa"/>
            <w:tcBorders>
              <w:top w:val="single" w:sz="6" w:space="0" w:color="auto"/>
              <w:bottom w:val="single" w:sz="4" w:space="0" w:color="auto"/>
            </w:tcBorders>
            <w:shd w:val="clear" w:color="auto" w:fill="auto"/>
          </w:tcPr>
          <w:p w:rsidR="0026369A" w:rsidRPr="004106E3" w:rsidRDefault="0026369A" w:rsidP="0026369A">
            <w:pPr>
              <w:pStyle w:val="TableColumnHeading"/>
              <w:ind w:right="0"/>
            </w:pPr>
            <w:r w:rsidRPr="004106E3">
              <w:t>ACT</w:t>
            </w:r>
          </w:p>
        </w:tc>
        <w:tc>
          <w:tcPr>
            <w:tcW w:w="708" w:type="dxa"/>
            <w:tcBorders>
              <w:top w:val="single" w:sz="6" w:space="0" w:color="auto"/>
              <w:bottom w:val="single" w:sz="4" w:space="0" w:color="auto"/>
            </w:tcBorders>
            <w:shd w:val="clear" w:color="auto" w:fill="auto"/>
          </w:tcPr>
          <w:p w:rsidR="0026369A" w:rsidRPr="004106E3" w:rsidRDefault="0026369A" w:rsidP="0026369A">
            <w:pPr>
              <w:pStyle w:val="TableColumnHeading"/>
              <w:ind w:right="0"/>
            </w:pPr>
            <w:r w:rsidRPr="004106E3">
              <w:t>NT</w:t>
            </w:r>
          </w:p>
        </w:tc>
        <w:tc>
          <w:tcPr>
            <w:tcW w:w="852" w:type="dxa"/>
            <w:tcBorders>
              <w:top w:val="single" w:sz="6" w:space="0" w:color="auto"/>
              <w:bottom w:val="single" w:sz="4" w:space="0" w:color="auto"/>
            </w:tcBorders>
            <w:shd w:val="clear" w:color="auto" w:fill="auto"/>
          </w:tcPr>
          <w:p w:rsidR="0026369A" w:rsidRPr="004106E3" w:rsidRDefault="0026369A" w:rsidP="0026369A">
            <w:pPr>
              <w:pStyle w:val="TableColumnHeading"/>
              <w:ind w:right="0"/>
              <w:rPr>
                <w:i w:val="0"/>
              </w:rPr>
            </w:pPr>
            <w:proofErr w:type="spellStart"/>
            <w:r w:rsidRPr="004106E3">
              <w:t>Aust</w:t>
            </w:r>
            <w:proofErr w:type="spellEnd"/>
          </w:p>
        </w:tc>
      </w:tr>
      <w:tr w:rsidR="0026369A" w:rsidRPr="00D730D3" w:rsidTr="00D730D3">
        <w:tc>
          <w:tcPr>
            <w:tcW w:w="1800" w:type="dxa"/>
            <w:tcBorders>
              <w:bottom w:val="single" w:sz="6" w:space="0" w:color="auto"/>
            </w:tcBorders>
            <w:shd w:val="clear" w:color="auto" w:fill="auto"/>
            <w:vAlign w:val="bottom"/>
          </w:tcPr>
          <w:p w:rsidR="0026369A" w:rsidRPr="004106E3" w:rsidRDefault="0026369A" w:rsidP="00D730D3">
            <w:pPr>
              <w:pStyle w:val="TableBodyText"/>
              <w:spacing w:before="40" w:afterLines="40" w:after="96"/>
              <w:jc w:val="left"/>
            </w:pPr>
            <w:r>
              <w:t>Number</w:t>
            </w:r>
          </w:p>
        </w:tc>
        <w:tc>
          <w:tcPr>
            <w:tcW w:w="900" w:type="dxa"/>
            <w:tcBorders>
              <w:bottom w:val="single" w:sz="6" w:space="0" w:color="auto"/>
            </w:tcBorders>
            <w:shd w:val="clear" w:color="auto" w:fill="auto"/>
          </w:tcPr>
          <w:p w:rsidR="0026369A" w:rsidRPr="00C56E93" w:rsidRDefault="0026369A" w:rsidP="00552D69">
            <w:pPr>
              <w:pStyle w:val="TableBodyText"/>
              <w:spacing w:before="40"/>
              <w:ind w:right="6"/>
              <w:rPr>
                <w:b/>
                <w:i/>
              </w:rPr>
            </w:pPr>
            <w:r w:rsidRPr="00C56E93">
              <w:t>60.6</w:t>
            </w:r>
          </w:p>
        </w:tc>
        <w:tc>
          <w:tcPr>
            <w:tcW w:w="720" w:type="dxa"/>
            <w:tcBorders>
              <w:bottom w:val="single" w:sz="6" w:space="0" w:color="auto"/>
            </w:tcBorders>
            <w:shd w:val="clear" w:color="auto" w:fill="auto"/>
          </w:tcPr>
          <w:p w:rsidR="0026369A" w:rsidRPr="00C56E93" w:rsidRDefault="0026369A" w:rsidP="00552D69">
            <w:pPr>
              <w:pStyle w:val="TableBodyText"/>
              <w:spacing w:before="40"/>
              <w:ind w:right="6"/>
              <w:rPr>
                <w:b/>
                <w:i/>
              </w:rPr>
            </w:pPr>
            <w:r w:rsidRPr="00C56E93">
              <w:t>46.5</w:t>
            </w:r>
          </w:p>
        </w:tc>
        <w:tc>
          <w:tcPr>
            <w:tcW w:w="975" w:type="dxa"/>
            <w:tcBorders>
              <w:bottom w:val="single" w:sz="6" w:space="0" w:color="auto"/>
            </w:tcBorders>
            <w:shd w:val="clear" w:color="auto" w:fill="auto"/>
          </w:tcPr>
          <w:p w:rsidR="0026369A" w:rsidRPr="00C56E93" w:rsidRDefault="0026369A" w:rsidP="00552D69">
            <w:pPr>
              <w:pStyle w:val="TableBodyText"/>
              <w:spacing w:before="40"/>
              <w:ind w:right="6"/>
              <w:rPr>
                <w:b/>
                <w:i/>
              </w:rPr>
            </w:pPr>
            <w:r w:rsidRPr="00C56E93">
              <w:t>81.0</w:t>
            </w:r>
          </w:p>
        </w:tc>
        <w:tc>
          <w:tcPr>
            <w:tcW w:w="708" w:type="dxa"/>
            <w:tcBorders>
              <w:bottom w:val="single" w:sz="6" w:space="0" w:color="auto"/>
            </w:tcBorders>
            <w:shd w:val="clear" w:color="auto" w:fill="auto"/>
          </w:tcPr>
          <w:p w:rsidR="0026369A" w:rsidRPr="00C56E93" w:rsidRDefault="0026369A" w:rsidP="00552D69">
            <w:pPr>
              <w:pStyle w:val="TableBodyText"/>
              <w:spacing w:before="40"/>
              <w:ind w:right="6"/>
              <w:rPr>
                <w:b/>
                <w:i/>
              </w:rPr>
            </w:pPr>
            <w:r w:rsidRPr="00C56E93">
              <w:t>12.1</w:t>
            </w:r>
          </w:p>
        </w:tc>
        <w:tc>
          <w:tcPr>
            <w:tcW w:w="709" w:type="dxa"/>
            <w:tcBorders>
              <w:bottom w:val="single" w:sz="6" w:space="0" w:color="auto"/>
            </w:tcBorders>
            <w:shd w:val="clear" w:color="auto" w:fill="auto"/>
          </w:tcPr>
          <w:p w:rsidR="0026369A" w:rsidRPr="00C56E93" w:rsidRDefault="0026369A" w:rsidP="00552D69">
            <w:pPr>
              <w:pStyle w:val="TableBodyText"/>
              <w:spacing w:before="40"/>
              <w:ind w:right="6"/>
              <w:rPr>
                <w:b/>
                <w:i/>
              </w:rPr>
            </w:pPr>
            <w:r w:rsidRPr="00C56E93">
              <w:t>24.8</w:t>
            </w:r>
          </w:p>
        </w:tc>
        <w:tc>
          <w:tcPr>
            <w:tcW w:w="709" w:type="dxa"/>
            <w:tcBorders>
              <w:bottom w:val="single" w:sz="6" w:space="0" w:color="auto"/>
            </w:tcBorders>
            <w:shd w:val="clear" w:color="auto" w:fill="auto"/>
          </w:tcPr>
          <w:p w:rsidR="0026369A" w:rsidRPr="00C56E93" w:rsidRDefault="0026369A" w:rsidP="00552D69">
            <w:pPr>
              <w:pStyle w:val="TableBodyText"/>
              <w:spacing w:before="40"/>
              <w:ind w:right="6"/>
              <w:rPr>
                <w:b/>
                <w:i/>
              </w:rPr>
            </w:pPr>
            <w:r w:rsidRPr="00C56E93">
              <w:t>2.6</w:t>
            </w:r>
          </w:p>
        </w:tc>
        <w:tc>
          <w:tcPr>
            <w:tcW w:w="709" w:type="dxa"/>
            <w:tcBorders>
              <w:bottom w:val="single" w:sz="6" w:space="0" w:color="auto"/>
            </w:tcBorders>
            <w:shd w:val="clear" w:color="auto" w:fill="auto"/>
          </w:tcPr>
          <w:p w:rsidR="0026369A" w:rsidRPr="00C56E93" w:rsidRDefault="0026369A" w:rsidP="00552D69">
            <w:pPr>
              <w:pStyle w:val="TableBodyText"/>
              <w:spacing w:before="40"/>
              <w:ind w:right="6"/>
              <w:rPr>
                <w:b/>
                <w:i/>
              </w:rPr>
            </w:pPr>
            <w:r w:rsidRPr="00C56E93">
              <w:t>2.1</w:t>
            </w:r>
          </w:p>
        </w:tc>
        <w:tc>
          <w:tcPr>
            <w:tcW w:w="708" w:type="dxa"/>
            <w:tcBorders>
              <w:bottom w:val="single" w:sz="6" w:space="0" w:color="auto"/>
            </w:tcBorders>
            <w:shd w:val="clear" w:color="auto" w:fill="auto"/>
          </w:tcPr>
          <w:p w:rsidR="0026369A" w:rsidRPr="00C56E93" w:rsidRDefault="0026369A" w:rsidP="00552D69">
            <w:pPr>
              <w:pStyle w:val="TableBodyText"/>
              <w:spacing w:before="40"/>
              <w:ind w:right="6"/>
              <w:rPr>
                <w:b/>
                <w:i/>
              </w:rPr>
            </w:pPr>
            <w:r w:rsidRPr="00C56E93">
              <w:t>4.2</w:t>
            </w:r>
          </w:p>
        </w:tc>
        <w:tc>
          <w:tcPr>
            <w:tcW w:w="852" w:type="dxa"/>
            <w:tcBorders>
              <w:bottom w:val="single" w:sz="6" w:space="0" w:color="auto"/>
            </w:tcBorders>
            <w:shd w:val="clear" w:color="auto" w:fill="auto"/>
          </w:tcPr>
          <w:p w:rsidR="0026369A" w:rsidRPr="00C56E93" w:rsidRDefault="0026369A" w:rsidP="00552D69">
            <w:pPr>
              <w:pStyle w:val="TableBodyText"/>
              <w:spacing w:before="40"/>
              <w:ind w:right="6"/>
              <w:rPr>
                <w:b/>
                <w:i/>
              </w:rPr>
            </w:pPr>
            <w:r w:rsidRPr="00C56E93">
              <w:t>233.8</w:t>
            </w:r>
          </w:p>
        </w:tc>
      </w:tr>
    </w:tbl>
    <w:p w:rsidR="0026369A" w:rsidRPr="004106E3" w:rsidRDefault="0026369A" w:rsidP="0026369A">
      <w:pPr>
        <w:pStyle w:val="Note"/>
        <w:rPr>
          <w:rStyle w:val="DraftingNote"/>
          <w:color w:val="auto"/>
        </w:rPr>
      </w:pPr>
      <w:r w:rsidRPr="004106E3">
        <w:rPr>
          <w:rStyle w:val="NoteLabel"/>
        </w:rPr>
        <w:t xml:space="preserve">a </w:t>
      </w:r>
      <w:r w:rsidRPr="004106E3">
        <w:t>Data in this table may not be comparable to data for previous y</w:t>
      </w:r>
      <w:r w:rsidR="00CE44B1">
        <w:t>ears due to compilation issues.</w:t>
      </w:r>
    </w:p>
    <w:p w:rsidR="0026369A" w:rsidRPr="001B7959" w:rsidRDefault="0026369A" w:rsidP="0026369A">
      <w:pPr>
        <w:pStyle w:val="Source"/>
      </w:pPr>
      <w:r>
        <w:rPr>
          <w:i/>
        </w:rPr>
        <w:t>Source</w:t>
      </w:r>
      <w:r>
        <w:t xml:space="preserve">: NCVER (2011) </w:t>
      </w:r>
      <w:r w:rsidRPr="00BC3DCE">
        <w:rPr>
          <w:i/>
        </w:rPr>
        <w:t>Australian Vocational Education and Training Statistics: VET in Schools</w:t>
      </w:r>
      <w:r>
        <w:t>, NCVER, Adelaide.</w:t>
      </w:r>
    </w:p>
    <w:p w:rsidR="000A54DF" w:rsidRDefault="000A54DF" w:rsidP="000A54DF">
      <w:pPr>
        <w:pStyle w:val="Heading4"/>
      </w:pPr>
      <w:r>
        <w:lastRenderedPageBreak/>
        <w:t>Special needs groups</w:t>
      </w:r>
    </w:p>
    <w:p w:rsidR="004860DF" w:rsidRPr="00C82C09" w:rsidRDefault="004860DF" w:rsidP="0082251B">
      <w:pPr>
        <w:pStyle w:val="BodyText"/>
      </w:pPr>
      <w:r>
        <w:t xml:space="preserve">The NEA explicitly identifies </w:t>
      </w:r>
      <w:r w:rsidR="00DD7A56">
        <w:t xml:space="preserve">the number of </w:t>
      </w:r>
      <w:r>
        <w:t xml:space="preserve">students from low SES schools and Indigenous students as outputs. Other </w:t>
      </w:r>
      <w:r w:rsidR="006233FE">
        <w:t xml:space="preserve">reports have identified additional </w:t>
      </w:r>
      <w:r w:rsidRPr="00C82C09">
        <w:t xml:space="preserve">groups of students </w:t>
      </w:r>
      <w:r w:rsidR="006233FE">
        <w:t>with</w:t>
      </w:r>
      <w:r w:rsidRPr="00C82C09">
        <w:t xml:space="preserve"> special needs</w:t>
      </w:r>
      <w:r>
        <w:t>, including</w:t>
      </w:r>
      <w:r w:rsidRPr="00C82C09">
        <w:t>:</w:t>
      </w:r>
    </w:p>
    <w:p w:rsidR="004860DF" w:rsidRPr="00C82C09" w:rsidRDefault="004860DF" w:rsidP="004860DF">
      <w:pPr>
        <w:pStyle w:val="ListBullet"/>
      </w:pPr>
      <w:r w:rsidRPr="00C82C09">
        <w:t>students from language backgrounds other than English (LBOTE)</w:t>
      </w:r>
    </w:p>
    <w:p w:rsidR="004860DF" w:rsidRPr="00C82C09" w:rsidRDefault="004860DF" w:rsidP="004860DF">
      <w:pPr>
        <w:pStyle w:val="ListBullet"/>
      </w:pPr>
      <w:r w:rsidRPr="00C82C09">
        <w:t>students with disabilities</w:t>
      </w:r>
    </w:p>
    <w:p w:rsidR="004860DF" w:rsidRPr="004359EE" w:rsidRDefault="004860DF" w:rsidP="004860DF">
      <w:pPr>
        <w:pStyle w:val="ListBullet"/>
      </w:pPr>
      <w:r w:rsidRPr="004359EE">
        <w:t>geographically remote students</w:t>
      </w:r>
      <w:r w:rsidR="002B5972">
        <w:t xml:space="preserve"> (see SCRGSP [201</w:t>
      </w:r>
      <w:r w:rsidR="00BB13E6">
        <w:t>2</w:t>
      </w:r>
      <w:r w:rsidR="002B5972">
        <w:t>]</w:t>
      </w:r>
      <w:r>
        <w:t xml:space="preserve"> chapter 4)</w:t>
      </w:r>
      <w:r w:rsidRPr="004359EE">
        <w:t>.</w:t>
      </w:r>
    </w:p>
    <w:p w:rsidR="004860DF" w:rsidRPr="00D47A39" w:rsidRDefault="004860DF" w:rsidP="004860DF">
      <w:pPr>
        <w:pStyle w:val="BodyText"/>
      </w:pPr>
      <w:r>
        <w:t>This section provides contextual i</w:t>
      </w:r>
      <w:r w:rsidRPr="00C82C09">
        <w:t xml:space="preserve">nformation on the proportions </w:t>
      </w:r>
      <w:r>
        <w:t xml:space="preserve">of Indigenous students, </w:t>
      </w:r>
      <w:r w:rsidRPr="00C82C09">
        <w:t xml:space="preserve">LBOTE students, students with disabilities and students who are geographically remote in each jurisdiction. Care needs to be taken in interpreting </w:t>
      </w:r>
      <w:r>
        <w:t xml:space="preserve">this </w:t>
      </w:r>
      <w:r w:rsidRPr="00C82C09">
        <w:t>information</w:t>
      </w:r>
      <w:r>
        <w:t>, as</w:t>
      </w:r>
      <w:r w:rsidRPr="00C82C09">
        <w:t xml:space="preserve"> definitions of special needs students </w:t>
      </w:r>
      <w:r>
        <w:t xml:space="preserve">may </w:t>
      </w:r>
      <w:r w:rsidRPr="00C82C09">
        <w:t>differ</w:t>
      </w:r>
      <w:r>
        <w:t xml:space="preserve"> across states and territories.</w:t>
      </w:r>
    </w:p>
    <w:p w:rsidR="004860DF" w:rsidRPr="001F04B0" w:rsidRDefault="004860DF" w:rsidP="007A15BD">
      <w:pPr>
        <w:pStyle w:val="BodyText"/>
      </w:pPr>
      <w:r>
        <w:t>D</w:t>
      </w:r>
      <w:r w:rsidRPr="00D47A39">
        <w:t xml:space="preserve">ata currently are not available on </w:t>
      </w:r>
      <w:r w:rsidRPr="001E36B5">
        <w:rPr>
          <w:i/>
        </w:rPr>
        <w:t>students</w:t>
      </w:r>
      <w:r w:rsidRPr="00D47A39">
        <w:t xml:space="preserve"> from </w:t>
      </w:r>
      <w:r>
        <w:t>low SES backgrounds. T</w:t>
      </w:r>
      <w:r w:rsidRPr="001F04B0">
        <w:t xml:space="preserve">he Australian Curriculum, Assessment and Reporting Authority (ACARA) has developed </w:t>
      </w:r>
      <w:r w:rsidR="00FE12FB">
        <w:t>t</w:t>
      </w:r>
      <w:r w:rsidR="00FE12FB" w:rsidRPr="001F04B0">
        <w:t xml:space="preserve">he </w:t>
      </w:r>
      <w:proofErr w:type="spellStart"/>
      <w:r w:rsidR="00FE12FB" w:rsidRPr="001F04B0">
        <w:t>ICSEA</w:t>
      </w:r>
      <w:proofErr w:type="spellEnd"/>
      <w:r w:rsidR="00FE12FB" w:rsidRPr="001F04B0">
        <w:t xml:space="preserve"> </w:t>
      </w:r>
      <w:r w:rsidR="00FE12FB">
        <w:t xml:space="preserve">— </w:t>
      </w:r>
      <w:r w:rsidRPr="001F04B0">
        <w:t xml:space="preserve">a measure </w:t>
      </w:r>
      <w:r w:rsidR="00093D70">
        <w:t>of educational advantage</w:t>
      </w:r>
      <w:r w:rsidR="00FE12FB">
        <w:t>,</w:t>
      </w:r>
      <w:r w:rsidR="00093D70">
        <w:t xml:space="preserve"> </w:t>
      </w:r>
      <w:r w:rsidRPr="001F04B0">
        <w:t>by which NAPLAN</w:t>
      </w:r>
      <w:r w:rsidR="002B5972">
        <w:t xml:space="preserve"> </w:t>
      </w:r>
      <w:r w:rsidRPr="001F04B0">
        <w:t xml:space="preserve">data can be compared across </w:t>
      </w:r>
      <w:r w:rsidRPr="00240E15">
        <w:rPr>
          <w:i/>
        </w:rPr>
        <w:t>schools</w:t>
      </w:r>
      <w:r w:rsidR="00093D70">
        <w:t xml:space="preserve"> that serve students with similar backgrounds</w:t>
      </w:r>
      <w:r w:rsidR="00E77758">
        <w:t xml:space="preserve"> (ACARA 2011)</w:t>
      </w:r>
      <w:r>
        <w:t>.</w:t>
      </w:r>
    </w:p>
    <w:p w:rsidR="000A54DF" w:rsidRPr="00606DFC" w:rsidRDefault="000A54DF" w:rsidP="00F82D99">
      <w:pPr>
        <w:pStyle w:val="Heading5"/>
      </w:pPr>
      <w:r w:rsidRPr="00606DFC">
        <w:t>Indigenous students</w:t>
      </w:r>
    </w:p>
    <w:p w:rsidR="00486EF3" w:rsidRDefault="00486EF3" w:rsidP="00F225AF">
      <w:pPr>
        <w:pStyle w:val="BodyText"/>
      </w:pPr>
      <w:r w:rsidRPr="007A1275">
        <w:t xml:space="preserve">The most recent data on </w:t>
      </w:r>
      <w:r>
        <w:t>the number of Indigenous students enrolled in s</w:t>
      </w:r>
      <w:r w:rsidRPr="007A1275">
        <w:t xml:space="preserve">chool </w:t>
      </w:r>
      <w:r w:rsidR="005D4241">
        <w:t>are</w:t>
      </w:r>
      <w:r>
        <w:t xml:space="preserve"> for</w:t>
      </w:r>
      <w:r w:rsidRPr="007A1275">
        <w:t xml:space="preserve"> the 20</w:t>
      </w:r>
      <w:r w:rsidR="0026369A">
        <w:t>11</w:t>
      </w:r>
      <w:r w:rsidRPr="007A1275">
        <w:t xml:space="preserve"> school year</w:t>
      </w:r>
      <w:r>
        <w:t xml:space="preserve"> (</w:t>
      </w:r>
      <w:r w:rsidRPr="00D51863">
        <w:t>table</w:t>
      </w:r>
      <w:r w:rsidR="002A66B3">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"OLE_LINK10" \a \t </w:instrText>
      </w:r>
      <w:r w:rsidR="002A66B3">
        <w:fldChar w:fldCharType="separate"/>
      </w:r>
      <w:r w:rsidR="002A66B3">
        <w:t>6</w:t>
      </w:r>
      <w:r w:rsidR="002A66B3">
        <w:fldChar w:fldCharType="end"/>
      </w:r>
      <w:r w:rsidRPr="00D51863">
        <w:t>).</w:t>
      </w:r>
    </w:p>
    <w:p w:rsidR="002B5972" w:rsidRDefault="002B5972" w:rsidP="00F225AF">
      <w:pPr>
        <w:pStyle w:val="BodyText"/>
      </w:pPr>
    </w:p>
    <w:p w:rsidR="0026369A" w:rsidRPr="00356B52" w:rsidRDefault="0026369A" w:rsidP="0082251B">
      <w:pPr>
        <w:pStyle w:val="TableTitle"/>
      </w:pPr>
      <w:r w:rsidRPr="00356B52">
        <w:rPr>
          <w:b w:val="0"/>
        </w:rPr>
        <w:lastRenderedPageBreak/>
        <w:t xml:space="preserve">Table </w:t>
      </w:r>
      <w:bookmarkStart w:id="13" w:name="OLE_LINK10"/>
      <w:r>
        <w:rPr>
          <w:b w:val="0"/>
        </w:rPr>
        <w:fldChar w:fldCharType="begin"/>
      </w:r>
      <w:r>
        <w:rPr>
          <w:b w:val="0"/>
        </w:rPr>
        <w:instrText xml:space="preserve"> SEQ Table \* ARABIC </w:instrText>
      </w:r>
      <w:r>
        <w:rPr>
          <w:b w:val="0"/>
        </w:rPr>
        <w:fldChar w:fldCharType="separate"/>
      </w:r>
      <w:r w:rsidR="00936B93">
        <w:rPr>
          <w:b w:val="0"/>
          <w:noProof/>
        </w:rPr>
        <w:t>6</w:t>
      </w:r>
      <w:r>
        <w:rPr>
          <w:b w:val="0"/>
        </w:rPr>
        <w:fldChar w:fldCharType="end"/>
      </w:r>
      <w:bookmarkEnd w:id="13"/>
      <w:r w:rsidRPr="00356B52">
        <w:tab/>
      </w:r>
      <w:r>
        <w:t xml:space="preserve">Number and proportion of </w:t>
      </w:r>
      <w:r w:rsidRPr="00356B52">
        <w:t xml:space="preserve">Indigenous students </w:t>
      </w:r>
      <w:r>
        <w:t>enrolled in school, by school sector, 2011</w:t>
      </w:r>
      <w:r w:rsidRPr="00356B52">
        <w:rPr>
          <w:rStyle w:val="NoteLabel"/>
          <w:b/>
        </w:rPr>
        <w:t>a</w:t>
      </w:r>
      <w:r>
        <w:rPr>
          <w:rStyle w:val="NoteLabel"/>
          <w:b/>
        </w:rPr>
        <w:t>, b</w:t>
      </w:r>
    </w:p>
    <w:tbl>
      <w:tblPr>
        <w:tblW w:w="8790" w:type="dxa"/>
        <w:tblLayout w:type="fixed"/>
        <w:tblCellMar>
          <w:left w:w="0" w:type="dxa"/>
          <w:right w:w="0" w:type="dxa"/>
        </w:tblCellMar>
        <w:tblLook w:val="0000" w:firstRow="0" w:lastRow="0" w:firstColumn="0" w:lastColumn="0" w:noHBand="0" w:noVBand="0"/>
      </w:tblPr>
      <w:tblGrid>
        <w:gridCol w:w="2852"/>
        <w:gridCol w:w="659"/>
        <w:gridCol w:w="659"/>
        <w:gridCol w:w="660"/>
        <w:gridCol w:w="660"/>
        <w:gridCol w:w="660"/>
        <w:gridCol w:w="660"/>
        <w:gridCol w:w="660"/>
        <w:gridCol w:w="660"/>
        <w:gridCol w:w="660"/>
      </w:tblGrid>
      <w:tr w:rsidR="0026369A" w:rsidRPr="00356B52" w:rsidTr="0026369A">
        <w:tc>
          <w:tcPr>
            <w:tcW w:w="2852" w:type="dxa"/>
            <w:tcBorders>
              <w:top w:val="single" w:sz="6" w:space="0" w:color="auto"/>
              <w:bottom w:val="single" w:sz="4" w:space="0" w:color="auto"/>
            </w:tcBorders>
            <w:shd w:val="clear" w:color="auto" w:fill="auto"/>
          </w:tcPr>
          <w:p w:rsidR="0026369A" w:rsidRPr="00356B52" w:rsidRDefault="0026369A" w:rsidP="0026369A">
            <w:pPr>
              <w:pStyle w:val="TableColumnHeading"/>
              <w:jc w:val="left"/>
            </w:pPr>
          </w:p>
        </w:tc>
        <w:tc>
          <w:tcPr>
            <w:tcW w:w="659" w:type="dxa"/>
            <w:tcBorders>
              <w:top w:val="single" w:sz="6" w:space="0" w:color="auto"/>
              <w:bottom w:val="single" w:sz="4" w:space="0" w:color="auto"/>
            </w:tcBorders>
            <w:shd w:val="clear" w:color="auto" w:fill="auto"/>
          </w:tcPr>
          <w:p w:rsidR="0026369A" w:rsidRPr="00356B52" w:rsidRDefault="0026369A" w:rsidP="0026369A">
            <w:pPr>
              <w:pStyle w:val="TableColumnHeading"/>
            </w:pPr>
            <w:r w:rsidRPr="00356B52">
              <w:t>NSW</w:t>
            </w:r>
          </w:p>
        </w:tc>
        <w:tc>
          <w:tcPr>
            <w:tcW w:w="659" w:type="dxa"/>
            <w:tcBorders>
              <w:top w:val="single" w:sz="6" w:space="0" w:color="auto"/>
              <w:bottom w:val="single" w:sz="4" w:space="0" w:color="auto"/>
            </w:tcBorders>
            <w:shd w:val="clear" w:color="auto" w:fill="auto"/>
          </w:tcPr>
          <w:p w:rsidR="0026369A" w:rsidRPr="00356B52" w:rsidRDefault="0026369A" w:rsidP="0026369A">
            <w:pPr>
              <w:pStyle w:val="TableColumnHeading"/>
            </w:pPr>
            <w:r w:rsidRPr="00356B52">
              <w:t>Vic</w:t>
            </w:r>
          </w:p>
        </w:tc>
        <w:tc>
          <w:tcPr>
            <w:tcW w:w="660" w:type="dxa"/>
            <w:tcBorders>
              <w:top w:val="single" w:sz="6" w:space="0" w:color="auto"/>
              <w:bottom w:val="single" w:sz="4" w:space="0" w:color="auto"/>
            </w:tcBorders>
            <w:shd w:val="clear" w:color="auto" w:fill="auto"/>
          </w:tcPr>
          <w:p w:rsidR="0026369A" w:rsidRPr="00356B52" w:rsidRDefault="0026369A" w:rsidP="0026369A">
            <w:pPr>
              <w:pStyle w:val="TableColumnHeading"/>
            </w:pPr>
            <w:r w:rsidRPr="00356B52">
              <w:t>Qld</w:t>
            </w:r>
          </w:p>
        </w:tc>
        <w:tc>
          <w:tcPr>
            <w:tcW w:w="660" w:type="dxa"/>
            <w:tcBorders>
              <w:top w:val="single" w:sz="6" w:space="0" w:color="auto"/>
              <w:bottom w:val="single" w:sz="4" w:space="0" w:color="auto"/>
            </w:tcBorders>
            <w:shd w:val="clear" w:color="auto" w:fill="auto"/>
          </w:tcPr>
          <w:p w:rsidR="0026369A" w:rsidRPr="00356B52" w:rsidRDefault="0026369A" w:rsidP="0026369A">
            <w:pPr>
              <w:pStyle w:val="TableColumnHeading"/>
            </w:pPr>
            <w:r w:rsidRPr="00356B52">
              <w:t>WA</w:t>
            </w:r>
          </w:p>
        </w:tc>
        <w:tc>
          <w:tcPr>
            <w:tcW w:w="660" w:type="dxa"/>
            <w:tcBorders>
              <w:top w:val="single" w:sz="6" w:space="0" w:color="auto"/>
              <w:bottom w:val="single" w:sz="4" w:space="0" w:color="auto"/>
            </w:tcBorders>
            <w:shd w:val="clear" w:color="auto" w:fill="auto"/>
          </w:tcPr>
          <w:p w:rsidR="0026369A" w:rsidRPr="00356B52" w:rsidRDefault="0026369A" w:rsidP="0026369A">
            <w:pPr>
              <w:pStyle w:val="TableColumnHeading"/>
            </w:pPr>
            <w:r w:rsidRPr="00356B52">
              <w:t>SA</w:t>
            </w:r>
          </w:p>
        </w:tc>
        <w:tc>
          <w:tcPr>
            <w:tcW w:w="660" w:type="dxa"/>
            <w:tcBorders>
              <w:top w:val="single" w:sz="6" w:space="0" w:color="auto"/>
              <w:bottom w:val="single" w:sz="4" w:space="0" w:color="auto"/>
            </w:tcBorders>
            <w:shd w:val="clear" w:color="auto" w:fill="auto"/>
          </w:tcPr>
          <w:p w:rsidR="0026369A" w:rsidRPr="00356B52" w:rsidRDefault="0026369A" w:rsidP="0026369A">
            <w:pPr>
              <w:pStyle w:val="TableColumnHeading"/>
            </w:pPr>
            <w:r w:rsidRPr="00356B52">
              <w:t>Tas</w:t>
            </w:r>
          </w:p>
        </w:tc>
        <w:tc>
          <w:tcPr>
            <w:tcW w:w="660" w:type="dxa"/>
            <w:tcBorders>
              <w:top w:val="single" w:sz="6" w:space="0" w:color="auto"/>
              <w:bottom w:val="single" w:sz="4" w:space="0" w:color="auto"/>
            </w:tcBorders>
            <w:shd w:val="clear" w:color="auto" w:fill="auto"/>
          </w:tcPr>
          <w:p w:rsidR="0026369A" w:rsidRPr="00356B52" w:rsidRDefault="0026369A" w:rsidP="0026369A">
            <w:pPr>
              <w:pStyle w:val="TableColumnHeading"/>
            </w:pPr>
            <w:r w:rsidRPr="00356B52">
              <w:t>ACT</w:t>
            </w:r>
          </w:p>
        </w:tc>
        <w:tc>
          <w:tcPr>
            <w:tcW w:w="660" w:type="dxa"/>
            <w:tcBorders>
              <w:top w:val="single" w:sz="6" w:space="0" w:color="auto"/>
              <w:bottom w:val="single" w:sz="4" w:space="0" w:color="auto"/>
            </w:tcBorders>
            <w:shd w:val="clear" w:color="auto" w:fill="auto"/>
          </w:tcPr>
          <w:p w:rsidR="0026369A" w:rsidRPr="00356B52" w:rsidRDefault="0026369A" w:rsidP="0026369A">
            <w:pPr>
              <w:pStyle w:val="TableColumnHeading"/>
            </w:pPr>
            <w:r w:rsidRPr="00356B52">
              <w:t>NT</w:t>
            </w:r>
          </w:p>
        </w:tc>
        <w:tc>
          <w:tcPr>
            <w:tcW w:w="660" w:type="dxa"/>
            <w:tcBorders>
              <w:top w:val="single" w:sz="6" w:space="0" w:color="auto"/>
              <w:bottom w:val="single" w:sz="4" w:space="0" w:color="auto"/>
            </w:tcBorders>
            <w:shd w:val="clear" w:color="auto" w:fill="auto"/>
          </w:tcPr>
          <w:p w:rsidR="0026369A" w:rsidRPr="00356B52" w:rsidRDefault="0026369A" w:rsidP="0026369A">
            <w:pPr>
              <w:pStyle w:val="TableColumnHeading"/>
              <w:ind w:right="0"/>
            </w:pPr>
            <w:proofErr w:type="spellStart"/>
            <w:r w:rsidRPr="00356B52">
              <w:t>Aust</w:t>
            </w:r>
            <w:proofErr w:type="spellEnd"/>
          </w:p>
        </w:tc>
      </w:tr>
      <w:tr w:rsidR="0026369A" w:rsidRPr="006C631F" w:rsidTr="0026369A">
        <w:tc>
          <w:tcPr>
            <w:tcW w:w="7470" w:type="dxa"/>
            <w:gridSpan w:val="8"/>
            <w:tcBorders>
              <w:top w:val="single" w:sz="4" w:space="0" w:color="auto"/>
            </w:tcBorders>
          </w:tcPr>
          <w:p w:rsidR="0026369A" w:rsidRPr="00276F77" w:rsidRDefault="0026369A" w:rsidP="0026369A">
            <w:pPr>
              <w:pStyle w:val="TableBodyText"/>
              <w:spacing w:before="80"/>
              <w:jc w:val="left"/>
            </w:pPr>
            <w:r w:rsidRPr="00276F77">
              <w:t>Number of Indigenous students</w:t>
            </w:r>
            <w:r>
              <w:t xml:space="preserve"> enrolled in school (‘000)</w:t>
            </w:r>
          </w:p>
        </w:tc>
        <w:tc>
          <w:tcPr>
            <w:tcW w:w="660" w:type="dxa"/>
            <w:tcBorders>
              <w:top w:val="single" w:sz="4" w:space="0" w:color="auto"/>
            </w:tcBorders>
            <w:shd w:val="clear" w:color="auto" w:fill="auto"/>
          </w:tcPr>
          <w:p w:rsidR="0026369A" w:rsidRPr="006C631F" w:rsidRDefault="0026369A" w:rsidP="0026369A">
            <w:pPr>
              <w:pStyle w:val="TableBodyText"/>
              <w:rPr>
                <w:b/>
              </w:rPr>
            </w:pPr>
          </w:p>
        </w:tc>
        <w:tc>
          <w:tcPr>
            <w:tcW w:w="660" w:type="dxa"/>
            <w:tcBorders>
              <w:top w:val="single" w:sz="4" w:space="0" w:color="auto"/>
            </w:tcBorders>
            <w:shd w:val="clear" w:color="auto" w:fill="auto"/>
          </w:tcPr>
          <w:p w:rsidR="0026369A" w:rsidRPr="006C631F" w:rsidRDefault="0026369A" w:rsidP="0026369A">
            <w:pPr>
              <w:pStyle w:val="TableBodyText"/>
              <w:rPr>
                <w:b/>
              </w:rPr>
            </w:pPr>
          </w:p>
        </w:tc>
      </w:tr>
      <w:tr w:rsidR="00B630D7" w:rsidRPr="006C631F" w:rsidTr="00B630D7">
        <w:tc>
          <w:tcPr>
            <w:tcW w:w="2852" w:type="dxa"/>
          </w:tcPr>
          <w:p w:rsidR="00B630D7" w:rsidRPr="006C631F" w:rsidRDefault="00B630D7" w:rsidP="0026369A">
            <w:pPr>
              <w:pStyle w:val="TableBodyText"/>
              <w:ind w:left="180"/>
              <w:jc w:val="left"/>
              <w:rPr>
                <w:b/>
              </w:rPr>
            </w:pPr>
            <w:r w:rsidRPr="00356B52">
              <w:t>Government schools</w:t>
            </w:r>
          </w:p>
        </w:tc>
        <w:tc>
          <w:tcPr>
            <w:tcW w:w="659" w:type="dxa"/>
            <w:shd w:val="clear" w:color="auto" w:fill="auto"/>
            <w:vAlign w:val="center"/>
          </w:tcPr>
          <w:p w:rsidR="00B630D7" w:rsidRPr="00D730D3" w:rsidRDefault="00B630D7" w:rsidP="00552D69">
            <w:pPr>
              <w:pStyle w:val="TableBodyText"/>
              <w:ind w:right="0"/>
              <w:rPr>
                <w:b/>
                <w:i/>
              </w:rPr>
            </w:pPr>
            <w:r w:rsidRPr="00D730D3">
              <w:t xml:space="preserve">  45.1</w:t>
            </w:r>
          </w:p>
        </w:tc>
        <w:tc>
          <w:tcPr>
            <w:tcW w:w="659" w:type="dxa"/>
            <w:shd w:val="clear" w:color="auto" w:fill="auto"/>
            <w:vAlign w:val="center"/>
          </w:tcPr>
          <w:p w:rsidR="00B630D7" w:rsidRPr="00D730D3" w:rsidRDefault="00B630D7" w:rsidP="00552D69">
            <w:pPr>
              <w:pStyle w:val="TableBodyText"/>
              <w:ind w:right="0"/>
              <w:rPr>
                <w:b/>
                <w:i/>
              </w:rPr>
            </w:pPr>
            <w:r w:rsidRPr="00D730D3">
              <w:t xml:space="preserve">  9.2</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41.4</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19.5</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8.6</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4.7</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1.1</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13.1</w:t>
            </w:r>
          </w:p>
        </w:tc>
        <w:tc>
          <w:tcPr>
            <w:tcW w:w="660" w:type="dxa"/>
            <w:shd w:val="clear" w:color="auto" w:fill="auto"/>
            <w:vAlign w:val="center"/>
          </w:tcPr>
          <w:p w:rsidR="00B630D7" w:rsidRPr="00D730D3" w:rsidRDefault="00B630D7" w:rsidP="00552D69">
            <w:pPr>
              <w:pStyle w:val="TableBodyText"/>
              <w:ind w:right="0"/>
              <w:rPr>
                <w:b/>
                <w:i/>
              </w:rPr>
            </w:pPr>
            <w:r w:rsidRPr="00D730D3">
              <w:t>142.7</w:t>
            </w:r>
          </w:p>
        </w:tc>
      </w:tr>
      <w:tr w:rsidR="00B630D7" w:rsidRPr="006C631F" w:rsidTr="00B630D7">
        <w:tc>
          <w:tcPr>
            <w:tcW w:w="2852" w:type="dxa"/>
          </w:tcPr>
          <w:p w:rsidR="00B630D7" w:rsidRPr="006C631F" w:rsidRDefault="00B630D7" w:rsidP="0026369A">
            <w:pPr>
              <w:pStyle w:val="TableBodyText"/>
              <w:ind w:left="180"/>
              <w:jc w:val="left"/>
              <w:rPr>
                <w:b/>
              </w:rPr>
            </w:pPr>
            <w:r w:rsidRPr="00356B52">
              <w:t>Non-government schools</w:t>
            </w:r>
          </w:p>
        </w:tc>
        <w:tc>
          <w:tcPr>
            <w:tcW w:w="659" w:type="dxa"/>
            <w:shd w:val="clear" w:color="auto" w:fill="auto"/>
            <w:vAlign w:val="center"/>
          </w:tcPr>
          <w:p w:rsidR="00B630D7" w:rsidRPr="00D730D3" w:rsidRDefault="00B630D7" w:rsidP="00552D69">
            <w:pPr>
              <w:pStyle w:val="TableBodyText"/>
              <w:ind w:right="0"/>
              <w:rPr>
                <w:b/>
                <w:i/>
              </w:rPr>
            </w:pPr>
            <w:r w:rsidRPr="00D730D3">
              <w:t xml:space="preserve">  7.1</w:t>
            </w:r>
          </w:p>
        </w:tc>
        <w:tc>
          <w:tcPr>
            <w:tcW w:w="659" w:type="dxa"/>
            <w:shd w:val="clear" w:color="auto" w:fill="auto"/>
            <w:vAlign w:val="center"/>
          </w:tcPr>
          <w:p w:rsidR="00B630D7" w:rsidRPr="00D730D3" w:rsidRDefault="00B630D7" w:rsidP="00552D69">
            <w:pPr>
              <w:pStyle w:val="TableBodyText"/>
              <w:ind w:right="0"/>
              <w:rPr>
                <w:b/>
                <w:i/>
              </w:rPr>
            </w:pPr>
            <w:r w:rsidRPr="00D730D3">
              <w:t xml:space="preserve">  1.4</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7.5</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3.6</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1.1</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0.9</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0.3</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2.9</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24.9</w:t>
            </w:r>
          </w:p>
        </w:tc>
      </w:tr>
      <w:tr w:rsidR="00B630D7" w:rsidRPr="006C631F" w:rsidTr="00B630D7">
        <w:tc>
          <w:tcPr>
            <w:tcW w:w="2852" w:type="dxa"/>
          </w:tcPr>
          <w:p w:rsidR="00B630D7" w:rsidRPr="006C631F" w:rsidRDefault="00B630D7" w:rsidP="0026369A">
            <w:pPr>
              <w:pStyle w:val="TableBodyText"/>
              <w:ind w:left="180"/>
              <w:jc w:val="left"/>
              <w:rPr>
                <w:b/>
              </w:rPr>
            </w:pPr>
            <w:r w:rsidRPr="00356B52">
              <w:rPr>
                <w:b/>
              </w:rPr>
              <w:t>All schools</w:t>
            </w:r>
          </w:p>
        </w:tc>
        <w:tc>
          <w:tcPr>
            <w:tcW w:w="659" w:type="dxa"/>
            <w:shd w:val="clear" w:color="auto" w:fill="auto"/>
            <w:vAlign w:val="center"/>
          </w:tcPr>
          <w:p w:rsidR="00B630D7" w:rsidRPr="00D730D3" w:rsidRDefault="00B630D7" w:rsidP="00552D69">
            <w:pPr>
              <w:pStyle w:val="TableBodyText"/>
              <w:ind w:right="0"/>
              <w:rPr>
                <w:b/>
                <w:i/>
              </w:rPr>
            </w:pPr>
            <w:r w:rsidRPr="00D730D3">
              <w:rPr>
                <w:b/>
              </w:rPr>
              <w:t xml:space="preserve">  52.2</w:t>
            </w:r>
          </w:p>
        </w:tc>
        <w:tc>
          <w:tcPr>
            <w:tcW w:w="659" w:type="dxa"/>
            <w:shd w:val="clear" w:color="auto" w:fill="auto"/>
            <w:vAlign w:val="center"/>
          </w:tcPr>
          <w:p w:rsidR="00B630D7" w:rsidRPr="00D730D3" w:rsidRDefault="00B630D7" w:rsidP="00552D69">
            <w:pPr>
              <w:pStyle w:val="TableBodyText"/>
              <w:ind w:right="0"/>
              <w:rPr>
                <w:b/>
                <w:i/>
              </w:rPr>
            </w:pPr>
            <w:r w:rsidRPr="00D730D3">
              <w:rPr>
                <w:b/>
              </w:rPr>
              <w:t xml:space="preserve">  10.6</w:t>
            </w:r>
          </w:p>
        </w:tc>
        <w:tc>
          <w:tcPr>
            <w:tcW w:w="660" w:type="dxa"/>
            <w:shd w:val="clear" w:color="auto" w:fill="auto"/>
            <w:vAlign w:val="center"/>
          </w:tcPr>
          <w:p w:rsidR="00B630D7" w:rsidRPr="00D730D3" w:rsidRDefault="00B630D7" w:rsidP="00552D69">
            <w:pPr>
              <w:pStyle w:val="TableBodyText"/>
              <w:ind w:right="0"/>
              <w:rPr>
                <w:b/>
                <w:i/>
              </w:rPr>
            </w:pPr>
            <w:r w:rsidRPr="00D730D3">
              <w:rPr>
                <w:b/>
              </w:rPr>
              <w:t xml:space="preserve">  48.9</w:t>
            </w:r>
          </w:p>
        </w:tc>
        <w:tc>
          <w:tcPr>
            <w:tcW w:w="660" w:type="dxa"/>
            <w:shd w:val="clear" w:color="auto" w:fill="auto"/>
            <w:vAlign w:val="center"/>
          </w:tcPr>
          <w:p w:rsidR="00B630D7" w:rsidRPr="00D730D3" w:rsidRDefault="00B630D7" w:rsidP="00552D69">
            <w:pPr>
              <w:pStyle w:val="TableBodyText"/>
              <w:ind w:right="0"/>
              <w:rPr>
                <w:b/>
                <w:i/>
              </w:rPr>
            </w:pPr>
            <w:r w:rsidRPr="00D730D3">
              <w:rPr>
                <w:b/>
              </w:rPr>
              <w:t xml:space="preserve">  23.1</w:t>
            </w:r>
          </w:p>
        </w:tc>
        <w:tc>
          <w:tcPr>
            <w:tcW w:w="660" w:type="dxa"/>
            <w:shd w:val="clear" w:color="auto" w:fill="auto"/>
            <w:vAlign w:val="center"/>
          </w:tcPr>
          <w:p w:rsidR="00B630D7" w:rsidRPr="00D730D3" w:rsidRDefault="00B630D7" w:rsidP="00552D69">
            <w:pPr>
              <w:pStyle w:val="TableBodyText"/>
              <w:ind w:right="0"/>
              <w:rPr>
                <w:b/>
                <w:i/>
              </w:rPr>
            </w:pPr>
            <w:r w:rsidRPr="00D730D3">
              <w:rPr>
                <w:b/>
              </w:rPr>
              <w:t xml:space="preserve">  9.8</w:t>
            </w:r>
          </w:p>
        </w:tc>
        <w:tc>
          <w:tcPr>
            <w:tcW w:w="660" w:type="dxa"/>
            <w:shd w:val="clear" w:color="auto" w:fill="auto"/>
            <w:vAlign w:val="center"/>
          </w:tcPr>
          <w:p w:rsidR="00B630D7" w:rsidRPr="00D730D3" w:rsidRDefault="00B630D7" w:rsidP="00552D69">
            <w:pPr>
              <w:pStyle w:val="TableBodyText"/>
              <w:ind w:right="0"/>
              <w:rPr>
                <w:b/>
                <w:i/>
              </w:rPr>
            </w:pPr>
            <w:r w:rsidRPr="00D730D3">
              <w:rPr>
                <w:b/>
              </w:rPr>
              <w:t xml:space="preserve">  5.5</w:t>
            </w:r>
          </w:p>
        </w:tc>
        <w:tc>
          <w:tcPr>
            <w:tcW w:w="660" w:type="dxa"/>
            <w:shd w:val="clear" w:color="auto" w:fill="auto"/>
            <w:vAlign w:val="center"/>
          </w:tcPr>
          <w:p w:rsidR="00B630D7" w:rsidRPr="00D730D3" w:rsidRDefault="00B630D7" w:rsidP="00552D69">
            <w:pPr>
              <w:pStyle w:val="TableBodyText"/>
              <w:ind w:right="0"/>
              <w:rPr>
                <w:b/>
                <w:i/>
              </w:rPr>
            </w:pPr>
            <w:r w:rsidRPr="00D730D3">
              <w:rPr>
                <w:b/>
              </w:rPr>
              <w:t xml:space="preserve">  1.4</w:t>
            </w:r>
          </w:p>
        </w:tc>
        <w:tc>
          <w:tcPr>
            <w:tcW w:w="660" w:type="dxa"/>
            <w:shd w:val="clear" w:color="auto" w:fill="auto"/>
            <w:vAlign w:val="center"/>
          </w:tcPr>
          <w:p w:rsidR="00B630D7" w:rsidRPr="00D730D3" w:rsidRDefault="00B630D7" w:rsidP="00552D69">
            <w:pPr>
              <w:pStyle w:val="TableBodyText"/>
              <w:ind w:right="0"/>
              <w:rPr>
                <w:b/>
                <w:i/>
              </w:rPr>
            </w:pPr>
            <w:r w:rsidRPr="00D730D3">
              <w:rPr>
                <w:b/>
              </w:rPr>
              <w:t xml:space="preserve">  16.1</w:t>
            </w:r>
          </w:p>
        </w:tc>
        <w:tc>
          <w:tcPr>
            <w:tcW w:w="660" w:type="dxa"/>
            <w:shd w:val="clear" w:color="auto" w:fill="auto"/>
            <w:vAlign w:val="center"/>
          </w:tcPr>
          <w:p w:rsidR="00B630D7" w:rsidRPr="00D730D3" w:rsidRDefault="00B630D7" w:rsidP="00552D69">
            <w:pPr>
              <w:pStyle w:val="TableBodyText"/>
              <w:ind w:right="0"/>
              <w:rPr>
                <w:b/>
                <w:i/>
              </w:rPr>
            </w:pPr>
            <w:r w:rsidRPr="00D730D3">
              <w:rPr>
                <w:b/>
              </w:rPr>
              <w:t>167.5</w:t>
            </w:r>
          </w:p>
        </w:tc>
      </w:tr>
      <w:tr w:rsidR="0026369A" w:rsidRPr="006C631F" w:rsidTr="0026369A">
        <w:tc>
          <w:tcPr>
            <w:tcW w:w="7470" w:type="dxa"/>
            <w:gridSpan w:val="8"/>
          </w:tcPr>
          <w:p w:rsidR="0026369A" w:rsidRPr="006C631F" w:rsidRDefault="0026369A" w:rsidP="0026369A">
            <w:pPr>
              <w:pStyle w:val="TableBodyText"/>
              <w:spacing w:before="80"/>
              <w:jc w:val="left"/>
              <w:rPr>
                <w:b/>
              </w:rPr>
            </w:pPr>
            <w:r w:rsidRPr="00276F77">
              <w:t>Proportion of Indigenous students</w:t>
            </w:r>
            <w:r>
              <w:t xml:space="preserve"> enrolled in school (per cent)</w:t>
            </w:r>
          </w:p>
        </w:tc>
        <w:tc>
          <w:tcPr>
            <w:tcW w:w="660" w:type="dxa"/>
            <w:shd w:val="clear" w:color="auto" w:fill="auto"/>
          </w:tcPr>
          <w:p w:rsidR="0026369A" w:rsidRPr="006C631F" w:rsidRDefault="0026369A" w:rsidP="0026369A">
            <w:pPr>
              <w:pStyle w:val="TableBodyText"/>
              <w:rPr>
                <w:b/>
              </w:rPr>
            </w:pPr>
          </w:p>
        </w:tc>
        <w:tc>
          <w:tcPr>
            <w:tcW w:w="660" w:type="dxa"/>
            <w:shd w:val="clear" w:color="auto" w:fill="auto"/>
          </w:tcPr>
          <w:p w:rsidR="0026369A" w:rsidRPr="006C631F" w:rsidRDefault="0026369A" w:rsidP="0026369A">
            <w:pPr>
              <w:pStyle w:val="TableBodyText"/>
              <w:ind w:right="0"/>
              <w:rPr>
                <w:b/>
              </w:rPr>
            </w:pPr>
          </w:p>
        </w:tc>
      </w:tr>
      <w:tr w:rsidR="00B630D7" w:rsidRPr="00356B52" w:rsidTr="00B630D7">
        <w:tc>
          <w:tcPr>
            <w:tcW w:w="2852" w:type="dxa"/>
          </w:tcPr>
          <w:p w:rsidR="00B630D7" w:rsidRPr="00356B52" w:rsidRDefault="00B630D7" w:rsidP="0026369A">
            <w:pPr>
              <w:pStyle w:val="TableBodyText"/>
              <w:ind w:left="180"/>
              <w:jc w:val="left"/>
            </w:pPr>
            <w:r w:rsidRPr="00356B52">
              <w:t>Government schools</w:t>
            </w:r>
          </w:p>
        </w:tc>
        <w:tc>
          <w:tcPr>
            <w:tcW w:w="659" w:type="dxa"/>
            <w:shd w:val="clear" w:color="auto" w:fill="auto"/>
            <w:vAlign w:val="center"/>
          </w:tcPr>
          <w:p w:rsidR="00B630D7" w:rsidRPr="00D730D3" w:rsidRDefault="00B630D7" w:rsidP="00552D69">
            <w:pPr>
              <w:pStyle w:val="TableBodyText"/>
              <w:ind w:right="0"/>
              <w:rPr>
                <w:b/>
                <w:i/>
              </w:rPr>
            </w:pPr>
            <w:r w:rsidRPr="00D730D3">
              <w:t xml:space="preserve">  6.1</w:t>
            </w:r>
          </w:p>
        </w:tc>
        <w:tc>
          <w:tcPr>
            <w:tcW w:w="659" w:type="dxa"/>
            <w:shd w:val="clear" w:color="auto" w:fill="auto"/>
            <w:vAlign w:val="center"/>
          </w:tcPr>
          <w:p w:rsidR="00B630D7" w:rsidRPr="00D730D3" w:rsidRDefault="00B630D7" w:rsidP="00552D69">
            <w:pPr>
              <w:pStyle w:val="TableBodyText"/>
              <w:ind w:right="0"/>
              <w:rPr>
                <w:b/>
                <w:i/>
              </w:rPr>
            </w:pPr>
            <w:r w:rsidRPr="00D730D3">
              <w:t xml:space="preserve">  1.7</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8.5</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8.2</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5.3</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8.2</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3.2</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45.1</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6.2</w:t>
            </w:r>
          </w:p>
        </w:tc>
      </w:tr>
      <w:tr w:rsidR="00B630D7" w:rsidRPr="00356B52" w:rsidTr="00B630D7">
        <w:tc>
          <w:tcPr>
            <w:tcW w:w="2852" w:type="dxa"/>
            <w:shd w:val="clear" w:color="auto" w:fill="auto"/>
          </w:tcPr>
          <w:p w:rsidR="00B630D7" w:rsidRPr="00356B52" w:rsidRDefault="00B630D7" w:rsidP="0026369A">
            <w:pPr>
              <w:pStyle w:val="TableBodyText"/>
              <w:ind w:left="180"/>
              <w:jc w:val="left"/>
            </w:pPr>
            <w:r w:rsidRPr="00356B52">
              <w:t>Non-government schools</w:t>
            </w:r>
          </w:p>
        </w:tc>
        <w:tc>
          <w:tcPr>
            <w:tcW w:w="659" w:type="dxa"/>
            <w:shd w:val="clear" w:color="auto" w:fill="auto"/>
            <w:vAlign w:val="center"/>
          </w:tcPr>
          <w:p w:rsidR="00B630D7" w:rsidRPr="00D730D3" w:rsidRDefault="00B630D7" w:rsidP="00552D69">
            <w:pPr>
              <w:pStyle w:val="TableBodyText"/>
              <w:ind w:right="0"/>
              <w:rPr>
                <w:b/>
                <w:i/>
              </w:rPr>
            </w:pPr>
            <w:r w:rsidRPr="00D730D3">
              <w:t xml:space="preserve">  1.9</w:t>
            </w:r>
          </w:p>
        </w:tc>
        <w:tc>
          <w:tcPr>
            <w:tcW w:w="659" w:type="dxa"/>
            <w:shd w:val="clear" w:color="auto" w:fill="auto"/>
            <w:vAlign w:val="center"/>
          </w:tcPr>
          <w:p w:rsidR="00B630D7" w:rsidRPr="00D730D3" w:rsidRDefault="00B630D7" w:rsidP="00552D69">
            <w:pPr>
              <w:pStyle w:val="TableBodyText"/>
              <w:ind w:right="0"/>
              <w:rPr>
                <w:b/>
                <w:i/>
              </w:rPr>
            </w:pPr>
            <w:r w:rsidRPr="00D730D3">
              <w:t xml:space="preserve">  0.5</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3.1</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2.9</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1.2</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3.6</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1.1</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28.8</w:t>
            </w:r>
          </w:p>
        </w:tc>
        <w:tc>
          <w:tcPr>
            <w:tcW w:w="660" w:type="dxa"/>
            <w:shd w:val="clear" w:color="auto" w:fill="auto"/>
            <w:vAlign w:val="center"/>
          </w:tcPr>
          <w:p w:rsidR="00B630D7" w:rsidRPr="00D730D3" w:rsidRDefault="00B630D7" w:rsidP="00552D69">
            <w:pPr>
              <w:pStyle w:val="TableBodyText"/>
              <w:ind w:right="0"/>
              <w:rPr>
                <w:b/>
                <w:i/>
              </w:rPr>
            </w:pPr>
            <w:r w:rsidRPr="00D730D3">
              <w:t xml:space="preserve">  2.0</w:t>
            </w:r>
          </w:p>
        </w:tc>
      </w:tr>
      <w:tr w:rsidR="00B630D7" w:rsidRPr="00356B52" w:rsidTr="00B630D7">
        <w:tc>
          <w:tcPr>
            <w:tcW w:w="2852" w:type="dxa"/>
            <w:tcBorders>
              <w:bottom w:val="single" w:sz="4" w:space="0" w:color="auto"/>
            </w:tcBorders>
            <w:shd w:val="clear" w:color="auto" w:fill="auto"/>
          </w:tcPr>
          <w:p w:rsidR="00B630D7" w:rsidRPr="00356B52" w:rsidRDefault="00B630D7" w:rsidP="0026369A">
            <w:pPr>
              <w:pStyle w:val="TableBodyText"/>
              <w:ind w:left="180"/>
              <w:jc w:val="left"/>
              <w:rPr>
                <w:b/>
              </w:rPr>
            </w:pPr>
            <w:r w:rsidRPr="00356B52">
              <w:rPr>
                <w:b/>
              </w:rPr>
              <w:t>All schools</w:t>
            </w:r>
          </w:p>
        </w:tc>
        <w:tc>
          <w:tcPr>
            <w:tcW w:w="659" w:type="dxa"/>
            <w:tcBorders>
              <w:bottom w:val="single" w:sz="4" w:space="0" w:color="auto"/>
            </w:tcBorders>
            <w:shd w:val="clear" w:color="auto" w:fill="auto"/>
            <w:vAlign w:val="center"/>
          </w:tcPr>
          <w:p w:rsidR="00B630D7" w:rsidRPr="00D730D3" w:rsidRDefault="00B630D7" w:rsidP="00552D69">
            <w:pPr>
              <w:pStyle w:val="TableBodyText"/>
              <w:ind w:right="0"/>
              <w:rPr>
                <w:b/>
                <w:i/>
              </w:rPr>
            </w:pPr>
            <w:r w:rsidRPr="00D730D3">
              <w:rPr>
                <w:b/>
              </w:rPr>
              <w:t xml:space="preserve">  4.6</w:t>
            </w:r>
          </w:p>
        </w:tc>
        <w:tc>
          <w:tcPr>
            <w:tcW w:w="659" w:type="dxa"/>
            <w:tcBorders>
              <w:bottom w:val="single" w:sz="4" w:space="0" w:color="auto"/>
            </w:tcBorders>
            <w:shd w:val="clear" w:color="auto" w:fill="auto"/>
            <w:vAlign w:val="center"/>
          </w:tcPr>
          <w:p w:rsidR="00B630D7" w:rsidRPr="00D730D3" w:rsidRDefault="00B630D7" w:rsidP="00552D69">
            <w:pPr>
              <w:pStyle w:val="TableBodyText"/>
              <w:ind w:right="0"/>
              <w:rPr>
                <w:b/>
                <w:i/>
              </w:rPr>
            </w:pPr>
            <w:r w:rsidRPr="00D730D3">
              <w:rPr>
                <w:b/>
              </w:rPr>
              <w:t xml:space="preserve">  1.2</w:t>
            </w:r>
          </w:p>
        </w:tc>
        <w:tc>
          <w:tcPr>
            <w:tcW w:w="660" w:type="dxa"/>
            <w:tcBorders>
              <w:bottom w:val="single" w:sz="4" w:space="0" w:color="auto"/>
            </w:tcBorders>
            <w:shd w:val="clear" w:color="auto" w:fill="auto"/>
            <w:vAlign w:val="center"/>
          </w:tcPr>
          <w:p w:rsidR="00B630D7" w:rsidRPr="00D730D3" w:rsidRDefault="00B630D7" w:rsidP="00552D69">
            <w:pPr>
              <w:pStyle w:val="TableBodyText"/>
              <w:ind w:right="0"/>
              <w:rPr>
                <w:b/>
                <w:i/>
              </w:rPr>
            </w:pPr>
            <w:r w:rsidRPr="00D730D3">
              <w:rPr>
                <w:b/>
              </w:rPr>
              <w:t xml:space="preserve">  6.7</w:t>
            </w:r>
          </w:p>
        </w:tc>
        <w:tc>
          <w:tcPr>
            <w:tcW w:w="660" w:type="dxa"/>
            <w:tcBorders>
              <w:bottom w:val="single" w:sz="4" w:space="0" w:color="auto"/>
            </w:tcBorders>
            <w:shd w:val="clear" w:color="auto" w:fill="auto"/>
            <w:vAlign w:val="center"/>
          </w:tcPr>
          <w:p w:rsidR="00B630D7" w:rsidRPr="00D730D3" w:rsidRDefault="00B630D7" w:rsidP="00552D69">
            <w:pPr>
              <w:pStyle w:val="TableBodyText"/>
              <w:ind w:right="0"/>
              <w:rPr>
                <w:b/>
                <w:i/>
              </w:rPr>
            </w:pPr>
            <w:r w:rsidRPr="00D730D3">
              <w:rPr>
                <w:b/>
              </w:rPr>
              <w:t xml:space="preserve">  6.4</w:t>
            </w:r>
          </w:p>
        </w:tc>
        <w:tc>
          <w:tcPr>
            <w:tcW w:w="660" w:type="dxa"/>
            <w:tcBorders>
              <w:bottom w:val="single" w:sz="4" w:space="0" w:color="auto"/>
            </w:tcBorders>
            <w:shd w:val="clear" w:color="auto" w:fill="auto"/>
            <w:vAlign w:val="center"/>
          </w:tcPr>
          <w:p w:rsidR="00B630D7" w:rsidRPr="00D730D3" w:rsidRDefault="00B630D7" w:rsidP="00552D69">
            <w:pPr>
              <w:pStyle w:val="TableBodyText"/>
              <w:ind w:right="0"/>
              <w:rPr>
                <w:b/>
                <w:i/>
              </w:rPr>
            </w:pPr>
            <w:r w:rsidRPr="00D730D3">
              <w:rPr>
                <w:b/>
              </w:rPr>
              <w:t xml:space="preserve">  3.8</w:t>
            </w:r>
          </w:p>
        </w:tc>
        <w:tc>
          <w:tcPr>
            <w:tcW w:w="660" w:type="dxa"/>
            <w:tcBorders>
              <w:bottom w:val="single" w:sz="4" w:space="0" w:color="auto"/>
            </w:tcBorders>
            <w:shd w:val="clear" w:color="auto" w:fill="auto"/>
            <w:vAlign w:val="center"/>
          </w:tcPr>
          <w:p w:rsidR="00B630D7" w:rsidRPr="00D730D3" w:rsidRDefault="00B630D7" w:rsidP="00552D69">
            <w:pPr>
              <w:pStyle w:val="TableBodyText"/>
              <w:ind w:right="0"/>
              <w:rPr>
                <w:b/>
                <w:i/>
              </w:rPr>
            </w:pPr>
            <w:r w:rsidRPr="00D730D3">
              <w:rPr>
                <w:b/>
              </w:rPr>
              <w:t xml:space="preserve">  6.9</w:t>
            </w:r>
          </w:p>
        </w:tc>
        <w:tc>
          <w:tcPr>
            <w:tcW w:w="660" w:type="dxa"/>
            <w:tcBorders>
              <w:bottom w:val="single" w:sz="4" w:space="0" w:color="auto"/>
            </w:tcBorders>
            <w:shd w:val="clear" w:color="auto" w:fill="auto"/>
            <w:vAlign w:val="center"/>
          </w:tcPr>
          <w:p w:rsidR="00B630D7" w:rsidRPr="00D730D3" w:rsidRDefault="00B630D7" w:rsidP="00552D69">
            <w:pPr>
              <w:pStyle w:val="TableBodyText"/>
              <w:ind w:right="0"/>
              <w:rPr>
                <w:b/>
                <w:i/>
              </w:rPr>
            </w:pPr>
            <w:r w:rsidRPr="00D730D3">
              <w:rPr>
                <w:b/>
              </w:rPr>
              <w:t xml:space="preserve">  2.3</w:t>
            </w:r>
          </w:p>
        </w:tc>
        <w:tc>
          <w:tcPr>
            <w:tcW w:w="660" w:type="dxa"/>
            <w:tcBorders>
              <w:bottom w:val="single" w:sz="4" w:space="0" w:color="auto"/>
            </w:tcBorders>
            <w:shd w:val="clear" w:color="auto" w:fill="auto"/>
            <w:vAlign w:val="center"/>
          </w:tcPr>
          <w:p w:rsidR="00B630D7" w:rsidRPr="00D730D3" w:rsidRDefault="00B630D7" w:rsidP="00552D69">
            <w:pPr>
              <w:pStyle w:val="TableBodyText"/>
              <w:ind w:right="0"/>
              <w:rPr>
                <w:b/>
                <w:i/>
              </w:rPr>
            </w:pPr>
            <w:r w:rsidRPr="00D730D3">
              <w:rPr>
                <w:b/>
              </w:rPr>
              <w:t xml:space="preserve">  40.8</w:t>
            </w:r>
          </w:p>
        </w:tc>
        <w:tc>
          <w:tcPr>
            <w:tcW w:w="660" w:type="dxa"/>
            <w:tcBorders>
              <w:bottom w:val="single" w:sz="4" w:space="0" w:color="auto"/>
            </w:tcBorders>
            <w:shd w:val="clear" w:color="auto" w:fill="auto"/>
            <w:vAlign w:val="center"/>
          </w:tcPr>
          <w:p w:rsidR="00B630D7" w:rsidRPr="00D730D3" w:rsidRDefault="00B630D7" w:rsidP="00552D69">
            <w:pPr>
              <w:pStyle w:val="TableBodyText"/>
              <w:ind w:right="0"/>
              <w:rPr>
                <w:b/>
                <w:i/>
              </w:rPr>
            </w:pPr>
            <w:r w:rsidRPr="00D730D3">
              <w:rPr>
                <w:b/>
              </w:rPr>
              <w:t xml:space="preserve">  4.8</w:t>
            </w:r>
          </w:p>
        </w:tc>
      </w:tr>
    </w:tbl>
    <w:p w:rsidR="0026369A" w:rsidRPr="00356B52" w:rsidRDefault="0026369A" w:rsidP="0082251B">
      <w:pPr>
        <w:pStyle w:val="Note"/>
      </w:pPr>
      <w:r w:rsidRPr="00356B52">
        <w:rPr>
          <w:rStyle w:val="NoteLabel"/>
        </w:rPr>
        <w:t>a</w:t>
      </w:r>
      <w:r w:rsidRPr="00356B52">
        <w:sym w:font="Symbol" w:char="F020"/>
      </w:r>
      <w:r>
        <w:t>Proportions are derived by comparing a</w:t>
      </w:r>
      <w:r w:rsidRPr="00356B52">
        <w:t xml:space="preserve">bsolute numbers of </w:t>
      </w:r>
      <w:r w:rsidR="00AD7342">
        <w:t xml:space="preserve">students identifying as </w:t>
      </w:r>
      <w:r w:rsidRPr="00356B52">
        <w:t xml:space="preserve">Indigenous </w:t>
      </w:r>
      <w:r w:rsidR="00FF3A86">
        <w:t>with</w:t>
      </w:r>
      <w:r w:rsidR="00FF3A86" w:rsidRPr="00356B52">
        <w:t xml:space="preserve"> </w:t>
      </w:r>
      <w:r w:rsidRPr="00356B52">
        <w:t>all full time students.</w:t>
      </w:r>
      <w:r>
        <w:t xml:space="preserve"> </w:t>
      </w:r>
      <w:r w:rsidRPr="004B1A19">
        <w:rPr>
          <w:rStyle w:val="NoteLabel"/>
        </w:rPr>
        <w:t>b</w:t>
      </w:r>
      <w:r>
        <w:t xml:space="preserve"> Disaggregation by Indigenous status </w:t>
      </w:r>
      <w:r w:rsidR="00FF3A86">
        <w:t xml:space="preserve">is </w:t>
      </w:r>
      <w:r>
        <w:t>only available for Indigenous students and all students. The extent of Indigenous status being ‘not stated’ is unknown</w:t>
      </w:r>
      <w:r w:rsidR="00FF3A86">
        <w:t xml:space="preserve"> and </w:t>
      </w:r>
      <w:r>
        <w:t>the potential impact of ‘not stated’ Indigenous status on overall counts cannot be determined.</w:t>
      </w:r>
    </w:p>
    <w:p w:rsidR="000A54DF" w:rsidRPr="00356B52" w:rsidRDefault="0026369A" w:rsidP="0026369A">
      <w:pPr>
        <w:pStyle w:val="Source"/>
      </w:pPr>
      <w:r w:rsidRPr="00DE354D">
        <w:rPr>
          <w:i/>
        </w:rPr>
        <w:t>Source</w:t>
      </w:r>
      <w:r w:rsidR="00A01691">
        <w:t>: ABS (2012</w:t>
      </w:r>
      <w:r w:rsidRPr="00DE354D">
        <w:t xml:space="preserve"> and unpublished) </w:t>
      </w:r>
      <w:r w:rsidRPr="00DE354D">
        <w:rPr>
          <w:i/>
        </w:rPr>
        <w:t>Schools Australia, 2011</w:t>
      </w:r>
      <w:r w:rsidRPr="00DE354D">
        <w:t>, Cat. no. 4221.0.</w:t>
      </w:r>
    </w:p>
    <w:p w:rsidR="000A54DF" w:rsidRPr="00BD78C6" w:rsidRDefault="000A54DF" w:rsidP="00F82D99">
      <w:pPr>
        <w:pStyle w:val="Heading5"/>
      </w:pPr>
      <w:r w:rsidRPr="00BD78C6">
        <w:t>LBOTE students</w:t>
      </w:r>
    </w:p>
    <w:p w:rsidR="0026369A" w:rsidRDefault="0026369A" w:rsidP="0026369A">
      <w:pPr>
        <w:pStyle w:val="BodyText"/>
      </w:pPr>
      <w:r>
        <w:t xml:space="preserve">The most recent available data on LBOTE students are from the 2006 Census of Population and Housing (Census) and were included in the baseline NEA report. The next available data will be from the 2011 Census and are anticipated to be available for the </w:t>
      </w:r>
      <w:r w:rsidR="006233FE">
        <w:t xml:space="preserve">next </w:t>
      </w:r>
      <w:r>
        <w:t>NEA performance report.</w:t>
      </w:r>
    </w:p>
    <w:p w:rsidR="000A54DF" w:rsidRPr="00BD78C6" w:rsidRDefault="000A54DF" w:rsidP="00F82D99">
      <w:pPr>
        <w:pStyle w:val="Heading5"/>
      </w:pPr>
      <w:r w:rsidRPr="00BD78C6">
        <w:t>Students with disabilities</w:t>
      </w:r>
    </w:p>
    <w:p w:rsidR="00041244" w:rsidRDefault="000A54DF" w:rsidP="0082251B">
      <w:pPr>
        <w:pStyle w:val="BodyText"/>
      </w:pPr>
      <w:r w:rsidRPr="00BD78C6">
        <w:t xml:space="preserve">Students with disabilities </w:t>
      </w:r>
      <w:r w:rsidR="006233FE">
        <w:t>may be</w:t>
      </w:r>
      <w:r w:rsidR="006233FE" w:rsidRPr="00BD78C6">
        <w:t xml:space="preserve"> </w:t>
      </w:r>
      <w:r w:rsidRPr="00BD78C6">
        <w:t xml:space="preserve">educated in </w:t>
      </w:r>
      <w:r w:rsidR="006233FE">
        <w:t>either</w:t>
      </w:r>
      <w:r w:rsidR="006233FE" w:rsidRPr="00BD78C6">
        <w:t xml:space="preserve"> </w:t>
      </w:r>
      <w:r w:rsidRPr="00BD78C6">
        <w:t xml:space="preserve">mainstream </w:t>
      </w:r>
      <w:r w:rsidR="002B6FDC">
        <w:t>or</w:t>
      </w:r>
      <w:r w:rsidR="002B6FDC" w:rsidRPr="00BD78C6">
        <w:t xml:space="preserve"> </w:t>
      </w:r>
      <w:r w:rsidRPr="00BD78C6">
        <w:t xml:space="preserve">special schools. Students with disabilities are those students who satisfy the criteria for enrolment in special education services or programs provided in the State or Territory in which they are enrolled. </w:t>
      </w:r>
      <w:r w:rsidR="00041244" w:rsidRPr="00BD78C6">
        <w:t xml:space="preserve">These criteria </w:t>
      </w:r>
      <w:r w:rsidR="00041244">
        <w:t xml:space="preserve">currently </w:t>
      </w:r>
      <w:r w:rsidR="00041244" w:rsidRPr="00BD78C6">
        <w:t>vary across jurisdictions</w:t>
      </w:r>
      <w:r w:rsidR="00041244">
        <w:t xml:space="preserve">, however in April 2012 State and Territory ministers </w:t>
      </w:r>
      <w:r w:rsidR="00041244" w:rsidRPr="00A24B0C">
        <w:t>accepted new nationally consistent categories for students with disability in schools</w:t>
      </w:r>
      <w:r w:rsidR="00041244" w:rsidRPr="00BD78C6">
        <w:t>.</w:t>
      </w:r>
      <w:r w:rsidR="00041244">
        <w:t xml:space="preserve"> It is anticipated that the national definitions will be reported against for the first time in 2014.</w:t>
      </w:r>
    </w:p>
    <w:p w:rsidR="00531D61" w:rsidRPr="00914888" w:rsidRDefault="000A54DF" w:rsidP="00F225AF">
      <w:pPr>
        <w:pStyle w:val="BodyText"/>
        <w:rPr>
          <w:rStyle w:val="DraftingNote"/>
          <w:color w:val="auto"/>
        </w:rPr>
      </w:pPr>
      <w:r>
        <w:t>Data for students with disabilities are sourced from unpublished data provided by the Department of Education, Employment and Workplace Relations (DEEWR</w:t>
      </w:r>
      <w:r w:rsidRPr="00914888">
        <w:t>).</w:t>
      </w:r>
    </w:p>
    <w:p w:rsidR="000A54DF" w:rsidRDefault="00A16247" w:rsidP="00F225AF">
      <w:pPr>
        <w:pStyle w:val="BodyText"/>
      </w:pPr>
      <w:r w:rsidRPr="00914888">
        <w:t xml:space="preserve">The most recent available data for students with disability </w:t>
      </w:r>
      <w:r w:rsidR="00CB5783">
        <w:t>are</w:t>
      </w:r>
      <w:r w:rsidR="00CB5783" w:rsidRPr="00914888">
        <w:t xml:space="preserve"> </w:t>
      </w:r>
      <w:r w:rsidR="006867EE" w:rsidRPr="00914888">
        <w:t>for</w:t>
      </w:r>
      <w:r w:rsidR="006867EE">
        <w:t xml:space="preserve"> the 20</w:t>
      </w:r>
      <w:r w:rsidR="0026369A">
        <w:t>10</w:t>
      </w:r>
      <w:r w:rsidR="006867EE">
        <w:t xml:space="preserve"> school year</w:t>
      </w:r>
      <w:r>
        <w:t xml:space="preserve"> </w:t>
      </w:r>
      <w:r w:rsidR="006867EE">
        <w:t>(</w:t>
      </w:r>
      <w:r w:rsidR="000A54DF">
        <w:t>table</w:t>
      </w:r>
      <w:r w:rsidR="00A076ED">
        <w:t> </w:t>
      </w:r>
      <w:r w:rsidR="002A66B3">
        <w:fldChar w:fldCharType="begin"/>
      </w:r>
      <w:r w:rsidR="002A66B3">
        <w:instrText xml:space="preserve"> LINK Unknown "\\\\MEL_1\\groups\\Monitor\\09 National Agreement Report\\02 NAR Report WIP\\2011 NAR Report - Ed and training\\2011 NAR Second Draft\\NEA\\NEA second draft.docx" "OLE_LINK11" \a \t </w:instrText>
      </w:r>
      <w:r w:rsidR="002A66B3">
        <w:fldChar w:fldCharType="separate"/>
      </w:r>
      <w:r w:rsidR="002A66B3">
        <w:t>7</w:t>
      </w:r>
      <w:r w:rsidR="002A66B3">
        <w:fldChar w:fldCharType="end"/>
      </w:r>
      <w:r w:rsidR="006867EE" w:rsidRPr="00D51863">
        <w:t>)</w:t>
      </w:r>
      <w:r w:rsidR="000A54DF" w:rsidRPr="00BD78C6">
        <w:t>.</w:t>
      </w:r>
    </w:p>
    <w:p w:rsidR="0026369A" w:rsidRPr="00356B52" w:rsidRDefault="0026369A" w:rsidP="0026369A">
      <w:pPr>
        <w:pStyle w:val="TableTitle"/>
      </w:pPr>
      <w:r w:rsidRPr="00356B52">
        <w:rPr>
          <w:b w:val="0"/>
        </w:rPr>
        <w:lastRenderedPageBreak/>
        <w:t>Table</w:t>
      </w:r>
      <w:r>
        <w:rPr>
          <w:b w:val="0"/>
        </w:rPr>
        <w:t xml:space="preserve"> </w:t>
      </w:r>
      <w:bookmarkStart w:id="14" w:name="OLE_LINK11"/>
      <w:r>
        <w:rPr>
          <w:b w:val="0"/>
        </w:rPr>
        <w:fldChar w:fldCharType="begin"/>
      </w:r>
      <w:r>
        <w:rPr>
          <w:b w:val="0"/>
        </w:rPr>
        <w:instrText xml:space="preserve"> SEQ Table \* ARABIC </w:instrText>
      </w:r>
      <w:r>
        <w:rPr>
          <w:b w:val="0"/>
        </w:rPr>
        <w:fldChar w:fldCharType="separate"/>
      </w:r>
      <w:r w:rsidR="00936B93">
        <w:rPr>
          <w:b w:val="0"/>
          <w:noProof/>
        </w:rPr>
        <w:t>7</w:t>
      </w:r>
      <w:r>
        <w:rPr>
          <w:b w:val="0"/>
        </w:rPr>
        <w:fldChar w:fldCharType="end"/>
      </w:r>
      <w:bookmarkEnd w:id="14"/>
      <w:r w:rsidRPr="00356B52">
        <w:tab/>
      </w:r>
      <w:r w:rsidRPr="00D55688">
        <w:t xml:space="preserve">Funded </w:t>
      </w:r>
      <w:r>
        <w:t>full time equivalent</w:t>
      </w:r>
      <w:r w:rsidRPr="00D55688">
        <w:t xml:space="preserve"> s</w:t>
      </w:r>
      <w:r>
        <w:t>tudents with disabilities as a proportion of total full time students, 2010 (per cent)</w:t>
      </w:r>
      <w:r w:rsidRPr="00356B52">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852"/>
        <w:gridCol w:w="659"/>
        <w:gridCol w:w="659"/>
        <w:gridCol w:w="660"/>
        <w:gridCol w:w="660"/>
        <w:gridCol w:w="660"/>
        <w:gridCol w:w="660"/>
        <w:gridCol w:w="660"/>
        <w:gridCol w:w="660"/>
        <w:gridCol w:w="660"/>
      </w:tblGrid>
      <w:tr w:rsidR="0026369A" w:rsidRPr="00356B52" w:rsidTr="0026369A">
        <w:tc>
          <w:tcPr>
            <w:tcW w:w="2852" w:type="dxa"/>
            <w:tcBorders>
              <w:top w:val="single" w:sz="6" w:space="0" w:color="auto"/>
              <w:bottom w:val="single" w:sz="6" w:space="0" w:color="auto"/>
            </w:tcBorders>
            <w:shd w:val="clear" w:color="auto" w:fill="auto"/>
          </w:tcPr>
          <w:p w:rsidR="0026369A" w:rsidRPr="00356B52" w:rsidRDefault="0026369A" w:rsidP="0026369A">
            <w:pPr>
              <w:pStyle w:val="TableColumnHeading"/>
              <w:jc w:val="left"/>
            </w:pPr>
          </w:p>
        </w:tc>
        <w:tc>
          <w:tcPr>
            <w:tcW w:w="659" w:type="dxa"/>
            <w:tcBorders>
              <w:top w:val="single" w:sz="6" w:space="0" w:color="auto"/>
              <w:bottom w:val="single" w:sz="6" w:space="0" w:color="auto"/>
            </w:tcBorders>
            <w:shd w:val="clear" w:color="auto" w:fill="auto"/>
          </w:tcPr>
          <w:p w:rsidR="0026369A" w:rsidRPr="00356B52" w:rsidRDefault="0026369A" w:rsidP="0026369A">
            <w:pPr>
              <w:pStyle w:val="TableColumnHeading"/>
              <w:ind w:right="0"/>
            </w:pPr>
            <w:r w:rsidRPr="00356B52">
              <w:t>NSW</w:t>
            </w:r>
          </w:p>
        </w:tc>
        <w:tc>
          <w:tcPr>
            <w:tcW w:w="659" w:type="dxa"/>
            <w:tcBorders>
              <w:top w:val="single" w:sz="6" w:space="0" w:color="auto"/>
              <w:bottom w:val="single" w:sz="6" w:space="0" w:color="auto"/>
            </w:tcBorders>
            <w:shd w:val="clear" w:color="auto" w:fill="auto"/>
          </w:tcPr>
          <w:p w:rsidR="0026369A" w:rsidRPr="00356B52" w:rsidRDefault="0026369A" w:rsidP="0026369A">
            <w:pPr>
              <w:pStyle w:val="TableColumnHeading"/>
              <w:ind w:right="0"/>
            </w:pPr>
            <w:r w:rsidRPr="00356B52">
              <w:t>Vic</w:t>
            </w:r>
          </w:p>
        </w:tc>
        <w:tc>
          <w:tcPr>
            <w:tcW w:w="660" w:type="dxa"/>
            <w:tcBorders>
              <w:top w:val="single" w:sz="6" w:space="0" w:color="auto"/>
              <w:bottom w:val="single" w:sz="6" w:space="0" w:color="auto"/>
            </w:tcBorders>
            <w:shd w:val="clear" w:color="auto" w:fill="auto"/>
          </w:tcPr>
          <w:p w:rsidR="0026369A" w:rsidRPr="00356B52" w:rsidRDefault="0026369A" w:rsidP="0026369A">
            <w:pPr>
              <w:pStyle w:val="TableColumnHeading"/>
              <w:ind w:right="0"/>
            </w:pPr>
            <w:r w:rsidRPr="00356B52">
              <w:t>Qld</w:t>
            </w:r>
          </w:p>
        </w:tc>
        <w:tc>
          <w:tcPr>
            <w:tcW w:w="660" w:type="dxa"/>
            <w:tcBorders>
              <w:top w:val="single" w:sz="6" w:space="0" w:color="auto"/>
              <w:bottom w:val="single" w:sz="6" w:space="0" w:color="auto"/>
            </w:tcBorders>
            <w:shd w:val="clear" w:color="auto" w:fill="auto"/>
          </w:tcPr>
          <w:p w:rsidR="0026369A" w:rsidRPr="00356B52" w:rsidRDefault="0026369A" w:rsidP="0026369A">
            <w:pPr>
              <w:pStyle w:val="TableColumnHeading"/>
              <w:ind w:right="0"/>
            </w:pPr>
            <w:r w:rsidRPr="00356B52">
              <w:t>WA</w:t>
            </w:r>
          </w:p>
        </w:tc>
        <w:tc>
          <w:tcPr>
            <w:tcW w:w="660" w:type="dxa"/>
            <w:tcBorders>
              <w:top w:val="single" w:sz="6" w:space="0" w:color="auto"/>
              <w:bottom w:val="single" w:sz="6" w:space="0" w:color="auto"/>
            </w:tcBorders>
            <w:shd w:val="clear" w:color="auto" w:fill="auto"/>
          </w:tcPr>
          <w:p w:rsidR="0026369A" w:rsidRPr="00356B52" w:rsidRDefault="0026369A" w:rsidP="0026369A">
            <w:pPr>
              <w:pStyle w:val="TableColumnHeading"/>
              <w:ind w:right="0"/>
            </w:pPr>
            <w:r w:rsidRPr="00356B52">
              <w:t>SA</w:t>
            </w:r>
          </w:p>
        </w:tc>
        <w:tc>
          <w:tcPr>
            <w:tcW w:w="660" w:type="dxa"/>
            <w:tcBorders>
              <w:top w:val="single" w:sz="6" w:space="0" w:color="auto"/>
              <w:bottom w:val="single" w:sz="6" w:space="0" w:color="auto"/>
            </w:tcBorders>
            <w:shd w:val="clear" w:color="auto" w:fill="auto"/>
          </w:tcPr>
          <w:p w:rsidR="0026369A" w:rsidRPr="00356B52" w:rsidRDefault="0026369A" w:rsidP="0026369A">
            <w:pPr>
              <w:pStyle w:val="TableColumnHeading"/>
              <w:ind w:right="0"/>
            </w:pPr>
            <w:r w:rsidRPr="00356B52">
              <w:t>Tas</w:t>
            </w:r>
          </w:p>
        </w:tc>
        <w:tc>
          <w:tcPr>
            <w:tcW w:w="660" w:type="dxa"/>
            <w:tcBorders>
              <w:top w:val="single" w:sz="6" w:space="0" w:color="auto"/>
              <w:bottom w:val="single" w:sz="6" w:space="0" w:color="auto"/>
            </w:tcBorders>
            <w:shd w:val="clear" w:color="auto" w:fill="auto"/>
          </w:tcPr>
          <w:p w:rsidR="0026369A" w:rsidRPr="00356B52" w:rsidRDefault="0026369A" w:rsidP="0026369A">
            <w:pPr>
              <w:pStyle w:val="TableColumnHeading"/>
              <w:ind w:right="0"/>
            </w:pPr>
            <w:r w:rsidRPr="00356B52">
              <w:t>ACT</w:t>
            </w:r>
          </w:p>
        </w:tc>
        <w:tc>
          <w:tcPr>
            <w:tcW w:w="660" w:type="dxa"/>
            <w:tcBorders>
              <w:top w:val="single" w:sz="6" w:space="0" w:color="auto"/>
              <w:bottom w:val="single" w:sz="6" w:space="0" w:color="auto"/>
            </w:tcBorders>
            <w:shd w:val="clear" w:color="auto" w:fill="auto"/>
          </w:tcPr>
          <w:p w:rsidR="0026369A" w:rsidRPr="00356B52" w:rsidRDefault="0026369A" w:rsidP="0026369A">
            <w:pPr>
              <w:pStyle w:val="TableColumnHeading"/>
              <w:ind w:right="0"/>
            </w:pPr>
            <w:r w:rsidRPr="00356B52">
              <w:t>NT</w:t>
            </w:r>
          </w:p>
        </w:tc>
        <w:tc>
          <w:tcPr>
            <w:tcW w:w="660" w:type="dxa"/>
            <w:tcBorders>
              <w:top w:val="single" w:sz="6" w:space="0" w:color="auto"/>
              <w:bottom w:val="single" w:sz="6" w:space="0" w:color="auto"/>
            </w:tcBorders>
            <w:shd w:val="clear" w:color="auto" w:fill="auto"/>
          </w:tcPr>
          <w:p w:rsidR="0026369A" w:rsidRPr="00356B52" w:rsidRDefault="0026369A" w:rsidP="0026369A">
            <w:pPr>
              <w:pStyle w:val="TableColumnHeading"/>
              <w:ind w:right="0"/>
            </w:pPr>
            <w:proofErr w:type="spellStart"/>
            <w:r w:rsidRPr="00356B52">
              <w:t>Aust</w:t>
            </w:r>
            <w:proofErr w:type="spellEnd"/>
          </w:p>
        </w:tc>
      </w:tr>
      <w:tr w:rsidR="0026369A" w:rsidRPr="00356B52" w:rsidTr="0026369A">
        <w:tc>
          <w:tcPr>
            <w:tcW w:w="2852" w:type="dxa"/>
          </w:tcPr>
          <w:p w:rsidR="0026369A" w:rsidRPr="00356B52" w:rsidRDefault="0026369A" w:rsidP="0026369A">
            <w:pPr>
              <w:pStyle w:val="TableBodyText"/>
              <w:spacing w:before="80"/>
              <w:jc w:val="left"/>
            </w:pPr>
            <w:r w:rsidRPr="00356B52">
              <w:t>Government schools</w:t>
            </w:r>
          </w:p>
        </w:tc>
        <w:tc>
          <w:tcPr>
            <w:tcW w:w="659" w:type="dxa"/>
            <w:tcBorders>
              <w:top w:val="single" w:sz="6" w:space="0" w:color="auto"/>
            </w:tcBorders>
            <w:shd w:val="clear" w:color="auto" w:fill="auto"/>
            <w:vAlign w:val="bottom"/>
          </w:tcPr>
          <w:p w:rsidR="0026369A" w:rsidRPr="000C5AEA" w:rsidRDefault="0026369A" w:rsidP="00552D69">
            <w:pPr>
              <w:pStyle w:val="TableBodyText"/>
              <w:spacing w:before="80"/>
              <w:ind w:right="0"/>
              <w:rPr>
                <w:b/>
                <w:i/>
              </w:rPr>
            </w:pPr>
            <w:r w:rsidRPr="000C5AEA">
              <w:t>6.2</w:t>
            </w:r>
          </w:p>
        </w:tc>
        <w:tc>
          <w:tcPr>
            <w:tcW w:w="659" w:type="dxa"/>
            <w:tcBorders>
              <w:top w:val="single" w:sz="6" w:space="0" w:color="auto"/>
            </w:tcBorders>
            <w:shd w:val="clear" w:color="auto" w:fill="auto"/>
            <w:vAlign w:val="bottom"/>
          </w:tcPr>
          <w:p w:rsidR="0026369A" w:rsidRPr="000C5AEA" w:rsidRDefault="0026369A" w:rsidP="00552D69">
            <w:pPr>
              <w:pStyle w:val="TableBodyText"/>
              <w:spacing w:before="80"/>
              <w:ind w:right="0"/>
              <w:rPr>
                <w:b/>
                <w:i/>
              </w:rPr>
            </w:pPr>
            <w:r w:rsidRPr="000C5AEA">
              <w:t>6.1</w:t>
            </w:r>
          </w:p>
        </w:tc>
        <w:tc>
          <w:tcPr>
            <w:tcW w:w="660" w:type="dxa"/>
            <w:tcBorders>
              <w:top w:val="single" w:sz="6" w:space="0" w:color="auto"/>
            </w:tcBorders>
            <w:shd w:val="clear" w:color="auto" w:fill="auto"/>
            <w:vAlign w:val="bottom"/>
          </w:tcPr>
          <w:p w:rsidR="0026369A" w:rsidRPr="000C5AEA" w:rsidRDefault="0026369A" w:rsidP="00552D69">
            <w:pPr>
              <w:pStyle w:val="TableBodyText"/>
              <w:spacing w:before="80"/>
              <w:ind w:right="0"/>
              <w:rPr>
                <w:b/>
                <w:i/>
              </w:rPr>
            </w:pPr>
            <w:r w:rsidRPr="000C5AEA">
              <w:t>4.9</w:t>
            </w:r>
          </w:p>
        </w:tc>
        <w:tc>
          <w:tcPr>
            <w:tcW w:w="660" w:type="dxa"/>
            <w:tcBorders>
              <w:top w:val="single" w:sz="6" w:space="0" w:color="auto"/>
            </w:tcBorders>
            <w:shd w:val="clear" w:color="auto" w:fill="auto"/>
            <w:vAlign w:val="bottom"/>
          </w:tcPr>
          <w:p w:rsidR="0026369A" w:rsidRPr="000C5AEA" w:rsidRDefault="0026369A" w:rsidP="00552D69">
            <w:pPr>
              <w:pStyle w:val="TableBodyText"/>
              <w:spacing w:before="80"/>
              <w:ind w:right="0"/>
              <w:rPr>
                <w:b/>
                <w:i/>
              </w:rPr>
            </w:pPr>
            <w:r w:rsidRPr="000C5AEA">
              <w:t>3.8</w:t>
            </w:r>
          </w:p>
        </w:tc>
        <w:tc>
          <w:tcPr>
            <w:tcW w:w="660" w:type="dxa"/>
            <w:tcBorders>
              <w:top w:val="single" w:sz="6" w:space="0" w:color="auto"/>
            </w:tcBorders>
            <w:shd w:val="clear" w:color="auto" w:fill="auto"/>
            <w:vAlign w:val="bottom"/>
          </w:tcPr>
          <w:p w:rsidR="0026369A" w:rsidRPr="000C5AEA" w:rsidRDefault="0026369A" w:rsidP="00552D69">
            <w:pPr>
              <w:pStyle w:val="TableBodyText"/>
              <w:spacing w:before="80"/>
              <w:ind w:right="0"/>
              <w:rPr>
                <w:b/>
                <w:i/>
              </w:rPr>
            </w:pPr>
            <w:r w:rsidRPr="000C5AEA">
              <w:t>9.3</w:t>
            </w:r>
          </w:p>
        </w:tc>
        <w:tc>
          <w:tcPr>
            <w:tcW w:w="660" w:type="dxa"/>
            <w:tcBorders>
              <w:top w:val="single" w:sz="6" w:space="0" w:color="auto"/>
            </w:tcBorders>
            <w:shd w:val="clear" w:color="auto" w:fill="auto"/>
            <w:vAlign w:val="bottom"/>
          </w:tcPr>
          <w:p w:rsidR="0026369A" w:rsidRPr="000C5AEA" w:rsidRDefault="0026369A" w:rsidP="00552D69">
            <w:pPr>
              <w:pStyle w:val="TableBodyText"/>
              <w:spacing w:before="80"/>
              <w:ind w:right="0"/>
              <w:rPr>
                <w:b/>
                <w:i/>
              </w:rPr>
            </w:pPr>
            <w:r w:rsidRPr="000C5AEA">
              <w:t>5.4</w:t>
            </w:r>
          </w:p>
        </w:tc>
        <w:tc>
          <w:tcPr>
            <w:tcW w:w="660" w:type="dxa"/>
            <w:tcBorders>
              <w:top w:val="single" w:sz="6" w:space="0" w:color="auto"/>
            </w:tcBorders>
            <w:shd w:val="clear" w:color="auto" w:fill="auto"/>
            <w:vAlign w:val="bottom"/>
          </w:tcPr>
          <w:p w:rsidR="0026369A" w:rsidRPr="000C5AEA" w:rsidRDefault="0026369A" w:rsidP="00552D69">
            <w:pPr>
              <w:pStyle w:val="TableBodyText"/>
              <w:spacing w:before="80"/>
              <w:ind w:right="0"/>
              <w:rPr>
                <w:b/>
                <w:i/>
              </w:rPr>
            </w:pPr>
            <w:r w:rsidRPr="000C5AEA">
              <w:t>5.3</w:t>
            </w:r>
          </w:p>
        </w:tc>
        <w:tc>
          <w:tcPr>
            <w:tcW w:w="660" w:type="dxa"/>
            <w:tcBorders>
              <w:top w:val="single" w:sz="6" w:space="0" w:color="auto"/>
            </w:tcBorders>
            <w:shd w:val="clear" w:color="auto" w:fill="auto"/>
            <w:vAlign w:val="bottom"/>
          </w:tcPr>
          <w:p w:rsidR="0026369A" w:rsidRPr="000C5AEA" w:rsidRDefault="0026369A" w:rsidP="00552D69">
            <w:pPr>
              <w:pStyle w:val="TableBodyText"/>
              <w:spacing w:before="80"/>
              <w:ind w:right="0"/>
              <w:rPr>
                <w:b/>
                <w:i/>
              </w:rPr>
            </w:pPr>
            <w:r w:rsidRPr="000C5AEA">
              <w:t>10.2</w:t>
            </w:r>
          </w:p>
        </w:tc>
        <w:tc>
          <w:tcPr>
            <w:tcW w:w="660" w:type="dxa"/>
            <w:tcBorders>
              <w:top w:val="single" w:sz="6" w:space="0" w:color="auto"/>
            </w:tcBorders>
            <w:shd w:val="clear" w:color="auto" w:fill="auto"/>
            <w:vAlign w:val="bottom"/>
          </w:tcPr>
          <w:p w:rsidR="0026369A" w:rsidRPr="000C5AEA" w:rsidRDefault="0026369A" w:rsidP="00552D69">
            <w:pPr>
              <w:pStyle w:val="TableBodyText"/>
              <w:spacing w:before="80"/>
              <w:ind w:right="0"/>
              <w:rPr>
                <w:b/>
                <w:i/>
              </w:rPr>
            </w:pPr>
            <w:r w:rsidRPr="000C5AEA">
              <w:t>5.9</w:t>
            </w:r>
          </w:p>
        </w:tc>
      </w:tr>
      <w:tr w:rsidR="0026369A" w:rsidRPr="00356B52" w:rsidTr="0026369A">
        <w:tc>
          <w:tcPr>
            <w:tcW w:w="2852" w:type="dxa"/>
            <w:shd w:val="clear" w:color="auto" w:fill="auto"/>
          </w:tcPr>
          <w:p w:rsidR="0026369A" w:rsidRPr="00356B52" w:rsidRDefault="0026369A" w:rsidP="0026369A">
            <w:pPr>
              <w:pStyle w:val="TableBodyText"/>
              <w:jc w:val="left"/>
            </w:pPr>
            <w:r w:rsidRPr="00356B52">
              <w:t>Non-government schools</w:t>
            </w:r>
          </w:p>
        </w:tc>
        <w:tc>
          <w:tcPr>
            <w:tcW w:w="659" w:type="dxa"/>
            <w:shd w:val="clear" w:color="auto" w:fill="auto"/>
            <w:vAlign w:val="bottom"/>
          </w:tcPr>
          <w:p w:rsidR="0026369A" w:rsidRPr="0027584E" w:rsidRDefault="0026369A" w:rsidP="00552D69">
            <w:pPr>
              <w:pStyle w:val="TableBodyText"/>
              <w:ind w:right="0"/>
              <w:rPr>
                <w:b/>
                <w:i/>
              </w:rPr>
            </w:pPr>
            <w:r w:rsidRPr="0027584E">
              <w:t>3.9</w:t>
            </w:r>
          </w:p>
        </w:tc>
        <w:tc>
          <w:tcPr>
            <w:tcW w:w="659" w:type="dxa"/>
            <w:shd w:val="clear" w:color="auto" w:fill="auto"/>
            <w:vAlign w:val="bottom"/>
          </w:tcPr>
          <w:p w:rsidR="0026369A" w:rsidRPr="0027584E" w:rsidRDefault="0026369A" w:rsidP="00552D69">
            <w:pPr>
              <w:pStyle w:val="TableBodyText"/>
              <w:ind w:right="0"/>
              <w:rPr>
                <w:b/>
                <w:i/>
              </w:rPr>
            </w:pPr>
            <w:r w:rsidRPr="0027584E">
              <w:t>3.0</w:t>
            </w:r>
          </w:p>
        </w:tc>
        <w:tc>
          <w:tcPr>
            <w:tcW w:w="660" w:type="dxa"/>
            <w:shd w:val="clear" w:color="auto" w:fill="auto"/>
            <w:vAlign w:val="bottom"/>
          </w:tcPr>
          <w:p w:rsidR="0026369A" w:rsidRPr="0027584E" w:rsidRDefault="0026369A" w:rsidP="00552D69">
            <w:pPr>
              <w:pStyle w:val="TableBodyText"/>
              <w:ind w:right="0"/>
              <w:rPr>
                <w:b/>
                <w:i/>
              </w:rPr>
            </w:pPr>
            <w:r w:rsidRPr="0027584E">
              <w:t>2.4</w:t>
            </w:r>
          </w:p>
        </w:tc>
        <w:tc>
          <w:tcPr>
            <w:tcW w:w="660" w:type="dxa"/>
            <w:shd w:val="clear" w:color="auto" w:fill="auto"/>
            <w:vAlign w:val="bottom"/>
          </w:tcPr>
          <w:p w:rsidR="0026369A" w:rsidRPr="0027584E" w:rsidRDefault="0026369A" w:rsidP="00552D69">
            <w:pPr>
              <w:pStyle w:val="TableBodyText"/>
              <w:ind w:right="0"/>
              <w:rPr>
                <w:b/>
                <w:i/>
              </w:rPr>
            </w:pPr>
            <w:r w:rsidRPr="0027584E">
              <w:t>2.3</w:t>
            </w:r>
          </w:p>
        </w:tc>
        <w:tc>
          <w:tcPr>
            <w:tcW w:w="660" w:type="dxa"/>
            <w:shd w:val="clear" w:color="auto" w:fill="auto"/>
            <w:vAlign w:val="bottom"/>
          </w:tcPr>
          <w:p w:rsidR="0026369A" w:rsidRPr="0027584E" w:rsidRDefault="0026369A" w:rsidP="00552D69">
            <w:pPr>
              <w:pStyle w:val="TableBodyText"/>
              <w:ind w:right="0"/>
              <w:rPr>
                <w:b/>
                <w:i/>
              </w:rPr>
            </w:pPr>
            <w:r w:rsidRPr="0027584E">
              <w:t>3.5</w:t>
            </w:r>
          </w:p>
        </w:tc>
        <w:tc>
          <w:tcPr>
            <w:tcW w:w="660" w:type="dxa"/>
            <w:shd w:val="clear" w:color="auto" w:fill="auto"/>
            <w:vAlign w:val="bottom"/>
          </w:tcPr>
          <w:p w:rsidR="0026369A" w:rsidRPr="0027584E" w:rsidRDefault="0026369A" w:rsidP="00552D69">
            <w:pPr>
              <w:pStyle w:val="TableBodyText"/>
              <w:ind w:right="0"/>
              <w:rPr>
                <w:b/>
                <w:i/>
              </w:rPr>
            </w:pPr>
            <w:r w:rsidRPr="0027584E">
              <w:t>2.4</w:t>
            </w:r>
          </w:p>
        </w:tc>
        <w:tc>
          <w:tcPr>
            <w:tcW w:w="660" w:type="dxa"/>
            <w:shd w:val="clear" w:color="auto" w:fill="auto"/>
            <w:vAlign w:val="bottom"/>
          </w:tcPr>
          <w:p w:rsidR="0026369A" w:rsidRPr="0027584E" w:rsidRDefault="0026369A" w:rsidP="00552D69">
            <w:pPr>
              <w:pStyle w:val="TableBodyText"/>
              <w:ind w:right="0"/>
              <w:rPr>
                <w:b/>
                <w:i/>
              </w:rPr>
            </w:pPr>
            <w:r w:rsidRPr="0027584E">
              <w:t>1.8</w:t>
            </w:r>
          </w:p>
        </w:tc>
        <w:tc>
          <w:tcPr>
            <w:tcW w:w="660" w:type="dxa"/>
            <w:shd w:val="clear" w:color="auto" w:fill="auto"/>
            <w:vAlign w:val="bottom"/>
          </w:tcPr>
          <w:p w:rsidR="0026369A" w:rsidRPr="0027584E" w:rsidRDefault="0026369A" w:rsidP="00552D69">
            <w:pPr>
              <w:pStyle w:val="TableBodyText"/>
              <w:ind w:right="0"/>
              <w:rPr>
                <w:b/>
                <w:i/>
              </w:rPr>
            </w:pPr>
            <w:r w:rsidRPr="0027584E">
              <w:t>3.5</w:t>
            </w:r>
          </w:p>
        </w:tc>
        <w:tc>
          <w:tcPr>
            <w:tcW w:w="660" w:type="dxa"/>
            <w:shd w:val="clear" w:color="auto" w:fill="auto"/>
            <w:vAlign w:val="bottom"/>
          </w:tcPr>
          <w:p w:rsidR="0026369A" w:rsidRPr="0027584E" w:rsidRDefault="0026369A" w:rsidP="00552D69">
            <w:pPr>
              <w:pStyle w:val="TableBodyText"/>
              <w:ind w:right="0"/>
              <w:rPr>
                <w:b/>
                <w:i/>
              </w:rPr>
            </w:pPr>
            <w:r w:rsidRPr="0027584E">
              <w:t>3.1</w:t>
            </w:r>
          </w:p>
        </w:tc>
      </w:tr>
      <w:tr w:rsidR="0026369A" w:rsidRPr="00356B52" w:rsidTr="0026369A">
        <w:tc>
          <w:tcPr>
            <w:tcW w:w="2852" w:type="dxa"/>
            <w:tcBorders>
              <w:bottom w:val="single" w:sz="6" w:space="0" w:color="auto"/>
            </w:tcBorders>
            <w:shd w:val="clear" w:color="auto" w:fill="auto"/>
          </w:tcPr>
          <w:p w:rsidR="0026369A" w:rsidRPr="00356B52" w:rsidRDefault="0026369A" w:rsidP="0026369A">
            <w:pPr>
              <w:pStyle w:val="TableBodyText"/>
              <w:jc w:val="left"/>
              <w:rPr>
                <w:b/>
              </w:rPr>
            </w:pPr>
            <w:r w:rsidRPr="00356B52">
              <w:rPr>
                <w:b/>
              </w:rPr>
              <w:t>All schools</w:t>
            </w:r>
          </w:p>
        </w:tc>
        <w:tc>
          <w:tcPr>
            <w:tcW w:w="659" w:type="dxa"/>
            <w:tcBorders>
              <w:bottom w:val="single" w:sz="6" w:space="0" w:color="auto"/>
            </w:tcBorders>
            <w:shd w:val="clear" w:color="auto" w:fill="auto"/>
            <w:vAlign w:val="bottom"/>
          </w:tcPr>
          <w:p w:rsidR="0026369A" w:rsidRPr="000F0C9C" w:rsidRDefault="0026369A" w:rsidP="00552D69">
            <w:pPr>
              <w:pStyle w:val="TableBodyText"/>
              <w:ind w:right="0"/>
              <w:rPr>
                <w:b/>
                <w:i/>
              </w:rPr>
            </w:pPr>
            <w:r w:rsidRPr="000F0C9C">
              <w:rPr>
                <w:b/>
              </w:rPr>
              <w:t>5.4</w:t>
            </w:r>
          </w:p>
        </w:tc>
        <w:tc>
          <w:tcPr>
            <w:tcW w:w="659" w:type="dxa"/>
            <w:tcBorders>
              <w:bottom w:val="single" w:sz="6" w:space="0" w:color="auto"/>
            </w:tcBorders>
            <w:shd w:val="clear" w:color="auto" w:fill="auto"/>
            <w:vAlign w:val="bottom"/>
          </w:tcPr>
          <w:p w:rsidR="0026369A" w:rsidRPr="000F0C9C" w:rsidRDefault="0026369A" w:rsidP="00552D69">
            <w:pPr>
              <w:pStyle w:val="TableBodyText"/>
              <w:ind w:right="0"/>
              <w:rPr>
                <w:b/>
                <w:i/>
              </w:rPr>
            </w:pPr>
            <w:r w:rsidRPr="000F0C9C">
              <w:rPr>
                <w:b/>
              </w:rPr>
              <w:t>5.0</w:t>
            </w:r>
          </w:p>
        </w:tc>
        <w:tc>
          <w:tcPr>
            <w:tcW w:w="660" w:type="dxa"/>
            <w:tcBorders>
              <w:bottom w:val="single" w:sz="6" w:space="0" w:color="auto"/>
            </w:tcBorders>
            <w:shd w:val="clear" w:color="auto" w:fill="auto"/>
            <w:vAlign w:val="bottom"/>
          </w:tcPr>
          <w:p w:rsidR="0026369A" w:rsidRPr="000F0C9C" w:rsidRDefault="0026369A" w:rsidP="00552D69">
            <w:pPr>
              <w:pStyle w:val="TableBodyText"/>
              <w:ind w:right="0"/>
              <w:rPr>
                <w:b/>
                <w:i/>
              </w:rPr>
            </w:pPr>
            <w:r w:rsidRPr="000F0C9C">
              <w:rPr>
                <w:b/>
              </w:rPr>
              <w:t>4.1</w:t>
            </w:r>
          </w:p>
        </w:tc>
        <w:tc>
          <w:tcPr>
            <w:tcW w:w="660" w:type="dxa"/>
            <w:tcBorders>
              <w:bottom w:val="single" w:sz="6" w:space="0" w:color="auto"/>
            </w:tcBorders>
            <w:shd w:val="clear" w:color="auto" w:fill="auto"/>
            <w:vAlign w:val="bottom"/>
          </w:tcPr>
          <w:p w:rsidR="0026369A" w:rsidRPr="000F0C9C" w:rsidRDefault="0026369A" w:rsidP="00552D69">
            <w:pPr>
              <w:pStyle w:val="TableBodyText"/>
              <w:ind w:right="0"/>
              <w:rPr>
                <w:b/>
                <w:i/>
              </w:rPr>
            </w:pPr>
            <w:r w:rsidRPr="000F0C9C">
              <w:rPr>
                <w:b/>
              </w:rPr>
              <w:t>3.2</w:t>
            </w:r>
          </w:p>
        </w:tc>
        <w:tc>
          <w:tcPr>
            <w:tcW w:w="660" w:type="dxa"/>
            <w:tcBorders>
              <w:bottom w:val="single" w:sz="6" w:space="0" w:color="auto"/>
            </w:tcBorders>
            <w:shd w:val="clear" w:color="auto" w:fill="auto"/>
            <w:vAlign w:val="bottom"/>
          </w:tcPr>
          <w:p w:rsidR="0026369A" w:rsidRPr="000F0C9C" w:rsidRDefault="0026369A" w:rsidP="00552D69">
            <w:pPr>
              <w:pStyle w:val="TableBodyText"/>
              <w:ind w:right="0"/>
              <w:rPr>
                <w:b/>
                <w:i/>
              </w:rPr>
            </w:pPr>
            <w:r w:rsidRPr="000F0C9C">
              <w:rPr>
                <w:b/>
              </w:rPr>
              <w:t>7.2</w:t>
            </w:r>
          </w:p>
        </w:tc>
        <w:tc>
          <w:tcPr>
            <w:tcW w:w="660" w:type="dxa"/>
            <w:tcBorders>
              <w:bottom w:val="single" w:sz="6" w:space="0" w:color="auto"/>
            </w:tcBorders>
            <w:shd w:val="clear" w:color="auto" w:fill="auto"/>
            <w:vAlign w:val="bottom"/>
          </w:tcPr>
          <w:p w:rsidR="0026369A" w:rsidRPr="000F0C9C" w:rsidRDefault="0026369A" w:rsidP="00552D69">
            <w:pPr>
              <w:pStyle w:val="TableBodyText"/>
              <w:ind w:right="0"/>
              <w:rPr>
                <w:b/>
                <w:i/>
              </w:rPr>
            </w:pPr>
            <w:r w:rsidRPr="000F0C9C">
              <w:rPr>
                <w:b/>
              </w:rPr>
              <w:t>4.5</w:t>
            </w:r>
          </w:p>
        </w:tc>
        <w:tc>
          <w:tcPr>
            <w:tcW w:w="660" w:type="dxa"/>
            <w:tcBorders>
              <w:bottom w:val="single" w:sz="6" w:space="0" w:color="auto"/>
            </w:tcBorders>
            <w:shd w:val="clear" w:color="auto" w:fill="auto"/>
            <w:vAlign w:val="bottom"/>
          </w:tcPr>
          <w:p w:rsidR="0026369A" w:rsidRPr="000F0C9C" w:rsidRDefault="0026369A" w:rsidP="00552D69">
            <w:pPr>
              <w:pStyle w:val="TableBodyText"/>
              <w:ind w:right="0"/>
              <w:rPr>
                <w:b/>
                <w:i/>
              </w:rPr>
            </w:pPr>
            <w:r w:rsidRPr="000F0C9C">
              <w:rPr>
                <w:b/>
              </w:rPr>
              <w:t>3.8</w:t>
            </w:r>
          </w:p>
        </w:tc>
        <w:tc>
          <w:tcPr>
            <w:tcW w:w="660" w:type="dxa"/>
            <w:tcBorders>
              <w:bottom w:val="single" w:sz="6" w:space="0" w:color="auto"/>
            </w:tcBorders>
            <w:shd w:val="clear" w:color="auto" w:fill="auto"/>
            <w:vAlign w:val="bottom"/>
          </w:tcPr>
          <w:p w:rsidR="0026369A" w:rsidRPr="000F0C9C" w:rsidRDefault="0026369A" w:rsidP="00552D69">
            <w:pPr>
              <w:pStyle w:val="TableBodyText"/>
              <w:ind w:right="0"/>
              <w:rPr>
                <w:b/>
                <w:i/>
              </w:rPr>
            </w:pPr>
            <w:r w:rsidRPr="000F0C9C">
              <w:rPr>
                <w:b/>
              </w:rPr>
              <w:t>8.4</w:t>
            </w:r>
          </w:p>
        </w:tc>
        <w:tc>
          <w:tcPr>
            <w:tcW w:w="660" w:type="dxa"/>
            <w:tcBorders>
              <w:bottom w:val="single" w:sz="6" w:space="0" w:color="auto"/>
            </w:tcBorders>
            <w:shd w:val="clear" w:color="auto" w:fill="auto"/>
            <w:vAlign w:val="bottom"/>
          </w:tcPr>
          <w:p w:rsidR="0026369A" w:rsidRPr="000F0C9C" w:rsidRDefault="0026369A" w:rsidP="00552D69">
            <w:pPr>
              <w:pStyle w:val="TableBodyText"/>
              <w:ind w:right="0"/>
              <w:rPr>
                <w:b/>
                <w:i/>
              </w:rPr>
            </w:pPr>
            <w:r w:rsidRPr="000F0C9C">
              <w:rPr>
                <w:b/>
              </w:rPr>
              <w:t>4.9</w:t>
            </w:r>
          </w:p>
        </w:tc>
      </w:tr>
    </w:tbl>
    <w:p w:rsidR="0026369A" w:rsidRPr="00E5556F" w:rsidRDefault="0026369A" w:rsidP="0026369A">
      <w:pPr>
        <w:pStyle w:val="Note"/>
      </w:pPr>
      <w:r w:rsidRPr="00356B52">
        <w:rPr>
          <w:rStyle w:val="NoteLabel"/>
        </w:rPr>
        <w:t>a</w:t>
      </w:r>
      <w:r w:rsidRPr="00356B52">
        <w:sym w:font="Symbol" w:char="F020"/>
      </w:r>
      <w:r w:rsidRPr="0027584E">
        <w:t>To be an eligible student with disabilities, the student (among other things) must satisfy the criteria for enrolment in special education services or special education programs provided by the government of the state or territory in which the student resides. Data should be used with caution as these criteria vary across jurisdictions, for example, SA data include a large number of students in the communication and language impairment category. This subset of students is not counted by</w:t>
      </w:r>
      <w:r w:rsidR="000F0C9C">
        <w:t xml:space="preserve"> other States/Territories under-</w:t>
      </w:r>
      <w:r w:rsidRPr="0027584E">
        <w:t>funded students with disabilities. Other States/Territories fund these students with other specific programs.</w:t>
      </w:r>
    </w:p>
    <w:p w:rsidR="000A54DF" w:rsidRDefault="0026369A" w:rsidP="000A54DF">
      <w:pPr>
        <w:pStyle w:val="Source"/>
        <w:rPr>
          <w:i/>
        </w:rPr>
      </w:pPr>
      <w:r w:rsidRPr="00356B52">
        <w:rPr>
          <w:i/>
        </w:rPr>
        <w:t>Source</w:t>
      </w:r>
      <w:r w:rsidRPr="00356B52">
        <w:t xml:space="preserve">: </w:t>
      </w:r>
      <w:r w:rsidRPr="00E5556F">
        <w:t xml:space="preserve">ABS </w:t>
      </w:r>
      <w:r>
        <w:t>(</w:t>
      </w:r>
      <w:r w:rsidRPr="00E5556F">
        <w:t>20</w:t>
      </w:r>
      <w:r w:rsidR="00A01691">
        <w:t>12</w:t>
      </w:r>
      <w:r>
        <w:t>)</w:t>
      </w:r>
      <w:r w:rsidRPr="00E5556F">
        <w:t xml:space="preserve"> </w:t>
      </w:r>
      <w:r w:rsidRPr="00F10B42">
        <w:rPr>
          <w:i/>
        </w:rPr>
        <w:t>Schools Australia</w:t>
      </w:r>
      <w:r>
        <w:rPr>
          <w:i/>
        </w:rPr>
        <w:t>,</w:t>
      </w:r>
      <w:r w:rsidRPr="00F10B42">
        <w:rPr>
          <w:i/>
        </w:rPr>
        <w:t xml:space="preserve"> 20</w:t>
      </w:r>
      <w:r>
        <w:rPr>
          <w:i/>
        </w:rPr>
        <w:t>10</w:t>
      </w:r>
      <w:r w:rsidRPr="00E5556F">
        <w:t xml:space="preserve">, Cat. no. 4221.0; </w:t>
      </w:r>
      <w:r w:rsidRPr="0027584E">
        <w:t>DEEWR (unpublished).</w:t>
      </w:r>
    </w:p>
    <w:p w:rsidR="000A54DF" w:rsidRPr="006A2D9D" w:rsidRDefault="000A54DF" w:rsidP="00F82D99">
      <w:pPr>
        <w:pStyle w:val="Heading5"/>
      </w:pPr>
      <w:r w:rsidRPr="006A2D9D">
        <w:t>Geographically remote students</w:t>
      </w:r>
    </w:p>
    <w:p w:rsidR="0026369A" w:rsidRDefault="0026369A" w:rsidP="0026369A">
      <w:pPr>
        <w:pStyle w:val="BodyText"/>
      </w:pPr>
      <w:r w:rsidRPr="006A2D9D">
        <w:t xml:space="preserve">Identification of geographically remote students is based on the school location according to the metropolitan zone, provincial zone, remote areas and very remote areas as defined in the </w:t>
      </w:r>
      <w:r>
        <w:t>SCSEEC</w:t>
      </w:r>
      <w:r w:rsidRPr="006A2D9D">
        <w:t xml:space="preserve"> agreed classification</w:t>
      </w:r>
      <w:r>
        <w:t>.</w:t>
      </w:r>
      <w:r w:rsidRPr="00FD6705">
        <w:rPr>
          <w:rStyle w:val="FootnoteReference"/>
        </w:rPr>
        <w:footnoteReference w:id="5"/>
      </w:r>
    </w:p>
    <w:p w:rsidR="000A54DF" w:rsidRPr="00D51863" w:rsidRDefault="0026369A" w:rsidP="00F225AF">
      <w:pPr>
        <w:pStyle w:val="BodyText"/>
      </w:pPr>
      <w:r>
        <w:t xml:space="preserve">The most recent available data for students by geolocation is for the </w:t>
      </w:r>
      <w:r w:rsidRPr="00AD2438">
        <w:t>2010</w:t>
      </w:r>
      <w:r>
        <w:t xml:space="preserve"> school year (</w:t>
      </w:r>
      <w:r w:rsidRPr="00D51863">
        <w:t>table</w:t>
      </w:r>
      <w:r w:rsidR="002A66B3">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"OLE_LINK12" \a \t </w:instrText>
      </w:r>
      <w:r w:rsidR="002A66B3">
        <w:fldChar w:fldCharType="separate"/>
      </w:r>
      <w:r w:rsidR="002A66B3">
        <w:t>8</w:t>
      </w:r>
      <w:r w:rsidR="002A66B3">
        <w:fldChar w:fldCharType="end"/>
      </w:r>
      <w:r w:rsidRPr="00D51863">
        <w:t>)</w:t>
      </w:r>
      <w:r>
        <w:t>.</w:t>
      </w:r>
    </w:p>
    <w:p w:rsidR="0026369A" w:rsidRPr="00166D55" w:rsidRDefault="0026369A" w:rsidP="0026369A">
      <w:pPr>
        <w:pStyle w:val="TableTitle"/>
      </w:pPr>
      <w:r w:rsidRPr="00166D55">
        <w:rPr>
          <w:b w:val="0"/>
        </w:rPr>
        <w:lastRenderedPageBreak/>
        <w:t xml:space="preserve">Table </w:t>
      </w:r>
      <w:bookmarkStart w:id="15" w:name="OLE_LINK12"/>
      <w:r w:rsidRPr="00166D55">
        <w:rPr>
          <w:b w:val="0"/>
        </w:rPr>
        <w:fldChar w:fldCharType="begin"/>
      </w:r>
      <w:r w:rsidRPr="00166D55">
        <w:rPr>
          <w:b w:val="0"/>
        </w:rPr>
        <w:instrText xml:space="preserve"> SEQ Table \* ARABIC </w:instrText>
      </w:r>
      <w:r w:rsidRPr="00166D55">
        <w:rPr>
          <w:b w:val="0"/>
        </w:rPr>
        <w:fldChar w:fldCharType="separate"/>
      </w:r>
      <w:r w:rsidR="00936B93">
        <w:rPr>
          <w:b w:val="0"/>
          <w:noProof/>
        </w:rPr>
        <w:t>8</w:t>
      </w:r>
      <w:r w:rsidRPr="00166D55">
        <w:rPr>
          <w:b w:val="0"/>
        </w:rPr>
        <w:fldChar w:fldCharType="end"/>
      </w:r>
      <w:bookmarkEnd w:id="15"/>
      <w:r w:rsidRPr="00166D55">
        <w:tab/>
        <w:t>Students attending schools in remote and very remote areas as a proportion of all students, 2010 (per cent)</w:t>
      </w:r>
      <w:r w:rsidRPr="00166D55">
        <w:rPr>
          <w:rStyle w:val="NoteLabel"/>
          <w:b/>
        </w:rPr>
        <w:t>a, b, c</w:t>
      </w:r>
      <w:r>
        <w:rPr>
          <w:rStyle w:val="NoteLabel"/>
          <w:b/>
        </w:rPr>
        <w:t>, d</w:t>
      </w:r>
    </w:p>
    <w:tbl>
      <w:tblPr>
        <w:tblW w:w="8790" w:type="dxa"/>
        <w:tblLayout w:type="fixed"/>
        <w:tblCellMar>
          <w:left w:w="0" w:type="dxa"/>
          <w:right w:w="0" w:type="dxa"/>
        </w:tblCellMar>
        <w:tblLook w:val="0000" w:firstRow="0" w:lastRow="0" w:firstColumn="0" w:lastColumn="0" w:noHBand="0" w:noVBand="0"/>
      </w:tblPr>
      <w:tblGrid>
        <w:gridCol w:w="2139"/>
        <w:gridCol w:w="739"/>
        <w:gridCol w:w="739"/>
        <w:gridCol w:w="739"/>
        <w:gridCol w:w="739"/>
        <w:gridCol w:w="739"/>
        <w:gridCol w:w="739"/>
        <w:gridCol w:w="739"/>
        <w:gridCol w:w="739"/>
        <w:gridCol w:w="739"/>
      </w:tblGrid>
      <w:tr w:rsidR="0026369A" w:rsidRPr="0056256C" w:rsidTr="0026369A">
        <w:tc>
          <w:tcPr>
            <w:tcW w:w="2139" w:type="dxa"/>
            <w:tcBorders>
              <w:top w:val="single" w:sz="6" w:space="0" w:color="auto"/>
              <w:bottom w:val="single" w:sz="6" w:space="0" w:color="auto"/>
            </w:tcBorders>
            <w:shd w:val="clear" w:color="auto" w:fill="auto"/>
          </w:tcPr>
          <w:p w:rsidR="0026369A" w:rsidRPr="00166D55" w:rsidRDefault="0026369A" w:rsidP="0026369A">
            <w:pPr>
              <w:pStyle w:val="TableColumnHeading"/>
              <w:jc w:val="left"/>
            </w:pPr>
          </w:p>
        </w:tc>
        <w:tc>
          <w:tcPr>
            <w:tcW w:w="739" w:type="dxa"/>
            <w:tcBorders>
              <w:top w:val="single" w:sz="6" w:space="0" w:color="auto"/>
              <w:bottom w:val="single" w:sz="6" w:space="0" w:color="auto"/>
            </w:tcBorders>
            <w:shd w:val="clear" w:color="auto" w:fill="auto"/>
          </w:tcPr>
          <w:p w:rsidR="0026369A" w:rsidRPr="00166D55" w:rsidRDefault="0026369A" w:rsidP="0026369A">
            <w:pPr>
              <w:pStyle w:val="TableColumnHeading"/>
              <w:ind w:right="-2"/>
            </w:pPr>
            <w:r w:rsidRPr="00166D55">
              <w:t>NSW</w:t>
            </w:r>
          </w:p>
        </w:tc>
        <w:tc>
          <w:tcPr>
            <w:tcW w:w="739" w:type="dxa"/>
            <w:tcBorders>
              <w:top w:val="single" w:sz="6" w:space="0" w:color="auto"/>
              <w:bottom w:val="single" w:sz="6" w:space="0" w:color="auto"/>
            </w:tcBorders>
            <w:shd w:val="clear" w:color="auto" w:fill="auto"/>
          </w:tcPr>
          <w:p w:rsidR="0026369A" w:rsidRPr="00166D55" w:rsidRDefault="0026369A" w:rsidP="0026369A">
            <w:pPr>
              <w:pStyle w:val="TableColumnHeading"/>
              <w:ind w:right="-2"/>
            </w:pPr>
            <w:r w:rsidRPr="00166D55">
              <w:t>Vic</w:t>
            </w:r>
          </w:p>
        </w:tc>
        <w:tc>
          <w:tcPr>
            <w:tcW w:w="739" w:type="dxa"/>
            <w:tcBorders>
              <w:top w:val="single" w:sz="6" w:space="0" w:color="auto"/>
              <w:bottom w:val="single" w:sz="6" w:space="0" w:color="auto"/>
            </w:tcBorders>
            <w:shd w:val="clear" w:color="auto" w:fill="auto"/>
          </w:tcPr>
          <w:p w:rsidR="0026369A" w:rsidRPr="00166D55" w:rsidRDefault="0026369A" w:rsidP="0026369A">
            <w:pPr>
              <w:pStyle w:val="TableColumnHeading"/>
              <w:ind w:right="-2"/>
            </w:pPr>
            <w:r w:rsidRPr="00166D55">
              <w:t>Qld</w:t>
            </w:r>
          </w:p>
        </w:tc>
        <w:tc>
          <w:tcPr>
            <w:tcW w:w="739" w:type="dxa"/>
            <w:tcBorders>
              <w:top w:val="single" w:sz="6" w:space="0" w:color="auto"/>
              <w:bottom w:val="single" w:sz="6" w:space="0" w:color="auto"/>
            </w:tcBorders>
            <w:shd w:val="clear" w:color="auto" w:fill="auto"/>
          </w:tcPr>
          <w:p w:rsidR="0026369A" w:rsidRPr="00166D55" w:rsidRDefault="0026369A" w:rsidP="0026369A">
            <w:pPr>
              <w:pStyle w:val="TableColumnHeading"/>
              <w:ind w:right="-2"/>
            </w:pPr>
            <w:r w:rsidRPr="00166D55">
              <w:t>WA</w:t>
            </w:r>
          </w:p>
        </w:tc>
        <w:tc>
          <w:tcPr>
            <w:tcW w:w="739" w:type="dxa"/>
            <w:tcBorders>
              <w:top w:val="single" w:sz="6" w:space="0" w:color="auto"/>
              <w:bottom w:val="single" w:sz="6" w:space="0" w:color="auto"/>
            </w:tcBorders>
            <w:shd w:val="clear" w:color="auto" w:fill="auto"/>
          </w:tcPr>
          <w:p w:rsidR="0026369A" w:rsidRPr="00166D55" w:rsidRDefault="0026369A" w:rsidP="0026369A">
            <w:pPr>
              <w:pStyle w:val="TableColumnHeading"/>
              <w:ind w:right="-2"/>
            </w:pPr>
            <w:r w:rsidRPr="00166D55">
              <w:t>SA</w:t>
            </w:r>
          </w:p>
        </w:tc>
        <w:tc>
          <w:tcPr>
            <w:tcW w:w="739" w:type="dxa"/>
            <w:tcBorders>
              <w:top w:val="single" w:sz="6" w:space="0" w:color="auto"/>
              <w:bottom w:val="single" w:sz="6" w:space="0" w:color="auto"/>
            </w:tcBorders>
            <w:shd w:val="clear" w:color="auto" w:fill="auto"/>
          </w:tcPr>
          <w:p w:rsidR="0026369A" w:rsidRPr="00166D55" w:rsidRDefault="0026369A" w:rsidP="0026369A">
            <w:pPr>
              <w:pStyle w:val="TableColumnHeading"/>
              <w:ind w:right="-2"/>
            </w:pPr>
            <w:r w:rsidRPr="00166D55">
              <w:t>Tas</w:t>
            </w:r>
          </w:p>
        </w:tc>
        <w:tc>
          <w:tcPr>
            <w:tcW w:w="739" w:type="dxa"/>
            <w:tcBorders>
              <w:top w:val="single" w:sz="6" w:space="0" w:color="auto"/>
              <w:bottom w:val="single" w:sz="6" w:space="0" w:color="auto"/>
            </w:tcBorders>
            <w:shd w:val="clear" w:color="auto" w:fill="auto"/>
          </w:tcPr>
          <w:p w:rsidR="0026369A" w:rsidRPr="00166D55" w:rsidRDefault="0026369A" w:rsidP="0026369A">
            <w:pPr>
              <w:pStyle w:val="TableColumnHeading"/>
              <w:ind w:right="-2"/>
            </w:pPr>
            <w:r w:rsidRPr="00166D55">
              <w:t>ACT</w:t>
            </w:r>
          </w:p>
        </w:tc>
        <w:tc>
          <w:tcPr>
            <w:tcW w:w="739" w:type="dxa"/>
            <w:tcBorders>
              <w:top w:val="single" w:sz="6" w:space="0" w:color="auto"/>
              <w:bottom w:val="single" w:sz="6" w:space="0" w:color="auto"/>
            </w:tcBorders>
            <w:shd w:val="clear" w:color="auto" w:fill="auto"/>
          </w:tcPr>
          <w:p w:rsidR="0026369A" w:rsidRPr="00166D55" w:rsidRDefault="0026369A" w:rsidP="0026369A">
            <w:pPr>
              <w:pStyle w:val="TableColumnHeading"/>
              <w:ind w:right="-2"/>
            </w:pPr>
            <w:r w:rsidRPr="00166D55">
              <w:t>NT</w:t>
            </w:r>
          </w:p>
        </w:tc>
        <w:tc>
          <w:tcPr>
            <w:tcW w:w="739" w:type="dxa"/>
            <w:tcBorders>
              <w:top w:val="single" w:sz="6" w:space="0" w:color="auto"/>
              <w:bottom w:val="single" w:sz="6" w:space="0" w:color="auto"/>
            </w:tcBorders>
            <w:shd w:val="clear" w:color="auto" w:fill="auto"/>
          </w:tcPr>
          <w:p w:rsidR="0026369A" w:rsidRPr="00166D55" w:rsidRDefault="0026369A" w:rsidP="0026369A">
            <w:pPr>
              <w:pStyle w:val="TableColumnHeading"/>
              <w:ind w:right="-2"/>
            </w:pPr>
            <w:proofErr w:type="spellStart"/>
            <w:r w:rsidRPr="00166D55">
              <w:t>Aust</w:t>
            </w:r>
            <w:proofErr w:type="spellEnd"/>
          </w:p>
        </w:tc>
      </w:tr>
      <w:tr w:rsidR="0026369A" w:rsidRPr="00AD2438" w:rsidTr="0026369A">
        <w:tc>
          <w:tcPr>
            <w:tcW w:w="2139" w:type="dxa"/>
          </w:tcPr>
          <w:p w:rsidR="0026369A" w:rsidRPr="00AD2438" w:rsidRDefault="0026369A" w:rsidP="0026369A">
            <w:pPr>
              <w:pStyle w:val="TableBodyText"/>
              <w:spacing w:before="80"/>
              <w:jc w:val="left"/>
            </w:pPr>
            <w:r w:rsidRPr="00AD2438">
              <w:t>Remote areas</w:t>
            </w:r>
          </w:p>
        </w:tc>
        <w:tc>
          <w:tcPr>
            <w:tcW w:w="739" w:type="dxa"/>
          </w:tcPr>
          <w:p w:rsidR="0026369A" w:rsidRPr="00AD2438" w:rsidRDefault="0026369A" w:rsidP="0026369A">
            <w:pPr>
              <w:pStyle w:val="TableBodyText"/>
              <w:ind w:right="-2"/>
            </w:pPr>
          </w:p>
        </w:tc>
        <w:tc>
          <w:tcPr>
            <w:tcW w:w="739" w:type="dxa"/>
          </w:tcPr>
          <w:p w:rsidR="0026369A" w:rsidRPr="00AD2438" w:rsidRDefault="0026369A" w:rsidP="0026369A">
            <w:pPr>
              <w:pStyle w:val="TableBodyText"/>
              <w:ind w:right="-2"/>
            </w:pPr>
          </w:p>
        </w:tc>
        <w:tc>
          <w:tcPr>
            <w:tcW w:w="739" w:type="dxa"/>
          </w:tcPr>
          <w:p w:rsidR="0026369A" w:rsidRPr="00AD2438" w:rsidRDefault="0026369A" w:rsidP="0026369A">
            <w:pPr>
              <w:pStyle w:val="TableBodyText"/>
              <w:ind w:right="-2"/>
            </w:pPr>
          </w:p>
        </w:tc>
        <w:tc>
          <w:tcPr>
            <w:tcW w:w="739" w:type="dxa"/>
          </w:tcPr>
          <w:p w:rsidR="0026369A" w:rsidRPr="00AD2438" w:rsidRDefault="0026369A" w:rsidP="0026369A">
            <w:pPr>
              <w:pStyle w:val="TableBodyText"/>
              <w:ind w:right="-2"/>
            </w:pPr>
          </w:p>
        </w:tc>
        <w:tc>
          <w:tcPr>
            <w:tcW w:w="739" w:type="dxa"/>
          </w:tcPr>
          <w:p w:rsidR="0026369A" w:rsidRPr="00AD2438" w:rsidRDefault="0026369A" w:rsidP="0026369A">
            <w:pPr>
              <w:pStyle w:val="TableBodyText"/>
              <w:ind w:right="-2"/>
            </w:pPr>
          </w:p>
        </w:tc>
        <w:tc>
          <w:tcPr>
            <w:tcW w:w="739" w:type="dxa"/>
          </w:tcPr>
          <w:p w:rsidR="0026369A" w:rsidRPr="00AD2438" w:rsidRDefault="0026369A" w:rsidP="0026369A">
            <w:pPr>
              <w:pStyle w:val="TableBodyText"/>
              <w:ind w:right="-2"/>
            </w:pPr>
          </w:p>
        </w:tc>
        <w:tc>
          <w:tcPr>
            <w:tcW w:w="739" w:type="dxa"/>
          </w:tcPr>
          <w:p w:rsidR="0026369A" w:rsidRPr="00AD2438" w:rsidRDefault="0026369A" w:rsidP="0026369A">
            <w:pPr>
              <w:pStyle w:val="TableBodyText"/>
              <w:ind w:right="-2"/>
            </w:pPr>
          </w:p>
        </w:tc>
        <w:tc>
          <w:tcPr>
            <w:tcW w:w="739" w:type="dxa"/>
          </w:tcPr>
          <w:p w:rsidR="0026369A" w:rsidRPr="00AD2438" w:rsidRDefault="0026369A" w:rsidP="0026369A">
            <w:pPr>
              <w:pStyle w:val="TableBodyText"/>
              <w:ind w:right="-2"/>
            </w:pPr>
          </w:p>
        </w:tc>
        <w:tc>
          <w:tcPr>
            <w:tcW w:w="739" w:type="dxa"/>
          </w:tcPr>
          <w:p w:rsidR="0026369A" w:rsidRPr="00AD2438" w:rsidRDefault="0026369A" w:rsidP="0026369A">
            <w:pPr>
              <w:pStyle w:val="TableBodyText"/>
              <w:ind w:right="-2"/>
            </w:pPr>
          </w:p>
        </w:tc>
      </w:tr>
      <w:tr w:rsidR="0026369A" w:rsidRPr="00AD2438" w:rsidTr="00D730D3">
        <w:tc>
          <w:tcPr>
            <w:tcW w:w="2139" w:type="dxa"/>
          </w:tcPr>
          <w:p w:rsidR="0026369A" w:rsidRPr="00AD2438" w:rsidRDefault="0026369A" w:rsidP="0026369A">
            <w:pPr>
              <w:pStyle w:val="TableBodyText"/>
              <w:ind w:left="136"/>
              <w:jc w:val="left"/>
            </w:pPr>
            <w:r w:rsidRPr="00AD2438">
              <w:t>Government schools</w:t>
            </w:r>
          </w:p>
        </w:tc>
        <w:tc>
          <w:tcPr>
            <w:tcW w:w="739" w:type="dxa"/>
          </w:tcPr>
          <w:p w:rsidR="0026369A" w:rsidRPr="00AD2438" w:rsidRDefault="0026369A" w:rsidP="00552D69">
            <w:pPr>
              <w:pStyle w:val="TableBodyText"/>
              <w:ind w:right="0"/>
              <w:rPr>
                <w:b/>
                <w:i/>
              </w:rPr>
            </w:pPr>
            <w:r w:rsidRPr="00AD2438">
              <w:t xml:space="preserve">  0.5</w:t>
            </w:r>
          </w:p>
        </w:tc>
        <w:tc>
          <w:tcPr>
            <w:tcW w:w="739" w:type="dxa"/>
          </w:tcPr>
          <w:p w:rsidR="0026369A" w:rsidRPr="00AD2438" w:rsidRDefault="0026369A" w:rsidP="00552D69">
            <w:pPr>
              <w:pStyle w:val="TableBodyText"/>
              <w:ind w:right="0"/>
              <w:rPr>
                <w:b/>
                <w:i/>
              </w:rPr>
            </w:pPr>
            <w:r w:rsidRPr="00AD2438">
              <w:t xml:space="preserve">  0.1</w:t>
            </w:r>
          </w:p>
        </w:tc>
        <w:tc>
          <w:tcPr>
            <w:tcW w:w="739" w:type="dxa"/>
          </w:tcPr>
          <w:p w:rsidR="0026369A" w:rsidRPr="00AD2438" w:rsidRDefault="0026369A" w:rsidP="00552D69">
            <w:pPr>
              <w:pStyle w:val="TableBodyText"/>
              <w:ind w:right="0"/>
              <w:rPr>
                <w:b/>
                <w:i/>
              </w:rPr>
            </w:pPr>
            <w:r w:rsidRPr="00AD2438">
              <w:t xml:space="preserve">  2.1</w:t>
            </w:r>
          </w:p>
        </w:tc>
        <w:tc>
          <w:tcPr>
            <w:tcW w:w="739" w:type="dxa"/>
          </w:tcPr>
          <w:p w:rsidR="0026369A" w:rsidRPr="00AD2438" w:rsidRDefault="0026369A" w:rsidP="00552D69">
            <w:pPr>
              <w:pStyle w:val="TableBodyText"/>
              <w:ind w:right="0"/>
              <w:rPr>
                <w:b/>
                <w:i/>
              </w:rPr>
            </w:pPr>
            <w:r w:rsidRPr="00AD2438">
              <w:t xml:space="preserve">  5.8</w:t>
            </w:r>
          </w:p>
        </w:tc>
        <w:tc>
          <w:tcPr>
            <w:tcW w:w="739" w:type="dxa"/>
          </w:tcPr>
          <w:p w:rsidR="0026369A" w:rsidRPr="00AD2438" w:rsidRDefault="0026369A" w:rsidP="00552D69">
            <w:pPr>
              <w:pStyle w:val="TableBodyText"/>
              <w:ind w:right="0"/>
              <w:rPr>
                <w:b/>
                <w:i/>
              </w:rPr>
            </w:pPr>
            <w:r w:rsidRPr="00AD2438">
              <w:t xml:space="preserve">  3.7</w:t>
            </w:r>
          </w:p>
        </w:tc>
        <w:tc>
          <w:tcPr>
            <w:tcW w:w="739" w:type="dxa"/>
          </w:tcPr>
          <w:p w:rsidR="0026369A" w:rsidRPr="00AD2438" w:rsidRDefault="0026369A" w:rsidP="00552D69">
            <w:pPr>
              <w:pStyle w:val="TableBodyText"/>
              <w:ind w:right="0"/>
              <w:rPr>
                <w:b/>
                <w:i/>
              </w:rPr>
            </w:pPr>
            <w:r w:rsidRPr="00AD2438">
              <w:t xml:space="preserve">  0.9</w:t>
            </w:r>
          </w:p>
        </w:tc>
        <w:tc>
          <w:tcPr>
            <w:tcW w:w="739" w:type="dxa"/>
          </w:tcPr>
          <w:p w:rsidR="0026369A" w:rsidRPr="00AD2438" w:rsidRDefault="0026369A" w:rsidP="00552D69">
            <w:pPr>
              <w:pStyle w:val="TableBodyText"/>
              <w:ind w:right="0"/>
              <w:rPr>
                <w:b/>
                <w:i/>
              </w:rPr>
            </w:pPr>
            <w:r w:rsidRPr="00AD2438">
              <w:t>..</w:t>
            </w:r>
          </w:p>
        </w:tc>
        <w:tc>
          <w:tcPr>
            <w:tcW w:w="739" w:type="dxa"/>
          </w:tcPr>
          <w:p w:rsidR="0026369A" w:rsidRPr="00AD2438" w:rsidRDefault="0026369A" w:rsidP="00552D69">
            <w:pPr>
              <w:pStyle w:val="TableBodyText"/>
              <w:ind w:right="0"/>
              <w:rPr>
                <w:b/>
                <w:i/>
              </w:rPr>
            </w:pPr>
            <w:r w:rsidRPr="00AD2438">
              <w:t xml:space="preserve">  17.2</w:t>
            </w:r>
          </w:p>
        </w:tc>
        <w:tc>
          <w:tcPr>
            <w:tcW w:w="739" w:type="dxa"/>
          </w:tcPr>
          <w:p w:rsidR="0026369A" w:rsidRPr="00AD2438" w:rsidRDefault="0026369A" w:rsidP="00552D69">
            <w:pPr>
              <w:pStyle w:val="TableBodyText"/>
              <w:ind w:right="0"/>
              <w:rPr>
                <w:b/>
                <w:i/>
              </w:rPr>
            </w:pPr>
            <w:r w:rsidRPr="00AD2438">
              <w:t xml:space="preserve">  1.7</w:t>
            </w:r>
          </w:p>
        </w:tc>
      </w:tr>
      <w:tr w:rsidR="0026369A" w:rsidRPr="00AD2438" w:rsidTr="00D730D3">
        <w:tc>
          <w:tcPr>
            <w:tcW w:w="2139" w:type="dxa"/>
          </w:tcPr>
          <w:p w:rsidR="0026369A" w:rsidRPr="00AD2438" w:rsidRDefault="0026369A" w:rsidP="0026369A">
            <w:pPr>
              <w:pStyle w:val="TableBodyText"/>
              <w:ind w:left="136"/>
              <w:jc w:val="left"/>
            </w:pPr>
            <w:r w:rsidRPr="00AD2438">
              <w:t>Non-government schools</w:t>
            </w:r>
          </w:p>
        </w:tc>
        <w:tc>
          <w:tcPr>
            <w:tcW w:w="739" w:type="dxa"/>
          </w:tcPr>
          <w:p w:rsidR="0026369A" w:rsidRPr="00AD2438" w:rsidRDefault="0026369A" w:rsidP="00552D69">
            <w:pPr>
              <w:pStyle w:val="TableBodyText"/>
              <w:ind w:right="0"/>
              <w:rPr>
                <w:b/>
                <w:i/>
              </w:rPr>
            </w:pPr>
            <w:r w:rsidRPr="00AD2438">
              <w:t xml:space="preserve">  0.2</w:t>
            </w:r>
          </w:p>
        </w:tc>
        <w:tc>
          <w:tcPr>
            <w:tcW w:w="739" w:type="dxa"/>
          </w:tcPr>
          <w:p w:rsidR="0026369A" w:rsidRPr="00AD2438" w:rsidRDefault="0026369A" w:rsidP="00552D69">
            <w:pPr>
              <w:pStyle w:val="TableBodyText"/>
              <w:ind w:right="0"/>
              <w:rPr>
                <w:b/>
                <w:i/>
              </w:rPr>
            </w:pPr>
            <w:r w:rsidRPr="00AD2438">
              <w:t>–</w:t>
            </w:r>
          </w:p>
        </w:tc>
        <w:tc>
          <w:tcPr>
            <w:tcW w:w="739" w:type="dxa"/>
          </w:tcPr>
          <w:p w:rsidR="0026369A" w:rsidRPr="00AD2438" w:rsidRDefault="0026369A" w:rsidP="00552D69">
            <w:pPr>
              <w:pStyle w:val="TableBodyText"/>
              <w:ind w:right="0"/>
              <w:rPr>
                <w:b/>
                <w:i/>
              </w:rPr>
            </w:pPr>
            <w:r w:rsidRPr="00AD2438">
              <w:t xml:space="preserve">  0.8</w:t>
            </w:r>
          </w:p>
        </w:tc>
        <w:tc>
          <w:tcPr>
            <w:tcW w:w="739" w:type="dxa"/>
          </w:tcPr>
          <w:p w:rsidR="0026369A" w:rsidRPr="00AD2438" w:rsidRDefault="0026369A" w:rsidP="00552D69">
            <w:pPr>
              <w:pStyle w:val="TableBodyText"/>
              <w:ind w:right="0"/>
              <w:rPr>
                <w:b/>
                <w:i/>
              </w:rPr>
            </w:pPr>
            <w:r w:rsidRPr="00AD2438">
              <w:t xml:space="preserve">  1.9</w:t>
            </w:r>
          </w:p>
        </w:tc>
        <w:tc>
          <w:tcPr>
            <w:tcW w:w="739" w:type="dxa"/>
          </w:tcPr>
          <w:p w:rsidR="0026369A" w:rsidRPr="00AD2438" w:rsidRDefault="0026369A" w:rsidP="00552D69">
            <w:pPr>
              <w:pStyle w:val="TableBodyText"/>
              <w:ind w:right="0"/>
              <w:rPr>
                <w:b/>
                <w:i/>
              </w:rPr>
            </w:pPr>
            <w:r w:rsidRPr="00AD2438">
              <w:t xml:space="preserve">  1.3</w:t>
            </w:r>
          </w:p>
        </w:tc>
        <w:tc>
          <w:tcPr>
            <w:tcW w:w="739" w:type="dxa"/>
          </w:tcPr>
          <w:p w:rsidR="0026369A" w:rsidRPr="00AD2438" w:rsidRDefault="0026369A" w:rsidP="00552D69">
            <w:pPr>
              <w:pStyle w:val="TableBodyText"/>
              <w:ind w:right="0"/>
              <w:rPr>
                <w:b/>
                <w:i/>
              </w:rPr>
            </w:pPr>
            <w:r w:rsidRPr="00AD2438">
              <w:t xml:space="preserve">  0.5</w:t>
            </w:r>
          </w:p>
        </w:tc>
        <w:tc>
          <w:tcPr>
            <w:tcW w:w="739" w:type="dxa"/>
          </w:tcPr>
          <w:p w:rsidR="0026369A" w:rsidRPr="00AD2438" w:rsidRDefault="0026369A" w:rsidP="00552D69">
            <w:pPr>
              <w:pStyle w:val="TableBodyText"/>
              <w:ind w:right="0"/>
              <w:rPr>
                <w:b/>
                <w:i/>
              </w:rPr>
            </w:pPr>
            <w:r w:rsidRPr="00AD2438">
              <w:t>..</w:t>
            </w:r>
          </w:p>
        </w:tc>
        <w:tc>
          <w:tcPr>
            <w:tcW w:w="739" w:type="dxa"/>
          </w:tcPr>
          <w:p w:rsidR="0026369A" w:rsidRPr="00AD2438" w:rsidRDefault="0026369A" w:rsidP="00552D69">
            <w:pPr>
              <w:pStyle w:val="TableBodyText"/>
              <w:ind w:right="0"/>
              <w:rPr>
                <w:b/>
                <w:i/>
              </w:rPr>
            </w:pPr>
            <w:r w:rsidRPr="00AD2438">
              <w:t xml:space="preserve">  29.8</w:t>
            </w:r>
          </w:p>
        </w:tc>
        <w:tc>
          <w:tcPr>
            <w:tcW w:w="739" w:type="dxa"/>
          </w:tcPr>
          <w:p w:rsidR="0026369A" w:rsidRPr="00AD2438" w:rsidRDefault="0026369A" w:rsidP="00552D69">
            <w:pPr>
              <w:pStyle w:val="TableBodyText"/>
              <w:ind w:right="0"/>
              <w:rPr>
                <w:b/>
                <w:i/>
              </w:rPr>
            </w:pPr>
            <w:r w:rsidRPr="00AD2438">
              <w:t xml:space="preserve">  0.8</w:t>
            </w:r>
          </w:p>
        </w:tc>
      </w:tr>
      <w:tr w:rsidR="0026369A" w:rsidRPr="00AD2438" w:rsidTr="00D730D3">
        <w:tc>
          <w:tcPr>
            <w:tcW w:w="2139" w:type="dxa"/>
          </w:tcPr>
          <w:p w:rsidR="0026369A" w:rsidRPr="00AD2438" w:rsidRDefault="0026369A" w:rsidP="0026369A">
            <w:pPr>
              <w:pStyle w:val="TableBodyText"/>
              <w:ind w:left="136"/>
              <w:jc w:val="left"/>
              <w:rPr>
                <w:b/>
              </w:rPr>
            </w:pPr>
            <w:r w:rsidRPr="00AD2438">
              <w:rPr>
                <w:b/>
              </w:rPr>
              <w:t>All schools</w:t>
            </w:r>
          </w:p>
        </w:tc>
        <w:tc>
          <w:tcPr>
            <w:tcW w:w="739" w:type="dxa"/>
          </w:tcPr>
          <w:p w:rsidR="0026369A" w:rsidRPr="00D730D3" w:rsidRDefault="0026369A" w:rsidP="00552D69">
            <w:pPr>
              <w:pStyle w:val="TableBodyText"/>
              <w:ind w:right="0"/>
              <w:rPr>
                <w:b/>
                <w:i/>
              </w:rPr>
            </w:pPr>
            <w:r w:rsidRPr="00D730D3">
              <w:rPr>
                <w:b/>
              </w:rPr>
              <w:t xml:space="preserve">  0.4</w:t>
            </w:r>
          </w:p>
        </w:tc>
        <w:tc>
          <w:tcPr>
            <w:tcW w:w="739" w:type="dxa"/>
          </w:tcPr>
          <w:p w:rsidR="0026369A" w:rsidRPr="00D730D3" w:rsidRDefault="0026369A" w:rsidP="00552D69">
            <w:pPr>
              <w:pStyle w:val="TableBodyText"/>
              <w:ind w:right="0"/>
              <w:rPr>
                <w:b/>
                <w:i/>
              </w:rPr>
            </w:pPr>
            <w:r w:rsidRPr="00D730D3">
              <w:rPr>
                <w:b/>
              </w:rPr>
              <w:t xml:space="preserve">  0.1</w:t>
            </w:r>
          </w:p>
        </w:tc>
        <w:tc>
          <w:tcPr>
            <w:tcW w:w="739" w:type="dxa"/>
          </w:tcPr>
          <w:p w:rsidR="0026369A" w:rsidRPr="00D730D3" w:rsidRDefault="0026369A" w:rsidP="00552D69">
            <w:pPr>
              <w:pStyle w:val="TableBodyText"/>
              <w:ind w:right="0"/>
              <w:rPr>
                <w:b/>
                <w:i/>
              </w:rPr>
            </w:pPr>
            <w:r w:rsidRPr="00D730D3">
              <w:rPr>
                <w:b/>
              </w:rPr>
              <w:t xml:space="preserve">  1.6</w:t>
            </w:r>
          </w:p>
        </w:tc>
        <w:tc>
          <w:tcPr>
            <w:tcW w:w="739" w:type="dxa"/>
          </w:tcPr>
          <w:p w:rsidR="0026369A" w:rsidRPr="00D730D3" w:rsidRDefault="0026369A" w:rsidP="00552D69">
            <w:pPr>
              <w:pStyle w:val="TableBodyText"/>
              <w:ind w:right="0"/>
              <w:rPr>
                <w:b/>
                <w:i/>
              </w:rPr>
            </w:pPr>
            <w:r w:rsidRPr="00D730D3">
              <w:rPr>
                <w:b/>
              </w:rPr>
              <w:t xml:space="preserve">  4.4</w:t>
            </w:r>
          </w:p>
        </w:tc>
        <w:tc>
          <w:tcPr>
            <w:tcW w:w="739" w:type="dxa"/>
          </w:tcPr>
          <w:p w:rsidR="0026369A" w:rsidRPr="00D730D3" w:rsidRDefault="0026369A" w:rsidP="00552D69">
            <w:pPr>
              <w:pStyle w:val="TableBodyText"/>
              <w:ind w:right="0"/>
              <w:rPr>
                <w:b/>
                <w:i/>
              </w:rPr>
            </w:pPr>
            <w:r w:rsidRPr="00D730D3">
              <w:rPr>
                <w:b/>
              </w:rPr>
              <w:t xml:space="preserve">  2.9</w:t>
            </w:r>
          </w:p>
        </w:tc>
        <w:tc>
          <w:tcPr>
            <w:tcW w:w="739" w:type="dxa"/>
          </w:tcPr>
          <w:p w:rsidR="0026369A" w:rsidRPr="00D730D3" w:rsidRDefault="0026369A" w:rsidP="00552D69">
            <w:pPr>
              <w:pStyle w:val="TableBodyText"/>
              <w:ind w:right="0"/>
              <w:rPr>
                <w:b/>
                <w:i/>
              </w:rPr>
            </w:pPr>
            <w:r w:rsidRPr="00D730D3">
              <w:rPr>
                <w:b/>
              </w:rPr>
              <w:t xml:space="preserve">  0.8</w:t>
            </w:r>
          </w:p>
        </w:tc>
        <w:tc>
          <w:tcPr>
            <w:tcW w:w="739" w:type="dxa"/>
          </w:tcPr>
          <w:p w:rsidR="0026369A" w:rsidRPr="00D730D3" w:rsidRDefault="0026369A" w:rsidP="00552D69">
            <w:pPr>
              <w:pStyle w:val="TableBodyText"/>
              <w:ind w:right="0"/>
              <w:rPr>
                <w:b/>
                <w:i/>
              </w:rPr>
            </w:pPr>
            <w:r w:rsidRPr="00D730D3">
              <w:rPr>
                <w:b/>
              </w:rPr>
              <w:t>..</w:t>
            </w:r>
          </w:p>
        </w:tc>
        <w:tc>
          <w:tcPr>
            <w:tcW w:w="739" w:type="dxa"/>
          </w:tcPr>
          <w:p w:rsidR="0026369A" w:rsidRPr="00D730D3" w:rsidRDefault="0026369A" w:rsidP="00552D69">
            <w:pPr>
              <w:pStyle w:val="TableBodyText"/>
              <w:ind w:right="0"/>
              <w:rPr>
                <w:b/>
                <w:i/>
              </w:rPr>
            </w:pPr>
            <w:r w:rsidRPr="00D730D3">
              <w:rPr>
                <w:b/>
              </w:rPr>
              <w:t xml:space="preserve">  20.5</w:t>
            </w:r>
          </w:p>
        </w:tc>
        <w:tc>
          <w:tcPr>
            <w:tcW w:w="739" w:type="dxa"/>
          </w:tcPr>
          <w:p w:rsidR="0026369A" w:rsidRPr="00D730D3" w:rsidRDefault="0026369A" w:rsidP="00552D69">
            <w:pPr>
              <w:pStyle w:val="TableBodyText"/>
              <w:ind w:right="0"/>
              <w:rPr>
                <w:b/>
                <w:i/>
              </w:rPr>
            </w:pPr>
            <w:r w:rsidRPr="00D730D3">
              <w:rPr>
                <w:b/>
              </w:rPr>
              <w:t xml:space="preserve">  1.4</w:t>
            </w:r>
          </w:p>
        </w:tc>
      </w:tr>
      <w:tr w:rsidR="0026369A" w:rsidRPr="00AD2438" w:rsidTr="00D730D3">
        <w:tc>
          <w:tcPr>
            <w:tcW w:w="2139" w:type="dxa"/>
          </w:tcPr>
          <w:p w:rsidR="0026369A" w:rsidRPr="00AD2438" w:rsidRDefault="0026369A" w:rsidP="0026369A">
            <w:pPr>
              <w:pStyle w:val="TableBodyText"/>
              <w:spacing w:before="80"/>
              <w:jc w:val="left"/>
            </w:pPr>
            <w:r w:rsidRPr="00AD2438">
              <w:t>Very remote areas</w:t>
            </w:r>
          </w:p>
        </w:tc>
        <w:tc>
          <w:tcPr>
            <w:tcW w:w="739" w:type="dxa"/>
          </w:tcPr>
          <w:p w:rsidR="0026369A" w:rsidRPr="00AD2438" w:rsidRDefault="0026369A" w:rsidP="00552D69">
            <w:pPr>
              <w:pStyle w:val="TableBodyText"/>
              <w:ind w:right="0"/>
            </w:pPr>
          </w:p>
        </w:tc>
        <w:tc>
          <w:tcPr>
            <w:tcW w:w="739" w:type="dxa"/>
          </w:tcPr>
          <w:p w:rsidR="0026369A" w:rsidRPr="00AD2438" w:rsidRDefault="0026369A" w:rsidP="00552D69">
            <w:pPr>
              <w:pStyle w:val="TableBodyText"/>
              <w:ind w:right="0"/>
            </w:pPr>
          </w:p>
        </w:tc>
        <w:tc>
          <w:tcPr>
            <w:tcW w:w="739" w:type="dxa"/>
          </w:tcPr>
          <w:p w:rsidR="0026369A" w:rsidRPr="00AD2438" w:rsidRDefault="0026369A" w:rsidP="00552D69">
            <w:pPr>
              <w:pStyle w:val="TableBodyText"/>
              <w:ind w:right="0"/>
            </w:pPr>
          </w:p>
        </w:tc>
        <w:tc>
          <w:tcPr>
            <w:tcW w:w="739" w:type="dxa"/>
          </w:tcPr>
          <w:p w:rsidR="0026369A" w:rsidRPr="00AD2438" w:rsidRDefault="0026369A" w:rsidP="00552D69">
            <w:pPr>
              <w:pStyle w:val="TableBodyText"/>
              <w:ind w:right="0"/>
            </w:pPr>
          </w:p>
        </w:tc>
        <w:tc>
          <w:tcPr>
            <w:tcW w:w="739" w:type="dxa"/>
          </w:tcPr>
          <w:p w:rsidR="0026369A" w:rsidRPr="00AD2438" w:rsidRDefault="0026369A" w:rsidP="00552D69">
            <w:pPr>
              <w:pStyle w:val="TableBodyText"/>
              <w:ind w:right="0"/>
            </w:pPr>
          </w:p>
        </w:tc>
        <w:tc>
          <w:tcPr>
            <w:tcW w:w="739" w:type="dxa"/>
          </w:tcPr>
          <w:p w:rsidR="0026369A" w:rsidRPr="00AD2438" w:rsidRDefault="0026369A" w:rsidP="00552D69">
            <w:pPr>
              <w:pStyle w:val="TableBodyText"/>
              <w:ind w:right="0"/>
            </w:pPr>
          </w:p>
        </w:tc>
        <w:tc>
          <w:tcPr>
            <w:tcW w:w="739" w:type="dxa"/>
          </w:tcPr>
          <w:p w:rsidR="0026369A" w:rsidRPr="00AD2438" w:rsidRDefault="0026369A" w:rsidP="00552D69">
            <w:pPr>
              <w:pStyle w:val="TableBodyText"/>
              <w:ind w:right="0"/>
            </w:pPr>
          </w:p>
        </w:tc>
        <w:tc>
          <w:tcPr>
            <w:tcW w:w="739" w:type="dxa"/>
          </w:tcPr>
          <w:p w:rsidR="0026369A" w:rsidRPr="00AD2438" w:rsidRDefault="0026369A" w:rsidP="00552D69">
            <w:pPr>
              <w:pStyle w:val="TableBodyText"/>
              <w:ind w:right="0"/>
            </w:pPr>
          </w:p>
        </w:tc>
        <w:tc>
          <w:tcPr>
            <w:tcW w:w="739" w:type="dxa"/>
          </w:tcPr>
          <w:p w:rsidR="0026369A" w:rsidRPr="00AD2438" w:rsidRDefault="0026369A" w:rsidP="00552D69">
            <w:pPr>
              <w:pStyle w:val="TableBodyText"/>
              <w:ind w:right="0"/>
            </w:pPr>
          </w:p>
        </w:tc>
      </w:tr>
      <w:tr w:rsidR="0026369A" w:rsidRPr="00AD2438" w:rsidTr="00D730D3">
        <w:tc>
          <w:tcPr>
            <w:tcW w:w="2139" w:type="dxa"/>
          </w:tcPr>
          <w:p w:rsidR="0026369A" w:rsidRPr="00AD2438" w:rsidRDefault="0026369A" w:rsidP="0026369A">
            <w:pPr>
              <w:pStyle w:val="TableBodyText"/>
              <w:ind w:left="136"/>
              <w:jc w:val="left"/>
            </w:pPr>
            <w:r w:rsidRPr="00AD2438">
              <w:t>Government schools</w:t>
            </w:r>
          </w:p>
        </w:tc>
        <w:tc>
          <w:tcPr>
            <w:tcW w:w="739" w:type="dxa"/>
          </w:tcPr>
          <w:p w:rsidR="0026369A" w:rsidRPr="00AD2438" w:rsidRDefault="0026369A" w:rsidP="00552D69">
            <w:pPr>
              <w:pStyle w:val="TableBodyText"/>
              <w:ind w:right="0"/>
              <w:rPr>
                <w:b/>
                <w:i/>
              </w:rPr>
            </w:pPr>
            <w:r w:rsidRPr="00AD2438">
              <w:t xml:space="preserve">  0.1</w:t>
            </w:r>
          </w:p>
        </w:tc>
        <w:tc>
          <w:tcPr>
            <w:tcW w:w="739" w:type="dxa"/>
          </w:tcPr>
          <w:p w:rsidR="0026369A" w:rsidRPr="00AD2438" w:rsidRDefault="0026369A" w:rsidP="00552D69">
            <w:pPr>
              <w:pStyle w:val="TableBodyText"/>
              <w:ind w:right="0"/>
              <w:rPr>
                <w:b/>
                <w:i/>
              </w:rPr>
            </w:pPr>
            <w:r w:rsidRPr="00AD2438">
              <w:t>..</w:t>
            </w:r>
          </w:p>
        </w:tc>
        <w:tc>
          <w:tcPr>
            <w:tcW w:w="739" w:type="dxa"/>
          </w:tcPr>
          <w:p w:rsidR="0026369A" w:rsidRPr="00AD2438" w:rsidRDefault="0026369A" w:rsidP="00552D69">
            <w:pPr>
              <w:pStyle w:val="TableBodyText"/>
              <w:ind w:right="0"/>
              <w:rPr>
                <w:b/>
                <w:i/>
              </w:rPr>
            </w:pPr>
            <w:r w:rsidRPr="00AD2438">
              <w:t xml:space="preserve">  1.6</w:t>
            </w:r>
          </w:p>
        </w:tc>
        <w:tc>
          <w:tcPr>
            <w:tcW w:w="739" w:type="dxa"/>
          </w:tcPr>
          <w:p w:rsidR="0026369A" w:rsidRPr="00AD2438" w:rsidRDefault="0026369A" w:rsidP="00552D69">
            <w:pPr>
              <w:pStyle w:val="TableBodyText"/>
              <w:ind w:right="0"/>
              <w:rPr>
                <w:b/>
                <w:i/>
              </w:rPr>
            </w:pPr>
            <w:r w:rsidRPr="00AD2438">
              <w:t xml:space="preserve">  3.1</w:t>
            </w:r>
          </w:p>
        </w:tc>
        <w:tc>
          <w:tcPr>
            <w:tcW w:w="739" w:type="dxa"/>
          </w:tcPr>
          <w:p w:rsidR="0026369A" w:rsidRPr="00AD2438" w:rsidRDefault="0026369A" w:rsidP="00552D69">
            <w:pPr>
              <w:pStyle w:val="TableBodyText"/>
              <w:ind w:right="0"/>
              <w:rPr>
                <w:b/>
                <w:i/>
              </w:rPr>
            </w:pPr>
            <w:r w:rsidRPr="00AD2438">
              <w:t xml:space="preserve">  1.1</w:t>
            </w:r>
          </w:p>
        </w:tc>
        <w:tc>
          <w:tcPr>
            <w:tcW w:w="739" w:type="dxa"/>
          </w:tcPr>
          <w:p w:rsidR="0026369A" w:rsidRPr="00AD2438" w:rsidRDefault="0026369A" w:rsidP="00552D69">
            <w:pPr>
              <w:pStyle w:val="TableBodyText"/>
              <w:ind w:right="0"/>
              <w:rPr>
                <w:b/>
                <w:i/>
              </w:rPr>
            </w:pPr>
            <w:r w:rsidRPr="00AD2438">
              <w:t xml:space="preserve">  0.4</w:t>
            </w:r>
          </w:p>
        </w:tc>
        <w:tc>
          <w:tcPr>
            <w:tcW w:w="739" w:type="dxa"/>
          </w:tcPr>
          <w:p w:rsidR="0026369A" w:rsidRPr="00AD2438" w:rsidRDefault="0026369A" w:rsidP="00552D69">
            <w:pPr>
              <w:pStyle w:val="TableBodyText"/>
              <w:ind w:right="0"/>
              <w:rPr>
                <w:b/>
                <w:i/>
              </w:rPr>
            </w:pPr>
            <w:r w:rsidRPr="00AD2438">
              <w:t>..</w:t>
            </w:r>
          </w:p>
        </w:tc>
        <w:tc>
          <w:tcPr>
            <w:tcW w:w="739" w:type="dxa"/>
          </w:tcPr>
          <w:p w:rsidR="0026369A" w:rsidRPr="00AD2438" w:rsidRDefault="0026369A" w:rsidP="00552D69">
            <w:pPr>
              <w:pStyle w:val="TableBodyText"/>
              <w:ind w:right="0"/>
              <w:rPr>
                <w:b/>
                <w:i/>
              </w:rPr>
            </w:pPr>
            <w:r w:rsidRPr="00AD2438">
              <w:t xml:space="preserve">  29.7</w:t>
            </w:r>
          </w:p>
        </w:tc>
        <w:tc>
          <w:tcPr>
            <w:tcW w:w="739" w:type="dxa"/>
          </w:tcPr>
          <w:p w:rsidR="0026369A" w:rsidRPr="00AD2438" w:rsidRDefault="0026369A" w:rsidP="00552D69">
            <w:pPr>
              <w:pStyle w:val="TableBodyText"/>
              <w:ind w:right="0"/>
              <w:rPr>
                <w:b/>
                <w:i/>
              </w:rPr>
            </w:pPr>
            <w:r w:rsidRPr="00AD2438">
              <w:t xml:space="preserve">  1.2</w:t>
            </w:r>
          </w:p>
        </w:tc>
      </w:tr>
      <w:tr w:rsidR="0026369A" w:rsidRPr="00AD2438" w:rsidTr="00D730D3">
        <w:tc>
          <w:tcPr>
            <w:tcW w:w="2139" w:type="dxa"/>
          </w:tcPr>
          <w:p w:rsidR="0026369A" w:rsidRPr="00AD2438" w:rsidRDefault="0026369A" w:rsidP="0026369A">
            <w:pPr>
              <w:pStyle w:val="TableBodyText"/>
              <w:ind w:left="136"/>
              <w:jc w:val="left"/>
            </w:pPr>
            <w:r w:rsidRPr="00AD2438">
              <w:t>Non-government schools</w:t>
            </w:r>
          </w:p>
        </w:tc>
        <w:tc>
          <w:tcPr>
            <w:tcW w:w="739" w:type="dxa"/>
          </w:tcPr>
          <w:p w:rsidR="0026369A" w:rsidRPr="00AD2438" w:rsidRDefault="0026369A" w:rsidP="00552D69">
            <w:pPr>
              <w:pStyle w:val="TableBodyText"/>
              <w:ind w:right="0"/>
              <w:rPr>
                <w:b/>
                <w:i/>
              </w:rPr>
            </w:pPr>
            <w:r w:rsidRPr="00AD2438">
              <w:t>–</w:t>
            </w:r>
          </w:p>
        </w:tc>
        <w:tc>
          <w:tcPr>
            <w:tcW w:w="739" w:type="dxa"/>
          </w:tcPr>
          <w:p w:rsidR="0026369A" w:rsidRPr="00AD2438" w:rsidRDefault="0026369A" w:rsidP="00552D69">
            <w:pPr>
              <w:pStyle w:val="TableBodyText"/>
              <w:ind w:right="0"/>
              <w:rPr>
                <w:b/>
                <w:i/>
              </w:rPr>
            </w:pPr>
            <w:r w:rsidRPr="00AD2438">
              <w:t>..</w:t>
            </w:r>
          </w:p>
        </w:tc>
        <w:tc>
          <w:tcPr>
            <w:tcW w:w="739" w:type="dxa"/>
          </w:tcPr>
          <w:p w:rsidR="0026369A" w:rsidRPr="00AD2438" w:rsidRDefault="0026369A" w:rsidP="00552D69">
            <w:pPr>
              <w:pStyle w:val="TableBodyText"/>
              <w:ind w:right="0"/>
              <w:rPr>
                <w:b/>
                <w:i/>
              </w:rPr>
            </w:pPr>
            <w:r w:rsidRPr="00AD2438">
              <w:t xml:space="preserve">  0.3</w:t>
            </w:r>
          </w:p>
        </w:tc>
        <w:tc>
          <w:tcPr>
            <w:tcW w:w="739" w:type="dxa"/>
          </w:tcPr>
          <w:p w:rsidR="0026369A" w:rsidRPr="00AD2438" w:rsidRDefault="0026369A" w:rsidP="00552D69">
            <w:pPr>
              <w:pStyle w:val="TableBodyText"/>
              <w:ind w:right="0"/>
              <w:rPr>
                <w:b/>
                <w:i/>
              </w:rPr>
            </w:pPr>
            <w:r w:rsidRPr="00AD2438">
              <w:t xml:space="preserve">  1.2</w:t>
            </w:r>
          </w:p>
        </w:tc>
        <w:tc>
          <w:tcPr>
            <w:tcW w:w="739" w:type="dxa"/>
          </w:tcPr>
          <w:p w:rsidR="0026369A" w:rsidRPr="00AD2438" w:rsidRDefault="0026369A" w:rsidP="00552D69">
            <w:pPr>
              <w:pStyle w:val="TableBodyText"/>
              <w:ind w:right="0"/>
              <w:rPr>
                <w:b/>
                <w:i/>
              </w:rPr>
            </w:pPr>
            <w:r w:rsidRPr="00AD2438">
              <w:t xml:space="preserve">  0.1</w:t>
            </w:r>
          </w:p>
        </w:tc>
        <w:tc>
          <w:tcPr>
            <w:tcW w:w="739" w:type="dxa"/>
          </w:tcPr>
          <w:p w:rsidR="0026369A" w:rsidRPr="00AD2438" w:rsidRDefault="0026369A" w:rsidP="00552D69">
            <w:pPr>
              <w:pStyle w:val="TableBodyText"/>
              <w:ind w:right="0"/>
              <w:rPr>
                <w:b/>
                <w:i/>
              </w:rPr>
            </w:pPr>
            <w:r w:rsidRPr="00AD2438">
              <w:t>–</w:t>
            </w:r>
          </w:p>
        </w:tc>
        <w:tc>
          <w:tcPr>
            <w:tcW w:w="739" w:type="dxa"/>
          </w:tcPr>
          <w:p w:rsidR="0026369A" w:rsidRPr="00AD2438" w:rsidRDefault="0026369A" w:rsidP="00552D69">
            <w:pPr>
              <w:pStyle w:val="TableBodyText"/>
              <w:ind w:right="0"/>
              <w:rPr>
                <w:b/>
                <w:i/>
              </w:rPr>
            </w:pPr>
            <w:r w:rsidRPr="00AD2438">
              <w:t>..</w:t>
            </w:r>
          </w:p>
        </w:tc>
        <w:tc>
          <w:tcPr>
            <w:tcW w:w="739" w:type="dxa"/>
          </w:tcPr>
          <w:p w:rsidR="0026369A" w:rsidRPr="00AD2438" w:rsidRDefault="0026369A" w:rsidP="00552D69">
            <w:pPr>
              <w:pStyle w:val="TableBodyText"/>
              <w:ind w:right="0"/>
              <w:rPr>
                <w:b/>
                <w:i/>
              </w:rPr>
            </w:pPr>
            <w:r w:rsidRPr="00AD2438">
              <w:t xml:space="preserve">  11.9</w:t>
            </w:r>
          </w:p>
        </w:tc>
        <w:tc>
          <w:tcPr>
            <w:tcW w:w="739" w:type="dxa"/>
          </w:tcPr>
          <w:p w:rsidR="0026369A" w:rsidRPr="00AD2438" w:rsidRDefault="0026369A" w:rsidP="00552D69">
            <w:pPr>
              <w:pStyle w:val="TableBodyText"/>
              <w:ind w:right="0"/>
              <w:rPr>
                <w:b/>
                <w:i/>
              </w:rPr>
            </w:pPr>
            <w:r w:rsidRPr="00AD2438">
              <w:t xml:space="preserve">  0.3</w:t>
            </w:r>
          </w:p>
        </w:tc>
      </w:tr>
      <w:tr w:rsidR="0026369A" w:rsidRPr="00AD2438" w:rsidTr="00D730D3">
        <w:tc>
          <w:tcPr>
            <w:tcW w:w="2139" w:type="dxa"/>
            <w:tcBorders>
              <w:bottom w:val="single" w:sz="6" w:space="0" w:color="auto"/>
            </w:tcBorders>
            <w:shd w:val="clear" w:color="auto" w:fill="auto"/>
          </w:tcPr>
          <w:p w:rsidR="0026369A" w:rsidRPr="00AD2438" w:rsidRDefault="0026369A" w:rsidP="0026369A">
            <w:pPr>
              <w:pStyle w:val="TableBodyText"/>
              <w:ind w:left="136"/>
              <w:jc w:val="left"/>
              <w:rPr>
                <w:b/>
              </w:rPr>
            </w:pPr>
            <w:r w:rsidRPr="00AD2438">
              <w:rPr>
                <w:b/>
              </w:rPr>
              <w:t>All schools</w:t>
            </w:r>
          </w:p>
        </w:tc>
        <w:tc>
          <w:tcPr>
            <w:tcW w:w="739" w:type="dxa"/>
            <w:tcBorders>
              <w:bottom w:val="single" w:sz="6" w:space="0" w:color="auto"/>
            </w:tcBorders>
            <w:shd w:val="clear" w:color="auto" w:fill="auto"/>
          </w:tcPr>
          <w:p w:rsidR="0026369A" w:rsidRPr="00D730D3" w:rsidRDefault="0026369A" w:rsidP="00552D69">
            <w:pPr>
              <w:pStyle w:val="TableBodyText"/>
              <w:ind w:right="0"/>
              <w:rPr>
                <w:b/>
                <w:i/>
              </w:rPr>
            </w:pPr>
            <w:r w:rsidRPr="00D730D3">
              <w:rPr>
                <w:b/>
              </w:rPr>
              <w:t xml:space="preserve">  0.1</w:t>
            </w:r>
          </w:p>
        </w:tc>
        <w:tc>
          <w:tcPr>
            <w:tcW w:w="739" w:type="dxa"/>
            <w:tcBorders>
              <w:bottom w:val="single" w:sz="6" w:space="0" w:color="auto"/>
            </w:tcBorders>
            <w:shd w:val="clear" w:color="auto" w:fill="auto"/>
          </w:tcPr>
          <w:p w:rsidR="0026369A" w:rsidRPr="00D730D3" w:rsidRDefault="0026369A" w:rsidP="00552D69">
            <w:pPr>
              <w:pStyle w:val="TableBodyText"/>
              <w:ind w:right="0"/>
              <w:rPr>
                <w:b/>
                <w:i/>
              </w:rPr>
            </w:pPr>
            <w:r w:rsidRPr="00D730D3">
              <w:rPr>
                <w:b/>
              </w:rPr>
              <w:t>..</w:t>
            </w:r>
          </w:p>
        </w:tc>
        <w:tc>
          <w:tcPr>
            <w:tcW w:w="739" w:type="dxa"/>
            <w:tcBorders>
              <w:bottom w:val="single" w:sz="6" w:space="0" w:color="auto"/>
            </w:tcBorders>
            <w:shd w:val="clear" w:color="auto" w:fill="auto"/>
          </w:tcPr>
          <w:p w:rsidR="0026369A" w:rsidRPr="00D730D3" w:rsidRDefault="0026369A" w:rsidP="00552D69">
            <w:pPr>
              <w:pStyle w:val="TableBodyText"/>
              <w:ind w:right="0"/>
              <w:rPr>
                <w:b/>
                <w:i/>
              </w:rPr>
            </w:pPr>
            <w:r w:rsidRPr="00D730D3">
              <w:rPr>
                <w:b/>
              </w:rPr>
              <w:t xml:space="preserve">  1.2</w:t>
            </w:r>
          </w:p>
        </w:tc>
        <w:tc>
          <w:tcPr>
            <w:tcW w:w="739" w:type="dxa"/>
            <w:tcBorders>
              <w:bottom w:val="single" w:sz="6" w:space="0" w:color="auto"/>
            </w:tcBorders>
            <w:shd w:val="clear" w:color="auto" w:fill="auto"/>
          </w:tcPr>
          <w:p w:rsidR="0026369A" w:rsidRPr="00D730D3" w:rsidRDefault="0026369A" w:rsidP="00552D69">
            <w:pPr>
              <w:pStyle w:val="TableBodyText"/>
              <w:ind w:right="0"/>
              <w:rPr>
                <w:b/>
                <w:i/>
              </w:rPr>
            </w:pPr>
            <w:r w:rsidRPr="00D730D3">
              <w:rPr>
                <w:b/>
              </w:rPr>
              <w:t xml:space="preserve">  2.4</w:t>
            </w:r>
          </w:p>
        </w:tc>
        <w:tc>
          <w:tcPr>
            <w:tcW w:w="739" w:type="dxa"/>
            <w:tcBorders>
              <w:bottom w:val="single" w:sz="6" w:space="0" w:color="auto"/>
            </w:tcBorders>
            <w:shd w:val="clear" w:color="auto" w:fill="auto"/>
          </w:tcPr>
          <w:p w:rsidR="0026369A" w:rsidRPr="00D730D3" w:rsidRDefault="0026369A" w:rsidP="00552D69">
            <w:pPr>
              <w:pStyle w:val="TableBodyText"/>
              <w:ind w:right="0"/>
              <w:rPr>
                <w:b/>
                <w:i/>
              </w:rPr>
            </w:pPr>
            <w:r w:rsidRPr="00D730D3">
              <w:rPr>
                <w:b/>
              </w:rPr>
              <w:t xml:space="preserve">  0.8</w:t>
            </w:r>
          </w:p>
        </w:tc>
        <w:tc>
          <w:tcPr>
            <w:tcW w:w="739" w:type="dxa"/>
            <w:tcBorders>
              <w:bottom w:val="single" w:sz="6" w:space="0" w:color="auto"/>
            </w:tcBorders>
            <w:shd w:val="clear" w:color="auto" w:fill="auto"/>
          </w:tcPr>
          <w:p w:rsidR="0026369A" w:rsidRPr="00D730D3" w:rsidRDefault="0026369A" w:rsidP="00552D69">
            <w:pPr>
              <w:pStyle w:val="TableBodyText"/>
              <w:ind w:right="0"/>
              <w:rPr>
                <w:b/>
                <w:i/>
              </w:rPr>
            </w:pPr>
            <w:r w:rsidRPr="00D730D3">
              <w:rPr>
                <w:b/>
              </w:rPr>
              <w:t xml:space="preserve">  0.3</w:t>
            </w:r>
          </w:p>
        </w:tc>
        <w:tc>
          <w:tcPr>
            <w:tcW w:w="739" w:type="dxa"/>
            <w:tcBorders>
              <w:bottom w:val="single" w:sz="6" w:space="0" w:color="auto"/>
            </w:tcBorders>
            <w:shd w:val="clear" w:color="auto" w:fill="auto"/>
          </w:tcPr>
          <w:p w:rsidR="0026369A" w:rsidRPr="00D730D3" w:rsidRDefault="0026369A" w:rsidP="00552D69">
            <w:pPr>
              <w:pStyle w:val="TableBodyText"/>
              <w:ind w:right="0"/>
              <w:rPr>
                <w:b/>
                <w:i/>
              </w:rPr>
            </w:pPr>
            <w:r w:rsidRPr="00D730D3">
              <w:rPr>
                <w:b/>
              </w:rPr>
              <w:t>..</w:t>
            </w:r>
          </w:p>
        </w:tc>
        <w:tc>
          <w:tcPr>
            <w:tcW w:w="739" w:type="dxa"/>
            <w:tcBorders>
              <w:bottom w:val="single" w:sz="6" w:space="0" w:color="auto"/>
            </w:tcBorders>
            <w:shd w:val="clear" w:color="auto" w:fill="auto"/>
          </w:tcPr>
          <w:p w:rsidR="0026369A" w:rsidRPr="00D730D3" w:rsidRDefault="0026369A" w:rsidP="00552D69">
            <w:pPr>
              <w:pStyle w:val="TableBodyText"/>
              <w:ind w:right="0"/>
              <w:rPr>
                <w:b/>
                <w:i/>
              </w:rPr>
            </w:pPr>
            <w:r w:rsidRPr="00D730D3">
              <w:rPr>
                <w:b/>
              </w:rPr>
              <w:t xml:space="preserve">  25.0</w:t>
            </w:r>
          </w:p>
        </w:tc>
        <w:tc>
          <w:tcPr>
            <w:tcW w:w="739" w:type="dxa"/>
            <w:tcBorders>
              <w:bottom w:val="single" w:sz="6" w:space="0" w:color="auto"/>
            </w:tcBorders>
            <w:shd w:val="clear" w:color="auto" w:fill="auto"/>
          </w:tcPr>
          <w:p w:rsidR="0026369A" w:rsidRPr="00D730D3" w:rsidRDefault="0026369A" w:rsidP="00552D69">
            <w:pPr>
              <w:pStyle w:val="TableBodyText"/>
              <w:ind w:right="0"/>
              <w:rPr>
                <w:b/>
                <w:i/>
              </w:rPr>
            </w:pPr>
            <w:r w:rsidRPr="00D730D3">
              <w:rPr>
                <w:b/>
              </w:rPr>
              <w:t xml:space="preserve">  0.9</w:t>
            </w:r>
          </w:p>
        </w:tc>
      </w:tr>
    </w:tbl>
    <w:p w:rsidR="0026369A" w:rsidRPr="00F9654F" w:rsidRDefault="0026369A" w:rsidP="0026369A">
      <w:pPr>
        <w:pStyle w:val="Note"/>
      </w:pPr>
      <w:r w:rsidRPr="00F9654F">
        <w:rPr>
          <w:rStyle w:val="NoteLabel"/>
        </w:rPr>
        <w:t>a</w:t>
      </w:r>
      <w:r w:rsidRPr="00F9654F">
        <w:t xml:space="preserve"> </w:t>
      </w:r>
      <w:r w:rsidRPr="00AD2438">
        <w:t xml:space="preserve">Geographic categorisation is based on the agreed MCEECDYA Geographic Location Classification. </w:t>
      </w:r>
      <w:r w:rsidRPr="00F9654F">
        <w:rPr>
          <w:rStyle w:val="NoteLabel"/>
        </w:rPr>
        <w:t>b</w:t>
      </w:r>
      <w:r w:rsidRPr="00F9654F">
        <w:sym w:font="Symbol" w:char="F020"/>
      </w:r>
      <w:r>
        <w:t> </w:t>
      </w:r>
      <w:r w:rsidRPr="00AD2438">
        <w:t xml:space="preserve">Calculated as the number of students attending a particular type of school (such as government primary school) in a particular geographic classification (such as </w:t>
      </w:r>
      <w:r>
        <w:t>remote areas</w:t>
      </w:r>
      <w:r w:rsidRPr="00AD2438">
        <w:t>), divided by the total number of students attending that type of school.</w:t>
      </w:r>
      <w:r>
        <w:t xml:space="preserve"> </w:t>
      </w:r>
      <w:r w:rsidRPr="00A56E2B">
        <w:rPr>
          <w:rStyle w:val="NoteLabel"/>
        </w:rPr>
        <w:t>c</w:t>
      </w:r>
      <w:r>
        <w:t xml:space="preserve"> Full Time Equivalent students. </w:t>
      </w:r>
      <w:r>
        <w:rPr>
          <w:rStyle w:val="NoteLabel"/>
        </w:rPr>
        <w:t>d</w:t>
      </w:r>
      <w:r>
        <w:t xml:space="preserve"> There are </w:t>
      </w:r>
      <w:r w:rsidRPr="00AD2438">
        <w:t xml:space="preserve">no remote or very remote areas in </w:t>
      </w:r>
      <w:r>
        <w:t xml:space="preserve">the </w:t>
      </w:r>
      <w:r w:rsidRPr="00AD2438">
        <w:t>ACT and no very remote area in Victoria.</w:t>
      </w:r>
      <w:r w:rsidRPr="00F9654F">
        <w:t xml:space="preserve"> .. Not applicable. – Nil or rounded to zero.</w:t>
      </w:r>
    </w:p>
    <w:p w:rsidR="000A54DF" w:rsidRPr="00F9654F" w:rsidRDefault="0026369A" w:rsidP="0026369A">
      <w:pPr>
        <w:pStyle w:val="Source"/>
      </w:pPr>
      <w:r w:rsidRPr="00F9654F">
        <w:rPr>
          <w:i/>
        </w:rPr>
        <w:t>Source</w:t>
      </w:r>
      <w:r>
        <w:t>: DEEWR (unpublished)</w:t>
      </w:r>
      <w:r w:rsidRPr="00F9654F">
        <w:t>.</w:t>
      </w:r>
    </w:p>
    <w:p w:rsidR="00BF34C6" w:rsidRPr="00D47A39" w:rsidRDefault="00BF34C6" w:rsidP="00BF34C6">
      <w:pPr>
        <w:pStyle w:val="Heading2"/>
      </w:pPr>
      <w:r>
        <w:br w:type="page"/>
      </w:r>
      <w:r w:rsidRPr="00D47A39">
        <w:lastRenderedPageBreak/>
        <w:t>Performance targets</w:t>
      </w:r>
    </w:p>
    <w:p w:rsidR="00641812" w:rsidRPr="00D47A39" w:rsidRDefault="00641812" w:rsidP="00641812">
      <w:pPr>
        <w:pStyle w:val="BodyText"/>
      </w:pPr>
      <w:bookmarkStart w:id="16" w:name="OLE_LINK1"/>
      <w:bookmarkStart w:id="17" w:name="OLE_LINK2"/>
      <w:r w:rsidRPr="00D47A39">
        <w:t xml:space="preserve">The CRC has requested the Steering Committee to report against the performance targets identified in the NAs. The performance targets </w:t>
      </w:r>
      <w:r>
        <w:t>as stated in</w:t>
      </w:r>
      <w:r w:rsidRPr="00D47A39">
        <w:t xml:space="preserve"> the NEA are:</w:t>
      </w:r>
      <w:bookmarkEnd w:id="16"/>
      <w:bookmarkEnd w:id="17"/>
    </w:p>
    <w:p w:rsidR="00641812" w:rsidRPr="00D47A39" w:rsidRDefault="00641812" w:rsidP="0026369A">
      <w:pPr>
        <w:pStyle w:val="ListBullet"/>
      </w:pPr>
      <w:r w:rsidRPr="00D47A39">
        <w:t>lift the Year 12 or equivalent attainment rate to 90 per cent by 2020</w:t>
      </w:r>
    </w:p>
    <w:p w:rsidR="00641812" w:rsidRPr="00D47A39" w:rsidRDefault="00E77758" w:rsidP="0026369A">
      <w:pPr>
        <w:pStyle w:val="ListBullet"/>
      </w:pPr>
      <w:r>
        <w:t>h</w:t>
      </w:r>
      <w:r w:rsidR="00641812" w:rsidRPr="00D47A39">
        <w:t>alve the gap for Indigenous students in reading, writing and numeracy within a decade</w:t>
      </w:r>
    </w:p>
    <w:p w:rsidR="00641812" w:rsidRPr="00D47A39" w:rsidRDefault="00E77758" w:rsidP="0026369A">
      <w:pPr>
        <w:pStyle w:val="ListBullet"/>
      </w:pPr>
      <w:r>
        <w:t>a</w:t>
      </w:r>
      <w:r w:rsidR="00641812" w:rsidRPr="00D47A39">
        <w:t>t least halve the gap for Indigenous students in Year 12 or equivalent attainment rates by 2020.</w:t>
      </w:r>
    </w:p>
    <w:p w:rsidR="00641812" w:rsidRPr="00D47A39" w:rsidRDefault="00641812" w:rsidP="00641812">
      <w:pPr>
        <w:pStyle w:val="BodyText"/>
      </w:pPr>
      <w:r w:rsidRPr="00D47A39">
        <w:t>At its 30 April 2009 meeting, COAG ‘…further agreed to bring forward the 90 per cent year 12 or equivalent attainment rate target from 2020 to 2015’</w:t>
      </w:r>
      <w:r>
        <w:t xml:space="preserve">, and </w:t>
      </w:r>
      <w:r w:rsidRPr="00D47A39">
        <w:t>agreed to two</w:t>
      </w:r>
      <w:r>
        <w:t xml:space="preserve"> related</w:t>
      </w:r>
      <w:r w:rsidRPr="00D47A39">
        <w:t xml:space="preserve"> measures</w:t>
      </w:r>
      <w:r>
        <w:t>:</w:t>
      </w:r>
    </w:p>
    <w:p w:rsidR="00641812" w:rsidRPr="00D47A39" w:rsidRDefault="00641812" w:rsidP="00C41E1E">
      <w:pPr>
        <w:pStyle w:val="ListBullet"/>
      </w:pPr>
      <w:r>
        <w:t>f</w:t>
      </w:r>
      <w:r w:rsidRPr="00D47A39">
        <w:t xml:space="preserve">or 2015, </w:t>
      </w:r>
      <w:r w:rsidR="004002F8">
        <w:t>‘</w:t>
      </w:r>
      <w:r w:rsidRPr="00D47A39">
        <w:t xml:space="preserve">the proportion of young people in the 20 to 24 year old age group who have achieved Year 12 or a Certificate II or above as measured by the ABS </w:t>
      </w:r>
      <w:r w:rsidR="0006175B">
        <w:t>SEW</w:t>
      </w:r>
      <w:r w:rsidR="004002F8">
        <w:t>’</w:t>
      </w:r>
      <w:r>
        <w:t xml:space="preserve"> (described as target (</w:t>
      </w:r>
      <w:proofErr w:type="spellStart"/>
      <w:r>
        <w:t>a.1</w:t>
      </w:r>
      <w:proofErr w:type="spellEnd"/>
      <w:r>
        <w:t>) in this report)</w:t>
      </w:r>
    </w:p>
    <w:p w:rsidR="00641812" w:rsidRPr="00D47A39" w:rsidRDefault="00641812" w:rsidP="00C41E1E">
      <w:pPr>
        <w:pStyle w:val="ListBullet"/>
      </w:pPr>
      <w:r>
        <w:t>f</w:t>
      </w:r>
      <w:r w:rsidRPr="00D47A39">
        <w:t xml:space="preserve">or 2020, </w:t>
      </w:r>
      <w:r w:rsidR="004002F8">
        <w:t>‘</w:t>
      </w:r>
      <w:r w:rsidRPr="00D47A39">
        <w:t xml:space="preserve">the proportion of young people in the 20 to 24 year old age group who have achieved Year 12 or a Certificate III or above as measured by the ABS </w:t>
      </w:r>
      <w:r w:rsidR="0006175B">
        <w:t>SEW</w:t>
      </w:r>
      <w:r w:rsidR="004002F8">
        <w:t>’</w:t>
      </w:r>
      <w:r>
        <w:t xml:space="preserve"> (described as target (</w:t>
      </w:r>
      <w:proofErr w:type="spellStart"/>
      <w:r>
        <w:t>a.2</w:t>
      </w:r>
      <w:proofErr w:type="spellEnd"/>
      <w:r>
        <w:t>) in this report).</w:t>
      </w:r>
    </w:p>
    <w:p w:rsidR="00641812" w:rsidRDefault="00641812" w:rsidP="00641812">
      <w:pPr>
        <w:pStyle w:val="BodyText"/>
      </w:pPr>
    </w:p>
    <w:p w:rsidR="00BF34C6" w:rsidRDefault="00BF34C6" w:rsidP="00F225AF">
      <w:pPr>
        <w:pStyle w:val="BodyText"/>
      </w:pPr>
    </w:p>
    <w:p w:rsidR="0026369A" w:rsidRPr="00FB6E71" w:rsidRDefault="00BF34C6" w:rsidP="0026369A">
      <w:pPr>
        <w:pStyle w:val="Heading3"/>
        <w:spacing w:before="360" w:after="240" w:line="240" w:lineRule="auto"/>
      </w:pPr>
      <w:r>
        <w:br w:type="page"/>
      </w:r>
      <w:r w:rsidR="0026369A">
        <w:lastRenderedPageBreak/>
        <w:t>Performance target (</w:t>
      </w:r>
      <w:proofErr w:type="spellStart"/>
      <w:r w:rsidR="0026369A">
        <w:t>a.1</w:t>
      </w:r>
      <w:proofErr w:type="spellEnd"/>
      <w:r w:rsidR="0026369A">
        <w:t>) —</w:t>
      </w:r>
      <w:r w:rsidR="0026369A" w:rsidRPr="00FB6E71">
        <w:t xml:space="preserve"> </w:t>
      </w:r>
      <w:r w:rsidR="0026369A">
        <w:t>lift the Year 12 or equivalent attainment rate to 90 per cent by 2015</w:t>
      </w:r>
    </w:p>
    <w:tbl>
      <w:tblPr>
        <w:tblW w:w="0" w:type="auto"/>
        <w:tblInd w:w="108" w:type="dxa"/>
        <w:tblLook w:val="01E0" w:firstRow="1" w:lastRow="1" w:firstColumn="1" w:lastColumn="1" w:noHBand="0" w:noVBand="0"/>
      </w:tblPr>
      <w:tblGrid>
        <w:gridCol w:w="1985"/>
        <w:gridCol w:w="6804"/>
      </w:tblGrid>
      <w:tr w:rsidR="0026369A" w:rsidRPr="00FB6E71" w:rsidTr="0026369A">
        <w:trPr>
          <w:trHeight w:val="682"/>
        </w:trPr>
        <w:tc>
          <w:tcPr>
            <w:tcW w:w="1985" w:type="dxa"/>
          </w:tcPr>
          <w:p w:rsidR="0026369A" w:rsidRDefault="0026369A" w:rsidP="0026369A">
            <w:pPr>
              <w:pStyle w:val="TableBodyText"/>
              <w:ind w:left="34"/>
              <w:jc w:val="left"/>
            </w:pPr>
            <w:r>
              <w:t>Key amendments from previous cycle:</w:t>
            </w:r>
          </w:p>
          <w:p w:rsidR="0026369A" w:rsidRPr="00FB6E71" w:rsidRDefault="0026369A" w:rsidP="0026369A">
            <w:pPr>
              <w:pStyle w:val="TableBodyText"/>
              <w:ind w:left="34"/>
              <w:jc w:val="left"/>
            </w:pPr>
          </w:p>
        </w:tc>
        <w:tc>
          <w:tcPr>
            <w:tcW w:w="6804" w:type="dxa"/>
          </w:tcPr>
          <w:p w:rsidR="0026369A" w:rsidRPr="00407328" w:rsidRDefault="0026369A" w:rsidP="0026369A">
            <w:pPr>
              <w:pStyle w:val="TableBodyText"/>
              <w:ind w:left="34"/>
              <w:jc w:val="left"/>
            </w:pPr>
            <w:r w:rsidRPr="00407328">
              <w:t>Data for 2010 have been revised due to amendments to the 2010 SEW population benchmarks:</w:t>
            </w:r>
          </w:p>
          <w:p w:rsidR="0026369A" w:rsidRPr="00407328" w:rsidRDefault="0026369A" w:rsidP="0026369A">
            <w:pPr>
              <w:pStyle w:val="TableBullet"/>
            </w:pPr>
            <w:r w:rsidRPr="00407328">
              <w:t>Net Overseas Migration estimates used in calculating the population benchmarks have been revised</w:t>
            </w:r>
          </w:p>
          <w:p w:rsidR="0026369A" w:rsidRDefault="0026369A" w:rsidP="0026369A">
            <w:pPr>
              <w:pStyle w:val="TableBullet"/>
            </w:pPr>
            <w:r w:rsidRPr="00407328">
              <w:t xml:space="preserve">the population benchmarks </w:t>
            </w:r>
            <w:r w:rsidR="009A2B0A">
              <w:t>for the NT have been amended</w:t>
            </w:r>
            <w:r w:rsidRPr="00407328">
              <w:t xml:space="preserve"> to align with</w:t>
            </w:r>
            <w:r w:rsidR="009A2B0A">
              <w:t xml:space="preserve"> changes in the geographical </w:t>
            </w:r>
            <w:r w:rsidRPr="00407328">
              <w:t>scope</w:t>
            </w:r>
            <w:r w:rsidR="009A2B0A">
              <w:t xml:space="preserve"> of the survey</w:t>
            </w:r>
            <w:r w:rsidRPr="00407328">
              <w:t>.</w:t>
            </w:r>
          </w:p>
          <w:p w:rsidR="0026369A" w:rsidRDefault="0026369A" w:rsidP="0026369A">
            <w:pPr>
              <w:pStyle w:val="TableBodyText"/>
              <w:ind w:left="754"/>
              <w:jc w:val="left"/>
            </w:pPr>
          </w:p>
        </w:tc>
      </w:tr>
      <w:tr w:rsidR="0026369A" w:rsidRPr="00FB6E71" w:rsidTr="0026369A">
        <w:trPr>
          <w:trHeight w:val="682"/>
        </w:trPr>
        <w:tc>
          <w:tcPr>
            <w:tcW w:w="1985" w:type="dxa"/>
          </w:tcPr>
          <w:p w:rsidR="0026369A" w:rsidRPr="00FB6E71" w:rsidRDefault="0026369A" w:rsidP="0026369A">
            <w:pPr>
              <w:pStyle w:val="TableBodyText"/>
              <w:ind w:left="-113" w:firstLine="113"/>
              <w:jc w:val="left"/>
            </w:pPr>
            <w:r w:rsidRPr="00FB6E71">
              <w:t>Outcome:</w:t>
            </w:r>
          </w:p>
        </w:tc>
        <w:tc>
          <w:tcPr>
            <w:tcW w:w="6804" w:type="dxa"/>
          </w:tcPr>
          <w:p w:rsidR="0026369A" w:rsidRPr="00FB6E71" w:rsidRDefault="0026369A" w:rsidP="0026369A">
            <w:pPr>
              <w:pStyle w:val="TableBodyText"/>
              <w:ind w:left="34"/>
              <w:jc w:val="left"/>
              <w:rPr>
                <w:sz w:val="24"/>
              </w:rPr>
            </w:pPr>
            <w:r>
              <w:t>Young people make a successful transition from school to work and further study</w:t>
            </w:r>
          </w:p>
        </w:tc>
      </w:tr>
      <w:tr w:rsidR="0026369A" w:rsidRPr="00FB6E71" w:rsidTr="0026369A">
        <w:trPr>
          <w:trHeight w:val="1709"/>
        </w:trPr>
        <w:tc>
          <w:tcPr>
            <w:tcW w:w="1985" w:type="dxa"/>
          </w:tcPr>
          <w:p w:rsidR="0026369A" w:rsidRPr="00FB6E71" w:rsidRDefault="0026369A" w:rsidP="0026369A">
            <w:pPr>
              <w:pStyle w:val="TableBodyText"/>
              <w:ind w:left="34"/>
              <w:jc w:val="left"/>
            </w:pPr>
            <w:r w:rsidRPr="00FB6E71">
              <w:t xml:space="preserve">Measure: </w:t>
            </w:r>
          </w:p>
        </w:tc>
        <w:tc>
          <w:tcPr>
            <w:tcW w:w="6804" w:type="dxa"/>
          </w:tcPr>
          <w:p w:rsidR="0026369A" w:rsidRDefault="0026369A" w:rsidP="0026369A">
            <w:pPr>
              <w:pStyle w:val="TableBodyText"/>
              <w:ind w:left="34"/>
              <w:jc w:val="left"/>
            </w:pPr>
            <w:r>
              <w:t xml:space="preserve">Proportion of the 20 to 24 year old population having attained at least a year 12 or equivalent or </w:t>
            </w:r>
            <w:proofErr w:type="spellStart"/>
            <w:r>
              <w:t>AQF</w:t>
            </w:r>
            <w:proofErr w:type="spellEnd"/>
            <w:r>
              <w:t xml:space="preserve"> Certificate Level II or above</w:t>
            </w:r>
          </w:p>
          <w:p w:rsidR="0026369A" w:rsidRPr="00FB6E71" w:rsidRDefault="0026369A" w:rsidP="0026369A">
            <w:pPr>
              <w:pStyle w:val="TableBodyText"/>
              <w:ind w:left="34"/>
              <w:jc w:val="left"/>
            </w:pPr>
          </w:p>
          <w:p w:rsidR="0026369A" w:rsidRPr="00FB6E71" w:rsidRDefault="0026369A" w:rsidP="0026369A">
            <w:pPr>
              <w:pStyle w:val="TableBodyText"/>
              <w:ind w:left="34"/>
              <w:jc w:val="left"/>
            </w:pPr>
            <w:r w:rsidRPr="00FB6E71">
              <w:t xml:space="preserve">The </w:t>
            </w:r>
            <w:r w:rsidRPr="00B7273E">
              <w:t>measure</w:t>
            </w:r>
            <w:r>
              <w:t xml:space="preserve"> is defined as:</w:t>
            </w:r>
          </w:p>
          <w:p w:rsidR="0026369A" w:rsidRPr="00FB6E71" w:rsidRDefault="0026369A" w:rsidP="0026369A">
            <w:pPr>
              <w:pStyle w:val="TableBullet"/>
            </w:pPr>
            <w:r>
              <w:rPr>
                <w:i/>
              </w:rPr>
              <w:t>n</w:t>
            </w:r>
            <w:r w:rsidRPr="00FB6E71">
              <w:rPr>
                <w:i/>
              </w:rPr>
              <w:t>umerator</w:t>
            </w:r>
            <w:r>
              <w:t xml:space="preserve"> — number of 20 to 24 year olds who self-identify as having attained a year 12 or </w:t>
            </w:r>
            <w:proofErr w:type="spellStart"/>
            <w:r>
              <w:t>AQF</w:t>
            </w:r>
            <w:proofErr w:type="spellEnd"/>
            <w:r>
              <w:t xml:space="preserve"> Certificate Level II or above (includes Certificate I/II </w:t>
            </w:r>
            <w:proofErr w:type="spellStart"/>
            <w:r>
              <w:t>nfd</w:t>
            </w:r>
            <w:proofErr w:type="spellEnd"/>
            <w:r>
              <w:t xml:space="preserve">; excludes Certificate </w:t>
            </w:r>
            <w:proofErr w:type="spellStart"/>
            <w:r>
              <w:t>nfd</w:t>
            </w:r>
            <w:proofErr w:type="spellEnd"/>
            <w:r>
              <w:t>)</w:t>
            </w:r>
          </w:p>
          <w:p w:rsidR="0026369A" w:rsidRPr="00FB6E71" w:rsidRDefault="0026369A" w:rsidP="0026369A">
            <w:pPr>
              <w:pStyle w:val="TableBullet"/>
            </w:pPr>
            <w:r>
              <w:rPr>
                <w:i/>
              </w:rPr>
              <w:t>d</w:t>
            </w:r>
            <w:r w:rsidRPr="00FB6E71">
              <w:rPr>
                <w:i/>
              </w:rPr>
              <w:t>enominator</w:t>
            </w:r>
            <w:r w:rsidRPr="00FB6E71">
              <w:t xml:space="preserve"> — </w:t>
            </w:r>
            <w:r>
              <w:t>number of 20 to 24 year olds in the population</w:t>
            </w:r>
          </w:p>
          <w:p w:rsidR="0026369A" w:rsidRDefault="0026369A" w:rsidP="0026369A">
            <w:pPr>
              <w:pStyle w:val="TableBodyText"/>
              <w:ind w:left="34"/>
              <w:jc w:val="left"/>
            </w:pPr>
            <w:r>
              <w:t xml:space="preserve">and is expressed as a </w:t>
            </w:r>
            <w:r w:rsidRPr="00665A74">
              <w:rPr>
                <w:i/>
              </w:rPr>
              <w:t>percentage</w:t>
            </w:r>
          </w:p>
          <w:p w:rsidR="0026369A" w:rsidRDefault="0026369A" w:rsidP="0026369A">
            <w:pPr>
              <w:pStyle w:val="TableBodyText"/>
              <w:ind w:left="34"/>
              <w:jc w:val="left"/>
            </w:pPr>
          </w:p>
          <w:p w:rsidR="0026369A" w:rsidRDefault="0026369A" w:rsidP="0026369A">
            <w:pPr>
              <w:pStyle w:val="TableBodyText"/>
              <w:ind w:left="34"/>
              <w:jc w:val="left"/>
              <w:rPr>
                <w:rFonts w:cs="Arial"/>
              </w:rPr>
            </w:pPr>
            <w:r>
              <w:rPr>
                <w:rFonts w:cs="Arial"/>
              </w:rPr>
              <w:t xml:space="preserve">Persons whose level of study is determined to be certificate level but is not able to be further defined (ie, Certificate </w:t>
            </w:r>
            <w:proofErr w:type="spellStart"/>
            <w:r>
              <w:rPr>
                <w:rFonts w:cs="Arial"/>
              </w:rPr>
              <w:t>nfd</w:t>
            </w:r>
            <w:proofErr w:type="spellEnd"/>
            <w:r>
              <w:rPr>
                <w:rFonts w:cs="Arial"/>
              </w:rPr>
              <w:t>) are assumed to have attained below Certificate level II and are therefore excluded from the numerator</w:t>
            </w:r>
          </w:p>
          <w:p w:rsidR="0026369A" w:rsidRDefault="0026369A" w:rsidP="0026369A">
            <w:pPr>
              <w:pStyle w:val="TableBodyText"/>
              <w:ind w:left="34"/>
              <w:jc w:val="left"/>
            </w:pPr>
            <w:r>
              <w:t>People whose level of study cannot be determined are assumed to have attained below Certificate II and are therefore excluded from the numerator</w:t>
            </w:r>
          </w:p>
          <w:p w:rsidR="0026369A" w:rsidRPr="00FB6E71" w:rsidRDefault="0026369A" w:rsidP="0026369A">
            <w:pPr>
              <w:pStyle w:val="TableBodyText"/>
              <w:ind w:left="34"/>
              <w:jc w:val="left"/>
            </w:pPr>
          </w:p>
        </w:tc>
      </w:tr>
      <w:tr w:rsidR="0026369A" w:rsidRPr="00FB6E71" w:rsidTr="0026369A">
        <w:trPr>
          <w:trHeight w:val="755"/>
        </w:trPr>
        <w:tc>
          <w:tcPr>
            <w:tcW w:w="1985" w:type="dxa"/>
          </w:tcPr>
          <w:p w:rsidR="0026369A" w:rsidRPr="00FB6E71" w:rsidRDefault="0026369A" w:rsidP="0026369A">
            <w:pPr>
              <w:pStyle w:val="TableBodyText"/>
              <w:ind w:left="34"/>
              <w:jc w:val="left"/>
            </w:pPr>
            <w:r>
              <w:t>Related performance indicator/s:</w:t>
            </w:r>
          </w:p>
        </w:tc>
        <w:tc>
          <w:tcPr>
            <w:tcW w:w="6804" w:type="dxa"/>
          </w:tcPr>
          <w:p w:rsidR="0026369A" w:rsidRDefault="0026369A" w:rsidP="0026369A">
            <w:pPr>
              <w:pStyle w:val="TableBodyText"/>
              <w:ind w:left="34"/>
              <w:jc w:val="left"/>
            </w:pPr>
            <w:r>
              <w:t xml:space="preserve">Performance indicator 7, ‘The proportion of the 20 to 24 year old population having attained at least a year 12 or equivalent or </w:t>
            </w:r>
            <w:proofErr w:type="spellStart"/>
            <w:r>
              <w:t>AQF</w:t>
            </w:r>
            <w:proofErr w:type="spellEnd"/>
            <w:r>
              <w:t xml:space="preserve"> Certificate Level II or above’ is related to this target</w:t>
            </w:r>
          </w:p>
          <w:p w:rsidR="0026369A" w:rsidRDefault="0026369A" w:rsidP="0026369A">
            <w:pPr>
              <w:pStyle w:val="TableBodyText"/>
              <w:ind w:left="34"/>
              <w:jc w:val="left"/>
            </w:pPr>
          </w:p>
        </w:tc>
      </w:tr>
      <w:tr w:rsidR="0026369A" w:rsidRPr="00FB6E71" w:rsidTr="0026369A">
        <w:trPr>
          <w:trHeight w:val="574"/>
        </w:trPr>
        <w:tc>
          <w:tcPr>
            <w:tcW w:w="1985" w:type="dxa"/>
          </w:tcPr>
          <w:p w:rsidR="0026369A" w:rsidRPr="00FB6E71" w:rsidRDefault="0026369A" w:rsidP="0026369A">
            <w:pPr>
              <w:pStyle w:val="TableBodyText"/>
              <w:ind w:left="34"/>
              <w:jc w:val="left"/>
            </w:pPr>
            <w:r w:rsidRPr="00FB6E71">
              <w:t>Data source:</w:t>
            </w:r>
          </w:p>
        </w:tc>
        <w:tc>
          <w:tcPr>
            <w:tcW w:w="6804" w:type="dxa"/>
          </w:tcPr>
          <w:p w:rsidR="0026369A" w:rsidRDefault="0026369A" w:rsidP="0026369A">
            <w:pPr>
              <w:pStyle w:val="TableBodyText"/>
              <w:ind w:left="34"/>
              <w:jc w:val="left"/>
            </w:pPr>
            <w:r w:rsidRPr="005E6794">
              <w:rPr>
                <w:i/>
              </w:rPr>
              <w:t>Numerator</w:t>
            </w:r>
            <w:r>
              <w:rPr>
                <w:i/>
              </w:rPr>
              <w:t xml:space="preserve"> and denominator </w:t>
            </w:r>
            <w:r w:rsidRPr="005E6794">
              <w:t>—</w:t>
            </w:r>
            <w:r>
              <w:t xml:space="preserve"> </w:t>
            </w:r>
            <w:r>
              <w:rPr>
                <w:u w:val="single"/>
              </w:rPr>
              <w:t>Survey of Education and Work</w:t>
            </w:r>
            <w:r w:rsidRPr="00584399">
              <w:t xml:space="preserve"> </w:t>
            </w:r>
            <w:r w:rsidRPr="00FB6E71">
              <w:t>(S</w:t>
            </w:r>
            <w:r>
              <w:t>EW</w:t>
            </w:r>
            <w:r w:rsidRPr="00FB6E71">
              <w:t xml:space="preserve">). </w:t>
            </w:r>
            <w:r>
              <w:t>Data available annually</w:t>
            </w:r>
          </w:p>
          <w:p w:rsidR="0026369A" w:rsidRPr="00FB6E71" w:rsidRDefault="0026369A" w:rsidP="0026369A">
            <w:pPr>
              <w:pStyle w:val="TableBodyText"/>
              <w:ind w:left="34"/>
              <w:jc w:val="left"/>
            </w:pPr>
          </w:p>
        </w:tc>
      </w:tr>
      <w:tr w:rsidR="0026369A" w:rsidRPr="00FB6E71" w:rsidTr="0026369A">
        <w:trPr>
          <w:trHeight w:val="582"/>
        </w:trPr>
        <w:tc>
          <w:tcPr>
            <w:tcW w:w="1985" w:type="dxa"/>
          </w:tcPr>
          <w:p w:rsidR="0026369A" w:rsidRPr="00FB6E71" w:rsidRDefault="0026369A" w:rsidP="0026369A">
            <w:pPr>
              <w:pStyle w:val="TableBodyText"/>
              <w:ind w:left="34"/>
              <w:jc w:val="left"/>
            </w:pPr>
            <w:r w:rsidRPr="00FB6E71">
              <w:t>Data provider:</w:t>
            </w:r>
          </w:p>
        </w:tc>
        <w:tc>
          <w:tcPr>
            <w:tcW w:w="6804" w:type="dxa"/>
          </w:tcPr>
          <w:p w:rsidR="0026369A" w:rsidRPr="00FB6E71" w:rsidRDefault="0026369A" w:rsidP="0026369A">
            <w:pPr>
              <w:pStyle w:val="TableBodyText"/>
              <w:ind w:left="34"/>
              <w:jc w:val="left"/>
            </w:pPr>
            <w:r w:rsidRPr="00FB6E71">
              <w:t>ABS</w:t>
            </w:r>
          </w:p>
        </w:tc>
      </w:tr>
      <w:tr w:rsidR="0026369A" w:rsidRPr="00FB6E71" w:rsidTr="00EE3827">
        <w:trPr>
          <w:trHeight w:val="646"/>
        </w:trPr>
        <w:tc>
          <w:tcPr>
            <w:tcW w:w="1985" w:type="dxa"/>
          </w:tcPr>
          <w:p w:rsidR="0026369A" w:rsidRPr="00FB6E71" w:rsidRDefault="0026369A" w:rsidP="0026369A">
            <w:pPr>
              <w:pStyle w:val="TableBodyText"/>
              <w:ind w:left="34"/>
              <w:jc w:val="left"/>
            </w:pPr>
            <w:r w:rsidRPr="00FB6E71">
              <w:t>Data availability:</w:t>
            </w:r>
          </w:p>
        </w:tc>
        <w:tc>
          <w:tcPr>
            <w:tcW w:w="6804" w:type="dxa"/>
          </w:tcPr>
          <w:p w:rsidR="0026369A" w:rsidRPr="00FB6E71" w:rsidRDefault="0026369A" w:rsidP="0026369A">
            <w:pPr>
              <w:pStyle w:val="TableBodyText"/>
              <w:ind w:left="34"/>
              <w:jc w:val="left"/>
            </w:pPr>
            <w:r>
              <w:t>SEW — 2010 (revised) and 2011</w:t>
            </w:r>
          </w:p>
        </w:tc>
      </w:tr>
      <w:tr w:rsidR="0026369A" w:rsidRPr="00FB6E71" w:rsidTr="00EE3827">
        <w:trPr>
          <w:trHeight w:val="350"/>
        </w:trPr>
        <w:tc>
          <w:tcPr>
            <w:tcW w:w="1985" w:type="dxa"/>
          </w:tcPr>
          <w:p w:rsidR="0026369A" w:rsidRPr="00FB6E71" w:rsidRDefault="0026369A" w:rsidP="0026369A">
            <w:pPr>
              <w:pStyle w:val="TableBodyText"/>
              <w:ind w:left="34"/>
              <w:jc w:val="left"/>
            </w:pPr>
            <w:r>
              <w:t>Baseline:</w:t>
            </w:r>
          </w:p>
        </w:tc>
        <w:tc>
          <w:tcPr>
            <w:tcW w:w="6804" w:type="dxa"/>
          </w:tcPr>
          <w:p w:rsidR="0026369A" w:rsidRDefault="00735856" w:rsidP="00EE3827">
            <w:pPr>
              <w:pStyle w:val="TableBodyText"/>
              <w:ind w:left="34"/>
              <w:jc w:val="left"/>
            </w:pPr>
            <w:r>
              <w:t>2007</w:t>
            </w:r>
          </w:p>
          <w:p w:rsidR="0026369A" w:rsidRDefault="0026369A" w:rsidP="0026369A">
            <w:pPr>
              <w:pStyle w:val="TableBodyText"/>
              <w:ind w:left="34"/>
              <w:jc w:val="left"/>
            </w:pPr>
          </w:p>
        </w:tc>
      </w:tr>
      <w:tr w:rsidR="0026369A" w:rsidRPr="00FB6E71" w:rsidTr="0026369A">
        <w:tc>
          <w:tcPr>
            <w:tcW w:w="1985" w:type="dxa"/>
          </w:tcPr>
          <w:p w:rsidR="0026369A" w:rsidRPr="00FB6E71" w:rsidRDefault="0026369A" w:rsidP="0026369A">
            <w:pPr>
              <w:pStyle w:val="TableBodyText"/>
              <w:ind w:left="34"/>
              <w:jc w:val="left"/>
            </w:pPr>
            <w:r w:rsidRPr="00FB6E71">
              <w:t>Cross tabulations provided:</w:t>
            </w:r>
          </w:p>
        </w:tc>
        <w:tc>
          <w:tcPr>
            <w:tcW w:w="6804" w:type="dxa"/>
          </w:tcPr>
          <w:p w:rsidR="0026369A" w:rsidRPr="00FB6E71" w:rsidRDefault="0026369A" w:rsidP="0026369A">
            <w:pPr>
              <w:pStyle w:val="TableBullet"/>
              <w:numPr>
                <w:ilvl w:val="0"/>
                <w:numId w:val="0"/>
              </w:numPr>
              <w:ind w:left="34"/>
            </w:pPr>
            <w:r>
              <w:t>State and Territory</w:t>
            </w:r>
          </w:p>
        </w:tc>
      </w:tr>
    </w:tbl>
    <w:p w:rsidR="0026369A" w:rsidRDefault="0026369A" w:rsidP="0026369A">
      <w:pPr>
        <w:pStyle w:val="BodyText"/>
      </w:pPr>
    </w:p>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991436">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w:t>
            </w:r>
            <w:r>
              <w:rPr>
                <w:b w:val="0"/>
              </w:rPr>
              <w:fldChar w:fldCharType="end"/>
            </w:r>
            <w:r>
              <w:tab/>
              <w:t>Results</w:t>
            </w:r>
          </w:p>
        </w:tc>
      </w:tr>
      <w:tr w:rsidR="0026369A" w:rsidTr="00991436">
        <w:trPr>
          <w:cantSplit/>
        </w:trPr>
        <w:tc>
          <w:tcPr>
            <w:tcW w:w="8771" w:type="dxa"/>
            <w:tcBorders>
              <w:top w:val="nil"/>
              <w:left w:val="single" w:sz="4" w:space="0" w:color="auto"/>
              <w:bottom w:val="nil"/>
              <w:right w:val="single" w:sz="6" w:space="0" w:color="auto"/>
            </w:tcBorders>
          </w:tcPr>
          <w:p w:rsidR="00C62F5B" w:rsidRDefault="00C62F5B" w:rsidP="0082251B">
            <w:pPr>
              <w:pStyle w:val="Box"/>
            </w:pPr>
            <w:r>
              <w:t>For this report, new data for this target are available for 2011.</w:t>
            </w:r>
          </w:p>
          <w:p w:rsidR="00C62F5B" w:rsidRDefault="00C62F5B" w:rsidP="0082251B">
            <w:pPr>
              <w:pStyle w:val="BoxListBullet"/>
              <w:numPr>
                <w:ilvl w:val="0"/>
                <w:numId w:val="1"/>
              </w:numPr>
            </w:pPr>
            <w:r>
              <w:t xml:space="preserve">Data by State and Territory are presented in table </w:t>
            </w:r>
            <w:proofErr w:type="spellStart"/>
            <w:r>
              <w:t>NEA.7.1</w:t>
            </w:r>
            <w:proofErr w:type="spellEnd"/>
            <w:r>
              <w:t>.</w:t>
            </w:r>
          </w:p>
          <w:p w:rsidR="00C62F5B" w:rsidRDefault="00C62F5B" w:rsidP="0082251B">
            <w:pPr>
              <w:pStyle w:val="Box"/>
              <w:spacing w:line="240" w:lineRule="auto"/>
            </w:pPr>
            <w:r>
              <w:t>Data for 2010 included in the 2010 NEA performance report have been revised</w:t>
            </w:r>
            <w:r w:rsidR="00602A00">
              <w:t xml:space="preserve"> and are included in this report</w:t>
            </w:r>
            <w:r>
              <w:t>.</w:t>
            </w:r>
          </w:p>
          <w:p w:rsidR="00C62F5B" w:rsidRDefault="00C62F5B" w:rsidP="0082251B">
            <w:pPr>
              <w:pStyle w:val="BoxListBullet"/>
              <w:numPr>
                <w:ilvl w:val="0"/>
                <w:numId w:val="1"/>
              </w:numPr>
            </w:pPr>
            <w:r>
              <w:t xml:space="preserve">Data by State and Territory are presented in table </w:t>
            </w:r>
            <w:proofErr w:type="spellStart"/>
            <w:r>
              <w:t>NEA.7.2</w:t>
            </w:r>
            <w:proofErr w:type="spellEnd"/>
            <w:r>
              <w:t>.</w:t>
            </w:r>
          </w:p>
          <w:p w:rsidR="0026369A" w:rsidRDefault="00511130" w:rsidP="0082251B">
            <w:pPr>
              <w:pStyle w:val="Box"/>
              <w:spacing w:line="240" w:lineRule="auto"/>
            </w:pPr>
            <w:r>
              <w:t>Data</w:t>
            </w:r>
            <w:r w:rsidR="00C62F5B">
              <w:t xml:space="preserve"> for 2009 and 2008 are available in the 2009 NEA performance report.</w:t>
            </w:r>
          </w:p>
          <w:p w:rsidR="00552D57" w:rsidRDefault="00552D57" w:rsidP="0082251B">
            <w:pPr>
              <w:pStyle w:val="Box"/>
              <w:spacing w:line="240" w:lineRule="auto"/>
            </w:pPr>
            <w:r w:rsidRPr="002455BA">
              <w:t>Apparent differences in results between years may not be statistically significant. To assist in interpretation, 95 per cent confidence intervals and relative standard errors are provided in the attachment tables for this performance target.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412506" w:rsidRDefault="0026369A" w:rsidP="0026369A">
      <w:pPr>
        <w:pStyle w:val="Heading4"/>
        <w:spacing w:after="120"/>
      </w:pPr>
      <w:r w:rsidRPr="00412506">
        <w:t>Attachment table</w:t>
      </w:r>
      <w:r w:rsidR="000F0C9C">
        <w:t>s</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412506"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412506" w:rsidRDefault="007076BB" w:rsidP="0026369A">
            <w:pPr>
              <w:rPr>
                <w:rFonts w:ascii="Arial" w:hAnsi="Arial" w:cs="Arial"/>
                <w:b/>
                <w:bCs/>
                <w:sz w:val="20"/>
                <w:szCs w:val="20"/>
              </w:rPr>
            </w:pPr>
            <w:hyperlink r:id="rId9" w:anchor="'Table NEA.7.1'!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NEA.7.1</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412506" w:rsidRDefault="0026369A" w:rsidP="0026369A">
            <w:pPr>
              <w:pStyle w:val="TableBodyText"/>
              <w:jc w:val="left"/>
            </w:pPr>
            <w:r w:rsidRPr="00412506">
              <w:t xml:space="preserve">Persons aged 20–24 years who have completed Year 12 (or equivalent) or attained a formal qualification at Certificate II level or above, 2011 </w:t>
            </w:r>
          </w:p>
        </w:tc>
      </w:tr>
      <w:tr w:rsidR="0026369A" w:rsidRPr="00412506"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412506" w:rsidRDefault="007076BB" w:rsidP="0026369A">
            <w:pPr>
              <w:rPr>
                <w:rFonts w:ascii="Arial" w:hAnsi="Arial" w:cs="Arial"/>
                <w:b/>
                <w:bCs/>
                <w:sz w:val="20"/>
                <w:szCs w:val="20"/>
              </w:rPr>
            </w:pPr>
            <w:hyperlink r:id="rId10" w:anchor="'Table NEA.7.2'!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NEA.7.2</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412506" w:rsidRDefault="0026369A" w:rsidP="0026369A">
            <w:pPr>
              <w:pStyle w:val="TableBodyText"/>
              <w:jc w:val="left"/>
            </w:pPr>
            <w:r w:rsidRPr="00412506">
              <w:t xml:space="preserve">Persons aged 20–24 years who have completed Year 12 (or equivalent) or attained a formal qualification at Certificate II level or above, 2010 </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3</w:t>
            </w:r>
            <w:r>
              <w:rPr>
                <w:b w:val="0"/>
              </w:rPr>
              <w:fldChar w:fldCharType="end"/>
            </w:r>
            <w:r>
              <w:tab/>
              <w:t>Comment on data quality</w:t>
            </w:r>
          </w:p>
        </w:tc>
      </w:tr>
      <w:tr w:rsidR="0026369A" w:rsidTr="0026369A">
        <w:trPr>
          <w:cantSplit/>
        </w:trPr>
        <w:tc>
          <w:tcPr>
            <w:tcW w:w="8771" w:type="dxa"/>
            <w:tcBorders>
              <w:top w:val="nil"/>
              <w:left w:val="single" w:sz="4" w:space="0" w:color="auto"/>
              <w:bottom w:val="nil"/>
              <w:right w:val="single" w:sz="4" w:space="0" w:color="auto"/>
            </w:tcBorders>
          </w:tcPr>
          <w:p w:rsidR="0026369A" w:rsidRDefault="00C62F5B" w:rsidP="00C62F5B">
            <w:pPr>
              <w:pStyle w:val="Box"/>
            </w:pPr>
            <w:r>
              <w:t>Details are included in the comment on data quality for NEA Indicator 7.</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r w:rsidR="0026369A" w:rsidTr="0026369A">
        <w:tc>
          <w:tcPr>
            <w:tcW w:w="8771" w:type="dxa"/>
            <w:tcBorders>
              <w:top w:val="single" w:sz="4" w:space="0" w:color="auto"/>
              <w:left w:val="nil"/>
              <w:bottom w:val="nil"/>
              <w:right w:val="nil"/>
            </w:tcBorders>
          </w:tcPr>
          <w:p w:rsidR="0026369A" w:rsidRDefault="0026369A" w:rsidP="0026369A">
            <w:pPr>
              <w:pStyle w:val="Box"/>
              <w:keepNext w:val="0"/>
              <w:spacing w:before="60" w:after="60" w:line="80" w:lineRule="exact"/>
              <w:rPr>
                <w:b/>
                <w:color w:val="FF00FF"/>
                <w:sz w:val="14"/>
              </w:rPr>
            </w:pPr>
          </w:p>
        </w:tc>
      </w:tr>
    </w:tbl>
    <w:p w:rsidR="0026369A" w:rsidRPr="00FB6E71" w:rsidRDefault="0026369A" w:rsidP="0026369A">
      <w:pPr>
        <w:pStyle w:val="Heading3"/>
        <w:spacing w:before="360" w:after="240" w:line="240" w:lineRule="auto"/>
      </w:pPr>
      <w:r>
        <w:br w:type="page"/>
      </w:r>
      <w:r>
        <w:lastRenderedPageBreak/>
        <w:t>Performance target (</w:t>
      </w:r>
      <w:proofErr w:type="spellStart"/>
      <w:r>
        <w:t>a.2</w:t>
      </w:r>
      <w:proofErr w:type="spellEnd"/>
      <w:r>
        <w:t>) —</w:t>
      </w:r>
      <w:r w:rsidRPr="00FB6E71">
        <w:t xml:space="preserve"> </w:t>
      </w:r>
      <w:r>
        <w:t>lift the Year 12 or equivalent attainment rate to 90 per cent by 2020</w:t>
      </w:r>
    </w:p>
    <w:tbl>
      <w:tblPr>
        <w:tblW w:w="8789" w:type="dxa"/>
        <w:tblInd w:w="108" w:type="dxa"/>
        <w:tblLook w:val="01E0" w:firstRow="1" w:lastRow="1" w:firstColumn="1" w:lastColumn="1" w:noHBand="0" w:noVBand="0"/>
      </w:tblPr>
      <w:tblGrid>
        <w:gridCol w:w="1985"/>
        <w:gridCol w:w="6804"/>
      </w:tblGrid>
      <w:tr w:rsidR="0026369A" w:rsidRPr="00FB6E71" w:rsidTr="0026369A">
        <w:trPr>
          <w:trHeight w:val="682"/>
        </w:trPr>
        <w:tc>
          <w:tcPr>
            <w:tcW w:w="1985" w:type="dxa"/>
          </w:tcPr>
          <w:p w:rsidR="0026369A" w:rsidRPr="004C218E" w:rsidRDefault="0026369A" w:rsidP="0026369A">
            <w:pPr>
              <w:pStyle w:val="TableBodyText"/>
              <w:ind w:left="34"/>
              <w:jc w:val="left"/>
            </w:pPr>
            <w:r>
              <w:t>Key amendments from previous cycle</w:t>
            </w:r>
            <w:r w:rsidRPr="004C218E">
              <w:t>:</w:t>
            </w:r>
          </w:p>
          <w:p w:rsidR="0026369A" w:rsidRPr="004C218E" w:rsidRDefault="0026369A" w:rsidP="0026369A">
            <w:pPr>
              <w:pStyle w:val="TableBodyText"/>
              <w:ind w:left="34"/>
              <w:jc w:val="left"/>
            </w:pPr>
          </w:p>
        </w:tc>
        <w:tc>
          <w:tcPr>
            <w:tcW w:w="6804" w:type="dxa"/>
          </w:tcPr>
          <w:p w:rsidR="0026369A" w:rsidRPr="00E91961" w:rsidRDefault="0026369A" w:rsidP="0026369A">
            <w:pPr>
              <w:pStyle w:val="TableBodyText"/>
              <w:ind w:left="34"/>
              <w:jc w:val="left"/>
            </w:pPr>
            <w:r w:rsidRPr="00E91961">
              <w:t>Data for 2010 have been revised due to amendments to the 2010 SEW population benchmarks:</w:t>
            </w:r>
          </w:p>
          <w:p w:rsidR="0026369A" w:rsidRPr="00E91961" w:rsidRDefault="0026369A" w:rsidP="00C41E1E">
            <w:pPr>
              <w:pStyle w:val="TableBullet"/>
            </w:pPr>
            <w:r w:rsidRPr="00E91961">
              <w:t>Net Overseas Migration estimates used in calculating the population benchmarks have been revised</w:t>
            </w:r>
          </w:p>
          <w:p w:rsidR="0026369A" w:rsidRDefault="0026369A" w:rsidP="00C41E1E">
            <w:pPr>
              <w:pStyle w:val="TableBullet"/>
            </w:pPr>
            <w:r w:rsidRPr="00E91961">
              <w:t xml:space="preserve">the population benchmarks </w:t>
            </w:r>
            <w:r w:rsidR="003B1E03">
              <w:t xml:space="preserve">for the NT have been amended to </w:t>
            </w:r>
            <w:r w:rsidRPr="00E91961">
              <w:t>align with</w:t>
            </w:r>
            <w:r w:rsidR="003B1E03">
              <w:t xml:space="preserve"> changes in the geographical scope of</w:t>
            </w:r>
            <w:r w:rsidRPr="00E91961">
              <w:t xml:space="preserve"> the survey.</w:t>
            </w:r>
          </w:p>
          <w:p w:rsidR="0026369A" w:rsidRPr="00E91961" w:rsidRDefault="0026369A" w:rsidP="0026369A">
            <w:pPr>
              <w:pStyle w:val="TableBodyText"/>
              <w:ind w:left="754"/>
              <w:jc w:val="left"/>
            </w:pPr>
          </w:p>
        </w:tc>
      </w:tr>
      <w:tr w:rsidR="0026369A" w:rsidRPr="00FB6E71" w:rsidTr="0026369A">
        <w:trPr>
          <w:trHeight w:val="682"/>
        </w:trPr>
        <w:tc>
          <w:tcPr>
            <w:tcW w:w="1985" w:type="dxa"/>
          </w:tcPr>
          <w:p w:rsidR="0026369A" w:rsidRPr="00FB6E71" w:rsidRDefault="0026369A" w:rsidP="0026369A">
            <w:pPr>
              <w:pStyle w:val="TableBodyText"/>
              <w:ind w:left="34"/>
              <w:jc w:val="left"/>
            </w:pPr>
            <w:r w:rsidRPr="00FB6E71">
              <w:t>Outcome:</w:t>
            </w:r>
          </w:p>
        </w:tc>
        <w:tc>
          <w:tcPr>
            <w:tcW w:w="6804" w:type="dxa"/>
          </w:tcPr>
          <w:p w:rsidR="0026369A" w:rsidRPr="00FB6E71" w:rsidRDefault="0026369A" w:rsidP="0026369A">
            <w:pPr>
              <w:pStyle w:val="TableBodyText"/>
              <w:ind w:hanging="6"/>
              <w:jc w:val="left"/>
              <w:rPr>
                <w:sz w:val="24"/>
              </w:rPr>
            </w:pPr>
            <w:r>
              <w:t>Young people make a successful transition from school to work and further study</w:t>
            </w:r>
          </w:p>
        </w:tc>
      </w:tr>
      <w:tr w:rsidR="0026369A" w:rsidRPr="00FB6E71" w:rsidTr="0026369A">
        <w:trPr>
          <w:trHeight w:val="1709"/>
        </w:trPr>
        <w:tc>
          <w:tcPr>
            <w:tcW w:w="1985" w:type="dxa"/>
          </w:tcPr>
          <w:p w:rsidR="0026369A" w:rsidRPr="00FB6E71" w:rsidRDefault="0026369A" w:rsidP="0026369A">
            <w:pPr>
              <w:pStyle w:val="TableBodyText"/>
              <w:ind w:left="34"/>
              <w:jc w:val="left"/>
            </w:pPr>
            <w:r w:rsidRPr="00FB6E71">
              <w:t xml:space="preserve">Measure: </w:t>
            </w:r>
          </w:p>
        </w:tc>
        <w:tc>
          <w:tcPr>
            <w:tcW w:w="6804" w:type="dxa"/>
          </w:tcPr>
          <w:p w:rsidR="0026369A" w:rsidRDefault="0026369A" w:rsidP="0026369A">
            <w:pPr>
              <w:pStyle w:val="TableBodyText"/>
              <w:ind w:hanging="6"/>
              <w:jc w:val="left"/>
            </w:pPr>
            <w:r>
              <w:t xml:space="preserve">Proportion of the 20 to 24 year old population having attained at least a year 12 or equivalent or </w:t>
            </w:r>
            <w:proofErr w:type="spellStart"/>
            <w:r>
              <w:t>AQF</w:t>
            </w:r>
            <w:proofErr w:type="spellEnd"/>
            <w:r>
              <w:t xml:space="preserve"> Certificate Level III or above</w:t>
            </w:r>
          </w:p>
          <w:p w:rsidR="0026369A" w:rsidRPr="00FB6E71" w:rsidRDefault="0026369A" w:rsidP="0026369A">
            <w:pPr>
              <w:pStyle w:val="TableBodyText"/>
              <w:ind w:hanging="6"/>
              <w:jc w:val="left"/>
            </w:pPr>
          </w:p>
          <w:p w:rsidR="0026369A" w:rsidRPr="00FB6E71" w:rsidRDefault="0026369A" w:rsidP="0026369A">
            <w:pPr>
              <w:pStyle w:val="TableBodyText"/>
              <w:ind w:hanging="6"/>
              <w:jc w:val="left"/>
            </w:pPr>
            <w:r w:rsidRPr="00FB6E71">
              <w:t xml:space="preserve">The </w:t>
            </w:r>
            <w:r w:rsidRPr="00B7273E">
              <w:t>measure</w:t>
            </w:r>
            <w:r>
              <w:t xml:space="preserve"> is defined as:</w:t>
            </w:r>
          </w:p>
          <w:p w:rsidR="0026369A" w:rsidRPr="00DB29DE" w:rsidRDefault="0026369A" w:rsidP="0026369A">
            <w:pPr>
              <w:pStyle w:val="TableBullet"/>
            </w:pPr>
            <w:r w:rsidRPr="00DB29DE">
              <w:rPr>
                <w:i/>
              </w:rPr>
              <w:t>numerator</w:t>
            </w:r>
            <w:r w:rsidRPr="00DB29DE">
              <w:t xml:space="preserve"> — number of 20 to 24 year olds who self-identify as having attained a year 12 or </w:t>
            </w:r>
            <w:proofErr w:type="spellStart"/>
            <w:r w:rsidRPr="00DB29DE">
              <w:t>AQF</w:t>
            </w:r>
            <w:proofErr w:type="spellEnd"/>
            <w:r w:rsidRPr="00DB29DE">
              <w:t xml:space="preserve"> Certificate Level III or above </w:t>
            </w:r>
            <w:r>
              <w:t xml:space="preserve">(excludes Certificate </w:t>
            </w:r>
            <w:proofErr w:type="spellStart"/>
            <w:r>
              <w:t>nfd</w:t>
            </w:r>
            <w:proofErr w:type="spellEnd"/>
            <w:r>
              <w:t>)</w:t>
            </w:r>
          </w:p>
          <w:p w:rsidR="0026369A" w:rsidRPr="00FB6E71" w:rsidRDefault="0026369A" w:rsidP="0026369A">
            <w:pPr>
              <w:pStyle w:val="TableBullet"/>
            </w:pPr>
            <w:r>
              <w:rPr>
                <w:i/>
              </w:rPr>
              <w:t>d</w:t>
            </w:r>
            <w:r w:rsidRPr="00FB6E71">
              <w:rPr>
                <w:i/>
              </w:rPr>
              <w:t>enominator</w:t>
            </w:r>
            <w:r w:rsidRPr="00FB6E71">
              <w:t xml:space="preserve"> — </w:t>
            </w:r>
            <w:r>
              <w:t>number of 20 to 24 year olds in the population</w:t>
            </w:r>
            <w:r w:rsidRPr="00FB6E71">
              <w:t xml:space="preserve"> </w:t>
            </w:r>
          </w:p>
          <w:p w:rsidR="0026369A" w:rsidRDefault="0026369A" w:rsidP="0026369A">
            <w:pPr>
              <w:pStyle w:val="TableBodyText"/>
              <w:ind w:hanging="6"/>
              <w:jc w:val="left"/>
            </w:pPr>
            <w:r>
              <w:t xml:space="preserve">and is expressed as a </w:t>
            </w:r>
            <w:r w:rsidRPr="00665A74">
              <w:rPr>
                <w:i/>
              </w:rPr>
              <w:t>percentage</w:t>
            </w:r>
          </w:p>
          <w:p w:rsidR="0026369A" w:rsidRDefault="0026369A" w:rsidP="0026369A">
            <w:pPr>
              <w:pStyle w:val="TableBodyText"/>
              <w:ind w:left="34"/>
              <w:jc w:val="left"/>
            </w:pPr>
          </w:p>
          <w:p w:rsidR="0026369A" w:rsidRDefault="0026369A" w:rsidP="0026369A">
            <w:pPr>
              <w:pStyle w:val="TableBodyText"/>
              <w:ind w:left="34"/>
              <w:jc w:val="left"/>
              <w:rPr>
                <w:rFonts w:cs="Arial"/>
              </w:rPr>
            </w:pPr>
            <w:r>
              <w:rPr>
                <w:rFonts w:cs="Arial"/>
              </w:rPr>
              <w:t xml:space="preserve">Persons whose level of study is determined to be certificate level but is not able to be further defined (ie, Certificate </w:t>
            </w:r>
            <w:proofErr w:type="spellStart"/>
            <w:r>
              <w:rPr>
                <w:rFonts w:cs="Arial"/>
              </w:rPr>
              <w:t>nfd</w:t>
            </w:r>
            <w:proofErr w:type="spellEnd"/>
            <w:r>
              <w:rPr>
                <w:rFonts w:cs="Arial"/>
              </w:rPr>
              <w:t>) are assumed to have attained below Certificate level III and are therefore excluded from the numerator</w:t>
            </w:r>
          </w:p>
          <w:p w:rsidR="0026369A" w:rsidRDefault="0026369A" w:rsidP="0026369A">
            <w:pPr>
              <w:pStyle w:val="TableBodyText"/>
              <w:ind w:left="34"/>
              <w:jc w:val="left"/>
            </w:pPr>
            <w:r>
              <w:t>People whose level of study cannot be determined are assumed to have attained below Certificate III and are therefore excluded from the numerator</w:t>
            </w:r>
          </w:p>
          <w:p w:rsidR="0026369A" w:rsidRPr="00FB6E71" w:rsidRDefault="0026369A" w:rsidP="0026369A">
            <w:pPr>
              <w:pStyle w:val="TableBodyText"/>
              <w:ind w:hanging="6"/>
              <w:jc w:val="left"/>
            </w:pPr>
          </w:p>
        </w:tc>
      </w:tr>
      <w:tr w:rsidR="0026369A" w:rsidRPr="00FB6E71" w:rsidTr="0026369A">
        <w:trPr>
          <w:trHeight w:val="816"/>
        </w:trPr>
        <w:tc>
          <w:tcPr>
            <w:tcW w:w="1985" w:type="dxa"/>
          </w:tcPr>
          <w:p w:rsidR="0026369A" w:rsidRPr="00FB6E71" w:rsidRDefault="0026369A" w:rsidP="0026369A">
            <w:pPr>
              <w:pStyle w:val="TableBodyText"/>
              <w:ind w:left="34"/>
              <w:jc w:val="left"/>
            </w:pPr>
            <w:r>
              <w:t>Related performance indicator/s:</w:t>
            </w:r>
          </w:p>
        </w:tc>
        <w:tc>
          <w:tcPr>
            <w:tcW w:w="6804" w:type="dxa"/>
          </w:tcPr>
          <w:p w:rsidR="0026369A" w:rsidRDefault="0026369A" w:rsidP="0026369A">
            <w:pPr>
              <w:pStyle w:val="TableBodyText"/>
              <w:ind w:hanging="6"/>
              <w:jc w:val="left"/>
            </w:pPr>
            <w:r>
              <w:t>Nil</w:t>
            </w:r>
          </w:p>
          <w:p w:rsidR="0026369A" w:rsidRDefault="0026369A" w:rsidP="0026369A">
            <w:pPr>
              <w:pStyle w:val="TableBodyText"/>
              <w:ind w:hanging="6"/>
              <w:jc w:val="left"/>
            </w:pPr>
          </w:p>
        </w:tc>
      </w:tr>
      <w:tr w:rsidR="0026369A" w:rsidRPr="00FB6E71" w:rsidTr="0026369A">
        <w:trPr>
          <w:trHeight w:val="574"/>
        </w:trPr>
        <w:tc>
          <w:tcPr>
            <w:tcW w:w="1985" w:type="dxa"/>
          </w:tcPr>
          <w:p w:rsidR="0026369A" w:rsidRPr="00FB6E71" w:rsidRDefault="0026369A" w:rsidP="0026369A">
            <w:pPr>
              <w:pStyle w:val="TableBodyText"/>
              <w:ind w:left="34"/>
              <w:jc w:val="left"/>
            </w:pPr>
            <w:r w:rsidRPr="00FB6E71">
              <w:t>Data source:</w:t>
            </w:r>
          </w:p>
        </w:tc>
        <w:tc>
          <w:tcPr>
            <w:tcW w:w="6804" w:type="dxa"/>
          </w:tcPr>
          <w:p w:rsidR="0026369A" w:rsidRDefault="0026369A" w:rsidP="0026369A">
            <w:pPr>
              <w:pStyle w:val="TableBodyText"/>
              <w:ind w:hanging="6"/>
              <w:jc w:val="left"/>
            </w:pPr>
            <w:r w:rsidRPr="005E6794">
              <w:rPr>
                <w:i/>
              </w:rPr>
              <w:t>Numerator</w:t>
            </w:r>
            <w:r>
              <w:rPr>
                <w:i/>
              </w:rPr>
              <w:t xml:space="preserve"> and denominator </w:t>
            </w:r>
            <w:r w:rsidRPr="005E6794">
              <w:t>—</w:t>
            </w:r>
            <w:r>
              <w:t xml:space="preserve"> </w:t>
            </w:r>
            <w:r>
              <w:rPr>
                <w:u w:val="single"/>
              </w:rPr>
              <w:t>Survey of Education and Work</w:t>
            </w:r>
            <w:r w:rsidRPr="00584399">
              <w:t xml:space="preserve"> </w:t>
            </w:r>
            <w:r w:rsidRPr="00FB6E71">
              <w:t>(S</w:t>
            </w:r>
            <w:r>
              <w:t>EW</w:t>
            </w:r>
            <w:r w:rsidRPr="00FB6E71">
              <w:t xml:space="preserve">). </w:t>
            </w:r>
            <w:r>
              <w:t>Data available annually</w:t>
            </w:r>
          </w:p>
          <w:p w:rsidR="0026369A" w:rsidRPr="00FB6E71" w:rsidRDefault="0026369A" w:rsidP="0026369A">
            <w:pPr>
              <w:pStyle w:val="TableBodyText"/>
              <w:ind w:hanging="6"/>
              <w:jc w:val="left"/>
            </w:pPr>
          </w:p>
        </w:tc>
      </w:tr>
      <w:tr w:rsidR="0026369A" w:rsidRPr="00FB6E71" w:rsidTr="0026369A">
        <w:trPr>
          <w:trHeight w:val="582"/>
        </w:trPr>
        <w:tc>
          <w:tcPr>
            <w:tcW w:w="1985" w:type="dxa"/>
          </w:tcPr>
          <w:p w:rsidR="0026369A" w:rsidRPr="00FB6E71" w:rsidRDefault="0026369A" w:rsidP="0026369A">
            <w:pPr>
              <w:pStyle w:val="TableBodyText"/>
              <w:ind w:left="34"/>
              <w:jc w:val="left"/>
            </w:pPr>
            <w:r w:rsidRPr="00FB6E71">
              <w:t>Data provider:</w:t>
            </w:r>
          </w:p>
        </w:tc>
        <w:tc>
          <w:tcPr>
            <w:tcW w:w="6804" w:type="dxa"/>
          </w:tcPr>
          <w:p w:rsidR="0026369A" w:rsidRPr="00FB6E71" w:rsidRDefault="0026369A" w:rsidP="0026369A">
            <w:pPr>
              <w:pStyle w:val="TableBodyText"/>
              <w:ind w:hanging="6"/>
              <w:jc w:val="left"/>
            </w:pPr>
            <w:r w:rsidRPr="00FB6E71">
              <w:t>ABS</w:t>
            </w:r>
          </w:p>
        </w:tc>
      </w:tr>
      <w:tr w:rsidR="0026369A" w:rsidRPr="00FB6E71" w:rsidTr="0026369A">
        <w:trPr>
          <w:trHeight w:val="646"/>
        </w:trPr>
        <w:tc>
          <w:tcPr>
            <w:tcW w:w="1985" w:type="dxa"/>
          </w:tcPr>
          <w:p w:rsidR="0026369A" w:rsidRPr="00FB6E71" w:rsidRDefault="0026369A" w:rsidP="0026369A">
            <w:pPr>
              <w:pStyle w:val="TableBodyText"/>
              <w:ind w:left="34"/>
              <w:jc w:val="left"/>
            </w:pPr>
            <w:r w:rsidRPr="00FB6E71">
              <w:t>Data availability:</w:t>
            </w:r>
          </w:p>
        </w:tc>
        <w:tc>
          <w:tcPr>
            <w:tcW w:w="6804" w:type="dxa"/>
          </w:tcPr>
          <w:p w:rsidR="0026369A" w:rsidRPr="00FB6E71" w:rsidRDefault="0026369A" w:rsidP="0026369A">
            <w:pPr>
              <w:pStyle w:val="TableBodyText"/>
              <w:ind w:hanging="6"/>
              <w:jc w:val="left"/>
            </w:pPr>
            <w:r>
              <w:t>SEW — 2010 (revised) and 2011</w:t>
            </w:r>
          </w:p>
        </w:tc>
      </w:tr>
      <w:tr w:rsidR="00735856" w:rsidRPr="00FB6E71" w:rsidTr="0026369A">
        <w:trPr>
          <w:trHeight w:val="350"/>
        </w:trPr>
        <w:tc>
          <w:tcPr>
            <w:tcW w:w="1985" w:type="dxa"/>
          </w:tcPr>
          <w:p w:rsidR="00735856" w:rsidRPr="00FB6E71" w:rsidRDefault="00735856" w:rsidP="0026369A">
            <w:pPr>
              <w:pStyle w:val="TableBodyText"/>
              <w:ind w:left="34"/>
              <w:jc w:val="left"/>
            </w:pPr>
            <w:r>
              <w:t>Baseline:</w:t>
            </w:r>
          </w:p>
        </w:tc>
        <w:tc>
          <w:tcPr>
            <w:tcW w:w="6804" w:type="dxa"/>
          </w:tcPr>
          <w:p w:rsidR="00735856" w:rsidRDefault="00735856" w:rsidP="00EE3827">
            <w:pPr>
              <w:pStyle w:val="TableBodyText"/>
              <w:ind w:left="34"/>
              <w:jc w:val="left"/>
            </w:pPr>
            <w:r>
              <w:t>2007</w:t>
            </w:r>
          </w:p>
          <w:p w:rsidR="00735856" w:rsidRDefault="00735856" w:rsidP="00AA4018">
            <w:pPr>
              <w:pStyle w:val="TableBodyText"/>
              <w:ind w:left="34"/>
              <w:jc w:val="left"/>
            </w:pPr>
          </w:p>
        </w:tc>
      </w:tr>
      <w:tr w:rsidR="00735856" w:rsidRPr="00FB6E71" w:rsidTr="0026369A">
        <w:tc>
          <w:tcPr>
            <w:tcW w:w="1985" w:type="dxa"/>
          </w:tcPr>
          <w:p w:rsidR="00735856" w:rsidRPr="00FB6E71" w:rsidRDefault="00735856" w:rsidP="0026369A">
            <w:pPr>
              <w:pStyle w:val="TableBodyText"/>
              <w:ind w:left="34"/>
              <w:jc w:val="left"/>
            </w:pPr>
            <w:r w:rsidRPr="00FB6E71">
              <w:t>Cross tabulations provided:</w:t>
            </w:r>
          </w:p>
        </w:tc>
        <w:tc>
          <w:tcPr>
            <w:tcW w:w="6804" w:type="dxa"/>
          </w:tcPr>
          <w:p w:rsidR="00735856" w:rsidRPr="00FB6E71" w:rsidRDefault="00735856" w:rsidP="0026369A">
            <w:pPr>
              <w:pStyle w:val="TableBullet"/>
              <w:numPr>
                <w:ilvl w:val="0"/>
                <w:numId w:val="0"/>
              </w:numPr>
              <w:ind w:left="6" w:hanging="6"/>
            </w:pPr>
            <w:r>
              <w:t>State and Territory</w:t>
            </w:r>
          </w:p>
        </w:tc>
      </w:tr>
    </w:tbl>
    <w:p w:rsidR="0026369A" w:rsidRPr="004C218E" w:rsidRDefault="0026369A" w:rsidP="0026369A">
      <w:pPr>
        <w:pStyle w:val="BoxSpace"/>
        <w:rPr>
          <w:b/>
          <w:sz w:val="14"/>
        </w:rPr>
      </w:pPr>
    </w:p>
    <w:p w:rsidR="0026369A" w:rsidRDefault="0026369A" w:rsidP="0026369A">
      <w:pPr>
        <w:pStyle w:val="BoxSpace"/>
      </w:pPr>
      <w:r>
        <w:rPr>
          <w:b/>
          <w:color w:val="FF00FF"/>
          <w:sz w:val="14"/>
        </w:rPr>
        <w:br w:type="page"/>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lastRenderedPageBreak/>
              <w:t xml:space="preserve">Box </w:t>
            </w:r>
            <w:r>
              <w:rPr>
                <w:b w:val="0"/>
              </w:rPr>
              <w:fldChar w:fldCharType="begin"/>
            </w:r>
            <w:r>
              <w:rPr>
                <w:b w:val="0"/>
              </w:rPr>
              <w:instrText xml:space="preserve"> SEQ Box \* ARABIC </w:instrText>
            </w:r>
            <w:r>
              <w:rPr>
                <w:b w:val="0"/>
              </w:rPr>
              <w:fldChar w:fldCharType="separate"/>
            </w:r>
            <w:r w:rsidR="00936B93">
              <w:rPr>
                <w:b w:val="0"/>
                <w:noProof/>
              </w:rPr>
              <w:t>4</w:t>
            </w:r>
            <w:r>
              <w:rPr>
                <w:b w:val="0"/>
              </w:rPr>
              <w:fldChar w:fldCharType="end"/>
            </w:r>
            <w:r>
              <w:tab/>
              <w:t>Results</w:t>
            </w:r>
          </w:p>
        </w:tc>
      </w:tr>
      <w:tr w:rsidR="0026369A" w:rsidTr="0026369A">
        <w:trPr>
          <w:cantSplit/>
        </w:trPr>
        <w:tc>
          <w:tcPr>
            <w:tcW w:w="8771" w:type="dxa"/>
            <w:tcBorders>
              <w:top w:val="nil"/>
              <w:left w:val="single" w:sz="4" w:space="0" w:color="auto"/>
              <w:bottom w:val="nil"/>
              <w:right w:val="single" w:sz="4" w:space="0" w:color="auto"/>
            </w:tcBorders>
          </w:tcPr>
          <w:p w:rsidR="00C62F5B" w:rsidRDefault="00C62F5B" w:rsidP="0082251B">
            <w:pPr>
              <w:pStyle w:val="Box"/>
            </w:pPr>
            <w:r>
              <w:t>For this report, new data for this target are available for 2011.</w:t>
            </w:r>
          </w:p>
          <w:p w:rsidR="00C62F5B" w:rsidRDefault="00C62F5B" w:rsidP="0082251B">
            <w:pPr>
              <w:pStyle w:val="BoxListBullet"/>
              <w:numPr>
                <w:ilvl w:val="0"/>
                <w:numId w:val="1"/>
              </w:numPr>
            </w:pPr>
            <w:r>
              <w:t xml:space="preserve">Data by State and Territory are presented in table </w:t>
            </w:r>
            <w:proofErr w:type="spellStart"/>
            <w:r>
              <w:t>NEA.a.2.1</w:t>
            </w:r>
            <w:proofErr w:type="spellEnd"/>
            <w:r>
              <w:t>.</w:t>
            </w:r>
          </w:p>
          <w:p w:rsidR="00C62F5B" w:rsidRDefault="003B1E03" w:rsidP="0082251B">
            <w:pPr>
              <w:pStyle w:val="Box"/>
              <w:spacing w:line="240" w:lineRule="auto"/>
            </w:pPr>
            <w:r>
              <w:t>Revised d</w:t>
            </w:r>
            <w:r w:rsidR="00C62F5B">
              <w:t>ata for 2010</w:t>
            </w:r>
            <w:r>
              <w:t xml:space="preserve"> are provided to maintain a comparable time series</w:t>
            </w:r>
            <w:r w:rsidR="00C62F5B">
              <w:t>.</w:t>
            </w:r>
          </w:p>
          <w:p w:rsidR="00C62F5B" w:rsidRDefault="00C62F5B" w:rsidP="0082251B">
            <w:pPr>
              <w:pStyle w:val="BoxListBullet"/>
              <w:numPr>
                <w:ilvl w:val="0"/>
                <w:numId w:val="1"/>
              </w:numPr>
            </w:pPr>
            <w:r>
              <w:t xml:space="preserve">Data by State and Territory are presented in table </w:t>
            </w:r>
            <w:proofErr w:type="spellStart"/>
            <w:r>
              <w:t>NEA.a.2.2</w:t>
            </w:r>
            <w:proofErr w:type="spellEnd"/>
            <w:r>
              <w:t>.</w:t>
            </w:r>
          </w:p>
          <w:p w:rsidR="0026369A" w:rsidRDefault="00511130" w:rsidP="0082251B">
            <w:pPr>
              <w:pStyle w:val="Box"/>
              <w:spacing w:line="240" w:lineRule="auto"/>
            </w:pPr>
            <w:r>
              <w:t>Data</w:t>
            </w:r>
            <w:r w:rsidR="00C62F5B">
              <w:t xml:space="preserve"> for 2009 and 2008 are available in the 2009 NEA performance report.</w:t>
            </w:r>
          </w:p>
          <w:p w:rsidR="002455BA" w:rsidRDefault="002455BA" w:rsidP="0082251B">
            <w:pPr>
              <w:pStyle w:val="Box"/>
              <w:spacing w:line="240" w:lineRule="auto"/>
            </w:pPr>
            <w:r w:rsidRPr="002455BA">
              <w:t>Apparent differences in results between years may not be statistically significant. To assist in interpretation, 95 per cent confidence intervals and relative standard errors are provided in the attachment tables for this performance target.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FC4A4C" w:rsidRDefault="0026369A" w:rsidP="0026369A">
      <w:pPr>
        <w:pStyle w:val="Heading4"/>
        <w:spacing w:after="120"/>
      </w:pPr>
      <w:r>
        <w:t>Attachment table</w:t>
      </w:r>
      <w:r w:rsidR="000F0C9C">
        <w:t>s</w:t>
      </w:r>
      <w:r w:rsidR="00667874">
        <w:t xml:space="preserve"> </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11" w:anchor="'Table NEA.a.2.1'!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NEA.a.2.1</w:t>
              </w:r>
              <w:proofErr w:type="spellEnd"/>
            </w:hyperlink>
          </w:p>
        </w:tc>
        <w:tc>
          <w:tcPr>
            <w:tcW w:w="6943" w:type="dxa"/>
          </w:tcPr>
          <w:p w:rsidR="0026369A" w:rsidRPr="00412506" w:rsidRDefault="0026369A" w:rsidP="0026369A">
            <w:pPr>
              <w:jc w:val="both"/>
              <w:rPr>
                <w:rFonts w:ascii="Arial" w:hAnsi="Arial" w:cs="Arial"/>
                <w:sz w:val="20"/>
                <w:szCs w:val="20"/>
              </w:rPr>
            </w:pPr>
            <w:r w:rsidRPr="00412506">
              <w:rPr>
                <w:rFonts w:ascii="Arial" w:hAnsi="Arial" w:cs="Arial"/>
                <w:sz w:val="20"/>
                <w:szCs w:val="20"/>
              </w:rPr>
              <w:t xml:space="preserve">Persons aged 20–24 years who have completed Year 12 (or equivalent) or attained a formal qualification at Certificate III level or above, 2011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12" w:anchor="'Table NEA.a.2.2'!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NEA.a.2.2</w:t>
              </w:r>
              <w:proofErr w:type="spellEnd"/>
            </w:hyperlink>
          </w:p>
        </w:tc>
        <w:tc>
          <w:tcPr>
            <w:tcW w:w="6943" w:type="dxa"/>
          </w:tcPr>
          <w:p w:rsidR="0026369A" w:rsidRPr="00412506" w:rsidRDefault="0026369A" w:rsidP="0026369A">
            <w:pPr>
              <w:jc w:val="both"/>
              <w:rPr>
                <w:rFonts w:ascii="Arial" w:hAnsi="Arial" w:cs="Arial"/>
                <w:sz w:val="20"/>
                <w:szCs w:val="20"/>
              </w:rPr>
            </w:pPr>
            <w:r w:rsidRPr="00412506">
              <w:rPr>
                <w:rFonts w:ascii="Arial" w:hAnsi="Arial" w:cs="Arial"/>
                <w:sz w:val="20"/>
                <w:szCs w:val="20"/>
              </w:rPr>
              <w:t xml:space="preserve">Persons aged 20–24 years who have completed Year 12 (or equivalent) or attained a formal qualification at Certificate III level or above, 2010 </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5</w:t>
            </w:r>
            <w:r>
              <w:rPr>
                <w:b w:val="0"/>
              </w:rPr>
              <w:fldChar w:fldCharType="end"/>
            </w:r>
            <w:r>
              <w:tab/>
              <w:t>Comment on data quality</w:t>
            </w:r>
          </w:p>
        </w:tc>
      </w:tr>
      <w:tr w:rsidR="0026369A" w:rsidTr="0026369A">
        <w:trPr>
          <w:cantSplit/>
        </w:trPr>
        <w:tc>
          <w:tcPr>
            <w:tcW w:w="8771" w:type="dxa"/>
            <w:tcBorders>
              <w:top w:val="nil"/>
              <w:left w:val="single" w:sz="4" w:space="0" w:color="auto"/>
              <w:bottom w:val="nil"/>
              <w:right w:val="single" w:sz="4" w:space="0" w:color="auto"/>
            </w:tcBorders>
          </w:tcPr>
          <w:p w:rsidR="00C62F5B" w:rsidRPr="00491F73" w:rsidRDefault="00C62F5B" w:rsidP="0082251B">
            <w:pPr>
              <w:pStyle w:val="Box"/>
            </w:pPr>
            <w:r w:rsidRPr="00491F73">
              <w:t>The DQS for this indicator has been prepared by the ABS and is included in its original form in the section in this report titled ‘Data Quality Statements.’ Key points from the DQS are summarised below.</w:t>
            </w:r>
          </w:p>
          <w:p w:rsidR="00C62F5B" w:rsidRDefault="00C62F5B" w:rsidP="0082251B">
            <w:pPr>
              <w:pStyle w:val="BoxListBullet"/>
              <w:numPr>
                <w:ilvl w:val="0"/>
                <w:numId w:val="1"/>
              </w:numPr>
            </w:pPr>
            <w:r w:rsidRPr="00491F73">
              <w:t xml:space="preserve">The data provide relevant information on the proportion of the 20–24 year old population who have completed year 12 or equivalent or </w:t>
            </w:r>
            <w:proofErr w:type="spellStart"/>
            <w:r w:rsidRPr="00491F73">
              <w:t>AQF</w:t>
            </w:r>
            <w:proofErr w:type="spellEnd"/>
            <w:r w:rsidRPr="00491F73">
              <w:t xml:space="preserve"> Certificate III or above. Data are av</w:t>
            </w:r>
            <w:r w:rsidR="00CE44B1">
              <w:t>ailable by State and Territory.</w:t>
            </w:r>
          </w:p>
          <w:p w:rsidR="00856053" w:rsidRPr="00491F73" w:rsidRDefault="00856053" w:rsidP="0082251B">
            <w:pPr>
              <w:pStyle w:val="BoxListBullet"/>
              <w:numPr>
                <w:ilvl w:val="0"/>
                <w:numId w:val="1"/>
              </w:numPr>
            </w:pPr>
            <w:r>
              <w:t>Annual data are available from the Survey of Education and Work (SEW), with the most recent available data in respect of 2011.</w:t>
            </w:r>
          </w:p>
          <w:p w:rsidR="00CB1AC6" w:rsidRDefault="006C4CAD" w:rsidP="0082251B">
            <w:pPr>
              <w:pStyle w:val="BoxListBullet"/>
              <w:numPr>
                <w:ilvl w:val="0"/>
                <w:numId w:val="1"/>
              </w:numPr>
            </w:pPr>
            <w:r>
              <w:t>Prior to 2009, all persons in very remote areas were excluded from the SEW. From 2009 onwards, the SEW has had a slightly wider scope, and excludes only persons in Indigenous communities in very remote areas.</w:t>
            </w:r>
            <w:r w:rsidR="00CB1AC6">
              <w:t xml:space="preserve"> This change has only a minor effect on </w:t>
            </w:r>
            <w:r w:rsidR="00CB1AC6" w:rsidRPr="00552D69">
              <w:rPr>
                <w:i/>
              </w:rPr>
              <w:t>national</w:t>
            </w:r>
            <w:r w:rsidR="00CB1AC6">
              <w:t xml:space="preserve"> comparisons over time.</w:t>
            </w:r>
          </w:p>
          <w:p w:rsidR="00C62F5B" w:rsidRDefault="00C62F5B" w:rsidP="0082251B">
            <w:pPr>
              <w:pStyle w:val="BoxListBullet"/>
              <w:numPr>
                <w:ilvl w:val="0"/>
                <w:numId w:val="1"/>
              </w:numPr>
            </w:pPr>
            <w:r w:rsidRPr="00491F73">
              <w:t xml:space="preserve">The </w:t>
            </w:r>
            <w:r w:rsidR="00EA2071">
              <w:t>ongoing</w:t>
            </w:r>
            <w:r w:rsidRPr="00491F73">
              <w:t xml:space="preserve"> exclusion of Indigenous communities in very remote areas has only a minor </w:t>
            </w:r>
            <w:r w:rsidR="00491F73">
              <w:t>effect</w:t>
            </w:r>
            <w:r w:rsidRPr="00491F73">
              <w:t xml:space="preserve"> on estimates by </w:t>
            </w:r>
            <w:r w:rsidRPr="00552D69">
              <w:rPr>
                <w:i/>
              </w:rPr>
              <w:t>State and Territory</w:t>
            </w:r>
            <w:r w:rsidRPr="00491F73">
              <w:t xml:space="preserve">, except for the </w:t>
            </w:r>
            <w:r w:rsidR="00EA2071">
              <w:t>NT</w:t>
            </w:r>
            <w:r w:rsidRPr="00491F73">
              <w:t xml:space="preserve">, where </w:t>
            </w:r>
            <w:r w:rsidR="00EA2071">
              <w:t xml:space="preserve">remote Indigenous communities </w:t>
            </w:r>
            <w:r w:rsidRPr="00491F73">
              <w:t>account for around</w:t>
            </w:r>
            <w:r w:rsidR="00CE44B1">
              <w:t xml:space="preserve"> 15 per cent of the population.</w:t>
            </w:r>
          </w:p>
          <w:p w:rsidR="00491F73" w:rsidRPr="00491F73" w:rsidRDefault="00491F73" w:rsidP="0082251B">
            <w:pPr>
              <w:pStyle w:val="BoxListBullet"/>
              <w:numPr>
                <w:ilvl w:val="0"/>
                <w:numId w:val="1"/>
              </w:numPr>
            </w:pPr>
            <w:r w:rsidRPr="00CB451E">
              <w:t>Data for 2010 have been revised due to amendments to the population benchmarks for the 2010 SEW.</w:t>
            </w:r>
            <w:r w:rsidR="00001579">
              <w:t xml:space="preserve"> Revised 2010 data are included in this report to maintain time series.</w:t>
            </w:r>
          </w:p>
          <w:p w:rsidR="00C62F5B" w:rsidRPr="00EA2071" w:rsidRDefault="00C62F5B" w:rsidP="0082251B">
            <w:pPr>
              <w:pStyle w:val="BoxListBullet"/>
              <w:numPr>
                <w:ilvl w:val="0"/>
                <w:numId w:val="1"/>
              </w:numPr>
            </w:pPr>
            <w:r w:rsidRPr="00EA2071">
              <w:t>Detailed explanatory notes are publicly available to assist in interpretation of results.</w:t>
            </w:r>
          </w:p>
          <w:p w:rsidR="00C62F5B" w:rsidRPr="00EA2071" w:rsidRDefault="00C62F5B" w:rsidP="0082251B">
            <w:pPr>
              <w:pStyle w:val="BoxListBullet"/>
              <w:numPr>
                <w:ilvl w:val="0"/>
                <w:numId w:val="1"/>
              </w:numPr>
            </w:pPr>
            <w:r w:rsidRPr="00EA2071">
              <w:t>Additional data from the data source are available.</w:t>
            </w:r>
          </w:p>
          <w:p w:rsidR="00C62F5B" w:rsidRPr="00EA2071" w:rsidRDefault="00C62F5B" w:rsidP="0082251B">
            <w:pPr>
              <w:pStyle w:val="Box"/>
            </w:pPr>
            <w:r w:rsidRPr="00EA2071">
              <w:t>The Steering Committee also notes the following issues:</w:t>
            </w:r>
          </w:p>
          <w:p w:rsidR="00133615" w:rsidRDefault="00292290" w:rsidP="0082251B">
            <w:pPr>
              <w:pStyle w:val="Box"/>
              <w:numPr>
                <w:ilvl w:val="0"/>
                <w:numId w:val="27"/>
              </w:numPr>
            </w:pPr>
            <w:r>
              <w:t xml:space="preserve">The full sample for the SEW was reinstated in 2010 and generally resulted in lower RSEs. However, </w:t>
            </w:r>
            <w:r w:rsidR="00C8681A">
              <w:t xml:space="preserve">the size of the </w:t>
            </w:r>
            <w:r>
              <w:t>RSEs continue</w:t>
            </w:r>
            <w:r w:rsidR="00FF3A86">
              <w:t>s</w:t>
            </w:r>
            <w:r>
              <w:t xml:space="preserve"> to affect the ability to identify year to year movements for this indicator for all jurisdictions.</w:t>
            </w:r>
          </w:p>
          <w:p w:rsidR="00ED0B39" w:rsidRDefault="00ED0B39" w:rsidP="0082251B">
            <w:pPr>
              <w:pStyle w:val="Box"/>
              <w:numPr>
                <w:ilvl w:val="0"/>
                <w:numId w:val="27"/>
              </w:numPr>
            </w:pPr>
            <w:r>
              <w:t xml:space="preserve">The ABS investigated the use of ‘pooling’ of SEW results for multiple years to reduce the RSEs. </w:t>
            </w:r>
            <w:r w:rsidR="00A20B5F">
              <w:t xml:space="preserve">However, the size of the RSEs did not reduce enough to improve </w:t>
            </w:r>
            <w:r w:rsidR="00FF3A86">
              <w:t xml:space="preserve">substantially the </w:t>
            </w:r>
            <w:r w:rsidR="00A20B5F">
              <w:t>detection of year on year movements</w:t>
            </w:r>
            <w:r w:rsidR="00711835">
              <w:t>.</w:t>
            </w:r>
          </w:p>
          <w:p w:rsidR="0026369A" w:rsidRDefault="00C8681A" w:rsidP="0082251B">
            <w:pPr>
              <w:pStyle w:val="Box"/>
              <w:numPr>
                <w:ilvl w:val="0"/>
                <w:numId w:val="27"/>
              </w:numPr>
            </w:pPr>
            <w:r>
              <w:t>Subject to the outcomes of the NEA review, t</w:t>
            </w:r>
            <w:r w:rsidR="00292290" w:rsidRPr="00EA2071">
              <w:t xml:space="preserve">he Steering Committee considers that further investigation of </w:t>
            </w:r>
            <w:r>
              <w:t xml:space="preserve">Census data and/or </w:t>
            </w:r>
            <w:r w:rsidR="00292290" w:rsidRPr="00EA2071">
              <w:t xml:space="preserve">administrative data on completions of year 12 or equivalent and </w:t>
            </w:r>
            <w:proofErr w:type="spellStart"/>
            <w:r w:rsidR="00292290" w:rsidRPr="00EA2071">
              <w:t>AQF</w:t>
            </w:r>
            <w:proofErr w:type="spellEnd"/>
            <w:r w:rsidR="00292290" w:rsidRPr="00EA2071">
              <w:t xml:space="preserve"> Certificate level III or above is required for reporting against this target.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Default="0026369A" w:rsidP="0026369A">
      <w:pPr>
        <w:pStyle w:val="BodyText"/>
      </w:pPr>
    </w:p>
    <w:p w:rsidR="0026369A" w:rsidRPr="00FB6E71" w:rsidRDefault="0026369A" w:rsidP="0026369A">
      <w:pPr>
        <w:pStyle w:val="Heading3"/>
        <w:spacing w:before="360" w:after="240"/>
      </w:pPr>
      <w:r>
        <w:br w:type="page"/>
      </w:r>
      <w:r>
        <w:lastRenderedPageBreak/>
        <w:t>Performance target (b) —</w:t>
      </w:r>
      <w:r w:rsidRPr="00FB6E71">
        <w:t xml:space="preserve"> </w:t>
      </w:r>
      <w:r>
        <w:t>Halve the gap for Indigenous students in reading, writing and numeracy within a decade</w:t>
      </w:r>
    </w:p>
    <w:tbl>
      <w:tblPr>
        <w:tblW w:w="8789" w:type="dxa"/>
        <w:tblInd w:w="108" w:type="dxa"/>
        <w:tblLook w:val="01E0" w:firstRow="1" w:lastRow="1" w:firstColumn="1" w:lastColumn="1" w:noHBand="0" w:noVBand="0"/>
      </w:tblPr>
      <w:tblGrid>
        <w:gridCol w:w="1985"/>
        <w:gridCol w:w="6804"/>
      </w:tblGrid>
      <w:tr w:rsidR="0026369A" w:rsidRPr="00FB6E71" w:rsidTr="0082251B">
        <w:trPr>
          <w:trHeight w:val="20"/>
        </w:trPr>
        <w:tc>
          <w:tcPr>
            <w:tcW w:w="1985" w:type="dxa"/>
          </w:tcPr>
          <w:p w:rsidR="0026369A" w:rsidRDefault="0026369A" w:rsidP="0026369A">
            <w:pPr>
              <w:pStyle w:val="TableBodyText"/>
              <w:ind w:left="34"/>
              <w:jc w:val="left"/>
            </w:pPr>
            <w:r>
              <w:t>Key amendments from previous cycle:</w:t>
            </w:r>
          </w:p>
          <w:p w:rsidR="0026369A" w:rsidRPr="00FB6E71" w:rsidRDefault="0026369A" w:rsidP="0026369A">
            <w:pPr>
              <w:pStyle w:val="TableBodyText"/>
              <w:ind w:left="34"/>
              <w:jc w:val="left"/>
            </w:pPr>
          </w:p>
        </w:tc>
        <w:tc>
          <w:tcPr>
            <w:tcW w:w="6804" w:type="dxa"/>
          </w:tcPr>
          <w:p w:rsidR="0026369A" w:rsidRDefault="00F911C4" w:rsidP="00801652">
            <w:pPr>
              <w:pStyle w:val="TableBodyText"/>
              <w:ind w:left="34"/>
              <w:jc w:val="left"/>
            </w:pPr>
            <w:r w:rsidRPr="00CE019A">
              <w:t>From 2011, the NAPLAN writing te</w:t>
            </w:r>
            <w:r w:rsidR="00801652">
              <w:t>s</w:t>
            </w:r>
            <w:r w:rsidRPr="00CE019A">
              <w:t>t was assessed on a persuasive te</w:t>
            </w:r>
            <w:r w:rsidR="00F2381B">
              <w:t>x</w:t>
            </w:r>
            <w:r w:rsidRPr="00CE019A">
              <w:t xml:space="preserve">t, rather than the narrative text used in previous years. Results for NAPLAN writing from 2011 are not comparable with results for </w:t>
            </w:r>
            <w:r w:rsidR="00711CF9">
              <w:t xml:space="preserve">prior </w:t>
            </w:r>
            <w:r w:rsidRPr="00CE019A">
              <w:t>years</w:t>
            </w:r>
            <w:r>
              <w:t>.</w:t>
            </w:r>
          </w:p>
        </w:tc>
      </w:tr>
      <w:tr w:rsidR="0026369A" w:rsidRPr="00FB6E71" w:rsidTr="0026369A">
        <w:trPr>
          <w:trHeight w:val="1417"/>
        </w:trPr>
        <w:tc>
          <w:tcPr>
            <w:tcW w:w="1985" w:type="dxa"/>
          </w:tcPr>
          <w:p w:rsidR="0026369A" w:rsidRPr="00FB6E71" w:rsidRDefault="0026369A" w:rsidP="0026369A">
            <w:pPr>
              <w:pStyle w:val="TableBodyText"/>
              <w:ind w:left="34"/>
              <w:jc w:val="left"/>
            </w:pPr>
            <w:r w:rsidRPr="00FB6E71">
              <w:t>Outcome:</w:t>
            </w:r>
          </w:p>
        </w:tc>
        <w:tc>
          <w:tcPr>
            <w:tcW w:w="6804" w:type="dxa"/>
          </w:tcPr>
          <w:p w:rsidR="0026369A" w:rsidRDefault="0026369A" w:rsidP="0026369A">
            <w:pPr>
              <w:pStyle w:val="TableBodyText"/>
              <w:spacing w:after="0"/>
              <w:ind w:left="34"/>
              <w:jc w:val="left"/>
            </w:pPr>
            <w:r>
              <w:t>Schooling promotes the social inclusion and reduces the educational disadvantage of children, especially Indigenous children</w:t>
            </w:r>
          </w:p>
          <w:p w:rsidR="0026369A" w:rsidRDefault="0026369A" w:rsidP="0026369A">
            <w:pPr>
              <w:pStyle w:val="TableBodyText"/>
              <w:spacing w:after="0"/>
              <w:ind w:left="34"/>
              <w:jc w:val="left"/>
            </w:pPr>
          </w:p>
          <w:p w:rsidR="0026369A" w:rsidRDefault="0026369A" w:rsidP="0026369A">
            <w:pPr>
              <w:pStyle w:val="TableBodyText"/>
              <w:spacing w:after="0"/>
              <w:ind w:left="34"/>
              <w:jc w:val="left"/>
            </w:pPr>
            <w:r>
              <w:t>The aim of the target is to halve the gap between Indigenous and</w:t>
            </w:r>
          </w:p>
          <w:p w:rsidR="0026369A" w:rsidRDefault="0026369A" w:rsidP="0026369A">
            <w:pPr>
              <w:pStyle w:val="TableBodyText"/>
              <w:spacing w:after="0"/>
              <w:ind w:left="34"/>
              <w:jc w:val="left"/>
            </w:pPr>
            <w:r>
              <w:t>non-Indigenous students at or above the national minimum standards in</w:t>
            </w:r>
          </w:p>
          <w:p w:rsidR="0026369A" w:rsidRDefault="0026369A" w:rsidP="0026369A">
            <w:pPr>
              <w:pStyle w:val="TableBodyText"/>
              <w:spacing w:after="0"/>
              <w:ind w:left="34"/>
              <w:jc w:val="left"/>
            </w:pPr>
            <w:r>
              <w:t>reading, writing and numeracy by 2018 (10 years from 2008 — the</w:t>
            </w:r>
          </w:p>
          <w:p w:rsidR="0026369A" w:rsidRDefault="0026369A" w:rsidP="0026369A">
            <w:pPr>
              <w:pStyle w:val="TableBodyText"/>
              <w:spacing w:after="0"/>
              <w:ind w:left="34"/>
              <w:jc w:val="left"/>
            </w:pPr>
            <w:r>
              <w:t>baseline period)</w:t>
            </w:r>
          </w:p>
          <w:p w:rsidR="0026369A" w:rsidRPr="00FB6E71" w:rsidRDefault="0026369A" w:rsidP="0026369A">
            <w:pPr>
              <w:pStyle w:val="TableBodyText"/>
              <w:spacing w:after="0"/>
              <w:ind w:left="34"/>
              <w:jc w:val="left"/>
            </w:pPr>
          </w:p>
        </w:tc>
      </w:tr>
      <w:tr w:rsidR="0026369A" w:rsidRPr="00FB6E71" w:rsidTr="0026369A">
        <w:trPr>
          <w:trHeight w:val="1709"/>
        </w:trPr>
        <w:tc>
          <w:tcPr>
            <w:tcW w:w="1985" w:type="dxa"/>
          </w:tcPr>
          <w:p w:rsidR="0026369A" w:rsidRPr="00FB6E71" w:rsidRDefault="0026369A" w:rsidP="0026369A">
            <w:pPr>
              <w:pStyle w:val="TableBodyText"/>
              <w:ind w:left="34"/>
              <w:jc w:val="left"/>
            </w:pPr>
            <w:r w:rsidRPr="00FB6E71">
              <w:t xml:space="preserve">Measure: </w:t>
            </w:r>
          </w:p>
        </w:tc>
        <w:tc>
          <w:tcPr>
            <w:tcW w:w="6804" w:type="dxa"/>
          </w:tcPr>
          <w:p w:rsidR="0026369A" w:rsidRPr="00FB6E71" w:rsidRDefault="0026369A" w:rsidP="0026369A">
            <w:pPr>
              <w:pStyle w:val="TableBodyText"/>
              <w:ind w:left="34"/>
              <w:jc w:val="left"/>
            </w:pPr>
            <w:r w:rsidRPr="00FB6E71">
              <w:t xml:space="preserve">The </w:t>
            </w:r>
            <w:r w:rsidRPr="00B7273E">
              <w:t>measure</w:t>
            </w:r>
            <w:r>
              <w:t xml:space="preserve"> is defined as:</w:t>
            </w:r>
          </w:p>
          <w:p w:rsidR="0026369A" w:rsidRDefault="0026369A" w:rsidP="0026369A">
            <w:pPr>
              <w:pStyle w:val="TableBullet"/>
            </w:pPr>
            <w:r>
              <w:t>proportion of students at or above the national minimum standard in reading, writing and numeracy for years 3, 5, 7 and 9, by Indigenous status</w:t>
            </w:r>
          </w:p>
          <w:p w:rsidR="0026369A" w:rsidRDefault="0026369A" w:rsidP="0026369A">
            <w:pPr>
              <w:pStyle w:val="TableBodyText"/>
              <w:ind w:hanging="6"/>
              <w:jc w:val="left"/>
            </w:pPr>
          </w:p>
          <w:p w:rsidR="0026369A" w:rsidRDefault="0026369A" w:rsidP="0026369A">
            <w:pPr>
              <w:pStyle w:val="TableBodyText"/>
              <w:ind w:left="34"/>
              <w:jc w:val="left"/>
            </w:pPr>
            <w:r>
              <w:t xml:space="preserve">[Note: NAPLAN reports the percentage of students who achieved at or above the national minimum standard. The complex process by which student scores are arrived at and distributed across the national achievement bands (using the </w:t>
            </w:r>
            <w:proofErr w:type="spellStart"/>
            <w:r>
              <w:t>Rasch</w:t>
            </w:r>
            <w:proofErr w:type="spellEnd"/>
            <w:r>
              <w:t xml:space="preserve"> model, a recognised analysis model for educational measurement) are agreed by states, territories and the Commonwealth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26369A" w:rsidRPr="00FB6E71" w:rsidRDefault="0026369A" w:rsidP="0026369A">
            <w:pPr>
              <w:pStyle w:val="TableBodyText"/>
              <w:ind w:left="34"/>
              <w:jc w:val="left"/>
            </w:pPr>
          </w:p>
        </w:tc>
      </w:tr>
      <w:tr w:rsidR="0026369A" w:rsidRPr="00FB6E71" w:rsidTr="0026369A">
        <w:trPr>
          <w:trHeight w:val="1054"/>
        </w:trPr>
        <w:tc>
          <w:tcPr>
            <w:tcW w:w="1985" w:type="dxa"/>
          </w:tcPr>
          <w:p w:rsidR="0026369A" w:rsidRPr="00FB6E71" w:rsidRDefault="0026369A" w:rsidP="0026369A">
            <w:pPr>
              <w:pStyle w:val="TableBodyText"/>
              <w:ind w:left="34"/>
              <w:jc w:val="left"/>
            </w:pPr>
            <w:r>
              <w:t>Related performance indicator/s:</w:t>
            </w:r>
          </w:p>
        </w:tc>
        <w:tc>
          <w:tcPr>
            <w:tcW w:w="6804" w:type="dxa"/>
          </w:tcPr>
          <w:p w:rsidR="0026369A" w:rsidRDefault="0026369A" w:rsidP="0026369A">
            <w:pPr>
              <w:pStyle w:val="TableBodyText"/>
              <w:ind w:left="34"/>
              <w:jc w:val="left"/>
            </w:pPr>
            <w:r>
              <w:t>Performance indicator 5, ‘Literacy and numeracy achievement of year 3, 5, 7 and 9 Indigenous and low SES students in national tes</w:t>
            </w:r>
            <w:r w:rsidR="00991436">
              <w:t>ting’ is related to this target</w:t>
            </w:r>
          </w:p>
          <w:p w:rsidR="0026369A" w:rsidRDefault="0026369A" w:rsidP="0026369A">
            <w:pPr>
              <w:pStyle w:val="TableBodyText"/>
              <w:ind w:left="34"/>
              <w:jc w:val="left"/>
            </w:pPr>
          </w:p>
        </w:tc>
      </w:tr>
      <w:tr w:rsidR="0026369A" w:rsidRPr="00FB6E71" w:rsidTr="0026369A">
        <w:trPr>
          <w:trHeight w:val="574"/>
        </w:trPr>
        <w:tc>
          <w:tcPr>
            <w:tcW w:w="1985" w:type="dxa"/>
          </w:tcPr>
          <w:p w:rsidR="0026369A" w:rsidRPr="00FB6E71" w:rsidRDefault="0026369A" w:rsidP="0026369A">
            <w:pPr>
              <w:pStyle w:val="TableBodyText"/>
              <w:ind w:left="34"/>
              <w:jc w:val="left"/>
            </w:pPr>
            <w:r w:rsidRPr="00FB6E71">
              <w:t>Data source:</w:t>
            </w:r>
          </w:p>
        </w:tc>
        <w:tc>
          <w:tcPr>
            <w:tcW w:w="6804" w:type="dxa"/>
          </w:tcPr>
          <w:p w:rsidR="0026369A" w:rsidRDefault="0026369A" w:rsidP="0026369A">
            <w:pPr>
              <w:pStyle w:val="TableBodyText"/>
              <w:ind w:left="34"/>
              <w:jc w:val="left"/>
            </w:pPr>
            <w:r>
              <w:rPr>
                <w:u w:val="single"/>
              </w:rPr>
              <w:t xml:space="preserve">National Assessment Program — Literacy and Numeracy </w:t>
            </w:r>
            <w:r w:rsidRPr="00BF5747">
              <w:t>(NAPLAN). Data are available</w:t>
            </w:r>
            <w:r>
              <w:t xml:space="preserve"> annually</w:t>
            </w:r>
          </w:p>
          <w:p w:rsidR="0026369A" w:rsidRPr="00FB6E71" w:rsidRDefault="0026369A" w:rsidP="0026369A">
            <w:pPr>
              <w:pStyle w:val="TableBodyText"/>
              <w:ind w:left="34"/>
              <w:jc w:val="left"/>
            </w:pPr>
          </w:p>
        </w:tc>
      </w:tr>
      <w:tr w:rsidR="0026369A" w:rsidRPr="00FB6E71" w:rsidTr="0026369A">
        <w:trPr>
          <w:trHeight w:val="582"/>
        </w:trPr>
        <w:tc>
          <w:tcPr>
            <w:tcW w:w="1985" w:type="dxa"/>
          </w:tcPr>
          <w:p w:rsidR="0026369A" w:rsidRPr="00FB6E71" w:rsidRDefault="0026369A" w:rsidP="0026369A">
            <w:pPr>
              <w:pStyle w:val="TableBodyText"/>
              <w:ind w:left="34"/>
              <w:jc w:val="left"/>
            </w:pPr>
            <w:r w:rsidRPr="00FB6E71">
              <w:t>Data provider:</w:t>
            </w:r>
          </w:p>
        </w:tc>
        <w:tc>
          <w:tcPr>
            <w:tcW w:w="6804" w:type="dxa"/>
          </w:tcPr>
          <w:p w:rsidR="0026369A" w:rsidRPr="00FB6E71" w:rsidRDefault="0026369A" w:rsidP="0026369A">
            <w:pPr>
              <w:pStyle w:val="TableBodyText"/>
              <w:ind w:left="34"/>
              <w:jc w:val="left"/>
            </w:pPr>
            <w:r>
              <w:t>ACARA</w:t>
            </w:r>
          </w:p>
        </w:tc>
      </w:tr>
      <w:tr w:rsidR="0026369A" w:rsidRPr="00FB6E71" w:rsidTr="0026369A">
        <w:trPr>
          <w:trHeight w:val="646"/>
        </w:trPr>
        <w:tc>
          <w:tcPr>
            <w:tcW w:w="1985" w:type="dxa"/>
          </w:tcPr>
          <w:p w:rsidR="0026369A" w:rsidRPr="00FB6E71" w:rsidRDefault="0026369A" w:rsidP="0026369A">
            <w:pPr>
              <w:pStyle w:val="TableBodyText"/>
              <w:ind w:left="34"/>
              <w:jc w:val="left"/>
            </w:pPr>
            <w:r w:rsidRPr="00FB6E71">
              <w:t>Data availability:</w:t>
            </w:r>
          </w:p>
        </w:tc>
        <w:tc>
          <w:tcPr>
            <w:tcW w:w="6804" w:type="dxa"/>
          </w:tcPr>
          <w:p w:rsidR="0026369A" w:rsidRPr="00AB7845" w:rsidRDefault="0026369A" w:rsidP="0026369A">
            <w:pPr>
              <w:pStyle w:val="TableBodyText"/>
              <w:ind w:left="34"/>
              <w:jc w:val="left"/>
              <w:rPr>
                <w:rStyle w:val="DraftingNote"/>
                <w:b w:val="0"/>
              </w:rPr>
            </w:pPr>
            <w:r>
              <w:t>NAPLAN — 2011</w:t>
            </w:r>
          </w:p>
        </w:tc>
      </w:tr>
      <w:tr w:rsidR="0026369A" w:rsidRPr="00FB6E71" w:rsidTr="0026369A">
        <w:trPr>
          <w:trHeight w:val="350"/>
        </w:trPr>
        <w:tc>
          <w:tcPr>
            <w:tcW w:w="1985" w:type="dxa"/>
          </w:tcPr>
          <w:p w:rsidR="0026369A" w:rsidRPr="00FB6E71" w:rsidRDefault="0026369A" w:rsidP="0026369A">
            <w:pPr>
              <w:pStyle w:val="TableBodyText"/>
              <w:ind w:left="34"/>
              <w:jc w:val="left"/>
            </w:pPr>
            <w:r>
              <w:t>Baseline:</w:t>
            </w:r>
          </w:p>
        </w:tc>
        <w:tc>
          <w:tcPr>
            <w:tcW w:w="6804" w:type="dxa"/>
          </w:tcPr>
          <w:p w:rsidR="0026369A" w:rsidRDefault="0026369A" w:rsidP="0026369A">
            <w:pPr>
              <w:pStyle w:val="TableBodyText"/>
              <w:ind w:left="34"/>
              <w:jc w:val="left"/>
            </w:pPr>
            <w:r>
              <w:t>2008</w:t>
            </w:r>
          </w:p>
        </w:tc>
      </w:tr>
      <w:tr w:rsidR="0026369A" w:rsidRPr="00FB6E71" w:rsidTr="0026369A">
        <w:tc>
          <w:tcPr>
            <w:tcW w:w="1985" w:type="dxa"/>
          </w:tcPr>
          <w:p w:rsidR="0026369A" w:rsidRPr="00FB6E71" w:rsidRDefault="0026369A" w:rsidP="0026369A">
            <w:pPr>
              <w:pStyle w:val="TableBodyText"/>
              <w:ind w:left="34"/>
              <w:jc w:val="left"/>
            </w:pPr>
            <w:r w:rsidRPr="00FB6E71">
              <w:t>Cross tabulations provided:</w:t>
            </w:r>
          </w:p>
        </w:tc>
        <w:tc>
          <w:tcPr>
            <w:tcW w:w="6804" w:type="dxa"/>
          </w:tcPr>
          <w:p w:rsidR="0026369A" w:rsidRDefault="0026369A" w:rsidP="0026369A">
            <w:pPr>
              <w:pStyle w:val="TableBullet"/>
              <w:numPr>
                <w:ilvl w:val="0"/>
                <w:numId w:val="0"/>
              </w:numPr>
              <w:ind w:left="34"/>
            </w:pPr>
            <w:r>
              <w:t>For each year level (3, 5, 7 and 9 — reported individually) by learning domain (reading, writing and numeracy — reported individually), State and Territory by:</w:t>
            </w:r>
          </w:p>
          <w:p w:rsidR="0026369A" w:rsidRDefault="0026369A" w:rsidP="0026369A">
            <w:pPr>
              <w:pStyle w:val="TableBullet"/>
            </w:pPr>
            <w:r w:rsidRPr="00C35944">
              <w:t>Indigenous status</w:t>
            </w:r>
          </w:p>
          <w:p w:rsidR="0026369A" w:rsidRPr="00FB6E71" w:rsidRDefault="0026369A" w:rsidP="0026369A">
            <w:pPr>
              <w:pStyle w:val="TableBullet"/>
              <w:numPr>
                <w:ilvl w:val="0"/>
                <w:numId w:val="0"/>
              </w:numPr>
              <w:ind w:left="170" w:hanging="170"/>
            </w:pP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rPr>
          <w:cantSplit/>
        </w:trPr>
        <w:tc>
          <w:tcPr>
            <w:tcW w:w="8771" w:type="dxa"/>
            <w:tcBorders>
              <w:top w:val="single" w:sz="6" w:space="0" w:color="auto"/>
              <w:bottom w:val="nil"/>
            </w:tcBorders>
          </w:tcPr>
          <w:p w:rsidR="0026369A" w:rsidRDefault="0026369A" w:rsidP="0026369A">
            <w:pPr>
              <w:pStyle w:val="BoxTitle"/>
              <w:keepNext w:val="0"/>
              <w:keepLines w:val="0"/>
              <w:widowControl w:val="0"/>
            </w:pPr>
            <w:r>
              <w:rPr>
                <w:b w:val="0"/>
              </w:rPr>
              <w:lastRenderedPageBreak/>
              <w:t xml:space="preserve">Box </w:t>
            </w:r>
            <w:r>
              <w:rPr>
                <w:b w:val="0"/>
              </w:rPr>
              <w:fldChar w:fldCharType="begin"/>
            </w:r>
            <w:r>
              <w:rPr>
                <w:b w:val="0"/>
              </w:rPr>
              <w:instrText xml:space="preserve"> SEQ Box \* ARABIC </w:instrText>
            </w:r>
            <w:r>
              <w:rPr>
                <w:b w:val="0"/>
              </w:rPr>
              <w:fldChar w:fldCharType="separate"/>
            </w:r>
            <w:r w:rsidR="00936B93">
              <w:rPr>
                <w:b w:val="0"/>
                <w:noProof/>
              </w:rPr>
              <w:t>6</w:t>
            </w:r>
            <w:r>
              <w:rPr>
                <w:b w:val="0"/>
              </w:rPr>
              <w:fldChar w:fldCharType="end"/>
            </w:r>
            <w:r>
              <w:tab/>
              <w:t>Results</w:t>
            </w:r>
          </w:p>
        </w:tc>
      </w:tr>
      <w:tr w:rsidR="0026369A" w:rsidTr="0026369A">
        <w:trPr>
          <w:cantSplit/>
        </w:trPr>
        <w:tc>
          <w:tcPr>
            <w:tcW w:w="8771" w:type="dxa"/>
            <w:tcBorders>
              <w:top w:val="nil"/>
              <w:left w:val="single" w:sz="4" w:space="0" w:color="auto"/>
              <w:bottom w:val="nil"/>
              <w:right w:val="single" w:sz="4" w:space="0" w:color="auto"/>
            </w:tcBorders>
          </w:tcPr>
          <w:p w:rsidR="00C62F5B" w:rsidRDefault="00C62F5B" w:rsidP="0082251B">
            <w:pPr>
              <w:pStyle w:val="Box"/>
            </w:pPr>
            <w:r>
              <w:t>For this report, new data for this target are available for 2011.</w:t>
            </w:r>
          </w:p>
          <w:p w:rsidR="00C62F5B" w:rsidRDefault="00C62F5B" w:rsidP="0082251B">
            <w:pPr>
              <w:pStyle w:val="BoxListBullet"/>
              <w:numPr>
                <w:ilvl w:val="0"/>
                <w:numId w:val="1"/>
              </w:numPr>
            </w:pPr>
            <w:r>
              <w:t xml:space="preserve">Data by State and Territory, by Indigenous status for years 3, 5, 7 and 9 are presented in tables </w:t>
            </w:r>
            <w:proofErr w:type="spellStart"/>
            <w:r>
              <w:t>NEA.5.26</w:t>
            </w:r>
            <w:proofErr w:type="spellEnd"/>
            <w:r>
              <w:t>–5.37.</w:t>
            </w:r>
          </w:p>
          <w:p w:rsidR="00C62F5B" w:rsidRDefault="00C62F5B" w:rsidP="0082251B">
            <w:pPr>
              <w:pStyle w:val="Box"/>
              <w:jc w:val="left"/>
            </w:pPr>
            <w:r>
              <w:t>Results for 2010 are available in the 2010 NEA performance report, and results for 2009 and 2008 are available in the 2009 NEA performance report.</w:t>
            </w:r>
          </w:p>
          <w:p w:rsidR="0026369A" w:rsidRDefault="00C62F5B" w:rsidP="0082251B">
            <w:pPr>
              <w:pStyle w:val="Box"/>
              <w:spacing w:line="240" w:lineRule="auto"/>
            </w:pPr>
            <w:r>
              <w:t>Apparent differences may not be statistically significant</w:t>
            </w:r>
            <w:r w:rsidRPr="005177D0">
              <w:t xml:space="preserve"> and relevant confidence intervals may be requested directly from the data provider</w:t>
            </w:r>
            <w:r>
              <w:t xml:space="preserve">. </w:t>
            </w:r>
            <w:r w:rsidRPr="005177D0">
              <w:t>Different confidence intervals are required depending on the type of analysis. Confidence intervals for comparing data within years across jurisdictions are different from confidence intervals for comparing data across years within and across jurisdictions.</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FC4A4C" w:rsidRDefault="0026369A" w:rsidP="0026369A">
      <w:pPr>
        <w:pStyle w:val="Heading4"/>
        <w:spacing w:after="120"/>
      </w:pPr>
      <w:r>
        <w:t>Attachment table</w:t>
      </w:r>
      <w:r w:rsidR="000F0C9C">
        <w:t>s</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13" w:anchor="'Table NEA.5.26'!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NEA.5.26</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3 students who achieved at or above the national minimum standard for reading,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14" w:anchor="'Table NEA.5.27'!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NEA.5.27</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3 students who achieved at or above the national minimum standard for writing,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15" w:anchor="'Table NEA.5.28'!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NEA.5.28</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3 students who achieved at or above the national minimum standard for numeracy,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16" w:anchor="'Table NEA.5.29'!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NEA.5.29</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5 students who achieved at or above the national minimum standard for reading,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17" w:anchor="'Table NEA.5.30'!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NEA.5.30</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5 students who achieved at or above the national minimum standard for writing,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18" w:anchor="'Table NEA.5.31'!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NEA.5.31</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5 students who achieved at or above the national minimum standard for numeracy,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19" w:anchor="'Table NEA.5.32'!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NEA.5.32</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7 students who achieved at or above the national minimum standard for reading,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20" w:anchor="'Table NEA.5.33'!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NEA.5.33</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7 students who achieved at or above the national minimum standard for writing,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21" w:anchor="'Table NEA.5.34'!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NEA.5.34</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7 students who achieved at or above the national minimum standard for numeracy,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22" w:anchor="'Table NEA.5.35'!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NEA.5.35</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9 students who achieved at or above the national minimum standard for reading,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23" w:anchor="'Table NEA.5.36'!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NEA.5.36</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9 students who achieved at or above the national minimum standard for writing, by State and Territory, by Indigenous status, 2011 (per cent)  </w:t>
            </w:r>
          </w:p>
        </w:tc>
      </w:tr>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24" w:anchor="'Table NEA.5.37'!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NEA.5.37</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Proportion of year 9 students who achieved at or above the national minimum standard for numeracy, by State and Territory, by Indigenous status, 2011 (per cent)  </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7</w:t>
            </w:r>
            <w:r>
              <w:rPr>
                <w:b w:val="0"/>
              </w:rPr>
              <w:fldChar w:fldCharType="end"/>
            </w:r>
            <w:r>
              <w:tab/>
              <w:t>Comment on data quality</w:t>
            </w:r>
          </w:p>
        </w:tc>
      </w:tr>
      <w:tr w:rsidR="0026369A" w:rsidTr="0026369A">
        <w:trPr>
          <w:cantSplit/>
        </w:trPr>
        <w:tc>
          <w:tcPr>
            <w:tcW w:w="8771" w:type="dxa"/>
            <w:tcBorders>
              <w:top w:val="nil"/>
              <w:left w:val="single" w:sz="4" w:space="0" w:color="auto"/>
              <w:bottom w:val="nil"/>
              <w:right w:val="single" w:sz="4" w:space="0" w:color="auto"/>
            </w:tcBorders>
          </w:tcPr>
          <w:p w:rsidR="00CE019A" w:rsidRDefault="00F911C4" w:rsidP="0082251B">
            <w:pPr>
              <w:pStyle w:val="Box"/>
            </w:pPr>
            <w:r>
              <w:t>A break in series for the NAPLAN writing test occurred in 2011. Writing is now assessed using a persuasive tex</w:t>
            </w:r>
            <w:r w:rsidRPr="00CE019A">
              <w:t xml:space="preserve">t, rather than </w:t>
            </w:r>
            <w:r>
              <w:t xml:space="preserve">a </w:t>
            </w:r>
            <w:r w:rsidRPr="00CE019A">
              <w:t>narrative text</w:t>
            </w:r>
            <w:r>
              <w:t>. This means r</w:t>
            </w:r>
            <w:r w:rsidRPr="00CE019A">
              <w:t xml:space="preserve">esults for NAPLAN writing from 2011 are not comparable with results for </w:t>
            </w:r>
            <w:r w:rsidR="00354BE8">
              <w:t xml:space="preserve">prior </w:t>
            </w:r>
            <w:r w:rsidRPr="00CE019A">
              <w:t>years.</w:t>
            </w:r>
            <w:r w:rsidR="00840FA5">
              <w:t xml:space="preserve"> Results for achievement in reading literacy and numeracy are not affected.</w:t>
            </w:r>
          </w:p>
          <w:p w:rsidR="00133615" w:rsidRDefault="002C08D2" w:rsidP="00F911C4">
            <w:pPr>
              <w:pStyle w:val="Box"/>
            </w:pPr>
            <w:r>
              <w:t>Further details are included in the comment on data quality for NEA Indicator 5</w:t>
            </w:r>
            <w:r w:rsidR="00133615" w:rsidRPr="005177D0">
              <w:rPr>
                <w:rStyle w:val="DraftingNote"/>
                <w:b w:val="0"/>
                <w:color w:val="auto"/>
                <w:sz w:val="22"/>
                <w:u w:val="none"/>
              </w:rPr>
              <w: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Default="0026369A" w:rsidP="0026369A">
      <w:pPr>
        <w:pStyle w:val="BodyText"/>
      </w:pPr>
    </w:p>
    <w:p w:rsidR="0026369A" w:rsidRPr="00FB6E71" w:rsidRDefault="0026369A" w:rsidP="0026369A">
      <w:pPr>
        <w:pStyle w:val="Heading3"/>
        <w:spacing w:before="360" w:after="240" w:line="240" w:lineRule="auto"/>
      </w:pPr>
      <w:r>
        <w:br w:type="page"/>
      </w:r>
      <w:r>
        <w:lastRenderedPageBreak/>
        <w:t>Performance target (c) —</w:t>
      </w:r>
      <w:r w:rsidRPr="00FB6E71">
        <w:t xml:space="preserve"> </w:t>
      </w:r>
      <w:r>
        <w:t>at least halve the gap for Indigenous students in Year 12 or equivalent attainment rates by 2020</w:t>
      </w:r>
    </w:p>
    <w:tbl>
      <w:tblPr>
        <w:tblW w:w="8789" w:type="dxa"/>
        <w:tblInd w:w="108" w:type="dxa"/>
        <w:tblLook w:val="01E0" w:firstRow="1" w:lastRow="1" w:firstColumn="1" w:lastColumn="1" w:noHBand="0" w:noVBand="0"/>
      </w:tblPr>
      <w:tblGrid>
        <w:gridCol w:w="1985"/>
        <w:gridCol w:w="6804"/>
      </w:tblGrid>
      <w:tr w:rsidR="0026369A" w:rsidRPr="00FB6E71" w:rsidTr="0026369A">
        <w:trPr>
          <w:trHeight w:val="682"/>
        </w:trPr>
        <w:tc>
          <w:tcPr>
            <w:tcW w:w="1985" w:type="dxa"/>
          </w:tcPr>
          <w:p w:rsidR="0026369A" w:rsidRDefault="0026369A" w:rsidP="0026369A">
            <w:pPr>
              <w:pStyle w:val="TableBodyText"/>
              <w:ind w:left="34"/>
              <w:jc w:val="left"/>
            </w:pPr>
            <w:r>
              <w:t>Key amendments from previous cycle:</w:t>
            </w:r>
          </w:p>
          <w:p w:rsidR="0026369A" w:rsidRPr="00FB6E71" w:rsidRDefault="0026369A" w:rsidP="0026369A">
            <w:pPr>
              <w:pStyle w:val="TableBodyText"/>
              <w:ind w:left="34"/>
              <w:jc w:val="left"/>
            </w:pPr>
          </w:p>
        </w:tc>
        <w:tc>
          <w:tcPr>
            <w:tcW w:w="6804" w:type="dxa"/>
          </w:tcPr>
          <w:p w:rsidR="0026369A" w:rsidRDefault="0026369A" w:rsidP="0026369A">
            <w:pPr>
              <w:pStyle w:val="TableBodyText"/>
              <w:ind w:left="34"/>
              <w:jc w:val="left"/>
            </w:pPr>
            <w:r>
              <w:t>No amendments have been made</w:t>
            </w:r>
          </w:p>
        </w:tc>
      </w:tr>
      <w:tr w:rsidR="0026369A" w:rsidRPr="00FB6E71" w:rsidTr="0026369A">
        <w:trPr>
          <w:trHeight w:val="682"/>
        </w:trPr>
        <w:tc>
          <w:tcPr>
            <w:tcW w:w="1985" w:type="dxa"/>
          </w:tcPr>
          <w:p w:rsidR="0026369A" w:rsidRPr="00FB6E71" w:rsidRDefault="0026369A" w:rsidP="0026369A">
            <w:pPr>
              <w:pStyle w:val="TableBodyText"/>
              <w:ind w:left="34"/>
              <w:jc w:val="left"/>
            </w:pPr>
            <w:r w:rsidRPr="00FB6E71">
              <w:t>Outcome:</w:t>
            </w:r>
          </w:p>
        </w:tc>
        <w:tc>
          <w:tcPr>
            <w:tcW w:w="6804" w:type="dxa"/>
          </w:tcPr>
          <w:p w:rsidR="0026369A" w:rsidRDefault="0026369A" w:rsidP="0026369A">
            <w:pPr>
              <w:pStyle w:val="TableBodyText"/>
              <w:ind w:hanging="6"/>
              <w:jc w:val="left"/>
            </w:pPr>
            <w:r>
              <w:t>Young people make a successful transition from school to work and further study</w:t>
            </w:r>
          </w:p>
          <w:p w:rsidR="0026369A" w:rsidRDefault="0026369A" w:rsidP="0026369A">
            <w:pPr>
              <w:pStyle w:val="TableBodyText"/>
              <w:ind w:hanging="6"/>
              <w:jc w:val="left"/>
            </w:pPr>
          </w:p>
          <w:p w:rsidR="0026369A" w:rsidRDefault="0026369A" w:rsidP="0026369A">
            <w:pPr>
              <w:pStyle w:val="TableBodyText"/>
              <w:ind w:hanging="6"/>
              <w:jc w:val="left"/>
            </w:pPr>
            <w:r>
              <w:t>The aim of the target is to halve the gap between Indigenous and</w:t>
            </w:r>
            <w:r w:rsidR="000D0E19">
              <w:t xml:space="preserve"> non</w:t>
            </w:r>
            <w:r w:rsidR="000D0E19">
              <w:noBreakHyphen/>
            </w:r>
            <w:r>
              <w:t>Indigenous students with year 12 attainment or equivalent</w:t>
            </w:r>
            <w:r w:rsidR="000D0E19">
              <w:t xml:space="preserve"> </w:t>
            </w:r>
            <w:r>
              <w:t>attainment by 2020 (14 years from 2006 – the baseline period)</w:t>
            </w:r>
          </w:p>
          <w:p w:rsidR="0026369A" w:rsidRPr="00FB6E71" w:rsidRDefault="0026369A" w:rsidP="0026369A">
            <w:pPr>
              <w:pStyle w:val="TableBodyText"/>
              <w:ind w:hanging="6"/>
              <w:jc w:val="left"/>
              <w:rPr>
                <w:sz w:val="24"/>
              </w:rPr>
            </w:pPr>
          </w:p>
        </w:tc>
      </w:tr>
      <w:tr w:rsidR="0026369A" w:rsidRPr="00FB6E71" w:rsidTr="0026369A">
        <w:trPr>
          <w:trHeight w:val="1709"/>
        </w:trPr>
        <w:tc>
          <w:tcPr>
            <w:tcW w:w="1985" w:type="dxa"/>
          </w:tcPr>
          <w:p w:rsidR="0026369A" w:rsidRPr="00FB6E71" w:rsidRDefault="0026369A" w:rsidP="0026369A">
            <w:pPr>
              <w:pStyle w:val="TableBodyText"/>
              <w:ind w:left="34"/>
              <w:jc w:val="left"/>
            </w:pPr>
            <w:r w:rsidRPr="00FB6E71">
              <w:t xml:space="preserve">Measure: </w:t>
            </w:r>
          </w:p>
        </w:tc>
        <w:tc>
          <w:tcPr>
            <w:tcW w:w="6804" w:type="dxa"/>
          </w:tcPr>
          <w:p w:rsidR="0026369A" w:rsidRDefault="0026369A" w:rsidP="0026369A">
            <w:pPr>
              <w:pStyle w:val="TableBodyText"/>
              <w:ind w:hanging="6"/>
              <w:jc w:val="left"/>
            </w:pPr>
            <w:r>
              <w:t xml:space="preserve">Proportion of 20 to 24 year olds having attained at least a year 12 or equivalent or </w:t>
            </w:r>
            <w:proofErr w:type="spellStart"/>
            <w:r>
              <w:t>AQF</w:t>
            </w:r>
            <w:proofErr w:type="spellEnd"/>
            <w:r>
              <w:t xml:space="preserve"> Certificate Level II, by Indigenous status</w:t>
            </w:r>
          </w:p>
          <w:p w:rsidR="0026369A" w:rsidRPr="00FB6E71" w:rsidRDefault="0026369A" w:rsidP="0026369A">
            <w:pPr>
              <w:pStyle w:val="TableBodyText"/>
              <w:ind w:hanging="6"/>
              <w:jc w:val="left"/>
            </w:pPr>
          </w:p>
          <w:p w:rsidR="0026369A" w:rsidRPr="00FB6E71" w:rsidRDefault="0026369A" w:rsidP="0026369A">
            <w:pPr>
              <w:pStyle w:val="TableBodyText"/>
              <w:ind w:hanging="6"/>
              <w:jc w:val="left"/>
            </w:pPr>
            <w:r w:rsidRPr="00FB6E71">
              <w:t xml:space="preserve">The </w:t>
            </w:r>
            <w:r w:rsidRPr="00B7273E">
              <w:t>measure</w:t>
            </w:r>
            <w:r>
              <w:t xml:space="preserve"> is defined as:</w:t>
            </w:r>
          </w:p>
          <w:p w:rsidR="0026369A" w:rsidRPr="00FB6E71" w:rsidRDefault="0026369A" w:rsidP="0026369A">
            <w:pPr>
              <w:pStyle w:val="TableBullet"/>
            </w:pPr>
            <w:r>
              <w:rPr>
                <w:i/>
              </w:rPr>
              <w:t>n</w:t>
            </w:r>
            <w:r w:rsidRPr="00FB6E71">
              <w:rPr>
                <w:i/>
              </w:rPr>
              <w:t>umerator</w:t>
            </w:r>
            <w:r>
              <w:t xml:space="preserve"> — number of 20 to 24 year olds who self-identify as having attained a year 12 or </w:t>
            </w:r>
            <w:proofErr w:type="spellStart"/>
            <w:r>
              <w:t>AQF</w:t>
            </w:r>
            <w:proofErr w:type="spellEnd"/>
            <w:r>
              <w:t xml:space="preserve"> Certificate Level II or above (includes Certificate I/II </w:t>
            </w:r>
            <w:proofErr w:type="spellStart"/>
            <w:r>
              <w:t>nfd</w:t>
            </w:r>
            <w:proofErr w:type="spellEnd"/>
            <w:r>
              <w:t>), by Indigenous status</w:t>
            </w:r>
          </w:p>
          <w:p w:rsidR="0026369A" w:rsidRPr="00FB6E71" w:rsidRDefault="0026369A" w:rsidP="0026369A">
            <w:pPr>
              <w:pStyle w:val="TableBullet"/>
            </w:pPr>
            <w:r>
              <w:rPr>
                <w:i/>
              </w:rPr>
              <w:t>d</w:t>
            </w:r>
            <w:r w:rsidRPr="00FB6E71">
              <w:rPr>
                <w:i/>
              </w:rPr>
              <w:t>enominator</w:t>
            </w:r>
            <w:r w:rsidRPr="00FB6E71">
              <w:t xml:space="preserve"> — </w:t>
            </w:r>
            <w:r>
              <w:t>number of 20 to 24 year olds in the population, by Indigenous status</w:t>
            </w:r>
          </w:p>
          <w:p w:rsidR="0026369A" w:rsidRDefault="0026369A" w:rsidP="0026369A">
            <w:pPr>
              <w:pStyle w:val="TableBodyText"/>
              <w:ind w:hanging="6"/>
              <w:jc w:val="left"/>
            </w:pPr>
            <w:r>
              <w:t xml:space="preserve">and is expressed as a </w:t>
            </w:r>
            <w:r w:rsidRPr="00665A74">
              <w:rPr>
                <w:i/>
              </w:rPr>
              <w:t>percentage</w:t>
            </w:r>
          </w:p>
          <w:p w:rsidR="0026369A" w:rsidRDefault="0026369A" w:rsidP="0026369A">
            <w:pPr>
              <w:pStyle w:val="TableBodyText"/>
              <w:ind w:left="34"/>
              <w:jc w:val="left"/>
            </w:pPr>
          </w:p>
          <w:p w:rsidR="0026369A" w:rsidRDefault="0026369A" w:rsidP="0026369A">
            <w:pPr>
              <w:pStyle w:val="TableBodyText"/>
              <w:ind w:left="34"/>
              <w:jc w:val="left"/>
              <w:rPr>
                <w:rFonts w:cs="Arial"/>
              </w:rPr>
            </w:pPr>
            <w:r>
              <w:rPr>
                <w:rFonts w:cs="Arial"/>
              </w:rPr>
              <w:t xml:space="preserve">Persons whose level of study is determined to be certificate level but is not able to be further defined (ie, Certificate </w:t>
            </w:r>
            <w:proofErr w:type="spellStart"/>
            <w:r>
              <w:rPr>
                <w:rFonts w:cs="Arial"/>
              </w:rPr>
              <w:t>nfd</w:t>
            </w:r>
            <w:proofErr w:type="spellEnd"/>
            <w:r>
              <w:rPr>
                <w:rFonts w:cs="Arial"/>
              </w:rPr>
              <w:t>) are assumed to have attained below Certificate level II and are therefore excluded from the numerator</w:t>
            </w:r>
          </w:p>
          <w:p w:rsidR="0026369A" w:rsidRDefault="0026369A" w:rsidP="0026369A">
            <w:pPr>
              <w:pStyle w:val="TableBodyText"/>
              <w:ind w:left="34"/>
              <w:jc w:val="left"/>
            </w:pPr>
            <w:r>
              <w:t>People whose level of study cannot be determined are assumed to have attained below Certificate II and are therefore excluded from the numerator</w:t>
            </w:r>
          </w:p>
          <w:p w:rsidR="0026369A" w:rsidRDefault="0026369A" w:rsidP="0026369A">
            <w:pPr>
              <w:pStyle w:val="TableBodyText"/>
              <w:ind w:left="34"/>
              <w:jc w:val="left"/>
            </w:pPr>
            <w:r>
              <w:t>Excludes people whose educational attainment is not stated (only applicable to Census data)</w:t>
            </w:r>
          </w:p>
          <w:p w:rsidR="0026369A" w:rsidRPr="00FB6E71" w:rsidRDefault="0026369A" w:rsidP="0026369A">
            <w:pPr>
              <w:pStyle w:val="TableBodyText"/>
              <w:ind w:hanging="6"/>
              <w:jc w:val="left"/>
            </w:pPr>
          </w:p>
        </w:tc>
      </w:tr>
      <w:tr w:rsidR="0026369A" w:rsidRPr="00FB6E71" w:rsidTr="0026369A">
        <w:trPr>
          <w:trHeight w:val="755"/>
        </w:trPr>
        <w:tc>
          <w:tcPr>
            <w:tcW w:w="1985" w:type="dxa"/>
          </w:tcPr>
          <w:p w:rsidR="0026369A" w:rsidRPr="00FB6E71" w:rsidRDefault="0026369A" w:rsidP="0026369A">
            <w:pPr>
              <w:pStyle w:val="TableBodyText"/>
              <w:ind w:left="34"/>
              <w:jc w:val="left"/>
            </w:pPr>
            <w:r>
              <w:t>Related performance indicator/s:</w:t>
            </w:r>
          </w:p>
        </w:tc>
        <w:tc>
          <w:tcPr>
            <w:tcW w:w="6804" w:type="dxa"/>
          </w:tcPr>
          <w:p w:rsidR="0026369A" w:rsidRDefault="0026369A" w:rsidP="0026369A">
            <w:pPr>
              <w:pStyle w:val="TableBodyText"/>
              <w:ind w:hanging="6"/>
              <w:jc w:val="left"/>
            </w:pPr>
            <w:r>
              <w:t xml:space="preserve">Performance indicator 8, ‘The proportion of the 20 to 24 year old Indigenous and low SES population having attained at least a year 12 or equivalent or </w:t>
            </w:r>
            <w:proofErr w:type="spellStart"/>
            <w:r>
              <w:t>AQF</w:t>
            </w:r>
            <w:proofErr w:type="spellEnd"/>
            <w:r>
              <w:t xml:space="preserve"> Certificate Level II or above’ is related to this target</w:t>
            </w:r>
          </w:p>
          <w:p w:rsidR="0026369A" w:rsidRDefault="0026369A" w:rsidP="0026369A">
            <w:pPr>
              <w:pStyle w:val="TableBodyText"/>
              <w:ind w:hanging="6"/>
              <w:jc w:val="left"/>
            </w:pPr>
          </w:p>
        </w:tc>
      </w:tr>
      <w:tr w:rsidR="0026369A" w:rsidRPr="00FB6E71" w:rsidTr="0026369A">
        <w:trPr>
          <w:trHeight w:val="611"/>
        </w:trPr>
        <w:tc>
          <w:tcPr>
            <w:tcW w:w="1985" w:type="dxa"/>
          </w:tcPr>
          <w:p w:rsidR="0026369A" w:rsidRPr="00FB6E71" w:rsidRDefault="0026369A" w:rsidP="0026369A">
            <w:pPr>
              <w:pStyle w:val="TableBodyText"/>
              <w:ind w:left="34"/>
              <w:jc w:val="left"/>
            </w:pPr>
            <w:r w:rsidRPr="00FB6E71">
              <w:t>Data source:</w:t>
            </w:r>
          </w:p>
        </w:tc>
        <w:tc>
          <w:tcPr>
            <w:tcW w:w="6804" w:type="dxa"/>
          </w:tcPr>
          <w:p w:rsidR="0026369A" w:rsidRDefault="0026369A" w:rsidP="0026369A">
            <w:pPr>
              <w:pStyle w:val="TableBodyText"/>
              <w:ind w:hanging="6"/>
              <w:jc w:val="left"/>
            </w:pPr>
            <w:r>
              <w:rPr>
                <w:rFonts w:ascii="Arial-ItalicMT" w:hAnsi="Arial-ItalicMT" w:cs="Arial-ItalicMT"/>
                <w:i/>
                <w:iCs/>
              </w:rPr>
              <w:t xml:space="preserve">(Main) Numerator and denominator </w:t>
            </w:r>
            <w:r>
              <w:t xml:space="preserve">— </w:t>
            </w:r>
            <w:r w:rsidRPr="00812650">
              <w:rPr>
                <w:u w:val="single"/>
              </w:rPr>
              <w:t>Census of Population and Housing</w:t>
            </w:r>
            <w:r w:rsidRPr="000E343F">
              <w:t xml:space="preserve"> </w:t>
            </w:r>
            <w:r>
              <w:t>(Census). Data are available every five years</w:t>
            </w:r>
          </w:p>
          <w:p w:rsidR="0026369A" w:rsidRDefault="0026369A" w:rsidP="0026369A">
            <w:pPr>
              <w:pStyle w:val="TableBodyText"/>
              <w:ind w:hanging="6"/>
              <w:jc w:val="left"/>
              <w:rPr>
                <w:rFonts w:ascii="Arial-ItalicMT" w:hAnsi="Arial-ItalicMT" w:cs="Arial-ItalicMT"/>
                <w:i/>
                <w:iCs/>
              </w:rPr>
            </w:pPr>
          </w:p>
          <w:p w:rsidR="0026369A" w:rsidRPr="00812650" w:rsidRDefault="0026369A" w:rsidP="0026369A">
            <w:pPr>
              <w:pStyle w:val="TableBodyText"/>
              <w:ind w:hanging="6"/>
              <w:jc w:val="left"/>
              <w:rPr>
                <w:u w:val="single"/>
              </w:rPr>
            </w:pPr>
            <w:r>
              <w:rPr>
                <w:rFonts w:ascii="Arial-ItalicMT" w:hAnsi="Arial-ItalicMT" w:cs="Arial-ItalicMT"/>
                <w:i/>
                <w:iCs/>
              </w:rPr>
              <w:t xml:space="preserve">(Supplementary Indigenous) </w:t>
            </w:r>
            <w:r w:rsidRPr="00812650">
              <w:rPr>
                <w:u w:val="single"/>
              </w:rPr>
              <w:t>National Aboriginal and Torres Strait</w:t>
            </w:r>
          </w:p>
          <w:p w:rsidR="0026369A" w:rsidRPr="00812650" w:rsidRDefault="0026369A" w:rsidP="0026369A">
            <w:pPr>
              <w:pStyle w:val="TableBodyText"/>
              <w:ind w:hanging="6"/>
              <w:jc w:val="left"/>
              <w:rPr>
                <w:u w:val="single"/>
              </w:rPr>
            </w:pPr>
            <w:r w:rsidRPr="00812650">
              <w:rPr>
                <w:u w:val="single"/>
              </w:rPr>
              <w:t>Islander Social Survey</w:t>
            </w:r>
            <w:r>
              <w:t xml:space="preserve"> (NATSISS) and the </w:t>
            </w:r>
            <w:r>
              <w:rPr>
                <w:u w:val="single"/>
              </w:rPr>
              <w:t>Australian</w:t>
            </w:r>
            <w:r w:rsidRPr="00812650">
              <w:rPr>
                <w:u w:val="single"/>
              </w:rPr>
              <w:t xml:space="preserve"> Aboriginal and</w:t>
            </w:r>
          </w:p>
          <w:p w:rsidR="0026369A" w:rsidRDefault="0026369A" w:rsidP="0026369A">
            <w:pPr>
              <w:pStyle w:val="TableBodyText"/>
              <w:ind w:hanging="6"/>
              <w:jc w:val="left"/>
            </w:pPr>
            <w:r w:rsidRPr="00812650">
              <w:rPr>
                <w:u w:val="single"/>
              </w:rPr>
              <w:t>Torres Strait Islander Health Survey</w:t>
            </w:r>
            <w:r>
              <w:t xml:space="preserve"> (AATSIHS) (which replaces the NATSIHS). Data are available on an alternating three-yearly cycle</w:t>
            </w:r>
          </w:p>
          <w:p w:rsidR="0026369A" w:rsidRDefault="0026369A" w:rsidP="0026369A">
            <w:pPr>
              <w:pStyle w:val="TableBodyText"/>
              <w:ind w:hanging="6"/>
              <w:jc w:val="left"/>
            </w:pPr>
          </w:p>
          <w:p w:rsidR="0026369A" w:rsidRDefault="0026369A" w:rsidP="0026369A">
            <w:pPr>
              <w:pStyle w:val="TableBodyText"/>
              <w:ind w:hanging="6"/>
              <w:jc w:val="left"/>
            </w:pPr>
            <w:r>
              <w:t>(</w:t>
            </w:r>
            <w:r>
              <w:rPr>
                <w:rFonts w:ascii="Arial-ItalicMT" w:hAnsi="Arial-ItalicMT" w:cs="Arial-ItalicMT"/>
                <w:i/>
                <w:iCs/>
              </w:rPr>
              <w:t>Supplementary non-Indigenous</w:t>
            </w:r>
            <w:r>
              <w:t xml:space="preserve">) </w:t>
            </w:r>
            <w:r w:rsidRPr="00812650">
              <w:rPr>
                <w:u w:val="single"/>
              </w:rPr>
              <w:t>Survey of Education and Work</w:t>
            </w:r>
            <w:r>
              <w:t xml:space="preserve"> (SEW).</w:t>
            </w:r>
          </w:p>
          <w:p w:rsidR="0026369A" w:rsidRPr="00FB6E71" w:rsidRDefault="0026369A" w:rsidP="0026369A">
            <w:pPr>
              <w:pStyle w:val="TableBodyText"/>
              <w:ind w:hanging="6"/>
              <w:jc w:val="left"/>
            </w:pPr>
            <w:r>
              <w:t>Data are available annually</w:t>
            </w:r>
          </w:p>
        </w:tc>
      </w:tr>
      <w:tr w:rsidR="0026369A" w:rsidRPr="00FB6E71" w:rsidTr="0026369A">
        <w:trPr>
          <w:trHeight w:val="582"/>
        </w:trPr>
        <w:tc>
          <w:tcPr>
            <w:tcW w:w="1985" w:type="dxa"/>
          </w:tcPr>
          <w:p w:rsidR="0026369A" w:rsidRPr="00FB6E71" w:rsidRDefault="0026369A" w:rsidP="0026369A">
            <w:pPr>
              <w:pStyle w:val="TableBodyText"/>
              <w:ind w:left="34"/>
              <w:jc w:val="left"/>
            </w:pPr>
            <w:r w:rsidRPr="00FB6E71">
              <w:lastRenderedPageBreak/>
              <w:t>Data provider:</w:t>
            </w:r>
          </w:p>
        </w:tc>
        <w:tc>
          <w:tcPr>
            <w:tcW w:w="6804" w:type="dxa"/>
          </w:tcPr>
          <w:p w:rsidR="0026369A" w:rsidRPr="00FB6E71" w:rsidRDefault="0026369A" w:rsidP="0026369A">
            <w:pPr>
              <w:pStyle w:val="TableBodyText"/>
              <w:ind w:hanging="6"/>
              <w:jc w:val="left"/>
            </w:pPr>
            <w:r w:rsidRPr="00FB6E71">
              <w:t>ABS</w:t>
            </w:r>
          </w:p>
        </w:tc>
      </w:tr>
      <w:tr w:rsidR="0026369A" w:rsidRPr="00FB6E71" w:rsidTr="0026369A">
        <w:trPr>
          <w:trHeight w:val="560"/>
        </w:trPr>
        <w:tc>
          <w:tcPr>
            <w:tcW w:w="1985" w:type="dxa"/>
          </w:tcPr>
          <w:p w:rsidR="0026369A" w:rsidRPr="00FB6E71" w:rsidRDefault="0026369A" w:rsidP="0026369A">
            <w:pPr>
              <w:pStyle w:val="TableBodyText"/>
              <w:ind w:left="34"/>
              <w:jc w:val="left"/>
            </w:pPr>
            <w:r w:rsidRPr="00FB6E71">
              <w:t>Data availability:</w:t>
            </w:r>
          </w:p>
        </w:tc>
        <w:tc>
          <w:tcPr>
            <w:tcW w:w="6804" w:type="dxa"/>
          </w:tcPr>
          <w:p w:rsidR="0026369A" w:rsidRPr="00FB6E71" w:rsidRDefault="0026369A" w:rsidP="0026369A">
            <w:pPr>
              <w:pStyle w:val="TableBodyText"/>
              <w:ind w:hanging="6"/>
              <w:jc w:val="left"/>
            </w:pPr>
            <w:r>
              <w:t>No new data are available for this reporting cycle</w:t>
            </w:r>
          </w:p>
        </w:tc>
      </w:tr>
      <w:tr w:rsidR="0026369A" w:rsidRPr="00FB6E71" w:rsidTr="0026369A">
        <w:trPr>
          <w:trHeight w:val="350"/>
        </w:trPr>
        <w:tc>
          <w:tcPr>
            <w:tcW w:w="1985" w:type="dxa"/>
          </w:tcPr>
          <w:p w:rsidR="0026369A" w:rsidRPr="00FB6E71" w:rsidRDefault="0026369A" w:rsidP="0026369A">
            <w:pPr>
              <w:pStyle w:val="TableBodyText"/>
              <w:ind w:left="34"/>
              <w:jc w:val="left"/>
            </w:pPr>
            <w:r>
              <w:t>Baseline:</w:t>
            </w:r>
          </w:p>
        </w:tc>
        <w:tc>
          <w:tcPr>
            <w:tcW w:w="6804" w:type="dxa"/>
          </w:tcPr>
          <w:p w:rsidR="0026369A" w:rsidRDefault="0026369A" w:rsidP="0026369A">
            <w:pPr>
              <w:pStyle w:val="TableBodyText"/>
              <w:ind w:hanging="6"/>
              <w:jc w:val="left"/>
            </w:pPr>
            <w:r>
              <w:t>2006</w:t>
            </w:r>
          </w:p>
          <w:p w:rsidR="0026369A" w:rsidRDefault="0026369A" w:rsidP="0026369A">
            <w:pPr>
              <w:pStyle w:val="TableBodyText"/>
              <w:ind w:hanging="6"/>
              <w:jc w:val="left"/>
            </w:pPr>
          </w:p>
        </w:tc>
      </w:tr>
      <w:tr w:rsidR="0026369A" w:rsidRPr="00FB6E71" w:rsidTr="0026369A">
        <w:tc>
          <w:tcPr>
            <w:tcW w:w="1985" w:type="dxa"/>
          </w:tcPr>
          <w:p w:rsidR="0026369A" w:rsidRPr="00FB6E71" w:rsidRDefault="0026369A" w:rsidP="0026369A">
            <w:pPr>
              <w:pStyle w:val="TableBodyText"/>
              <w:ind w:left="34"/>
              <w:jc w:val="left"/>
            </w:pPr>
            <w:r w:rsidRPr="00FB6E71">
              <w:t>Cross tabulations provided:</w:t>
            </w:r>
          </w:p>
        </w:tc>
        <w:tc>
          <w:tcPr>
            <w:tcW w:w="6804" w:type="dxa"/>
          </w:tcPr>
          <w:p w:rsidR="0026369A" w:rsidRPr="00FB6E71" w:rsidRDefault="0026369A" w:rsidP="0026369A">
            <w:pPr>
              <w:pStyle w:val="TableBodyText"/>
              <w:ind w:left="34"/>
              <w:jc w:val="left"/>
            </w:pPr>
            <w:r>
              <w:t>Not applicable</w:t>
            </w:r>
          </w:p>
        </w:tc>
      </w:tr>
    </w:tbl>
    <w:p w:rsidR="00133615" w:rsidRDefault="00133615" w:rsidP="0013361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33615" w:rsidTr="00133615">
        <w:tc>
          <w:tcPr>
            <w:tcW w:w="8771" w:type="dxa"/>
            <w:tcBorders>
              <w:top w:val="single" w:sz="6" w:space="0" w:color="auto"/>
              <w:bottom w:val="nil"/>
            </w:tcBorders>
          </w:tcPr>
          <w:p w:rsidR="00133615" w:rsidRDefault="00133615" w:rsidP="00133615">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8</w:t>
            </w:r>
            <w:r>
              <w:rPr>
                <w:b w:val="0"/>
              </w:rPr>
              <w:fldChar w:fldCharType="end"/>
            </w:r>
            <w:r>
              <w:tab/>
              <w:t>Comment on data quality</w:t>
            </w:r>
          </w:p>
        </w:tc>
      </w:tr>
      <w:tr w:rsidR="00133615" w:rsidTr="00133615">
        <w:trPr>
          <w:cantSplit/>
        </w:trPr>
        <w:tc>
          <w:tcPr>
            <w:tcW w:w="8771" w:type="dxa"/>
            <w:tcBorders>
              <w:top w:val="nil"/>
              <w:left w:val="single" w:sz="4" w:space="0" w:color="auto"/>
              <w:bottom w:val="nil"/>
              <w:right w:val="single" w:sz="6" w:space="0" w:color="auto"/>
            </w:tcBorders>
          </w:tcPr>
          <w:p w:rsidR="00133615" w:rsidRDefault="00133615" w:rsidP="00133615">
            <w:pPr>
              <w:pStyle w:val="Box"/>
            </w:pPr>
            <w:r w:rsidRPr="00B01647">
              <w:t>No new data were available for this report.</w:t>
            </w:r>
            <w:r>
              <w:t xml:space="preserve"> Data from the 2006 Census were included in the baseline 2008 NEA performance report. Data from the 2011 Census are anticipated to be available for the 2012 NEA performance report.</w:t>
            </w:r>
          </w:p>
        </w:tc>
      </w:tr>
      <w:tr w:rsidR="00133615" w:rsidTr="00133615">
        <w:trPr>
          <w:cantSplit/>
        </w:trPr>
        <w:tc>
          <w:tcPr>
            <w:tcW w:w="8771" w:type="dxa"/>
            <w:tcBorders>
              <w:top w:val="nil"/>
              <w:left w:val="single" w:sz="6" w:space="0" w:color="auto"/>
              <w:bottom w:val="single" w:sz="6" w:space="0" w:color="auto"/>
              <w:right w:val="single" w:sz="6" w:space="0" w:color="auto"/>
            </w:tcBorders>
          </w:tcPr>
          <w:p w:rsidR="00133615" w:rsidRDefault="00133615" w:rsidP="00133615">
            <w:pPr>
              <w:pStyle w:val="Box"/>
              <w:spacing w:before="0" w:line="120" w:lineRule="exact"/>
            </w:pPr>
          </w:p>
        </w:tc>
      </w:tr>
      <w:tr w:rsidR="00133615" w:rsidTr="00133615">
        <w:tc>
          <w:tcPr>
            <w:tcW w:w="8771" w:type="dxa"/>
            <w:tcBorders>
              <w:top w:val="nil"/>
              <w:left w:val="nil"/>
              <w:bottom w:val="nil"/>
              <w:right w:val="nil"/>
            </w:tcBorders>
          </w:tcPr>
          <w:p w:rsidR="00133615" w:rsidRDefault="00133615" w:rsidP="00133615">
            <w:pPr>
              <w:pStyle w:val="Box"/>
              <w:keepNext w:val="0"/>
              <w:spacing w:before="60" w:after="60" w:line="80" w:lineRule="exact"/>
              <w:rPr>
                <w:b/>
                <w:color w:val="FF00FF"/>
                <w:sz w:val="14"/>
              </w:rPr>
            </w:pPr>
          </w:p>
        </w:tc>
      </w:tr>
    </w:tbl>
    <w:p w:rsidR="0026369A" w:rsidRDefault="0026369A" w:rsidP="0026369A">
      <w:pPr>
        <w:pStyle w:val="Heading2"/>
      </w:pPr>
      <w:r>
        <w:br w:type="page"/>
      </w:r>
      <w:bookmarkStart w:id="18" w:name="_Toc233901774"/>
      <w:r>
        <w:lastRenderedPageBreak/>
        <w:t>Performance indicators</w:t>
      </w:r>
      <w:bookmarkEnd w:id="18"/>
    </w:p>
    <w:p w:rsidR="0026369A" w:rsidRDefault="0026369A" w:rsidP="0026369A">
      <w:pPr>
        <w:pStyle w:val="BodyText"/>
      </w:pPr>
      <w:r>
        <w:t>T</w:t>
      </w:r>
      <w:r w:rsidRPr="00B11E3E">
        <w:t>his rep</w:t>
      </w:r>
      <w:r>
        <w:t>ort includes all ‘performance indicators</w:t>
      </w:r>
      <w:r w:rsidRPr="00B11E3E">
        <w:t xml:space="preserve">’ </w:t>
      </w:r>
      <w:r>
        <w:t>from</w:t>
      </w:r>
      <w:r w:rsidRPr="00B11E3E">
        <w:t xml:space="preserve"> the</w:t>
      </w:r>
      <w:r>
        <w:t xml:space="preserve"> NEA (</w:t>
      </w:r>
      <w:r w:rsidRPr="00D51863">
        <w:t>table</w:t>
      </w:r>
      <w:r w:rsidR="000D0E19">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"OLE_LINK13" \a \t </w:instrText>
      </w:r>
      <w:r w:rsidR="002A66B3">
        <w:fldChar w:fldCharType="separate"/>
      </w:r>
      <w:r w:rsidR="002A66B3">
        <w:t>9</w:t>
      </w:r>
      <w:r w:rsidR="002A66B3">
        <w:fldChar w:fldCharType="end"/>
      </w:r>
      <w:r w:rsidRPr="00D51863">
        <w:t>).</w:t>
      </w:r>
      <w:r w:rsidRPr="00B11E3E">
        <w:t xml:space="preserve"> </w:t>
      </w:r>
      <w:r>
        <w:t>The NEA states that, reflecting all Australian Governments’ shared commitment to tackling social exclusion, wherever possible, performance indicators should be disaggregated by Indigenous status and SES [NEA para. 27]. In this report, indicators are disaggregated by Indigenous status and SES where possible.</w:t>
      </w:r>
    </w:p>
    <w:p w:rsidR="0026369A" w:rsidRDefault="0026369A" w:rsidP="0026369A">
      <w:pPr>
        <w:pStyle w:val="BodyText"/>
      </w:pPr>
      <w:r>
        <w:t>This report also includes p</w:t>
      </w:r>
      <w:r w:rsidRPr="00B11E3E">
        <w:t>erformance indicators from the</w:t>
      </w:r>
      <w:r>
        <w:t xml:space="preserve"> NIRA</w:t>
      </w:r>
      <w:r w:rsidRPr="00B11E3E">
        <w:t xml:space="preserve"> where they are either: 1</w:t>
      </w:r>
      <w:r>
        <w:t>)</w:t>
      </w:r>
      <w:r w:rsidRPr="00B11E3E">
        <w:t xml:space="preserve"> directly related to an indicator in the </w:t>
      </w:r>
      <w:r>
        <w:t>NEA</w:t>
      </w:r>
      <w:r w:rsidRPr="00B11E3E">
        <w:t>; or 2</w:t>
      </w:r>
      <w:r>
        <w:t>)</w:t>
      </w:r>
      <w:r w:rsidRPr="00B11E3E">
        <w:t xml:space="preserve"> are sourced from the same topic area and data collection as an indicator in the </w:t>
      </w:r>
      <w:r>
        <w:t>NEA (</w:t>
      </w:r>
      <w:r w:rsidRPr="00D51863">
        <w:t>table</w:t>
      </w:r>
      <w:r w:rsidR="002A66B3">
        <w:t xml:space="preserve"> </w:t>
      </w:r>
      <w:r w:rsidR="002A66B3">
        <w:fldChar w:fldCharType="begin"/>
      </w:r>
      <w:r w:rsidR="002A66B3">
        <w:instrText xml:space="preserve"> LINK Unknown "\\\\MEL_1\\groups\\Monitor\\09 National Agreement Report\\02 NAR Report WIP\\2011 NAR Report - Ed and training\\2011 NAR Second Draft\\NEA\\NEA second draft.docx" "OLE_LINK19" \a \t </w:instrText>
      </w:r>
      <w:r w:rsidR="002A66B3">
        <w:fldChar w:fldCharType="separate"/>
      </w:r>
      <w:r w:rsidR="002A66B3">
        <w:t>10</w:t>
      </w:r>
      <w:r w:rsidR="002A66B3">
        <w:fldChar w:fldCharType="end"/>
      </w:r>
      <w:r w:rsidRPr="00D51863">
        <w:t>).</w:t>
      </w:r>
    </w:p>
    <w:p w:rsidR="0026369A" w:rsidRDefault="0026369A" w:rsidP="0026369A">
      <w:pPr>
        <w:pStyle w:val="BodyText"/>
      </w:pPr>
      <w:r>
        <w:t>Data for the performance indicators in this report are presented in attachments labelled ‘NEA’ (for NEA indicators) and ‘NIRA’ (for NIRA indicators).</w:t>
      </w:r>
    </w:p>
    <w:p w:rsidR="0026369A" w:rsidRPr="00CF1FBF" w:rsidRDefault="00FA0638" w:rsidP="0026369A">
      <w:pPr>
        <w:pStyle w:val="TableTitle"/>
      </w:pPr>
      <w:r w:rsidRPr="00C220A8">
        <w:rPr>
          <w:b w:val="0"/>
        </w:rPr>
        <w:lastRenderedPageBreak/>
        <w:t xml:space="preserve">Table </w:t>
      </w:r>
      <w:bookmarkStart w:id="19" w:name="OLE_LINK13"/>
      <w:r>
        <w:rPr>
          <w:b w:val="0"/>
        </w:rPr>
        <w:fldChar w:fldCharType="begin"/>
      </w:r>
      <w:r>
        <w:rPr>
          <w:b w:val="0"/>
        </w:rPr>
        <w:instrText xml:space="preserve"> SEQ Table \* ARABIC </w:instrText>
      </w:r>
      <w:r>
        <w:rPr>
          <w:b w:val="0"/>
        </w:rPr>
        <w:fldChar w:fldCharType="separate"/>
      </w:r>
      <w:r w:rsidR="00936B93">
        <w:rPr>
          <w:b w:val="0"/>
          <w:noProof/>
        </w:rPr>
        <w:t>9</w:t>
      </w:r>
      <w:r>
        <w:rPr>
          <w:b w:val="0"/>
        </w:rPr>
        <w:fldChar w:fldCharType="end"/>
      </w:r>
      <w:bookmarkEnd w:id="19"/>
      <w:r>
        <w:tab/>
      </w:r>
      <w:r w:rsidR="0026369A">
        <w:t>Performance indicators in the National Education Agreement</w:t>
      </w:r>
      <w:r w:rsidR="0026369A" w:rsidRPr="00112E8E">
        <w:rPr>
          <w:rStyle w:val="NoteLabel"/>
          <w:b/>
        </w:rPr>
        <w:t>a</w:t>
      </w:r>
    </w:p>
    <w:tbl>
      <w:tblPr>
        <w:tblW w:w="8789" w:type="dxa"/>
        <w:tblLayout w:type="fixed"/>
        <w:tblCellMar>
          <w:left w:w="0" w:type="dxa"/>
          <w:right w:w="0" w:type="dxa"/>
        </w:tblCellMar>
        <w:tblLook w:val="0000" w:firstRow="0" w:lastRow="0" w:firstColumn="0" w:lastColumn="0" w:noHBand="0" w:noVBand="0"/>
      </w:tblPr>
      <w:tblGrid>
        <w:gridCol w:w="7655"/>
        <w:gridCol w:w="1134"/>
      </w:tblGrid>
      <w:tr w:rsidR="0026369A" w:rsidRPr="00CF1FBF" w:rsidTr="0026369A">
        <w:tc>
          <w:tcPr>
            <w:tcW w:w="7655" w:type="dxa"/>
            <w:tcBorders>
              <w:top w:val="single" w:sz="6" w:space="0" w:color="auto"/>
              <w:bottom w:val="single" w:sz="6" w:space="0" w:color="auto"/>
            </w:tcBorders>
            <w:shd w:val="clear" w:color="auto" w:fill="auto"/>
          </w:tcPr>
          <w:p w:rsidR="0026369A" w:rsidRPr="00CF1FBF" w:rsidRDefault="0026369A" w:rsidP="0026369A">
            <w:pPr>
              <w:pStyle w:val="TableColumnHeading"/>
              <w:jc w:val="left"/>
            </w:pPr>
            <w:r>
              <w:t>Performance indicator</w:t>
            </w:r>
          </w:p>
        </w:tc>
        <w:tc>
          <w:tcPr>
            <w:tcW w:w="1134" w:type="dxa"/>
            <w:tcBorders>
              <w:top w:val="single" w:sz="6" w:space="0" w:color="auto"/>
              <w:bottom w:val="single" w:sz="6" w:space="0" w:color="auto"/>
            </w:tcBorders>
            <w:shd w:val="clear" w:color="auto" w:fill="auto"/>
          </w:tcPr>
          <w:p w:rsidR="0026369A" w:rsidRPr="00E50FFA" w:rsidRDefault="0026369A" w:rsidP="0026369A">
            <w:pPr>
              <w:pStyle w:val="TableColumnHeading"/>
            </w:pPr>
            <w:r w:rsidRPr="00F10E35">
              <w:t>Page no. in this report</w:t>
            </w:r>
          </w:p>
        </w:tc>
      </w:tr>
      <w:tr w:rsidR="0026369A" w:rsidRPr="00CF1FBF" w:rsidTr="0026369A">
        <w:tc>
          <w:tcPr>
            <w:tcW w:w="7655" w:type="dxa"/>
          </w:tcPr>
          <w:p w:rsidR="0026369A" w:rsidRDefault="0026369A" w:rsidP="00F42EFA">
            <w:pPr>
              <w:pStyle w:val="TableBodyText"/>
              <w:spacing w:before="80"/>
              <w:ind w:left="340" w:hanging="340"/>
              <w:jc w:val="left"/>
            </w:pPr>
            <w:r>
              <w:t xml:space="preserve">1. </w:t>
            </w:r>
            <w:r>
              <w:tab/>
            </w:r>
            <w:r w:rsidRPr="00FD1487">
              <w:t xml:space="preserve">The proportion of </w:t>
            </w:r>
            <w:r>
              <w:t>children (1) enrolled in and (2) attending school</w:t>
            </w:r>
            <w:r w:rsidRPr="00FD1487">
              <w:t>.</w:t>
            </w:r>
          </w:p>
          <w:p w:rsidR="0026369A" w:rsidRPr="00FD1487" w:rsidRDefault="0026369A" w:rsidP="00F42EFA">
            <w:pPr>
              <w:pStyle w:val="TableBodyText"/>
              <w:spacing w:before="80"/>
              <w:jc w:val="left"/>
            </w:pPr>
          </w:p>
        </w:tc>
        <w:tc>
          <w:tcPr>
            <w:tcW w:w="1134" w:type="dxa"/>
          </w:tcPr>
          <w:p w:rsidR="0026369A" w:rsidRPr="00E50FFA" w:rsidRDefault="007076BB" w:rsidP="00F42EFA">
            <w:pPr>
              <w:pStyle w:val="TableBodyText"/>
              <w:spacing w:before="80"/>
            </w:pPr>
            <w:r>
              <w:fldChar w:fldCharType="begin"/>
            </w:r>
            <w:r>
              <w:instrText xml:space="preserve"> PAGEREF _Ref322529177 </w:instrText>
            </w:r>
            <w:r>
              <w:fldChar w:fldCharType="separate"/>
            </w:r>
            <w:r w:rsidR="00936B93">
              <w:rPr>
                <w:noProof/>
              </w:rPr>
              <w:t>40</w:t>
            </w:r>
            <w:r>
              <w:rPr>
                <w:noProof/>
              </w:rPr>
              <w:fldChar w:fldCharType="end"/>
            </w:r>
          </w:p>
        </w:tc>
      </w:tr>
      <w:tr w:rsidR="0026369A" w:rsidRPr="00CF1FBF" w:rsidTr="0026369A">
        <w:tc>
          <w:tcPr>
            <w:tcW w:w="7655" w:type="dxa"/>
          </w:tcPr>
          <w:p w:rsidR="0026369A" w:rsidRDefault="0026369A" w:rsidP="0026369A">
            <w:pPr>
              <w:pStyle w:val="TableBodyText"/>
              <w:ind w:left="340" w:hanging="340"/>
              <w:jc w:val="left"/>
            </w:pPr>
            <w:r>
              <w:t xml:space="preserve">2. </w:t>
            </w:r>
            <w:r>
              <w:tab/>
            </w:r>
            <w:r w:rsidRPr="00FD1487">
              <w:t>The proportion of Indigenous and low SES children (1)</w:t>
            </w:r>
            <w:r>
              <w:t xml:space="preserve"> enrolled in and </w:t>
            </w:r>
            <w:r>
              <w:br/>
              <w:t xml:space="preserve">(2) </w:t>
            </w:r>
            <w:r w:rsidRPr="00FD1487">
              <w:t>attending school.</w:t>
            </w:r>
          </w:p>
          <w:p w:rsidR="0026369A" w:rsidRPr="00FD1487" w:rsidRDefault="0026369A" w:rsidP="0026369A">
            <w:pPr>
              <w:pStyle w:val="TableBodyText"/>
              <w:jc w:val="left"/>
            </w:pPr>
          </w:p>
        </w:tc>
        <w:tc>
          <w:tcPr>
            <w:tcW w:w="1134" w:type="dxa"/>
          </w:tcPr>
          <w:p w:rsidR="0026369A" w:rsidRPr="00E50FFA" w:rsidRDefault="007076BB" w:rsidP="0026369A">
            <w:pPr>
              <w:pStyle w:val="TableBodyText"/>
            </w:pPr>
            <w:r>
              <w:fldChar w:fldCharType="begin"/>
            </w:r>
            <w:r>
              <w:instrText xml:space="preserve"> PAGEREF _Ref322529188 </w:instrText>
            </w:r>
            <w:r>
              <w:fldChar w:fldCharType="separate"/>
            </w:r>
            <w:r w:rsidR="00936B93">
              <w:rPr>
                <w:noProof/>
              </w:rPr>
              <w:t>44</w:t>
            </w:r>
            <w:r>
              <w:rPr>
                <w:noProof/>
              </w:rPr>
              <w:fldChar w:fldCharType="end"/>
            </w:r>
          </w:p>
        </w:tc>
      </w:tr>
      <w:tr w:rsidR="0026369A" w:rsidRPr="00CF1FBF" w:rsidTr="0026369A">
        <w:tc>
          <w:tcPr>
            <w:tcW w:w="7655" w:type="dxa"/>
          </w:tcPr>
          <w:p w:rsidR="0026369A" w:rsidRDefault="0026369A" w:rsidP="0026369A">
            <w:pPr>
              <w:pStyle w:val="TableBodyText"/>
              <w:ind w:left="340" w:hanging="340"/>
              <w:jc w:val="left"/>
            </w:pPr>
            <w:r>
              <w:t xml:space="preserve">3. </w:t>
            </w:r>
            <w:r>
              <w:tab/>
            </w:r>
            <w:r w:rsidRPr="00FD1487">
              <w:t xml:space="preserve">The proportion of </w:t>
            </w:r>
            <w:r>
              <w:t>Indigenous students completing year 10.</w:t>
            </w:r>
          </w:p>
          <w:p w:rsidR="0026369A" w:rsidRPr="00FD1487" w:rsidRDefault="0026369A" w:rsidP="0026369A">
            <w:pPr>
              <w:pStyle w:val="TableBodyText"/>
              <w:jc w:val="left"/>
            </w:pPr>
          </w:p>
        </w:tc>
        <w:tc>
          <w:tcPr>
            <w:tcW w:w="1134" w:type="dxa"/>
          </w:tcPr>
          <w:p w:rsidR="0026369A" w:rsidRPr="00E50FFA" w:rsidRDefault="007076BB" w:rsidP="0026369A">
            <w:pPr>
              <w:pStyle w:val="TableBodyText"/>
            </w:pPr>
            <w:r>
              <w:fldChar w:fldCharType="begin"/>
            </w:r>
            <w:r>
              <w:instrText xml:space="preserve"> PAGEREF _Ref322529262 </w:instrText>
            </w:r>
            <w:r>
              <w:fldChar w:fldCharType="separate"/>
            </w:r>
            <w:r w:rsidR="00936B93">
              <w:rPr>
                <w:noProof/>
              </w:rPr>
              <w:t>48</w:t>
            </w:r>
            <w:r>
              <w:rPr>
                <w:noProof/>
              </w:rPr>
              <w:fldChar w:fldCharType="end"/>
            </w:r>
          </w:p>
        </w:tc>
      </w:tr>
      <w:tr w:rsidR="0026369A" w:rsidRPr="00CF1FBF" w:rsidTr="0026369A">
        <w:tc>
          <w:tcPr>
            <w:tcW w:w="7655" w:type="dxa"/>
          </w:tcPr>
          <w:p w:rsidR="0026369A" w:rsidRDefault="0026369A" w:rsidP="0026369A">
            <w:pPr>
              <w:pStyle w:val="TableBodyText"/>
              <w:ind w:left="346" w:hanging="340"/>
              <w:jc w:val="left"/>
            </w:pPr>
            <w:r>
              <w:t>4.</w:t>
            </w:r>
            <w:r>
              <w:tab/>
            </w:r>
            <w:r w:rsidRPr="00AD1ACE">
              <w:t xml:space="preserve">Literacy and numeracy achievement of </w:t>
            </w:r>
            <w:r>
              <w:t>y</w:t>
            </w:r>
            <w:r w:rsidRPr="00AD1ACE">
              <w:t xml:space="preserve">ear 3, 5, 7 and 9 students in </w:t>
            </w:r>
            <w:r w:rsidRPr="00FF4BB3">
              <w:t>national testing</w:t>
            </w:r>
            <w:r>
              <w:t>.</w:t>
            </w:r>
          </w:p>
          <w:p w:rsidR="0026369A" w:rsidRDefault="0026369A" w:rsidP="0026369A">
            <w:pPr>
              <w:pStyle w:val="TableBodyText"/>
              <w:jc w:val="left"/>
            </w:pPr>
          </w:p>
        </w:tc>
        <w:tc>
          <w:tcPr>
            <w:tcW w:w="1134" w:type="dxa"/>
          </w:tcPr>
          <w:p w:rsidR="0026369A" w:rsidRPr="00E50FFA" w:rsidRDefault="007076BB" w:rsidP="0026369A">
            <w:pPr>
              <w:pStyle w:val="TableBodyText"/>
            </w:pPr>
            <w:r>
              <w:fldChar w:fldCharType="begin"/>
            </w:r>
            <w:r>
              <w:instrText xml:space="preserve"> PAGEREF _Ref322529351 </w:instrText>
            </w:r>
            <w:r>
              <w:fldChar w:fldCharType="separate"/>
            </w:r>
            <w:r w:rsidR="00936B93">
              <w:rPr>
                <w:noProof/>
              </w:rPr>
              <w:t>50</w:t>
            </w:r>
            <w:r>
              <w:rPr>
                <w:noProof/>
              </w:rPr>
              <w:fldChar w:fldCharType="end"/>
            </w:r>
          </w:p>
        </w:tc>
      </w:tr>
      <w:tr w:rsidR="0026369A" w:rsidRPr="00CF1FBF" w:rsidTr="0026369A">
        <w:tc>
          <w:tcPr>
            <w:tcW w:w="7655" w:type="dxa"/>
          </w:tcPr>
          <w:p w:rsidR="0026369A" w:rsidRDefault="0026369A" w:rsidP="0026369A">
            <w:pPr>
              <w:pStyle w:val="TableBodyText"/>
              <w:ind w:left="346" w:hanging="340"/>
              <w:jc w:val="left"/>
            </w:pPr>
            <w:r>
              <w:t>5.</w:t>
            </w:r>
            <w:r w:rsidRPr="009E6D98">
              <w:t xml:space="preserve"> </w:t>
            </w:r>
            <w:r>
              <w:tab/>
            </w:r>
            <w:r w:rsidRPr="009E6D98">
              <w:t>Litera</w:t>
            </w:r>
            <w:r>
              <w:t>cy and numeracy achievement of y</w:t>
            </w:r>
            <w:r w:rsidRPr="009E6D98">
              <w:t>ear 3, 5, 7 and 9 Indigenous and low SES students in national testing.</w:t>
            </w:r>
          </w:p>
          <w:p w:rsidR="0026369A" w:rsidRDefault="0026369A" w:rsidP="0026369A">
            <w:pPr>
              <w:pStyle w:val="TableBodyText"/>
              <w:jc w:val="left"/>
            </w:pPr>
          </w:p>
        </w:tc>
        <w:tc>
          <w:tcPr>
            <w:tcW w:w="1134" w:type="dxa"/>
          </w:tcPr>
          <w:p w:rsidR="0026369A" w:rsidRPr="00E50FFA" w:rsidRDefault="007076BB" w:rsidP="0026369A">
            <w:pPr>
              <w:pStyle w:val="TableBodyText"/>
            </w:pPr>
            <w:r>
              <w:fldChar w:fldCharType="begin"/>
            </w:r>
            <w:r>
              <w:instrText xml:space="preserve"> PAGEREF _Ref322529356 </w:instrText>
            </w:r>
            <w:r>
              <w:fldChar w:fldCharType="separate"/>
            </w:r>
            <w:r w:rsidR="00936B93">
              <w:rPr>
                <w:noProof/>
              </w:rPr>
              <w:t>54</w:t>
            </w:r>
            <w:r>
              <w:rPr>
                <w:noProof/>
              </w:rPr>
              <w:fldChar w:fldCharType="end"/>
            </w:r>
          </w:p>
        </w:tc>
      </w:tr>
      <w:tr w:rsidR="0026369A" w:rsidRPr="00CF1FBF" w:rsidTr="0026369A">
        <w:tc>
          <w:tcPr>
            <w:tcW w:w="7655" w:type="dxa"/>
          </w:tcPr>
          <w:p w:rsidR="0026369A" w:rsidRDefault="0026369A" w:rsidP="0026369A">
            <w:pPr>
              <w:pStyle w:val="TableBodyText"/>
              <w:ind w:left="346" w:hanging="340"/>
              <w:jc w:val="left"/>
            </w:pPr>
            <w:r>
              <w:t>6.</w:t>
            </w:r>
            <w:r w:rsidRPr="00417FEC">
              <w:t xml:space="preserve"> </w:t>
            </w:r>
            <w:r>
              <w:tab/>
            </w:r>
            <w:r w:rsidRPr="00417FEC">
              <w:t>The proportion of students in the bottom and top levels of performance in international testing (for example</w:t>
            </w:r>
            <w:r>
              <w:t>,</w:t>
            </w:r>
            <w:r w:rsidRPr="00417FEC">
              <w:t xml:space="preserve"> </w:t>
            </w:r>
            <w:r>
              <w:t>Programme for International Student Assessment [PISA]</w:t>
            </w:r>
            <w:r w:rsidRPr="00417FEC">
              <w:t xml:space="preserve">, </w:t>
            </w:r>
            <w:r>
              <w:t>Trends in International Mathematics and Science Study [TIMSS]</w:t>
            </w:r>
            <w:r w:rsidRPr="00417FEC">
              <w:t>)</w:t>
            </w:r>
            <w:r>
              <w:t>.</w:t>
            </w:r>
          </w:p>
          <w:p w:rsidR="0026369A" w:rsidRDefault="0026369A" w:rsidP="0026369A">
            <w:pPr>
              <w:pStyle w:val="TableBodyText"/>
              <w:jc w:val="left"/>
            </w:pPr>
          </w:p>
        </w:tc>
        <w:tc>
          <w:tcPr>
            <w:tcW w:w="1134" w:type="dxa"/>
          </w:tcPr>
          <w:p w:rsidR="0026369A" w:rsidRPr="00E50FFA" w:rsidRDefault="007076BB" w:rsidP="0026369A">
            <w:pPr>
              <w:pStyle w:val="TableBodyText"/>
            </w:pPr>
            <w:r>
              <w:fldChar w:fldCharType="begin"/>
            </w:r>
            <w:r>
              <w:instrText xml:space="preserve"> PAGEREF _Ref322529360 </w:instrText>
            </w:r>
            <w:r>
              <w:fldChar w:fldCharType="separate"/>
            </w:r>
            <w:r w:rsidR="00936B93">
              <w:rPr>
                <w:noProof/>
              </w:rPr>
              <w:t>59</w:t>
            </w:r>
            <w:r>
              <w:rPr>
                <w:noProof/>
              </w:rPr>
              <w:fldChar w:fldCharType="end"/>
            </w:r>
          </w:p>
        </w:tc>
      </w:tr>
      <w:tr w:rsidR="0026369A" w:rsidRPr="00CF1FBF" w:rsidTr="0026369A">
        <w:tc>
          <w:tcPr>
            <w:tcW w:w="7655" w:type="dxa"/>
          </w:tcPr>
          <w:p w:rsidR="0026369A" w:rsidRDefault="0026369A" w:rsidP="0026369A">
            <w:pPr>
              <w:pStyle w:val="TableBodyText"/>
              <w:ind w:left="346" w:hanging="340"/>
              <w:jc w:val="left"/>
            </w:pPr>
            <w:r>
              <w:t>7.</w:t>
            </w:r>
            <w:r w:rsidRPr="00C47608">
              <w:t xml:space="preserve"> </w:t>
            </w:r>
            <w:r>
              <w:tab/>
            </w:r>
            <w:r w:rsidRPr="00C47608">
              <w:t xml:space="preserve">The proportion of the </w:t>
            </w:r>
            <w:r>
              <w:t>20–24</w:t>
            </w:r>
            <w:r w:rsidRPr="00C47608">
              <w:t xml:space="preserve"> year old population having attained at least a year</w:t>
            </w:r>
            <w:r>
              <w:t> </w:t>
            </w:r>
            <w:r w:rsidRPr="00C47608">
              <w:t xml:space="preserve">12 or equivalent </w:t>
            </w:r>
            <w:r>
              <w:t xml:space="preserve">or </w:t>
            </w:r>
            <w:proofErr w:type="spellStart"/>
            <w:r w:rsidRPr="00C47608">
              <w:t>AQF</w:t>
            </w:r>
            <w:proofErr w:type="spellEnd"/>
            <w:r w:rsidRPr="00C47608">
              <w:t xml:space="preserve"> Certificate II</w:t>
            </w:r>
            <w:r>
              <w:t>.</w:t>
            </w:r>
          </w:p>
          <w:p w:rsidR="0026369A" w:rsidRDefault="0026369A" w:rsidP="0026369A">
            <w:pPr>
              <w:pStyle w:val="TableBodyText"/>
              <w:jc w:val="left"/>
            </w:pPr>
          </w:p>
        </w:tc>
        <w:tc>
          <w:tcPr>
            <w:tcW w:w="1134" w:type="dxa"/>
          </w:tcPr>
          <w:p w:rsidR="0026369A" w:rsidRPr="00E50FFA" w:rsidRDefault="007076BB" w:rsidP="0026369A">
            <w:pPr>
              <w:pStyle w:val="TableBodyText"/>
            </w:pPr>
            <w:r>
              <w:fldChar w:fldCharType="begin"/>
            </w:r>
            <w:r>
              <w:instrText xml:space="preserve"> PAGEREF _Ref322529367 </w:instrText>
            </w:r>
            <w:r>
              <w:fldChar w:fldCharType="separate"/>
            </w:r>
            <w:r w:rsidR="00936B93">
              <w:rPr>
                <w:noProof/>
              </w:rPr>
              <w:t>61</w:t>
            </w:r>
            <w:r>
              <w:rPr>
                <w:noProof/>
              </w:rPr>
              <w:fldChar w:fldCharType="end"/>
            </w:r>
          </w:p>
        </w:tc>
      </w:tr>
      <w:tr w:rsidR="0026369A" w:rsidRPr="00CF1FBF" w:rsidTr="0026369A">
        <w:tc>
          <w:tcPr>
            <w:tcW w:w="7655" w:type="dxa"/>
          </w:tcPr>
          <w:p w:rsidR="0026369A" w:rsidRDefault="0026369A" w:rsidP="0026369A">
            <w:pPr>
              <w:pStyle w:val="TableBodyText"/>
              <w:ind w:left="346" w:hanging="340"/>
              <w:jc w:val="left"/>
            </w:pPr>
            <w:r>
              <w:t>8.</w:t>
            </w:r>
            <w:r w:rsidRPr="001D32FC">
              <w:t xml:space="preserve"> </w:t>
            </w:r>
            <w:r>
              <w:tab/>
            </w:r>
            <w:r w:rsidRPr="001D32FC">
              <w:t xml:space="preserve">The proportion of the </w:t>
            </w:r>
            <w:r>
              <w:t>20–24</w:t>
            </w:r>
            <w:r w:rsidRPr="001D32FC">
              <w:t xml:space="preserve"> year old Indigenous and low SES population having attained at least a Year</w:t>
            </w:r>
            <w:r>
              <w:t xml:space="preserve"> 12 Certificate or equivalent or</w:t>
            </w:r>
            <w:r w:rsidRPr="001D32FC">
              <w:t xml:space="preserve"> </w:t>
            </w:r>
            <w:proofErr w:type="spellStart"/>
            <w:r>
              <w:t>AQF</w:t>
            </w:r>
            <w:proofErr w:type="spellEnd"/>
            <w:r>
              <w:t xml:space="preserve"> Certificate II</w:t>
            </w:r>
            <w:r w:rsidRPr="009E6D98">
              <w:t>.</w:t>
            </w:r>
          </w:p>
          <w:p w:rsidR="0026369A" w:rsidRDefault="0026369A" w:rsidP="0026369A">
            <w:pPr>
              <w:pStyle w:val="TableBodyText"/>
              <w:jc w:val="left"/>
            </w:pPr>
          </w:p>
        </w:tc>
        <w:tc>
          <w:tcPr>
            <w:tcW w:w="1134" w:type="dxa"/>
          </w:tcPr>
          <w:p w:rsidR="0026369A" w:rsidRPr="00E50FFA" w:rsidRDefault="007076BB" w:rsidP="0026369A">
            <w:pPr>
              <w:pStyle w:val="TableBodyText"/>
            </w:pPr>
            <w:r>
              <w:fldChar w:fldCharType="begin"/>
            </w:r>
            <w:r>
              <w:instrText xml:space="preserve"> PAGEREF _Ref322529388 </w:instrText>
            </w:r>
            <w:r>
              <w:fldChar w:fldCharType="separate"/>
            </w:r>
            <w:r w:rsidR="00936B93">
              <w:rPr>
                <w:noProof/>
              </w:rPr>
              <w:t>64</w:t>
            </w:r>
            <w:r>
              <w:rPr>
                <w:noProof/>
              </w:rPr>
              <w:fldChar w:fldCharType="end"/>
            </w:r>
          </w:p>
        </w:tc>
      </w:tr>
      <w:tr w:rsidR="0026369A" w:rsidRPr="00CF1FBF" w:rsidTr="0026369A">
        <w:tc>
          <w:tcPr>
            <w:tcW w:w="7655" w:type="dxa"/>
          </w:tcPr>
          <w:p w:rsidR="0026369A" w:rsidRDefault="0026369A" w:rsidP="0026369A">
            <w:pPr>
              <w:pStyle w:val="TableBodyText"/>
              <w:ind w:left="346" w:hanging="340"/>
              <w:jc w:val="left"/>
            </w:pPr>
            <w:r>
              <w:t>9.</w:t>
            </w:r>
            <w:r w:rsidRPr="001D0758">
              <w:t xml:space="preserve"> </w:t>
            </w:r>
            <w:r>
              <w:tab/>
            </w:r>
            <w:r w:rsidRPr="001D0758">
              <w:t>The proportion of young people participating in post-school education or training six months after school.</w:t>
            </w:r>
          </w:p>
          <w:p w:rsidR="0026369A" w:rsidRDefault="0026369A" w:rsidP="0026369A">
            <w:pPr>
              <w:pStyle w:val="TableBodyText"/>
              <w:jc w:val="left"/>
            </w:pPr>
          </w:p>
        </w:tc>
        <w:tc>
          <w:tcPr>
            <w:tcW w:w="1134" w:type="dxa"/>
          </w:tcPr>
          <w:p w:rsidR="0026369A" w:rsidRPr="00E50FFA" w:rsidRDefault="007076BB" w:rsidP="0026369A">
            <w:pPr>
              <w:pStyle w:val="TableBodyText"/>
            </w:pPr>
            <w:r>
              <w:fldChar w:fldCharType="begin"/>
            </w:r>
            <w:r>
              <w:instrText xml:space="preserve"> PAGEREF _Ref322529468 </w:instrText>
            </w:r>
            <w:r>
              <w:fldChar w:fldCharType="separate"/>
            </w:r>
            <w:r w:rsidR="00936B93">
              <w:rPr>
                <w:noProof/>
              </w:rPr>
              <w:t>67</w:t>
            </w:r>
            <w:r>
              <w:rPr>
                <w:noProof/>
              </w:rPr>
              <w:fldChar w:fldCharType="end"/>
            </w:r>
          </w:p>
        </w:tc>
      </w:tr>
      <w:tr w:rsidR="0026369A" w:rsidRPr="00CF1FBF" w:rsidTr="0026369A">
        <w:tc>
          <w:tcPr>
            <w:tcW w:w="7655" w:type="dxa"/>
            <w:tcBorders>
              <w:bottom w:val="single" w:sz="6" w:space="0" w:color="auto"/>
            </w:tcBorders>
            <w:shd w:val="clear" w:color="auto" w:fill="auto"/>
          </w:tcPr>
          <w:p w:rsidR="0026369A" w:rsidRDefault="0026369A" w:rsidP="0026369A">
            <w:pPr>
              <w:pStyle w:val="TableBodyText"/>
              <w:ind w:left="346" w:hanging="340"/>
              <w:jc w:val="left"/>
            </w:pPr>
            <w:r>
              <w:t xml:space="preserve">10. </w:t>
            </w:r>
            <w:r w:rsidRPr="009A298F">
              <w:t xml:space="preserve">The proportion of 18 </w:t>
            </w:r>
            <w:r>
              <w:t xml:space="preserve">to 24 year olds engaged in full </w:t>
            </w:r>
            <w:r w:rsidRPr="009A298F">
              <w:t>time employment, education or training at or above Certificate III.</w:t>
            </w:r>
          </w:p>
          <w:p w:rsidR="0026369A" w:rsidRDefault="0026369A" w:rsidP="0026369A">
            <w:pPr>
              <w:pStyle w:val="TableBodyText"/>
              <w:jc w:val="left"/>
            </w:pPr>
          </w:p>
        </w:tc>
        <w:tc>
          <w:tcPr>
            <w:tcW w:w="1134" w:type="dxa"/>
            <w:tcBorders>
              <w:bottom w:val="single" w:sz="6" w:space="0" w:color="auto"/>
            </w:tcBorders>
            <w:shd w:val="clear" w:color="auto" w:fill="auto"/>
          </w:tcPr>
          <w:p w:rsidR="0026369A" w:rsidRPr="00E50FFA" w:rsidRDefault="007076BB" w:rsidP="0026369A">
            <w:pPr>
              <w:pStyle w:val="TableBodyText"/>
            </w:pPr>
            <w:r>
              <w:fldChar w:fldCharType="begin"/>
            </w:r>
            <w:r>
              <w:instrText xml:space="preserve"> PAGEREF _Ref322529473 </w:instrText>
            </w:r>
            <w:r>
              <w:fldChar w:fldCharType="separate"/>
            </w:r>
            <w:r w:rsidR="00936B93">
              <w:rPr>
                <w:noProof/>
              </w:rPr>
              <w:t>70</w:t>
            </w:r>
            <w:r>
              <w:rPr>
                <w:noProof/>
              </w:rPr>
              <w:fldChar w:fldCharType="end"/>
            </w:r>
          </w:p>
        </w:tc>
      </w:tr>
    </w:tbl>
    <w:p w:rsidR="0026369A" w:rsidRDefault="0026369A" w:rsidP="0026369A">
      <w:pPr>
        <w:pStyle w:val="Note"/>
      </w:pPr>
      <w:r w:rsidRPr="00112E8E">
        <w:rPr>
          <w:rStyle w:val="NoteLabel"/>
        </w:rPr>
        <w:t>a</w:t>
      </w:r>
      <w:r>
        <w:t xml:space="preserve"> The wording of the performance indicators presented in this table refer to performance indicators in the NEA (COAG </w:t>
      </w:r>
      <w:proofErr w:type="spellStart"/>
      <w:r>
        <w:t>2009d</w:t>
      </w:r>
      <w:proofErr w:type="spellEnd"/>
      <w:r>
        <w:t>), incorporating the CRC recommended changes endorsed by COAG in relation to the wording of indicators 7 and 8. This does not necessarily reflect the measures used to report against the indicators.</w:t>
      </w:r>
    </w:p>
    <w:p w:rsidR="0026369A" w:rsidRPr="000D0E19" w:rsidRDefault="00521C5D" w:rsidP="0026369A">
      <w:pPr>
        <w:pStyle w:val="TableTitle"/>
      </w:pPr>
      <w:r w:rsidRPr="00C220A8">
        <w:rPr>
          <w:b w:val="0"/>
        </w:rPr>
        <w:lastRenderedPageBreak/>
        <w:t xml:space="preserve">Table </w:t>
      </w:r>
      <w:bookmarkStart w:id="20" w:name="OLE_LINK19"/>
      <w:r>
        <w:rPr>
          <w:b w:val="0"/>
        </w:rPr>
        <w:fldChar w:fldCharType="begin"/>
      </w:r>
      <w:r>
        <w:rPr>
          <w:b w:val="0"/>
        </w:rPr>
        <w:instrText xml:space="preserve"> SEQ Table \* ARABIC </w:instrText>
      </w:r>
      <w:r>
        <w:rPr>
          <w:b w:val="0"/>
        </w:rPr>
        <w:fldChar w:fldCharType="separate"/>
      </w:r>
      <w:r w:rsidR="00936B93">
        <w:rPr>
          <w:b w:val="0"/>
          <w:noProof/>
        </w:rPr>
        <w:t>10</w:t>
      </w:r>
      <w:r>
        <w:rPr>
          <w:b w:val="0"/>
        </w:rPr>
        <w:fldChar w:fldCharType="end"/>
      </w:r>
      <w:bookmarkEnd w:id="20"/>
      <w:r>
        <w:tab/>
      </w:r>
      <w:r w:rsidR="0026369A" w:rsidRPr="000D0E19">
        <w:t>Related performance indicators in the National Indigenous Reform Agreement</w:t>
      </w:r>
      <w:r w:rsidR="0026369A" w:rsidRPr="000D0E19">
        <w:rPr>
          <w:rStyle w:val="NoteLabel"/>
          <w:b/>
        </w:rPr>
        <w:t>a</w:t>
      </w:r>
    </w:p>
    <w:tbl>
      <w:tblPr>
        <w:tblW w:w="8789" w:type="dxa"/>
        <w:tblLayout w:type="fixed"/>
        <w:tblCellMar>
          <w:left w:w="0" w:type="dxa"/>
          <w:right w:w="0" w:type="dxa"/>
        </w:tblCellMar>
        <w:tblLook w:val="0000" w:firstRow="0" w:lastRow="0" w:firstColumn="0" w:lastColumn="0" w:noHBand="0" w:noVBand="0"/>
      </w:tblPr>
      <w:tblGrid>
        <w:gridCol w:w="7513"/>
        <w:gridCol w:w="1276"/>
      </w:tblGrid>
      <w:tr w:rsidR="0026369A" w:rsidRPr="000D0E19" w:rsidTr="0026369A">
        <w:tc>
          <w:tcPr>
            <w:tcW w:w="7513" w:type="dxa"/>
            <w:tcBorders>
              <w:top w:val="single" w:sz="6" w:space="0" w:color="auto"/>
              <w:bottom w:val="single" w:sz="6" w:space="0" w:color="auto"/>
            </w:tcBorders>
            <w:shd w:val="clear" w:color="auto" w:fill="auto"/>
          </w:tcPr>
          <w:p w:rsidR="0026369A" w:rsidRPr="000D0E19" w:rsidRDefault="0026369A" w:rsidP="0026369A">
            <w:pPr>
              <w:pStyle w:val="TableColumnHeading"/>
              <w:jc w:val="left"/>
            </w:pPr>
            <w:r w:rsidRPr="000D0E19">
              <w:t>Performance indicator</w:t>
            </w:r>
          </w:p>
        </w:tc>
        <w:tc>
          <w:tcPr>
            <w:tcW w:w="1276" w:type="dxa"/>
            <w:tcBorders>
              <w:top w:val="single" w:sz="6" w:space="0" w:color="auto"/>
              <w:bottom w:val="single" w:sz="6" w:space="0" w:color="auto"/>
            </w:tcBorders>
            <w:shd w:val="clear" w:color="auto" w:fill="auto"/>
          </w:tcPr>
          <w:p w:rsidR="0026369A" w:rsidRPr="000D0E19" w:rsidRDefault="0026369A" w:rsidP="0026369A">
            <w:pPr>
              <w:pStyle w:val="TableColumnHeading"/>
            </w:pPr>
            <w:r w:rsidRPr="000D0E19">
              <w:t>Page no. in this report</w:t>
            </w:r>
          </w:p>
        </w:tc>
      </w:tr>
      <w:tr w:rsidR="0026369A" w:rsidRPr="000D0E19" w:rsidTr="0026369A">
        <w:tc>
          <w:tcPr>
            <w:tcW w:w="7513" w:type="dxa"/>
          </w:tcPr>
          <w:p w:rsidR="0026369A" w:rsidRPr="000D0E19" w:rsidRDefault="0026369A" w:rsidP="00F42EFA">
            <w:pPr>
              <w:pStyle w:val="TableBodyText"/>
              <w:spacing w:before="80"/>
              <w:ind w:left="340" w:hanging="340"/>
              <w:jc w:val="left"/>
            </w:pPr>
            <w:r w:rsidRPr="000D0E19">
              <w:t>11. Percentage of students at or above the national minimum standard in reading, writing and numeracy for years 3, 5, 7, 9</w:t>
            </w:r>
          </w:p>
          <w:p w:rsidR="0026369A" w:rsidRPr="000D0E19" w:rsidRDefault="0026369A" w:rsidP="00F42EFA">
            <w:pPr>
              <w:pStyle w:val="TableBodyText"/>
              <w:spacing w:before="80"/>
              <w:ind w:left="284" w:hanging="284"/>
              <w:jc w:val="left"/>
            </w:pPr>
          </w:p>
        </w:tc>
        <w:tc>
          <w:tcPr>
            <w:tcW w:w="1276" w:type="dxa"/>
          </w:tcPr>
          <w:p w:rsidR="0026369A" w:rsidRPr="000D0E19" w:rsidRDefault="007076BB" w:rsidP="00F42EFA">
            <w:pPr>
              <w:pStyle w:val="TableBodyText"/>
              <w:spacing w:before="80"/>
            </w:pPr>
            <w:r>
              <w:fldChar w:fldCharType="begin"/>
            </w:r>
            <w:r>
              <w:instrText xml:space="preserve"> PAGEREF _Ref322529484 </w:instrText>
            </w:r>
            <w:r>
              <w:fldChar w:fldCharType="separate"/>
            </w:r>
            <w:r w:rsidR="00936B93">
              <w:rPr>
                <w:noProof/>
              </w:rPr>
              <w:t>74</w:t>
            </w:r>
            <w:r>
              <w:rPr>
                <w:noProof/>
              </w:rPr>
              <w:fldChar w:fldCharType="end"/>
            </w:r>
          </w:p>
        </w:tc>
      </w:tr>
      <w:tr w:rsidR="0026369A" w:rsidRPr="000D0E19" w:rsidTr="000D0E19">
        <w:tc>
          <w:tcPr>
            <w:tcW w:w="7513" w:type="dxa"/>
          </w:tcPr>
          <w:p w:rsidR="0026369A" w:rsidRPr="000D0E19" w:rsidRDefault="0026369A" w:rsidP="0026369A">
            <w:pPr>
              <w:pStyle w:val="TableBodyText"/>
              <w:ind w:left="284" w:hanging="278"/>
              <w:jc w:val="left"/>
            </w:pPr>
            <w:r w:rsidRPr="000D0E19">
              <w:t xml:space="preserve">12. </w:t>
            </w:r>
            <w:r w:rsidR="000D0E19" w:rsidRPr="000D0E19">
              <w:t>Attendance rates, Year 1 to Year 10</w:t>
            </w:r>
          </w:p>
          <w:p w:rsidR="0026369A" w:rsidRPr="000D0E19" w:rsidRDefault="0026369A" w:rsidP="0026369A">
            <w:pPr>
              <w:pStyle w:val="TableBodyText"/>
              <w:ind w:left="284" w:hanging="278"/>
              <w:jc w:val="left"/>
            </w:pPr>
          </w:p>
        </w:tc>
        <w:tc>
          <w:tcPr>
            <w:tcW w:w="1276" w:type="dxa"/>
          </w:tcPr>
          <w:p w:rsidR="0026369A" w:rsidRPr="000D0E19" w:rsidRDefault="007076BB" w:rsidP="0026369A">
            <w:pPr>
              <w:pStyle w:val="TableBodyText"/>
            </w:pPr>
            <w:r>
              <w:fldChar w:fldCharType="begin"/>
            </w:r>
            <w:r>
              <w:instrText xml:space="preserve"> PAGEREF _Ref322529492 </w:instrText>
            </w:r>
            <w:r>
              <w:fldChar w:fldCharType="separate"/>
            </w:r>
            <w:r w:rsidR="00936B93">
              <w:rPr>
                <w:noProof/>
              </w:rPr>
              <w:t>78</w:t>
            </w:r>
            <w:r>
              <w:rPr>
                <w:noProof/>
              </w:rPr>
              <w:fldChar w:fldCharType="end"/>
            </w:r>
          </w:p>
        </w:tc>
      </w:tr>
      <w:tr w:rsidR="0026369A" w:rsidRPr="00022B01" w:rsidTr="000D0E19">
        <w:tc>
          <w:tcPr>
            <w:tcW w:w="7513" w:type="dxa"/>
            <w:tcBorders>
              <w:bottom w:val="single" w:sz="4" w:space="0" w:color="auto"/>
            </w:tcBorders>
          </w:tcPr>
          <w:p w:rsidR="0026369A" w:rsidRPr="000D0E19" w:rsidRDefault="0026369A" w:rsidP="0026369A">
            <w:pPr>
              <w:pStyle w:val="TableBodyText"/>
              <w:jc w:val="left"/>
            </w:pPr>
            <w:r w:rsidRPr="000D0E19">
              <w:t xml:space="preserve">13. </w:t>
            </w:r>
            <w:r w:rsidR="000D0E19" w:rsidRPr="000D0E19">
              <w:t>Attainment of year 12 or equivalent</w:t>
            </w:r>
          </w:p>
          <w:p w:rsidR="0026369A" w:rsidRPr="000D0E19" w:rsidRDefault="0026369A" w:rsidP="000D0E19">
            <w:pPr>
              <w:pStyle w:val="TableBodyText"/>
              <w:ind w:left="284" w:hanging="278"/>
              <w:jc w:val="left"/>
            </w:pPr>
          </w:p>
        </w:tc>
        <w:tc>
          <w:tcPr>
            <w:tcW w:w="1276" w:type="dxa"/>
            <w:tcBorders>
              <w:bottom w:val="single" w:sz="4" w:space="0" w:color="auto"/>
            </w:tcBorders>
          </w:tcPr>
          <w:p w:rsidR="0026369A" w:rsidRPr="000D0E19" w:rsidRDefault="007076BB" w:rsidP="0026369A">
            <w:pPr>
              <w:pStyle w:val="TableBodyText"/>
            </w:pPr>
            <w:r>
              <w:fldChar w:fldCharType="begin"/>
            </w:r>
            <w:r>
              <w:instrText xml:space="preserve"> PAGEREF _Ref322529496 </w:instrText>
            </w:r>
            <w:r>
              <w:fldChar w:fldCharType="separate"/>
            </w:r>
            <w:r w:rsidR="00936B93">
              <w:rPr>
                <w:noProof/>
              </w:rPr>
              <w:t>80</w:t>
            </w:r>
            <w:r>
              <w:rPr>
                <w:noProof/>
              </w:rPr>
              <w:fldChar w:fldCharType="end"/>
            </w:r>
          </w:p>
        </w:tc>
      </w:tr>
    </w:tbl>
    <w:p w:rsidR="0026369A" w:rsidRDefault="0026369A" w:rsidP="00EE3827">
      <w:pPr>
        <w:pStyle w:val="Note"/>
      </w:pPr>
      <w:r w:rsidRPr="000D0E19">
        <w:rPr>
          <w:rStyle w:val="NoteLabel"/>
        </w:rPr>
        <w:t>a</w:t>
      </w:r>
      <w:r w:rsidRPr="000D0E19">
        <w:t xml:space="preserve"> The performance indicators are presented in this table using the direct wording from the </w:t>
      </w:r>
      <w:r w:rsidR="000F0C9C">
        <w:t xml:space="preserve">revised </w:t>
      </w:r>
      <w:r w:rsidRPr="000D0E19">
        <w:t>NIRA</w:t>
      </w:r>
      <w:r w:rsidR="00811B23">
        <w:t xml:space="preserve"> Performance Indicator Framework</w:t>
      </w:r>
      <w:r w:rsidR="000F0C9C">
        <w:t xml:space="preserve"> </w:t>
      </w:r>
      <w:r w:rsidR="00811B23">
        <w:t>(</w:t>
      </w:r>
      <w:r w:rsidR="000F0C9C">
        <w:t>PIF</w:t>
      </w:r>
      <w:r w:rsidR="00811B23">
        <w:t>)</w:t>
      </w:r>
      <w:r w:rsidR="000D0E19" w:rsidRPr="000D0E19">
        <w:t xml:space="preserve"> (</w:t>
      </w:r>
      <w:r w:rsidR="00D252AB">
        <w:t>endorsed by COAG out of session in July 2012</w:t>
      </w:r>
      <w:r w:rsidR="000D0E19" w:rsidRPr="000D0E19">
        <w:t>).</w:t>
      </w:r>
    </w:p>
    <w:p w:rsidR="0026369A" w:rsidRDefault="0026369A" w:rsidP="0026369A">
      <w:pPr>
        <w:pStyle w:val="Heading3"/>
        <w:spacing w:before="360" w:after="240"/>
      </w:pPr>
      <w:r>
        <w:br w:type="page"/>
      </w:r>
      <w:bookmarkStart w:id="21" w:name="_Ref322529177"/>
      <w:r>
        <w:lastRenderedPageBreak/>
        <w:t>NEA Indicator 1:</w:t>
      </w:r>
      <w:r w:rsidRPr="00A162AD">
        <w:t xml:space="preserve"> The proportion of children enrolled in and attending school</w:t>
      </w:r>
      <w:bookmarkEnd w:id="21"/>
    </w:p>
    <w:tbl>
      <w:tblPr>
        <w:tblW w:w="8789" w:type="dxa"/>
        <w:tblInd w:w="108" w:type="dxa"/>
        <w:tblLook w:val="01E0" w:firstRow="1" w:lastRow="1" w:firstColumn="1" w:lastColumn="1" w:noHBand="0" w:noVBand="0"/>
      </w:tblPr>
      <w:tblGrid>
        <w:gridCol w:w="1985"/>
        <w:gridCol w:w="6804"/>
      </w:tblGrid>
      <w:tr w:rsidR="0026369A" w:rsidRPr="005E6794" w:rsidTr="0026369A">
        <w:trPr>
          <w:trHeight w:val="682"/>
        </w:trPr>
        <w:tc>
          <w:tcPr>
            <w:tcW w:w="1985" w:type="dxa"/>
          </w:tcPr>
          <w:p w:rsidR="0026369A" w:rsidRDefault="0026369A" w:rsidP="0026369A">
            <w:pPr>
              <w:pStyle w:val="TableBodyText"/>
              <w:ind w:left="-108"/>
              <w:jc w:val="left"/>
            </w:pPr>
            <w:r>
              <w:t>Key amendments from previous cycle:</w:t>
            </w:r>
          </w:p>
          <w:p w:rsidR="0026369A" w:rsidRPr="00FB6E71" w:rsidRDefault="0026369A" w:rsidP="0026369A">
            <w:pPr>
              <w:pStyle w:val="TableBodyText"/>
              <w:ind w:left="34"/>
              <w:jc w:val="left"/>
            </w:pPr>
          </w:p>
        </w:tc>
        <w:tc>
          <w:tcPr>
            <w:tcW w:w="6804" w:type="dxa"/>
          </w:tcPr>
          <w:p w:rsidR="0026369A" w:rsidRDefault="0026369A" w:rsidP="0026369A">
            <w:pPr>
              <w:rPr>
                <w:rFonts w:ascii="Arial" w:hAnsi="Arial" w:cs="Arial"/>
                <w:sz w:val="20"/>
                <w:szCs w:val="20"/>
              </w:rPr>
            </w:pPr>
            <w:r>
              <w:rPr>
                <w:rFonts w:ascii="Arial" w:hAnsi="Arial" w:cs="Arial"/>
                <w:sz w:val="20"/>
                <w:szCs w:val="20"/>
              </w:rPr>
              <w:t>No amendments have been made</w:t>
            </w:r>
          </w:p>
          <w:p w:rsidR="0026369A" w:rsidRDefault="0026369A" w:rsidP="0026369A">
            <w:pPr>
              <w:pStyle w:val="TableBodyText"/>
              <w:ind w:left="34"/>
              <w:jc w:val="left"/>
            </w:pPr>
          </w:p>
        </w:tc>
      </w:tr>
      <w:tr w:rsidR="0026369A" w:rsidRPr="005E6794" w:rsidTr="0026369A">
        <w:trPr>
          <w:trHeight w:val="682"/>
        </w:trPr>
        <w:tc>
          <w:tcPr>
            <w:tcW w:w="1985" w:type="dxa"/>
          </w:tcPr>
          <w:p w:rsidR="0026369A" w:rsidRPr="005E6794" w:rsidRDefault="0026369A" w:rsidP="0026369A">
            <w:pPr>
              <w:pStyle w:val="TableBodyText"/>
              <w:ind w:left="-113"/>
              <w:jc w:val="left"/>
            </w:pPr>
            <w:bookmarkStart w:id="22" w:name="OLE_LINK5"/>
            <w:r>
              <w:t>Outcome area</w:t>
            </w:r>
            <w:r w:rsidRPr="005E6794">
              <w:t>:</w:t>
            </w:r>
          </w:p>
        </w:tc>
        <w:tc>
          <w:tcPr>
            <w:tcW w:w="6804" w:type="dxa"/>
          </w:tcPr>
          <w:p w:rsidR="0026369A" w:rsidRPr="00EB014E" w:rsidRDefault="0026369A" w:rsidP="0026369A">
            <w:pPr>
              <w:pStyle w:val="TableBodyText"/>
              <w:jc w:val="left"/>
            </w:pPr>
            <w:r w:rsidRPr="00EB014E">
              <w:t>All children are engaged in and benefiting from schooling</w:t>
            </w:r>
          </w:p>
        </w:tc>
      </w:tr>
      <w:tr w:rsidR="0026369A" w:rsidRPr="005E6794" w:rsidTr="0026369A">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Pr="008941BF" w:rsidRDefault="0026369A" w:rsidP="0026369A">
            <w:pPr>
              <w:pStyle w:val="TableBodyText"/>
              <w:jc w:val="left"/>
            </w:pPr>
            <w:r>
              <w:t>The proportion of children enrolled in and attending school</w:t>
            </w: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 xml:space="preserve">Measure: </w:t>
            </w:r>
          </w:p>
        </w:tc>
        <w:tc>
          <w:tcPr>
            <w:tcW w:w="6804" w:type="dxa"/>
          </w:tcPr>
          <w:p w:rsidR="0026369A" w:rsidRDefault="0026369A" w:rsidP="0026369A">
            <w:pPr>
              <w:pStyle w:val="TableBodyText"/>
              <w:jc w:val="left"/>
            </w:pPr>
            <w:r>
              <w:t>There are two measures for this indicator:</w:t>
            </w:r>
          </w:p>
          <w:p w:rsidR="0026369A" w:rsidRDefault="0026369A" w:rsidP="0026369A">
            <w:pPr>
              <w:pStyle w:val="TableBodyText"/>
              <w:jc w:val="left"/>
            </w:pPr>
          </w:p>
          <w:p w:rsidR="0026369A" w:rsidRDefault="0026369A" w:rsidP="0026369A">
            <w:pPr>
              <w:pStyle w:val="TableBodyText"/>
              <w:jc w:val="left"/>
            </w:pPr>
            <w:r>
              <w:t xml:space="preserve">Measure 1(a): </w:t>
            </w:r>
            <w:r w:rsidRPr="00BB0DC4">
              <w:t>Proport</w:t>
            </w:r>
            <w:r>
              <w:t>ion of children aged 6 to 15 years who are enrolled in school</w:t>
            </w:r>
          </w:p>
          <w:p w:rsidR="0026369A" w:rsidRPr="00BB0DC4" w:rsidRDefault="0026369A" w:rsidP="0026369A">
            <w:pPr>
              <w:pStyle w:val="TableBodyText"/>
              <w:jc w:val="left"/>
            </w:pPr>
          </w:p>
          <w:p w:rsidR="0026369A" w:rsidRDefault="0026369A" w:rsidP="0026369A">
            <w:pPr>
              <w:pStyle w:val="TableBodyText"/>
              <w:jc w:val="left"/>
            </w:pPr>
            <w:r>
              <w:t>Measure 1(b): Attendance rates for students enrolled in years 1 to 10</w:t>
            </w:r>
          </w:p>
          <w:p w:rsidR="0026369A" w:rsidRPr="005E6794"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t>Measure 1(a):</w:t>
            </w:r>
          </w:p>
        </w:tc>
        <w:tc>
          <w:tcPr>
            <w:tcW w:w="6804" w:type="dxa"/>
          </w:tcPr>
          <w:p w:rsidR="0026369A" w:rsidRDefault="0026369A" w:rsidP="0026369A">
            <w:pPr>
              <w:pStyle w:val="TableBodyText"/>
              <w:jc w:val="left"/>
            </w:pPr>
            <w:r>
              <w:t>Proportion of children aged 6 to 15 years who are enrolled in school</w:t>
            </w:r>
          </w:p>
          <w:p w:rsidR="0026369A" w:rsidRDefault="0026369A" w:rsidP="0026369A">
            <w:pPr>
              <w:pStyle w:val="TableBodyText"/>
              <w:jc w:val="left"/>
            </w:pPr>
          </w:p>
          <w:p w:rsidR="0026369A" w:rsidRDefault="0026369A" w:rsidP="0026369A">
            <w:pPr>
              <w:pStyle w:val="TableBodyText"/>
              <w:jc w:val="left"/>
            </w:pPr>
            <w:r>
              <w:t>The measure is defined as follows:</w:t>
            </w:r>
          </w:p>
          <w:p w:rsidR="0026369A" w:rsidRDefault="0026369A" w:rsidP="0026369A">
            <w:pPr>
              <w:pStyle w:val="TableBullet"/>
              <w:autoSpaceDE w:val="0"/>
              <w:autoSpaceDN w:val="0"/>
              <w:adjustRightInd w:val="0"/>
            </w:pPr>
            <w:r w:rsidRPr="00173D75">
              <w:rPr>
                <w:i/>
              </w:rPr>
              <w:t>numerator</w:t>
            </w:r>
            <w:r>
              <w:t xml:space="preserve"> – total number of children aged 6 to 15 years and enrolled in school (full time and part time enrolments)</w:t>
            </w:r>
          </w:p>
          <w:p w:rsidR="0026369A" w:rsidRDefault="0026369A" w:rsidP="0026369A">
            <w:pPr>
              <w:pStyle w:val="TableBullet"/>
              <w:autoSpaceDE w:val="0"/>
              <w:autoSpaceDN w:val="0"/>
              <w:adjustRightInd w:val="0"/>
            </w:pPr>
            <w:r w:rsidRPr="00173D75">
              <w:rPr>
                <w:i/>
              </w:rPr>
              <w:t>denominator</w:t>
            </w:r>
            <w:r w:rsidRPr="00173D75">
              <w:t xml:space="preserve"> </w:t>
            </w:r>
            <w:r>
              <w:t>– total population of children aged 6 to 15 years</w:t>
            </w:r>
          </w:p>
          <w:p w:rsidR="0026369A" w:rsidRDefault="0026369A" w:rsidP="0026369A">
            <w:pPr>
              <w:pStyle w:val="TableBodyText"/>
              <w:jc w:val="left"/>
            </w:pPr>
            <w:r w:rsidRPr="005E6794">
              <w:t xml:space="preserve">and is expressed as a </w:t>
            </w:r>
            <w:r w:rsidRPr="006C6846">
              <w:rPr>
                <w:i/>
              </w:rPr>
              <w:t>percentage</w:t>
            </w:r>
          </w:p>
          <w:p w:rsidR="0026369A" w:rsidRPr="005E6794" w:rsidRDefault="0026369A" w:rsidP="0026369A">
            <w:pPr>
              <w:pStyle w:val="TableBodyText"/>
              <w:jc w:val="left"/>
              <w:rPr>
                <w:i/>
              </w:rPr>
            </w:pPr>
          </w:p>
        </w:tc>
      </w:tr>
      <w:tr w:rsidR="0026369A" w:rsidRPr="005E6794" w:rsidTr="0026369A">
        <w:trPr>
          <w:trHeight w:val="574"/>
        </w:trPr>
        <w:tc>
          <w:tcPr>
            <w:tcW w:w="1985" w:type="dxa"/>
          </w:tcPr>
          <w:p w:rsidR="0026369A" w:rsidRPr="005E6794" w:rsidRDefault="0026369A" w:rsidP="0026369A">
            <w:pPr>
              <w:pStyle w:val="TableBodyText"/>
              <w:ind w:left="-113"/>
              <w:jc w:val="left"/>
            </w:pPr>
            <w:r>
              <w:t>Measure 1(b):</w:t>
            </w:r>
          </w:p>
        </w:tc>
        <w:tc>
          <w:tcPr>
            <w:tcW w:w="6804" w:type="dxa"/>
          </w:tcPr>
          <w:p w:rsidR="0026369A" w:rsidRDefault="0026369A" w:rsidP="0026369A">
            <w:pPr>
              <w:pStyle w:val="TableBodyText"/>
              <w:jc w:val="left"/>
            </w:pPr>
            <w:r>
              <w:t>Attendance rates for students in enrolled in years 1 to 10</w:t>
            </w:r>
          </w:p>
          <w:p w:rsidR="0026369A" w:rsidRDefault="0026369A" w:rsidP="0026369A">
            <w:pPr>
              <w:pStyle w:val="TableBodyText"/>
              <w:jc w:val="left"/>
            </w:pPr>
          </w:p>
          <w:p w:rsidR="0026369A" w:rsidRDefault="0026369A" w:rsidP="0026369A">
            <w:pPr>
              <w:pStyle w:val="TableBodyText"/>
              <w:jc w:val="left"/>
            </w:pPr>
            <w:r>
              <w:t>The measure is defined as follows:</w:t>
            </w:r>
          </w:p>
          <w:p w:rsidR="0026369A" w:rsidRPr="000E343F" w:rsidRDefault="0026369A" w:rsidP="0026369A">
            <w:pPr>
              <w:pStyle w:val="TableBullet"/>
              <w:autoSpaceDE w:val="0"/>
              <w:autoSpaceDN w:val="0"/>
              <w:adjustRightInd w:val="0"/>
              <w:rPr>
                <w:rFonts w:cs="ArialMT"/>
              </w:rPr>
            </w:pPr>
            <w:r w:rsidRPr="000E343F">
              <w:rPr>
                <w:i/>
              </w:rPr>
              <w:t>numerator</w:t>
            </w:r>
            <w:r>
              <w:rPr>
                <w:rFonts w:cs="Arial"/>
                <w:i/>
                <w:iCs/>
              </w:rPr>
              <w:t xml:space="preserve"> </w:t>
            </w:r>
            <w:r>
              <w:rPr>
                <w:rFonts w:cs="ArialMT"/>
              </w:rPr>
              <w:t xml:space="preserve">— aggregate number of actual days in attendance in the collection period, for children in years 1 to 10 (children enrolled full time </w:t>
            </w:r>
            <w:r>
              <w:rPr>
                <w:rFonts w:ascii="ArialMT" w:hAnsi="ArialMT" w:cs="ArialMT"/>
              </w:rPr>
              <w:t>only)</w:t>
            </w:r>
          </w:p>
          <w:p w:rsidR="0026369A" w:rsidRDefault="0026369A" w:rsidP="0026369A">
            <w:pPr>
              <w:pStyle w:val="TableBullet"/>
              <w:autoSpaceDE w:val="0"/>
              <w:autoSpaceDN w:val="0"/>
              <w:adjustRightInd w:val="0"/>
              <w:rPr>
                <w:rFonts w:ascii="ArialMT" w:hAnsi="ArialMT" w:cs="ArialMT"/>
              </w:rPr>
            </w:pPr>
            <w:r w:rsidRPr="000E343F">
              <w:rPr>
                <w:i/>
              </w:rPr>
              <w:t>denominator</w:t>
            </w:r>
            <w:r>
              <w:rPr>
                <w:rFonts w:cs="Arial"/>
                <w:i/>
                <w:iCs/>
              </w:rPr>
              <w:t xml:space="preserve"> </w:t>
            </w:r>
            <w:r>
              <w:rPr>
                <w:rFonts w:cs="ArialMT"/>
              </w:rPr>
              <w:t xml:space="preserve">— aggregate number of possible days for attendance in the collection period, for children in years 1 to 10 (children enrolled </w:t>
            </w:r>
            <w:r>
              <w:rPr>
                <w:rFonts w:ascii="ArialMT" w:hAnsi="ArialMT" w:cs="ArialMT"/>
              </w:rPr>
              <w:t>full time only)</w:t>
            </w:r>
          </w:p>
          <w:p w:rsidR="0026369A" w:rsidRDefault="0026369A" w:rsidP="0026369A">
            <w:pPr>
              <w:pStyle w:val="TableBullet"/>
              <w:numPr>
                <w:ilvl w:val="0"/>
                <w:numId w:val="0"/>
              </w:numPr>
              <w:autoSpaceDE w:val="0"/>
              <w:autoSpaceDN w:val="0"/>
              <w:adjustRightInd w:val="0"/>
              <w:rPr>
                <w:rFonts w:cs="Arial"/>
                <w:i/>
                <w:iCs/>
              </w:rPr>
            </w:pPr>
            <w:r>
              <w:rPr>
                <w:rFonts w:ascii="ArialMT" w:hAnsi="ArialMT" w:cs="ArialMT"/>
              </w:rPr>
              <w:t xml:space="preserve">and is expressed as a </w:t>
            </w:r>
            <w:r>
              <w:rPr>
                <w:rFonts w:cs="Arial"/>
                <w:i/>
                <w:iCs/>
              </w:rPr>
              <w:t>rate</w:t>
            </w:r>
          </w:p>
          <w:p w:rsidR="0026369A" w:rsidRPr="00E26C46" w:rsidRDefault="0026369A" w:rsidP="0026369A">
            <w:pPr>
              <w:pStyle w:val="TableBullet"/>
              <w:numPr>
                <w:ilvl w:val="0"/>
                <w:numId w:val="0"/>
              </w:numPr>
              <w:autoSpaceDE w:val="0"/>
              <w:autoSpaceDN w:val="0"/>
              <w:adjustRightInd w:val="0"/>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r>
              <w:t xml:space="preserve"> 1(a)</w:t>
            </w:r>
            <w:r w:rsidRPr="005E6794">
              <w:t>:</w:t>
            </w:r>
          </w:p>
        </w:tc>
        <w:tc>
          <w:tcPr>
            <w:tcW w:w="6804" w:type="dxa"/>
          </w:tcPr>
          <w:p w:rsidR="0026369A" w:rsidRPr="00635ED4" w:rsidRDefault="0026369A" w:rsidP="0026369A">
            <w:pPr>
              <w:pStyle w:val="TableBodyText"/>
              <w:jc w:val="left"/>
            </w:pPr>
            <w:r>
              <w:rPr>
                <w:i/>
              </w:rPr>
              <w:t>N</w:t>
            </w:r>
            <w:r w:rsidRPr="005E6794">
              <w:rPr>
                <w:i/>
              </w:rPr>
              <w:t>umerator</w:t>
            </w:r>
            <w:r>
              <w:rPr>
                <w:i/>
              </w:rPr>
              <w:t xml:space="preserve"> </w:t>
            </w:r>
            <w:r w:rsidRPr="005E6794">
              <w:t xml:space="preserve">— </w:t>
            </w:r>
            <w:r>
              <w:rPr>
                <w:u w:val="single"/>
              </w:rPr>
              <w:t>National Schools Statistics Collection</w:t>
            </w:r>
            <w:r>
              <w:t xml:space="preserve"> (NSSC) data</w:t>
            </w:r>
          </w:p>
          <w:p w:rsidR="0026369A" w:rsidRDefault="0026369A" w:rsidP="0026369A">
            <w:pPr>
              <w:pStyle w:val="TableBodyText"/>
              <w:jc w:val="left"/>
            </w:pPr>
            <w:r>
              <w:rPr>
                <w:i/>
              </w:rPr>
              <w:t xml:space="preserve">Denominator </w:t>
            </w:r>
            <w:r w:rsidRPr="005E6794">
              <w:t>—</w:t>
            </w:r>
            <w:r>
              <w:t xml:space="preserve"> </w:t>
            </w:r>
            <w:r w:rsidRPr="006C6846">
              <w:rPr>
                <w:u w:val="single"/>
              </w:rPr>
              <w:t>Estimated Resident Population</w:t>
            </w:r>
            <w:r>
              <w:t xml:space="preserve"> (total population)</w:t>
            </w:r>
          </w:p>
          <w:p w:rsidR="0026369A" w:rsidRDefault="0026369A" w:rsidP="0026369A">
            <w:pPr>
              <w:pStyle w:val="TableBodyText"/>
              <w:jc w:val="left"/>
            </w:pPr>
          </w:p>
          <w:p w:rsidR="0026369A" w:rsidRDefault="0026369A" w:rsidP="0026369A">
            <w:pPr>
              <w:pStyle w:val="TableBodyText"/>
              <w:jc w:val="left"/>
            </w:pPr>
            <w:r>
              <w:t>Data are available annually</w:t>
            </w:r>
          </w:p>
          <w:p w:rsidR="0026369A" w:rsidRPr="002C3C9C"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r>
              <w:t xml:space="preserve"> 1(b)</w:t>
            </w:r>
            <w:r w:rsidRPr="005E6794">
              <w:t>:</w:t>
            </w:r>
          </w:p>
        </w:tc>
        <w:tc>
          <w:tcPr>
            <w:tcW w:w="6804" w:type="dxa"/>
          </w:tcPr>
          <w:p w:rsidR="0026369A" w:rsidRPr="00635ED4" w:rsidRDefault="0026369A" w:rsidP="0026369A">
            <w:pPr>
              <w:pStyle w:val="TableBodyText"/>
              <w:jc w:val="left"/>
            </w:pPr>
            <w:r w:rsidRPr="005E6794">
              <w:rPr>
                <w:i/>
              </w:rPr>
              <w:t>Numerator</w:t>
            </w:r>
            <w:r>
              <w:rPr>
                <w:i/>
              </w:rPr>
              <w:t xml:space="preserve"> and denominator </w:t>
            </w:r>
            <w:r w:rsidRPr="005E6794">
              <w:t xml:space="preserve">— </w:t>
            </w:r>
            <w:r w:rsidRPr="003B744D">
              <w:rPr>
                <w:u w:val="single"/>
              </w:rPr>
              <w:t>N</w:t>
            </w:r>
            <w:r>
              <w:rPr>
                <w:u w:val="single"/>
              </w:rPr>
              <w:t>ational Schools Attendance Collection</w:t>
            </w:r>
            <w:r>
              <w:t xml:space="preserve"> (NSAC) data</w:t>
            </w:r>
          </w:p>
          <w:p w:rsidR="0026369A" w:rsidRDefault="0026369A" w:rsidP="0026369A">
            <w:pPr>
              <w:pStyle w:val="TableBodyText"/>
              <w:jc w:val="left"/>
            </w:pPr>
          </w:p>
          <w:p w:rsidR="00A05DB8" w:rsidRDefault="0026369A" w:rsidP="0026369A">
            <w:pPr>
              <w:pStyle w:val="TableBodyText"/>
              <w:jc w:val="left"/>
            </w:pPr>
            <w:r>
              <w:t>Data are available annually</w:t>
            </w:r>
          </w:p>
          <w:p w:rsidR="0026369A" w:rsidRPr="002C3C9C"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lastRenderedPageBreak/>
              <w:t>Data provider:</w:t>
            </w:r>
          </w:p>
        </w:tc>
        <w:tc>
          <w:tcPr>
            <w:tcW w:w="6804" w:type="dxa"/>
          </w:tcPr>
          <w:p w:rsidR="0026369A" w:rsidRDefault="0026369A" w:rsidP="0026369A">
            <w:pPr>
              <w:pStyle w:val="TableBodyText"/>
              <w:jc w:val="left"/>
            </w:pPr>
            <w:r>
              <w:t xml:space="preserve">Measure 1(a): </w:t>
            </w:r>
            <w:r w:rsidRPr="005E6794">
              <w:rPr>
                <w:i/>
              </w:rPr>
              <w:t>Numerator</w:t>
            </w:r>
            <w:r>
              <w:rPr>
                <w:i/>
              </w:rPr>
              <w:t xml:space="preserve"> and denominator </w:t>
            </w:r>
            <w:r w:rsidRPr="005E6794">
              <w:t xml:space="preserve">— </w:t>
            </w:r>
            <w:r>
              <w:t>ABS</w:t>
            </w:r>
          </w:p>
          <w:p w:rsidR="0026369A" w:rsidRDefault="0026369A" w:rsidP="0026369A">
            <w:pPr>
              <w:pStyle w:val="TableBodyText"/>
              <w:jc w:val="left"/>
            </w:pPr>
            <w:r>
              <w:t xml:space="preserve">Measure 1(b): </w:t>
            </w:r>
            <w:r w:rsidRPr="005E6794">
              <w:rPr>
                <w:i/>
              </w:rPr>
              <w:t>Numerator</w:t>
            </w:r>
            <w:r>
              <w:rPr>
                <w:i/>
              </w:rPr>
              <w:t xml:space="preserve"> and denominator </w:t>
            </w:r>
            <w:r w:rsidRPr="005E6794">
              <w:t xml:space="preserve">— </w:t>
            </w:r>
            <w:r>
              <w:t>ACARA</w:t>
            </w:r>
          </w:p>
          <w:p w:rsidR="0026369A" w:rsidRPr="005E6794" w:rsidRDefault="0026369A" w:rsidP="0026369A">
            <w:pPr>
              <w:pStyle w:val="TableBodyText"/>
              <w:jc w:val="left"/>
            </w:pP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t>Data availability:</w:t>
            </w:r>
          </w:p>
        </w:tc>
        <w:tc>
          <w:tcPr>
            <w:tcW w:w="6804" w:type="dxa"/>
          </w:tcPr>
          <w:p w:rsidR="0026369A" w:rsidRDefault="0026369A" w:rsidP="0026369A">
            <w:pPr>
              <w:pStyle w:val="TableBodyText"/>
              <w:jc w:val="left"/>
            </w:pPr>
            <w:r>
              <w:t>Measure 1(a): 2011</w:t>
            </w:r>
          </w:p>
          <w:p w:rsidR="0026369A" w:rsidRDefault="0026369A" w:rsidP="0026369A">
            <w:pPr>
              <w:pStyle w:val="TableBodyText"/>
              <w:jc w:val="left"/>
            </w:pPr>
            <w:r>
              <w:t>Measure 1(b): 2011</w:t>
            </w:r>
          </w:p>
          <w:p w:rsidR="0026369A" w:rsidRPr="00820E67" w:rsidRDefault="0026369A" w:rsidP="0026369A">
            <w:pPr>
              <w:pStyle w:val="TableBodyText"/>
              <w:jc w:val="left"/>
              <w:rPr>
                <w:i/>
              </w:rPr>
            </w:pP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Default="0026369A" w:rsidP="0026369A">
            <w:pPr>
              <w:pStyle w:val="TableBullet"/>
              <w:numPr>
                <w:ilvl w:val="0"/>
                <w:numId w:val="0"/>
              </w:numPr>
              <w:ind w:left="170" w:hanging="170"/>
            </w:pPr>
            <w:r>
              <w:t>Measure 1(a): State and Territory</w:t>
            </w:r>
          </w:p>
          <w:p w:rsidR="0026369A" w:rsidRDefault="0026369A" w:rsidP="0026369A">
            <w:pPr>
              <w:pStyle w:val="TableBullet"/>
              <w:numPr>
                <w:ilvl w:val="0"/>
                <w:numId w:val="0"/>
              </w:numPr>
              <w:ind w:left="170" w:hanging="170"/>
            </w:pPr>
            <w:r>
              <w:t>Measure 1(b): State and Territory by school sector by year level by</w:t>
            </w:r>
          </w:p>
          <w:p w:rsidR="0026369A" w:rsidRPr="007D01E8" w:rsidRDefault="0026369A" w:rsidP="0026369A">
            <w:pPr>
              <w:pStyle w:val="TableBullet"/>
              <w:autoSpaceDE w:val="0"/>
              <w:autoSpaceDN w:val="0"/>
              <w:adjustRightInd w:val="0"/>
            </w:pPr>
            <w:r>
              <w:t>sex</w:t>
            </w:r>
          </w:p>
        </w:tc>
      </w:tr>
      <w:bookmarkEnd w:id="22"/>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9</w:t>
            </w:r>
            <w:r>
              <w:rPr>
                <w:b w:val="0"/>
              </w:rPr>
              <w:fldChar w:fldCharType="end"/>
            </w:r>
            <w:r>
              <w:tab/>
              <w:t>Results</w:t>
            </w:r>
            <w:r w:rsidR="000221C9">
              <w:t xml:space="preserve"> (measure </w:t>
            </w:r>
            <w:proofErr w:type="spellStart"/>
            <w:r w:rsidR="000221C9">
              <w:t>1a</w:t>
            </w:r>
            <w:proofErr w:type="spellEnd"/>
            <w:r w:rsidR="000221C9">
              <w:t>)</w:t>
            </w:r>
          </w:p>
        </w:tc>
      </w:tr>
      <w:tr w:rsidR="0026369A" w:rsidTr="0026369A">
        <w:trPr>
          <w:cantSplit/>
        </w:trPr>
        <w:tc>
          <w:tcPr>
            <w:tcW w:w="8771" w:type="dxa"/>
            <w:tcBorders>
              <w:top w:val="nil"/>
              <w:left w:val="single" w:sz="4" w:space="0" w:color="auto"/>
              <w:bottom w:val="nil"/>
              <w:right w:val="single" w:sz="4" w:space="0" w:color="auto"/>
            </w:tcBorders>
          </w:tcPr>
          <w:p w:rsidR="00133615" w:rsidRDefault="00133615" w:rsidP="0082251B">
            <w:pPr>
              <w:pStyle w:val="Box"/>
            </w:pPr>
            <w:r>
              <w:t>For this report, new data for this indicator are available for 2011.</w:t>
            </w:r>
          </w:p>
          <w:p w:rsidR="00133615" w:rsidRDefault="00133615" w:rsidP="0082251B">
            <w:pPr>
              <w:pStyle w:val="BoxListBullet"/>
              <w:numPr>
                <w:ilvl w:val="0"/>
                <w:numId w:val="1"/>
              </w:numPr>
            </w:pPr>
            <w:r>
              <w:t xml:space="preserve">Data by State and Territory are presented in table </w:t>
            </w:r>
            <w:proofErr w:type="spellStart"/>
            <w:r>
              <w:t>NEA.1.1</w:t>
            </w:r>
            <w:proofErr w:type="spellEnd"/>
            <w:r>
              <w:t>.</w:t>
            </w:r>
          </w:p>
          <w:p w:rsidR="0026369A" w:rsidRDefault="00511130" w:rsidP="0082251B">
            <w:pPr>
              <w:pStyle w:val="Box"/>
              <w:jc w:val="left"/>
            </w:pPr>
            <w:r>
              <w:t>Data</w:t>
            </w:r>
            <w:r w:rsidR="00133615">
              <w:t xml:space="preserve"> for 2010 and 2009 are available in the 2010 NEA performance report, and </w:t>
            </w:r>
            <w:r>
              <w:t>data</w:t>
            </w:r>
            <w:r w:rsidR="00133615">
              <w:t xml:space="preserve"> for 2008 are available in the </w:t>
            </w:r>
            <w:r w:rsidR="00133615" w:rsidRPr="00133615">
              <w:t>baseline 2008 NEA performance report.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FC4A4C" w:rsidRDefault="0026369A" w:rsidP="0026369A">
      <w:pPr>
        <w:pStyle w:val="Heading4"/>
        <w:spacing w:after="120"/>
      </w:pPr>
      <w:r>
        <w:t>Attachment table</w:t>
      </w:r>
      <w:r w:rsidR="000F0C9C">
        <w:t>s</w:t>
      </w:r>
      <w:r w:rsidR="000221C9">
        <w:t xml:space="preserve"> (measure </w:t>
      </w:r>
      <w:proofErr w:type="spellStart"/>
      <w:r w:rsidR="000221C9">
        <w:t>1a</w:t>
      </w:r>
      <w:proofErr w:type="spellEnd"/>
      <w:r w:rsidR="000221C9">
        <w:t>)</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CF3BDE" w:rsidTr="0026369A">
        <w:trPr>
          <w:trHeight w:val="612"/>
        </w:trPr>
        <w:tc>
          <w:tcPr>
            <w:tcW w:w="1877" w:type="dxa"/>
            <w:noWrap/>
          </w:tcPr>
          <w:p w:rsidR="0026369A" w:rsidRPr="00412506" w:rsidRDefault="007076BB" w:rsidP="0026369A">
            <w:pPr>
              <w:rPr>
                <w:rFonts w:ascii="Arial" w:hAnsi="Arial" w:cs="Arial"/>
                <w:b/>
                <w:bCs/>
                <w:sz w:val="20"/>
                <w:szCs w:val="20"/>
              </w:rPr>
            </w:pPr>
            <w:hyperlink r:id="rId25" w:anchor="'Table NEA.1.1'!A1" w:history="1">
              <w:r w:rsidR="0026369A" w:rsidRPr="00412506">
                <w:rPr>
                  <w:rStyle w:val="Hyperlink"/>
                  <w:rFonts w:ascii="Arial" w:hAnsi="Arial" w:cs="Arial"/>
                  <w:b/>
                  <w:bCs/>
                  <w:color w:val="auto"/>
                  <w:sz w:val="20"/>
                  <w:szCs w:val="20"/>
                  <w:u w:val="none"/>
                </w:rPr>
                <w:t xml:space="preserve">Table </w:t>
              </w:r>
              <w:proofErr w:type="spellStart"/>
              <w:r w:rsidR="0026369A" w:rsidRPr="00412506">
                <w:rPr>
                  <w:rStyle w:val="Hyperlink"/>
                  <w:rFonts w:ascii="Arial" w:hAnsi="Arial" w:cs="Arial"/>
                  <w:b/>
                  <w:bCs/>
                  <w:color w:val="auto"/>
                  <w:sz w:val="20"/>
                  <w:szCs w:val="20"/>
                  <w:u w:val="none"/>
                </w:rPr>
                <w:t>NEA.1.1</w:t>
              </w:r>
              <w:proofErr w:type="spellEnd"/>
            </w:hyperlink>
          </w:p>
        </w:tc>
        <w:tc>
          <w:tcPr>
            <w:tcW w:w="6943" w:type="dxa"/>
          </w:tcPr>
          <w:p w:rsidR="0026369A" w:rsidRPr="00412506" w:rsidRDefault="0026369A" w:rsidP="0026369A">
            <w:pPr>
              <w:jc w:val="both"/>
              <w:rPr>
                <w:rFonts w:ascii="Arial" w:hAnsi="Arial" w:cs="Arial"/>
                <w:sz w:val="20"/>
                <w:szCs w:val="20"/>
              </w:rPr>
            </w:pPr>
            <w:r w:rsidRPr="00412506">
              <w:rPr>
                <w:rFonts w:ascii="Arial" w:hAnsi="Arial" w:cs="Arial"/>
                <w:sz w:val="20"/>
                <w:szCs w:val="20"/>
              </w:rPr>
              <w:t>Proportion of children aged 6–15 years enrolled in school, 2011</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10</w:t>
            </w:r>
            <w:r>
              <w:rPr>
                <w:b w:val="0"/>
              </w:rPr>
              <w:fldChar w:fldCharType="end"/>
            </w:r>
            <w:r>
              <w:tab/>
              <w:t>Comment on data quality</w:t>
            </w:r>
            <w:r w:rsidR="000221C9">
              <w:t xml:space="preserve"> (measure </w:t>
            </w:r>
            <w:proofErr w:type="spellStart"/>
            <w:r w:rsidR="000221C9">
              <w:t>1a</w:t>
            </w:r>
            <w:proofErr w:type="spellEnd"/>
            <w:r w:rsidR="000221C9">
              <w:t>)</w:t>
            </w:r>
          </w:p>
        </w:tc>
      </w:tr>
      <w:tr w:rsidR="0026369A" w:rsidTr="00F211D0">
        <w:trPr>
          <w:cantSplit/>
        </w:trPr>
        <w:tc>
          <w:tcPr>
            <w:tcW w:w="8771" w:type="dxa"/>
            <w:tcBorders>
              <w:top w:val="nil"/>
              <w:left w:val="single" w:sz="4" w:space="0" w:color="auto"/>
              <w:bottom w:val="nil"/>
              <w:right w:val="single" w:sz="4" w:space="0" w:color="auto"/>
            </w:tcBorders>
            <w:shd w:val="clear" w:color="auto" w:fill="auto"/>
          </w:tcPr>
          <w:p w:rsidR="00133615" w:rsidRPr="00F211D0" w:rsidRDefault="00133615" w:rsidP="0082251B">
            <w:pPr>
              <w:pStyle w:val="Box"/>
            </w:pPr>
            <w:r w:rsidRPr="00F211D0">
              <w:t>The DQS for this indicator has been prepared by the ABS and is included in its original form in the section in this report titled ‘Data Quality Statements.’ Key points from the DQS are summarised below.</w:t>
            </w:r>
          </w:p>
          <w:p w:rsidR="00133615" w:rsidRPr="00F211D0" w:rsidRDefault="00133615" w:rsidP="0082251B">
            <w:pPr>
              <w:pStyle w:val="BoxListBullet"/>
              <w:numPr>
                <w:ilvl w:val="0"/>
                <w:numId w:val="1"/>
              </w:numPr>
            </w:pPr>
            <w:r w:rsidRPr="00F211D0">
              <w:t>The data provide relevant information on the proportion of children aged 6–15 years who are enrolled in school.</w:t>
            </w:r>
          </w:p>
          <w:p w:rsidR="00133615" w:rsidRPr="00F211D0" w:rsidRDefault="00133615" w:rsidP="0082251B">
            <w:pPr>
              <w:pStyle w:val="BoxListBullet"/>
              <w:numPr>
                <w:ilvl w:val="0"/>
                <w:numId w:val="1"/>
              </w:numPr>
            </w:pPr>
            <w:r w:rsidRPr="00F211D0">
              <w:t>Annual data are available for school enrolments and the general population. The most recent data available are for 201</w:t>
            </w:r>
            <w:r w:rsidR="00F211D0" w:rsidRPr="00F211D0">
              <w:t>1</w:t>
            </w:r>
            <w:r w:rsidRPr="00F211D0">
              <w:t>.</w:t>
            </w:r>
          </w:p>
          <w:p w:rsidR="00133615" w:rsidRPr="00F211D0" w:rsidRDefault="00133615" w:rsidP="0082251B">
            <w:pPr>
              <w:pStyle w:val="BoxListBullet"/>
              <w:numPr>
                <w:ilvl w:val="0"/>
                <w:numId w:val="1"/>
              </w:numPr>
            </w:pPr>
            <w:r w:rsidRPr="00F211D0">
              <w:t>The data are of acceptable accuracy.</w:t>
            </w:r>
          </w:p>
          <w:p w:rsidR="00133615" w:rsidRPr="00F211D0" w:rsidRDefault="00133615" w:rsidP="0082251B">
            <w:pPr>
              <w:pStyle w:val="BoxListBullet"/>
              <w:numPr>
                <w:ilvl w:val="0"/>
                <w:numId w:val="1"/>
              </w:numPr>
            </w:pPr>
            <w:r w:rsidRPr="00F211D0">
              <w:t>There are some differences between the numerator and denominator. Enrolments data (the numerator) are administratively based and may include students who cross jurisdictional boundaries to attend school. Population data (the denominator) are estimated and are based on usual residents within a defin</w:t>
            </w:r>
            <w:r w:rsidR="00CE44B1">
              <w:t>ed State or Territory boundary.</w:t>
            </w:r>
          </w:p>
          <w:p w:rsidR="00133615" w:rsidRPr="00F211D0" w:rsidRDefault="00133615" w:rsidP="0082251B">
            <w:pPr>
              <w:pStyle w:val="BoxListBullet"/>
              <w:numPr>
                <w:ilvl w:val="0"/>
                <w:numId w:val="1"/>
              </w:numPr>
            </w:pPr>
            <w:r w:rsidRPr="00F211D0">
              <w:t>Detailed explanatory notes are publicly available to assist in</w:t>
            </w:r>
            <w:r w:rsidR="00CE44B1">
              <w:t xml:space="preserve"> the interpretation of results.</w:t>
            </w:r>
          </w:p>
          <w:p w:rsidR="00133615" w:rsidRPr="00F211D0" w:rsidRDefault="00133615" w:rsidP="0082251B">
            <w:pPr>
              <w:pStyle w:val="BoxListBullet"/>
              <w:numPr>
                <w:ilvl w:val="0"/>
                <w:numId w:val="1"/>
              </w:numPr>
            </w:pPr>
            <w:r w:rsidRPr="00F211D0">
              <w:t>Additional data from the data source are available.</w:t>
            </w:r>
          </w:p>
          <w:p w:rsidR="00133615" w:rsidRPr="00F211D0" w:rsidRDefault="00133615" w:rsidP="0082251B">
            <w:pPr>
              <w:pStyle w:val="Box"/>
            </w:pPr>
            <w:r w:rsidRPr="00F211D0">
              <w:t>The Steering Committee also notes the following issue:</w:t>
            </w:r>
          </w:p>
          <w:p w:rsidR="0026369A" w:rsidRDefault="00133615" w:rsidP="0082251B">
            <w:pPr>
              <w:pStyle w:val="BoxListBullet"/>
              <w:numPr>
                <w:ilvl w:val="0"/>
                <w:numId w:val="1"/>
              </w:numPr>
            </w:pPr>
            <w:r w:rsidRPr="00F211D0">
              <w:t>The differences in populations used for the numerator (service population for jurisdiction) and denominator (resident population for jurisdiction) may result in an overestimate of enrolment rates for some jurisdictions (in particular, the ACT) and an underestimate in other jurisdictions.</w:t>
            </w:r>
            <w:r w:rsidR="0025773D">
              <w:t xml:space="preserve"> </w:t>
            </w:r>
            <w:r w:rsidRPr="00F211D0">
              <w:t xml:space="preserve">ABS data from the NSSC for reporting student enrolments (measure </w:t>
            </w:r>
            <w:proofErr w:type="spellStart"/>
            <w:r w:rsidRPr="00F211D0">
              <w:t>1a</w:t>
            </w:r>
            <w:proofErr w:type="spellEnd"/>
            <w:r w:rsidRPr="00F211D0">
              <w:t>) are not comparable with data from the NSAC for reporting student attendance (measure</w:t>
            </w:r>
            <w:r w:rsidR="00E45715">
              <w:t> </w:t>
            </w:r>
            <w:proofErr w:type="spellStart"/>
            <w:r w:rsidRPr="00F211D0">
              <w:t>1b</w:t>
            </w:r>
            <w:proofErr w:type="spellEnd"/>
            <w:r w:rsidRPr="00F211D0">
              <w: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0221C9" w:rsidRDefault="000221C9" w:rsidP="000221C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221C9" w:rsidTr="000221C9">
        <w:tc>
          <w:tcPr>
            <w:tcW w:w="8771" w:type="dxa"/>
            <w:tcBorders>
              <w:top w:val="single" w:sz="6" w:space="0" w:color="auto"/>
              <w:bottom w:val="nil"/>
            </w:tcBorders>
          </w:tcPr>
          <w:p w:rsidR="000221C9" w:rsidRDefault="000221C9" w:rsidP="000221C9">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11</w:t>
            </w:r>
            <w:r>
              <w:rPr>
                <w:b w:val="0"/>
              </w:rPr>
              <w:fldChar w:fldCharType="end"/>
            </w:r>
            <w:r>
              <w:tab/>
              <w:t xml:space="preserve">Results (measure </w:t>
            </w:r>
            <w:proofErr w:type="spellStart"/>
            <w:r>
              <w:t>1b</w:t>
            </w:r>
            <w:proofErr w:type="spellEnd"/>
            <w:r>
              <w:t>)</w:t>
            </w:r>
          </w:p>
        </w:tc>
      </w:tr>
      <w:tr w:rsidR="000221C9" w:rsidTr="000221C9">
        <w:trPr>
          <w:cantSplit/>
        </w:trPr>
        <w:tc>
          <w:tcPr>
            <w:tcW w:w="8771" w:type="dxa"/>
            <w:tcBorders>
              <w:top w:val="nil"/>
              <w:left w:val="single" w:sz="4" w:space="0" w:color="auto"/>
              <w:bottom w:val="nil"/>
              <w:right w:val="single" w:sz="4" w:space="0" w:color="auto"/>
            </w:tcBorders>
          </w:tcPr>
          <w:p w:rsidR="000221C9" w:rsidRDefault="000221C9" w:rsidP="0082251B">
            <w:pPr>
              <w:pStyle w:val="Box"/>
            </w:pPr>
            <w:r>
              <w:t>For this report, new data for this indicator are available for 2011.</w:t>
            </w:r>
          </w:p>
          <w:p w:rsidR="000221C9" w:rsidRDefault="000221C9" w:rsidP="0082251B">
            <w:pPr>
              <w:pStyle w:val="BoxListBullet"/>
              <w:numPr>
                <w:ilvl w:val="0"/>
                <w:numId w:val="1"/>
              </w:numPr>
            </w:pPr>
            <w:r>
              <w:t>Data by State and Territory are presented in table</w:t>
            </w:r>
            <w:r w:rsidR="00E45715">
              <w:t>s</w:t>
            </w:r>
            <w:r>
              <w:t xml:space="preserve"> </w:t>
            </w:r>
            <w:proofErr w:type="spellStart"/>
            <w:r>
              <w:t>NEA.1.2</w:t>
            </w:r>
            <w:proofErr w:type="spellEnd"/>
            <w:r>
              <w:softHyphen/>
              <w:t>–1.4.</w:t>
            </w:r>
          </w:p>
          <w:p w:rsidR="000221C9" w:rsidRDefault="00511130" w:rsidP="0082251B">
            <w:pPr>
              <w:pStyle w:val="Box"/>
            </w:pPr>
            <w:r>
              <w:t>Data</w:t>
            </w:r>
            <w:r w:rsidR="000221C9">
              <w:t xml:space="preserve"> for 2010 are available in an addendum to the 2010 NEA performance report. </w:t>
            </w:r>
            <w:r>
              <w:t xml:space="preserve">Data </w:t>
            </w:r>
            <w:r w:rsidR="000221C9">
              <w:t xml:space="preserve">for </w:t>
            </w:r>
            <w:r w:rsidR="000221C9" w:rsidRPr="000221C9">
              <w:t xml:space="preserve">2009, 2008 and 2007 are available in the 2009 NEA performance report. </w:t>
            </w:r>
          </w:p>
        </w:tc>
      </w:tr>
      <w:tr w:rsidR="000221C9" w:rsidTr="000221C9">
        <w:trPr>
          <w:cantSplit/>
        </w:trPr>
        <w:tc>
          <w:tcPr>
            <w:tcW w:w="8771" w:type="dxa"/>
            <w:tcBorders>
              <w:top w:val="nil"/>
              <w:left w:val="single" w:sz="4" w:space="0" w:color="auto"/>
              <w:bottom w:val="single" w:sz="4" w:space="0" w:color="auto"/>
              <w:right w:val="single" w:sz="4" w:space="0" w:color="auto"/>
            </w:tcBorders>
          </w:tcPr>
          <w:p w:rsidR="000221C9" w:rsidRDefault="000221C9" w:rsidP="000221C9">
            <w:pPr>
              <w:pStyle w:val="Box"/>
              <w:spacing w:before="0" w:line="120" w:lineRule="exact"/>
            </w:pPr>
          </w:p>
        </w:tc>
      </w:tr>
    </w:tbl>
    <w:p w:rsidR="000221C9" w:rsidRPr="00FC4A4C" w:rsidRDefault="000221C9" w:rsidP="000221C9">
      <w:pPr>
        <w:pStyle w:val="Heading4"/>
        <w:spacing w:after="120"/>
      </w:pPr>
      <w:r>
        <w:t xml:space="preserve">Attachment tables (measure </w:t>
      </w:r>
      <w:proofErr w:type="spellStart"/>
      <w:r>
        <w:t>1b</w:t>
      </w:r>
      <w:proofErr w:type="spellEnd"/>
      <w:r>
        <w:t>)</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0221C9" w:rsidRPr="00CF3BDE" w:rsidTr="000221C9">
        <w:trPr>
          <w:trHeight w:val="612"/>
        </w:trPr>
        <w:tc>
          <w:tcPr>
            <w:tcW w:w="1877" w:type="dxa"/>
            <w:noWrap/>
          </w:tcPr>
          <w:p w:rsidR="000221C9" w:rsidRPr="00412506" w:rsidRDefault="007076BB" w:rsidP="000221C9">
            <w:pPr>
              <w:rPr>
                <w:rFonts w:ascii="Arial" w:hAnsi="Arial" w:cs="Arial"/>
                <w:b/>
                <w:bCs/>
                <w:sz w:val="20"/>
                <w:szCs w:val="20"/>
              </w:rPr>
            </w:pPr>
            <w:hyperlink r:id="rId26" w:anchor="'Table NEA.1.2'!A1" w:history="1">
              <w:r w:rsidR="000221C9" w:rsidRPr="00412506">
                <w:rPr>
                  <w:rStyle w:val="Hyperlink"/>
                  <w:rFonts w:ascii="Arial" w:hAnsi="Arial" w:cs="Arial"/>
                  <w:b/>
                  <w:bCs/>
                  <w:color w:val="auto"/>
                  <w:sz w:val="20"/>
                  <w:szCs w:val="20"/>
                  <w:u w:val="none"/>
                </w:rPr>
                <w:t xml:space="preserve">Table </w:t>
              </w:r>
              <w:proofErr w:type="spellStart"/>
              <w:r w:rsidR="000221C9" w:rsidRPr="00412506">
                <w:rPr>
                  <w:rStyle w:val="Hyperlink"/>
                  <w:rFonts w:ascii="Arial" w:hAnsi="Arial" w:cs="Arial"/>
                  <w:b/>
                  <w:bCs/>
                  <w:color w:val="auto"/>
                  <w:sz w:val="20"/>
                  <w:szCs w:val="20"/>
                  <w:u w:val="none"/>
                </w:rPr>
                <w:t>NEA.1.2</w:t>
              </w:r>
              <w:proofErr w:type="spellEnd"/>
            </w:hyperlink>
          </w:p>
        </w:tc>
        <w:tc>
          <w:tcPr>
            <w:tcW w:w="6943" w:type="dxa"/>
          </w:tcPr>
          <w:p w:rsidR="000221C9" w:rsidRPr="00412506" w:rsidRDefault="000221C9" w:rsidP="000221C9">
            <w:pPr>
              <w:jc w:val="both"/>
              <w:rPr>
                <w:rFonts w:ascii="Arial" w:hAnsi="Arial" w:cs="Arial"/>
                <w:sz w:val="20"/>
                <w:szCs w:val="20"/>
              </w:rPr>
            </w:pPr>
            <w:r w:rsidRPr="00412506">
              <w:rPr>
                <w:rFonts w:ascii="Arial" w:hAnsi="Arial" w:cs="Arial"/>
                <w:sz w:val="20"/>
                <w:szCs w:val="20"/>
              </w:rPr>
              <w:t>Student attendance rates, government schools, by sex, 2011 (per cent)</w:t>
            </w:r>
          </w:p>
        </w:tc>
      </w:tr>
      <w:tr w:rsidR="000221C9" w:rsidRPr="00CF3BDE" w:rsidTr="000221C9">
        <w:trPr>
          <w:trHeight w:val="612"/>
        </w:trPr>
        <w:tc>
          <w:tcPr>
            <w:tcW w:w="1877" w:type="dxa"/>
            <w:noWrap/>
          </w:tcPr>
          <w:p w:rsidR="000221C9" w:rsidRPr="00412506" w:rsidRDefault="007076BB" w:rsidP="000221C9">
            <w:pPr>
              <w:rPr>
                <w:rFonts w:ascii="Arial" w:hAnsi="Arial" w:cs="Arial"/>
                <w:b/>
                <w:bCs/>
                <w:sz w:val="20"/>
                <w:szCs w:val="20"/>
              </w:rPr>
            </w:pPr>
            <w:hyperlink r:id="rId27" w:anchor="'Table NEA.1.3'!A1" w:history="1">
              <w:r w:rsidR="000221C9" w:rsidRPr="00412506">
                <w:rPr>
                  <w:rStyle w:val="Hyperlink"/>
                  <w:rFonts w:ascii="Arial" w:hAnsi="Arial" w:cs="Arial"/>
                  <w:b/>
                  <w:bCs/>
                  <w:color w:val="auto"/>
                  <w:sz w:val="20"/>
                  <w:szCs w:val="20"/>
                  <w:u w:val="none"/>
                </w:rPr>
                <w:t xml:space="preserve">Table </w:t>
              </w:r>
              <w:proofErr w:type="spellStart"/>
              <w:r w:rsidR="000221C9" w:rsidRPr="00412506">
                <w:rPr>
                  <w:rStyle w:val="Hyperlink"/>
                  <w:rFonts w:ascii="Arial" w:hAnsi="Arial" w:cs="Arial"/>
                  <w:b/>
                  <w:bCs/>
                  <w:color w:val="auto"/>
                  <w:sz w:val="20"/>
                  <w:szCs w:val="20"/>
                  <w:u w:val="none"/>
                </w:rPr>
                <w:t>NEA.1.3</w:t>
              </w:r>
              <w:proofErr w:type="spellEnd"/>
            </w:hyperlink>
          </w:p>
        </w:tc>
        <w:tc>
          <w:tcPr>
            <w:tcW w:w="6943" w:type="dxa"/>
          </w:tcPr>
          <w:p w:rsidR="000221C9" w:rsidRPr="00412506" w:rsidRDefault="000221C9" w:rsidP="000221C9">
            <w:pPr>
              <w:jc w:val="both"/>
              <w:rPr>
                <w:rFonts w:ascii="Arial" w:hAnsi="Arial" w:cs="Arial"/>
                <w:sz w:val="20"/>
                <w:szCs w:val="20"/>
              </w:rPr>
            </w:pPr>
            <w:r w:rsidRPr="00412506">
              <w:rPr>
                <w:rFonts w:ascii="Arial" w:hAnsi="Arial" w:cs="Arial"/>
                <w:sz w:val="20"/>
                <w:szCs w:val="20"/>
              </w:rPr>
              <w:t>Student attendance rates, independent schools, by sex, 2011 (per cent)</w:t>
            </w:r>
          </w:p>
        </w:tc>
      </w:tr>
      <w:tr w:rsidR="000221C9" w:rsidRPr="00CF3BDE" w:rsidTr="000221C9">
        <w:trPr>
          <w:trHeight w:val="612"/>
        </w:trPr>
        <w:tc>
          <w:tcPr>
            <w:tcW w:w="1877" w:type="dxa"/>
            <w:noWrap/>
          </w:tcPr>
          <w:p w:rsidR="000221C9" w:rsidRPr="00412506" w:rsidRDefault="007076BB" w:rsidP="000221C9">
            <w:pPr>
              <w:rPr>
                <w:rFonts w:ascii="Arial" w:hAnsi="Arial" w:cs="Arial"/>
                <w:b/>
                <w:bCs/>
                <w:sz w:val="20"/>
                <w:szCs w:val="20"/>
              </w:rPr>
            </w:pPr>
            <w:hyperlink r:id="rId28" w:anchor="'Table NEA.1.4'!A1" w:history="1">
              <w:r w:rsidR="000221C9" w:rsidRPr="00412506">
                <w:rPr>
                  <w:rStyle w:val="Hyperlink"/>
                  <w:rFonts w:ascii="Arial" w:hAnsi="Arial" w:cs="Arial"/>
                  <w:b/>
                  <w:bCs/>
                  <w:color w:val="auto"/>
                  <w:sz w:val="20"/>
                  <w:szCs w:val="20"/>
                  <w:u w:val="none"/>
                </w:rPr>
                <w:t xml:space="preserve">Table </w:t>
              </w:r>
              <w:proofErr w:type="spellStart"/>
              <w:r w:rsidR="000221C9" w:rsidRPr="00412506">
                <w:rPr>
                  <w:rStyle w:val="Hyperlink"/>
                  <w:rFonts w:ascii="Arial" w:hAnsi="Arial" w:cs="Arial"/>
                  <w:b/>
                  <w:bCs/>
                  <w:color w:val="auto"/>
                  <w:sz w:val="20"/>
                  <w:szCs w:val="20"/>
                  <w:u w:val="none"/>
                </w:rPr>
                <w:t>NEA.1.4</w:t>
              </w:r>
              <w:proofErr w:type="spellEnd"/>
            </w:hyperlink>
          </w:p>
        </w:tc>
        <w:tc>
          <w:tcPr>
            <w:tcW w:w="6943" w:type="dxa"/>
          </w:tcPr>
          <w:p w:rsidR="000221C9" w:rsidRPr="00412506" w:rsidRDefault="000221C9" w:rsidP="000221C9">
            <w:pPr>
              <w:jc w:val="both"/>
              <w:rPr>
                <w:rFonts w:ascii="Arial" w:hAnsi="Arial" w:cs="Arial"/>
                <w:sz w:val="20"/>
                <w:szCs w:val="20"/>
              </w:rPr>
            </w:pPr>
            <w:r w:rsidRPr="00412506">
              <w:rPr>
                <w:rFonts w:ascii="Arial" w:hAnsi="Arial" w:cs="Arial"/>
                <w:sz w:val="20"/>
                <w:szCs w:val="20"/>
              </w:rPr>
              <w:t>Student attendance rates, Catholic schools, by sex, 2011 (per cent)</w:t>
            </w:r>
          </w:p>
        </w:tc>
      </w:tr>
    </w:tbl>
    <w:p w:rsidR="000221C9" w:rsidRDefault="000221C9" w:rsidP="000221C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221C9" w:rsidTr="000221C9">
        <w:tc>
          <w:tcPr>
            <w:tcW w:w="8771" w:type="dxa"/>
            <w:tcBorders>
              <w:top w:val="single" w:sz="6" w:space="0" w:color="auto"/>
              <w:bottom w:val="nil"/>
            </w:tcBorders>
          </w:tcPr>
          <w:p w:rsidR="000221C9" w:rsidRDefault="000221C9" w:rsidP="000221C9">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12</w:t>
            </w:r>
            <w:r>
              <w:rPr>
                <w:b w:val="0"/>
              </w:rPr>
              <w:fldChar w:fldCharType="end"/>
            </w:r>
            <w:r>
              <w:tab/>
              <w:t>Comment on data quality</w:t>
            </w:r>
          </w:p>
        </w:tc>
      </w:tr>
      <w:tr w:rsidR="000221C9" w:rsidTr="000221C9">
        <w:trPr>
          <w:cantSplit/>
        </w:trPr>
        <w:tc>
          <w:tcPr>
            <w:tcW w:w="8771" w:type="dxa"/>
            <w:tcBorders>
              <w:top w:val="nil"/>
              <w:left w:val="single" w:sz="4" w:space="0" w:color="auto"/>
              <w:bottom w:val="nil"/>
              <w:right w:val="single" w:sz="4" w:space="0" w:color="auto"/>
            </w:tcBorders>
          </w:tcPr>
          <w:p w:rsidR="008770B3" w:rsidRPr="00913061" w:rsidRDefault="008770B3" w:rsidP="0082251B">
            <w:pPr>
              <w:pStyle w:val="Box"/>
            </w:pPr>
            <w:r w:rsidRPr="00913061">
              <w:t>The DQS for this indicator has been prepared by ACARA and is included in its original form in the section in this report titled ‘Data Quality Statements.’ Key points from the DQS are summarised below.</w:t>
            </w:r>
          </w:p>
          <w:p w:rsidR="008770B3" w:rsidRPr="00913061" w:rsidRDefault="008770B3" w:rsidP="0082251B">
            <w:pPr>
              <w:pStyle w:val="BoxListBullet"/>
              <w:numPr>
                <w:ilvl w:val="0"/>
                <w:numId w:val="1"/>
              </w:numPr>
            </w:pPr>
            <w:r w:rsidRPr="00913061">
              <w:t>The data provide an indicative measure of student attendance in years 1–10 within an individual school sector within a State or Territory.</w:t>
            </w:r>
          </w:p>
          <w:p w:rsidR="008770B3" w:rsidRPr="00913061" w:rsidRDefault="00CE44B1" w:rsidP="0082251B">
            <w:pPr>
              <w:pStyle w:val="BoxListBullet"/>
              <w:numPr>
                <w:ilvl w:val="0"/>
                <w:numId w:val="1"/>
              </w:numPr>
            </w:pPr>
            <w:r>
              <w:t>Annual data are available.</w:t>
            </w:r>
          </w:p>
          <w:p w:rsidR="008770B3" w:rsidRPr="00913061" w:rsidRDefault="008770B3" w:rsidP="0082251B">
            <w:pPr>
              <w:pStyle w:val="BoxListBullet"/>
              <w:numPr>
                <w:ilvl w:val="0"/>
                <w:numId w:val="1"/>
              </w:numPr>
            </w:pPr>
            <w:r w:rsidRPr="00913061">
              <w:t>The data are of acceptable accuracy at the State and Territory level. National totals are not available as the data are not sufficiently robust to be added or averaged. Data are not comparable across states and territories, or across school sectors, due to differences in collection and reporting processes.</w:t>
            </w:r>
          </w:p>
          <w:p w:rsidR="008770B3" w:rsidRPr="00913061" w:rsidRDefault="008770B3" w:rsidP="0082251B">
            <w:pPr>
              <w:pStyle w:val="BoxListBullet"/>
              <w:numPr>
                <w:ilvl w:val="0"/>
                <w:numId w:val="1"/>
              </w:numPr>
            </w:pPr>
            <w:r w:rsidRPr="00913061">
              <w:t>Detailed explanatory notes are publicly available to assist interpretation of results. Some states do not separately report the rates for ungraded students, which may affect the interpretation of year level data.</w:t>
            </w:r>
          </w:p>
          <w:p w:rsidR="008770B3" w:rsidRPr="00913061" w:rsidRDefault="008770B3" w:rsidP="0082251B">
            <w:pPr>
              <w:pStyle w:val="Box"/>
            </w:pPr>
            <w:r w:rsidRPr="00913061">
              <w:t>The Steering Committee also notes the following issues:</w:t>
            </w:r>
          </w:p>
          <w:p w:rsidR="009854AE" w:rsidRPr="00913061" w:rsidRDefault="008770B3" w:rsidP="0082251B">
            <w:pPr>
              <w:pStyle w:val="BoxListBullet"/>
              <w:numPr>
                <w:ilvl w:val="0"/>
                <w:numId w:val="1"/>
              </w:numPr>
            </w:pPr>
            <w:r w:rsidRPr="00913061">
              <w:t xml:space="preserve">Data comparability issues limit the usefulness of this measure. </w:t>
            </w:r>
            <w:r w:rsidR="009854AE" w:rsidRPr="00913061">
              <w:t>Further improvements are required to develop comparable data across school sectors and across states and territories. Further, attendance rates for the total of all school</w:t>
            </w:r>
            <w:r w:rsidR="0053619B">
              <w:t xml:space="preserve"> sector</w:t>
            </w:r>
            <w:r w:rsidR="009854AE" w:rsidRPr="00913061">
              <w:t>s and</w:t>
            </w:r>
            <w:r w:rsidR="0053619B">
              <w:t xml:space="preserve"> nationally</w:t>
            </w:r>
            <w:r w:rsidR="009854AE" w:rsidRPr="00913061">
              <w:t xml:space="preserve"> are required.</w:t>
            </w:r>
          </w:p>
          <w:p w:rsidR="000221C9" w:rsidRPr="00913061" w:rsidRDefault="009854AE" w:rsidP="0082251B">
            <w:pPr>
              <w:pStyle w:val="BoxListBullet"/>
              <w:numPr>
                <w:ilvl w:val="0"/>
                <w:numId w:val="1"/>
              </w:numPr>
            </w:pPr>
            <w:r w:rsidRPr="00913061">
              <w:t xml:space="preserve">ACARA plans to develop and implement a Student Attendance Data Methodology with the aim of collection and reporting consistent student attendance data across jurisdictional Education Authorities, and the Catholic and </w:t>
            </w:r>
            <w:r w:rsidR="00FC728B">
              <w:t>i</w:t>
            </w:r>
            <w:r w:rsidRPr="00913061">
              <w:t xml:space="preserve">ndependent </w:t>
            </w:r>
            <w:r w:rsidR="00611921">
              <w:t>s</w:t>
            </w:r>
            <w:r w:rsidR="00611921" w:rsidRPr="00913061">
              <w:t>ectors</w:t>
            </w:r>
            <w:r w:rsidRPr="00913061">
              <w:t xml:space="preserve">. </w:t>
            </w:r>
          </w:p>
        </w:tc>
      </w:tr>
      <w:tr w:rsidR="000221C9" w:rsidTr="000221C9">
        <w:trPr>
          <w:cantSplit/>
        </w:trPr>
        <w:tc>
          <w:tcPr>
            <w:tcW w:w="8771" w:type="dxa"/>
            <w:tcBorders>
              <w:top w:val="nil"/>
              <w:left w:val="single" w:sz="4" w:space="0" w:color="auto"/>
              <w:bottom w:val="single" w:sz="4" w:space="0" w:color="auto"/>
              <w:right w:val="single" w:sz="4" w:space="0" w:color="auto"/>
            </w:tcBorders>
          </w:tcPr>
          <w:p w:rsidR="000221C9" w:rsidRDefault="000221C9" w:rsidP="000221C9">
            <w:pPr>
              <w:pStyle w:val="Box"/>
              <w:spacing w:before="0" w:line="120" w:lineRule="exact"/>
            </w:pPr>
          </w:p>
        </w:tc>
      </w:tr>
    </w:tbl>
    <w:p w:rsidR="000221C9" w:rsidRDefault="000221C9" w:rsidP="000221C9">
      <w:pPr>
        <w:pStyle w:val="BodyText"/>
      </w:pPr>
    </w:p>
    <w:p w:rsidR="0026369A" w:rsidRDefault="0026369A" w:rsidP="0026369A">
      <w:pPr>
        <w:pStyle w:val="BodyText"/>
      </w:pPr>
    </w:p>
    <w:p w:rsidR="0026369A" w:rsidRDefault="0026369A" w:rsidP="0026369A">
      <w:pPr>
        <w:pStyle w:val="Heading3"/>
        <w:spacing w:before="360" w:after="240"/>
      </w:pPr>
      <w:r>
        <w:br w:type="page"/>
      </w:r>
      <w:bookmarkStart w:id="23" w:name="_Ref322529188"/>
      <w:r>
        <w:lastRenderedPageBreak/>
        <w:t>NEA Indicator 2</w:t>
      </w:r>
      <w:r w:rsidRPr="00BD31F7">
        <w:t>. The proportion of Indigenous and low SES children enrolled in and attending school</w:t>
      </w:r>
      <w:bookmarkEnd w:id="23"/>
    </w:p>
    <w:tbl>
      <w:tblPr>
        <w:tblW w:w="8789" w:type="dxa"/>
        <w:tblInd w:w="108" w:type="dxa"/>
        <w:tblLook w:val="01E0" w:firstRow="1" w:lastRow="1" w:firstColumn="1" w:lastColumn="1" w:noHBand="0" w:noVBand="0"/>
      </w:tblPr>
      <w:tblGrid>
        <w:gridCol w:w="1985"/>
        <w:gridCol w:w="6804"/>
      </w:tblGrid>
      <w:tr w:rsidR="0026369A" w:rsidRPr="005E6794" w:rsidTr="0026369A">
        <w:tc>
          <w:tcPr>
            <w:tcW w:w="1985" w:type="dxa"/>
          </w:tcPr>
          <w:p w:rsidR="0026369A" w:rsidRDefault="0026369A" w:rsidP="0026369A">
            <w:pPr>
              <w:pStyle w:val="TableBodyText"/>
              <w:ind w:left="-108"/>
              <w:jc w:val="left"/>
            </w:pPr>
            <w:r>
              <w:t>Key amendments from previous cycle:</w:t>
            </w:r>
          </w:p>
          <w:p w:rsidR="0026369A" w:rsidRPr="00FB6E71" w:rsidRDefault="0026369A" w:rsidP="0026369A">
            <w:pPr>
              <w:pStyle w:val="TableBodyText"/>
              <w:ind w:left="34"/>
              <w:jc w:val="left"/>
            </w:pPr>
          </w:p>
        </w:tc>
        <w:tc>
          <w:tcPr>
            <w:tcW w:w="6804" w:type="dxa"/>
          </w:tcPr>
          <w:p w:rsidR="0026369A" w:rsidRDefault="0026369A" w:rsidP="0026369A">
            <w:pPr>
              <w:pStyle w:val="TableBodyText"/>
              <w:ind w:left="34"/>
              <w:jc w:val="left"/>
            </w:pPr>
            <w:r>
              <w:t>Data on the proportion of Indigenous children enrolled in school have not been reported this year due to data quality issues – see comment on data quality for further information.</w:t>
            </w:r>
          </w:p>
        </w:tc>
      </w:tr>
      <w:tr w:rsidR="0026369A" w:rsidRPr="005E6794" w:rsidTr="0026369A">
        <w:trPr>
          <w:trHeight w:val="682"/>
        </w:trPr>
        <w:tc>
          <w:tcPr>
            <w:tcW w:w="1985" w:type="dxa"/>
          </w:tcPr>
          <w:p w:rsidR="0026369A" w:rsidRPr="005E6794" w:rsidRDefault="0026369A" w:rsidP="0026369A">
            <w:pPr>
              <w:pStyle w:val="TableBodyText"/>
              <w:ind w:left="-113"/>
              <w:jc w:val="left"/>
            </w:pPr>
            <w:r>
              <w:t>Outcome area</w:t>
            </w:r>
            <w:r w:rsidRPr="005E6794">
              <w:t>:</w:t>
            </w:r>
          </w:p>
        </w:tc>
        <w:tc>
          <w:tcPr>
            <w:tcW w:w="6804" w:type="dxa"/>
          </w:tcPr>
          <w:p w:rsidR="0026369A" w:rsidRDefault="0026369A" w:rsidP="0026369A">
            <w:pPr>
              <w:pStyle w:val="TableBodyText"/>
              <w:jc w:val="left"/>
            </w:pPr>
            <w:r>
              <w:t>Schooling promotes the social inclusion and reduces the educational</w:t>
            </w:r>
          </w:p>
          <w:p w:rsidR="0026369A" w:rsidRDefault="0026369A" w:rsidP="0026369A">
            <w:pPr>
              <w:pStyle w:val="TableBodyText"/>
              <w:jc w:val="left"/>
            </w:pPr>
            <w:r>
              <w:t>disadvantage of children, especially Indigenous children</w:t>
            </w:r>
          </w:p>
          <w:p w:rsidR="0026369A" w:rsidRPr="004161F4" w:rsidRDefault="0026369A" w:rsidP="0026369A">
            <w:pPr>
              <w:pStyle w:val="TableBodyText"/>
              <w:jc w:val="left"/>
            </w:pPr>
          </w:p>
        </w:tc>
      </w:tr>
      <w:tr w:rsidR="0026369A" w:rsidRPr="005E6794" w:rsidTr="0026369A">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Default="0026369A" w:rsidP="0026369A">
            <w:pPr>
              <w:pStyle w:val="TableBodyText"/>
              <w:jc w:val="left"/>
            </w:pPr>
            <w:r>
              <w:t>The proportion of Indigenous and low SES children enrolled in and attending school</w:t>
            </w:r>
          </w:p>
          <w:p w:rsidR="0026369A" w:rsidRPr="008941BF" w:rsidRDefault="0026369A" w:rsidP="0026369A">
            <w:pPr>
              <w:pStyle w:val="TableBodyText"/>
              <w:jc w:val="left"/>
            </w:pP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 xml:space="preserve">Measure: </w:t>
            </w:r>
          </w:p>
        </w:tc>
        <w:tc>
          <w:tcPr>
            <w:tcW w:w="6804" w:type="dxa"/>
          </w:tcPr>
          <w:p w:rsidR="0026369A" w:rsidRDefault="0026369A" w:rsidP="0026369A">
            <w:pPr>
              <w:pStyle w:val="TableBodyText"/>
              <w:jc w:val="left"/>
            </w:pPr>
            <w:r>
              <w:t>There are two measures for this indicator:</w:t>
            </w:r>
          </w:p>
          <w:p w:rsidR="0026369A" w:rsidRDefault="0026369A" w:rsidP="0026369A">
            <w:pPr>
              <w:pStyle w:val="TableBodyText"/>
              <w:jc w:val="left"/>
            </w:pPr>
          </w:p>
          <w:p w:rsidR="0026369A" w:rsidRDefault="0026369A" w:rsidP="0026369A">
            <w:pPr>
              <w:pStyle w:val="TableBodyText"/>
              <w:jc w:val="left"/>
            </w:pPr>
            <w:r>
              <w:t xml:space="preserve">Measure 2(a): </w:t>
            </w:r>
            <w:r w:rsidRPr="00BB0DC4">
              <w:t>Proport</w:t>
            </w:r>
            <w:r>
              <w:t>ion of Indigenous and low SES children aged 6 to 15 years who are enrolled in school</w:t>
            </w:r>
          </w:p>
          <w:p w:rsidR="0026369A" w:rsidRPr="00BB0DC4" w:rsidRDefault="0026369A" w:rsidP="0026369A">
            <w:pPr>
              <w:pStyle w:val="TableBodyText"/>
              <w:jc w:val="left"/>
            </w:pPr>
          </w:p>
          <w:p w:rsidR="0026369A" w:rsidRDefault="0026369A" w:rsidP="0026369A">
            <w:pPr>
              <w:pStyle w:val="TableBodyText"/>
              <w:jc w:val="left"/>
            </w:pPr>
            <w:r>
              <w:t>Measure 2(b): Attendance rates for Indigenous and low SES students enrolled in years 1 to 10</w:t>
            </w:r>
          </w:p>
          <w:p w:rsidR="0026369A" w:rsidRPr="005E6794"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t>Measure 2(a):</w:t>
            </w:r>
          </w:p>
        </w:tc>
        <w:tc>
          <w:tcPr>
            <w:tcW w:w="6804" w:type="dxa"/>
          </w:tcPr>
          <w:p w:rsidR="0026369A" w:rsidRDefault="0026369A" w:rsidP="0026369A">
            <w:pPr>
              <w:pStyle w:val="TableBodyText"/>
              <w:jc w:val="left"/>
            </w:pPr>
            <w:r>
              <w:t>Proportion of children aged 6 to 15 years who are enrolled in school, by Indigenous status (data not available by SES for the numerator, and therefore not reported)</w:t>
            </w:r>
          </w:p>
          <w:p w:rsidR="0026369A" w:rsidRDefault="0026369A" w:rsidP="0026369A">
            <w:pPr>
              <w:pStyle w:val="TableBodyText"/>
              <w:jc w:val="left"/>
            </w:pPr>
          </w:p>
          <w:p w:rsidR="0026369A" w:rsidRDefault="0026369A" w:rsidP="0026369A">
            <w:pPr>
              <w:pStyle w:val="TableBodyText"/>
              <w:jc w:val="left"/>
            </w:pPr>
            <w:r>
              <w:t>The measure is defined as follows:</w:t>
            </w:r>
          </w:p>
          <w:p w:rsidR="0026369A" w:rsidRDefault="0026369A" w:rsidP="0026369A">
            <w:pPr>
              <w:pStyle w:val="TableBullet"/>
            </w:pPr>
            <w:r w:rsidRPr="00187613">
              <w:rPr>
                <w:i/>
              </w:rPr>
              <w:t>numerator</w:t>
            </w:r>
            <w:r w:rsidRPr="00187613">
              <w:t xml:space="preserve"> </w:t>
            </w:r>
            <w:r>
              <w:t>— total number of children aged 6 to 15 years and enrolled in school (full time and part time enrolments), by Indigenous status</w:t>
            </w:r>
          </w:p>
          <w:p w:rsidR="0026369A" w:rsidRDefault="0026369A" w:rsidP="0026369A">
            <w:pPr>
              <w:pStyle w:val="TableBullet"/>
            </w:pPr>
            <w:r w:rsidRPr="00187613">
              <w:rPr>
                <w:i/>
              </w:rPr>
              <w:t>denominator</w:t>
            </w:r>
            <w:r>
              <w:t xml:space="preserve"> — total population of children aged 6 to 15 years, by Indigenous status</w:t>
            </w:r>
          </w:p>
          <w:p w:rsidR="0026369A" w:rsidRDefault="0026369A" w:rsidP="0026369A">
            <w:pPr>
              <w:pStyle w:val="TableBodyText"/>
              <w:jc w:val="left"/>
            </w:pPr>
            <w:r w:rsidRPr="005E6794">
              <w:t xml:space="preserve">and is expressed as a </w:t>
            </w:r>
            <w:r w:rsidRPr="006C6846">
              <w:rPr>
                <w:i/>
              </w:rPr>
              <w:t>percentage</w:t>
            </w:r>
            <w:r>
              <w:t xml:space="preserve"> </w:t>
            </w:r>
          </w:p>
          <w:p w:rsidR="0026369A" w:rsidRPr="005E6794" w:rsidRDefault="0026369A" w:rsidP="0026369A">
            <w:pPr>
              <w:pStyle w:val="TableBodyText"/>
              <w:jc w:val="left"/>
              <w:rPr>
                <w:i/>
              </w:rPr>
            </w:pPr>
          </w:p>
        </w:tc>
      </w:tr>
      <w:tr w:rsidR="0026369A" w:rsidRPr="005E6794" w:rsidTr="0026369A">
        <w:trPr>
          <w:trHeight w:val="574"/>
        </w:trPr>
        <w:tc>
          <w:tcPr>
            <w:tcW w:w="1985" w:type="dxa"/>
          </w:tcPr>
          <w:p w:rsidR="0026369A" w:rsidRPr="005E6794" w:rsidRDefault="0026369A" w:rsidP="0026369A">
            <w:pPr>
              <w:pStyle w:val="TableBodyText"/>
              <w:ind w:left="-113"/>
              <w:jc w:val="left"/>
            </w:pPr>
            <w:r>
              <w:t>Measure 2(b):</w:t>
            </w:r>
          </w:p>
        </w:tc>
        <w:tc>
          <w:tcPr>
            <w:tcW w:w="6804" w:type="dxa"/>
          </w:tcPr>
          <w:p w:rsidR="0026369A" w:rsidRDefault="0026369A" w:rsidP="0026369A">
            <w:pPr>
              <w:pStyle w:val="TableBodyText"/>
              <w:jc w:val="left"/>
            </w:pPr>
            <w:r>
              <w:t>Attendance rates for students in enrolled in years 1 to 10, by Indigenous status (data not available by SES)</w:t>
            </w:r>
          </w:p>
          <w:p w:rsidR="0026369A" w:rsidRDefault="0026369A" w:rsidP="0026369A">
            <w:pPr>
              <w:pStyle w:val="TableBodyText"/>
              <w:jc w:val="left"/>
            </w:pPr>
          </w:p>
          <w:p w:rsidR="0026369A" w:rsidRDefault="0026369A" w:rsidP="0026369A">
            <w:pPr>
              <w:pStyle w:val="TableBodyText"/>
              <w:jc w:val="left"/>
            </w:pPr>
            <w:r>
              <w:t>The measure is defined as follows:</w:t>
            </w:r>
          </w:p>
          <w:p w:rsidR="0026369A" w:rsidRDefault="0026369A" w:rsidP="0026369A">
            <w:pPr>
              <w:pStyle w:val="TableBullet"/>
            </w:pPr>
            <w:r>
              <w:rPr>
                <w:i/>
              </w:rPr>
              <w:t>n</w:t>
            </w:r>
            <w:r w:rsidRPr="00F5479C">
              <w:rPr>
                <w:i/>
              </w:rPr>
              <w:t>umerator</w:t>
            </w:r>
            <w:r>
              <w:t xml:space="preserve"> — aggregate number of actual days in attendance in the collection period, for children in years 1 to 10 (children enrolled full time only), by Indigenous status</w:t>
            </w:r>
          </w:p>
          <w:p w:rsidR="0026369A" w:rsidRDefault="0026369A" w:rsidP="0026369A">
            <w:pPr>
              <w:pStyle w:val="TableBullet"/>
              <w:autoSpaceDE w:val="0"/>
              <w:autoSpaceDN w:val="0"/>
              <w:adjustRightInd w:val="0"/>
            </w:pPr>
            <w:r>
              <w:rPr>
                <w:i/>
              </w:rPr>
              <w:t>d</w:t>
            </w:r>
            <w:r w:rsidRPr="00F5479C">
              <w:rPr>
                <w:i/>
              </w:rPr>
              <w:t>enominator</w:t>
            </w:r>
            <w:r w:rsidRPr="00F5479C">
              <w:t xml:space="preserve"> </w:t>
            </w:r>
            <w:r>
              <w:t>— aggregate number of possible days for attendance in the collection period, for children in years 1 to 10 (children enrolled full time only), by Indigenous status</w:t>
            </w:r>
          </w:p>
          <w:p w:rsidR="0026369A" w:rsidRDefault="0026369A" w:rsidP="0026369A">
            <w:pPr>
              <w:pStyle w:val="TableBodyText"/>
              <w:jc w:val="left"/>
              <w:rPr>
                <w:i/>
              </w:rPr>
            </w:pPr>
            <w:r>
              <w:t xml:space="preserve">and is expressed as a </w:t>
            </w:r>
            <w:r w:rsidRPr="00E26C46">
              <w:rPr>
                <w:i/>
              </w:rPr>
              <w:t>rate</w:t>
            </w:r>
          </w:p>
          <w:p w:rsidR="0026369A" w:rsidRPr="00E26C46"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r>
              <w:t xml:space="preserve"> 2(a)</w:t>
            </w:r>
            <w:r w:rsidRPr="005E6794">
              <w:t>:</w:t>
            </w:r>
          </w:p>
        </w:tc>
        <w:tc>
          <w:tcPr>
            <w:tcW w:w="6804" w:type="dxa"/>
          </w:tcPr>
          <w:p w:rsidR="0026369A" w:rsidRPr="00635ED4" w:rsidRDefault="0026369A" w:rsidP="0026369A">
            <w:pPr>
              <w:pStyle w:val="TableBodyText"/>
              <w:jc w:val="left"/>
            </w:pPr>
            <w:r w:rsidRPr="005E6794">
              <w:rPr>
                <w:i/>
              </w:rPr>
              <w:t>Numerator</w:t>
            </w:r>
            <w:r>
              <w:rPr>
                <w:i/>
              </w:rPr>
              <w:t xml:space="preserve"> </w:t>
            </w:r>
            <w:r w:rsidRPr="005E6794">
              <w:t xml:space="preserve">— </w:t>
            </w:r>
            <w:r>
              <w:rPr>
                <w:u w:val="single"/>
              </w:rPr>
              <w:t>National Schools Statistics Collection</w:t>
            </w:r>
            <w:r>
              <w:t xml:space="preserve"> (NSSC) data</w:t>
            </w:r>
          </w:p>
          <w:p w:rsidR="0026369A" w:rsidRDefault="0026369A" w:rsidP="0026369A">
            <w:pPr>
              <w:pStyle w:val="TableBodyText"/>
              <w:jc w:val="left"/>
            </w:pPr>
            <w:r>
              <w:rPr>
                <w:i/>
              </w:rPr>
              <w:t xml:space="preserve">Denominator </w:t>
            </w:r>
            <w:r w:rsidRPr="005E6794">
              <w:t>—</w:t>
            </w:r>
            <w:r>
              <w:t xml:space="preserve"> (Indigenous) </w:t>
            </w:r>
            <w:r>
              <w:rPr>
                <w:u w:val="single"/>
              </w:rPr>
              <w:t>Experimental estimates and projections, Aboriginal and Torres Strait Islander Australians</w:t>
            </w:r>
            <w:r>
              <w:t xml:space="preserve">; (total population) </w:t>
            </w:r>
            <w:r w:rsidRPr="006C6846">
              <w:rPr>
                <w:u w:val="single"/>
              </w:rPr>
              <w:t>Estimated Resident Population</w:t>
            </w:r>
            <w:r w:rsidRPr="002B7EB5">
              <w:t xml:space="preserve">; </w:t>
            </w:r>
            <w:r>
              <w:t>(non-Indigenous population) Total population minus Indigenous population</w:t>
            </w:r>
          </w:p>
          <w:p w:rsidR="0026369A" w:rsidRDefault="0026369A" w:rsidP="0026369A">
            <w:pPr>
              <w:pStyle w:val="TableBodyText"/>
              <w:jc w:val="left"/>
            </w:pPr>
          </w:p>
          <w:p w:rsidR="0026369A" w:rsidRPr="002C3C9C" w:rsidRDefault="0026369A" w:rsidP="0026369A">
            <w:pPr>
              <w:pStyle w:val="TableBodyText"/>
              <w:jc w:val="left"/>
            </w:pPr>
            <w:r>
              <w:lastRenderedPageBreak/>
              <w:t>Data are available annually</w:t>
            </w: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lastRenderedPageBreak/>
              <w:t>Data source</w:t>
            </w:r>
            <w:r>
              <w:t xml:space="preserve"> 2(b)</w:t>
            </w:r>
            <w:r w:rsidRPr="005E6794">
              <w:t>:</w:t>
            </w:r>
          </w:p>
        </w:tc>
        <w:tc>
          <w:tcPr>
            <w:tcW w:w="6804" w:type="dxa"/>
          </w:tcPr>
          <w:p w:rsidR="0026369A" w:rsidRPr="00635ED4" w:rsidRDefault="0026369A" w:rsidP="0026369A">
            <w:pPr>
              <w:pStyle w:val="TableBodyText"/>
              <w:jc w:val="left"/>
            </w:pPr>
            <w:r w:rsidRPr="005E6794">
              <w:rPr>
                <w:i/>
              </w:rPr>
              <w:t>Numerator</w:t>
            </w:r>
            <w:r>
              <w:rPr>
                <w:i/>
              </w:rPr>
              <w:t xml:space="preserve"> and denominator </w:t>
            </w:r>
            <w:r w:rsidRPr="005E6794">
              <w:t xml:space="preserve">— </w:t>
            </w:r>
            <w:r>
              <w:rPr>
                <w:u w:val="single"/>
              </w:rPr>
              <w:t>National Schools Attendance Collection</w:t>
            </w:r>
            <w:r>
              <w:t xml:space="preserve"> (NSAC) data</w:t>
            </w:r>
          </w:p>
          <w:p w:rsidR="0026369A" w:rsidRDefault="0026369A" w:rsidP="0026369A">
            <w:pPr>
              <w:pStyle w:val="TableBodyText"/>
              <w:jc w:val="left"/>
            </w:pPr>
            <w:r>
              <w:t>Data are available annually</w:t>
            </w:r>
          </w:p>
          <w:p w:rsidR="0026369A" w:rsidRPr="002C3C9C"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t>Data provider:</w:t>
            </w:r>
          </w:p>
        </w:tc>
        <w:tc>
          <w:tcPr>
            <w:tcW w:w="6804" w:type="dxa"/>
          </w:tcPr>
          <w:p w:rsidR="0026369A" w:rsidRDefault="0026369A" w:rsidP="0026369A">
            <w:pPr>
              <w:pStyle w:val="TableBodyText"/>
              <w:jc w:val="left"/>
            </w:pPr>
            <w:r>
              <w:t xml:space="preserve">Measure 2(a): </w:t>
            </w:r>
            <w:r w:rsidRPr="005E6794">
              <w:rPr>
                <w:i/>
              </w:rPr>
              <w:t>Numerator</w:t>
            </w:r>
            <w:r>
              <w:rPr>
                <w:i/>
              </w:rPr>
              <w:t xml:space="preserve"> and denominator </w:t>
            </w:r>
            <w:r w:rsidRPr="005E6794">
              <w:t xml:space="preserve">— </w:t>
            </w:r>
            <w:r>
              <w:t>ABS</w:t>
            </w:r>
          </w:p>
          <w:p w:rsidR="0026369A" w:rsidRDefault="0026369A" w:rsidP="0026369A">
            <w:pPr>
              <w:pStyle w:val="TableBodyText"/>
              <w:jc w:val="left"/>
            </w:pPr>
          </w:p>
          <w:p w:rsidR="0026369A" w:rsidRDefault="0026369A" w:rsidP="0026369A">
            <w:pPr>
              <w:pStyle w:val="TableBodyText"/>
              <w:jc w:val="left"/>
            </w:pPr>
            <w:r>
              <w:t xml:space="preserve">Measure 2(b): </w:t>
            </w:r>
            <w:r w:rsidRPr="005E6794">
              <w:rPr>
                <w:i/>
              </w:rPr>
              <w:t>Numerator</w:t>
            </w:r>
            <w:r>
              <w:rPr>
                <w:i/>
              </w:rPr>
              <w:t xml:space="preserve"> and denominator </w:t>
            </w:r>
            <w:r w:rsidRPr="005E6794">
              <w:t xml:space="preserve">— </w:t>
            </w:r>
            <w:r>
              <w:t>ACARA</w:t>
            </w:r>
          </w:p>
          <w:p w:rsidR="0026369A" w:rsidRPr="005E6794" w:rsidRDefault="0026369A" w:rsidP="0026369A">
            <w:pPr>
              <w:pStyle w:val="TableBodyText"/>
              <w:jc w:val="left"/>
            </w:pP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t>Data availability:</w:t>
            </w:r>
          </w:p>
        </w:tc>
        <w:tc>
          <w:tcPr>
            <w:tcW w:w="6804" w:type="dxa"/>
          </w:tcPr>
          <w:p w:rsidR="0026369A" w:rsidRDefault="00CE44B1" w:rsidP="0026369A">
            <w:pPr>
              <w:pStyle w:val="TableBodyText"/>
              <w:jc w:val="left"/>
            </w:pPr>
            <w:r>
              <w:t>Measure 2(a): 2011</w:t>
            </w:r>
          </w:p>
          <w:p w:rsidR="0026369A" w:rsidRDefault="0026369A" w:rsidP="0026369A">
            <w:pPr>
              <w:pStyle w:val="TableBodyText"/>
              <w:jc w:val="left"/>
            </w:pPr>
            <w:r>
              <w:t>Measure 2(b): 2011</w:t>
            </w:r>
          </w:p>
          <w:p w:rsidR="0026369A" w:rsidRPr="00820E67" w:rsidRDefault="0026369A" w:rsidP="0026369A">
            <w:pPr>
              <w:pStyle w:val="TableBodyText"/>
              <w:jc w:val="left"/>
              <w:rPr>
                <w:i/>
              </w:rPr>
            </w:pP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Default="0026369A" w:rsidP="00937056">
            <w:pPr>
              <w:pStyle w:val="TableBullet"/>
              <w:numPr>
                <w:ilvl w:val="0"/>
                <w:numId w:val="0"/>
              </w:numPr>
              <w:ind w:left="170" w:hanging="170"/>
            </w:pPr>
            <w:r>
              <w:t xml:space="preserve">Measure 2(a): </w:t>
            </w:r>
            <w:r w:rsidR="0025773D">
              <w:t xml:space="preserve">numerator only - </w:t>
            </w:r>
            <w:r w:rsidR="006969D8">
              <w:t>State and Territory</w:t>
            </w:r>
            <w:r w:rsidR="0025773D">
              <w:t xml:space="preserve"> </w:t>
            </w:r>
          </w:p>
          <w:p w:rsidR="0026369A" w:rsidRDefault="0026369A" w:rsidP="00937056">
            <w:pPr>
              <w:pStyle w:val="TableBullet"/>
              <w:numPr>
                <w:ilvl w:val="0"/>
                <w:numId w:val="0"/>
              </w:numPr>
              <w:ind w:left="170" w:hanging="170"/>
            </w:pPr>
          </w:p>
          <w:p w:rsidR="0026369A" w:rsidRDefault="0026369A" w:rsidP="0026369A">
            <w:pPr>
              <w:pStyle w:val="TableBullet"/>
              <w:numPr>
                <w:ilvl w:val="0"/>
                <w:numId w:val="0"/>
              </w:numPr>
              <w:ind w:left="170" w:hanging="170"/>
            </w:pPr>
            <w:r>
              <w:t>Measure 2(</w:t>
            </w:r>
            <w:r w:rsidR="004D0C3A">
              <w:t>b</w:t>
            </w:r>
            <w:r>
              <w:t>): State and Territory by school sector by year level by</w:t>
            </w:r>
          </w:p>
          <w:p w:rsidR="0026369A" w:rsidRPr="007D01E8" w:rsidRDefault="0026369A" w:rsidP="0026369A">
            <w:pPr>
              <w:pStyle w:val="TableBullet"/>
              <w:autoSpaceDE w:val="0"/>
              <w:autoSpaceDN w:val="0"/>
              <w:adjustRightInd w:val="0"/>
            </w:pPr>
            <w:r>
              <w:t>Indigenous status</w:t>
            </w:r>
          </w:p>
        </w:tc>
      </w:tr>
    </w:tbl>
    <w:p w:rsidR="006969D8" w:rsidRDefault="006969D8" w:rsidP="006969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969D8" w:rsidTr="006969D8">
        <w:tc>
          <w:tcPr>
            <w:tcW w:w="8771" w:type="dxa"/>
            <w:tcBorders>
              <w:top w:val="single" w:sz="6" w:space="0" w:color="auto"/>
              <w:bottom w:val="nil"/>
            </w:tcBorders>
          </w:tcPr>
          <w:p w:rsidR="006969D8" w:rsidRDefault="006969D8" w:rsidP="006969D8">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13</w:t>
            </w:r>
            <w:r>
              <w:rPr>
                <w:b w:val="0"/>
              </w:rPr>
              <w:fldChar w:fldCharType="end"/>
            </w:r>
            <w:r>
              <w:tab/>
              <w:t xml:space="preserve">Results (measure </w:t>
            </w:r>
            <w:proofErr w:type="spellStart"/>
            <w:r>
              <w:t>2a</w:t>
            </w:r>
            <w:proofErr w:type="spellEnd"/>
            <w:r>
              <w:t>)</w:t>
            </w:r>
          </w:p>
        </w:tc>
      </w:tr>
      <w:tr w:rsidR="006969D8" w:rsidTr="006969D8">
        <w:trPr>
          <w:cantSplit/>
        </w:trPr>
        <w:tc>
          <w:tcPr>
            <w:tcW w:w="8771" w:type="dxa"/>
            <w:tcBorders>
              <w:top w:val="nil"/>
              <w:left w:val="single" w:sz="4" w:space="0" w:color="auto"/>
              <w:bottom w:val="nil"/>
              <w:right w:val="single" w:sz="4" w:space="0" w:color="auto"/>
            </w:tcBorders>
          </w:tcPr>
          <w:p w:rsidR="006969D8" w:rsidRDefault="006969D8" w:rsidP="0082251B">
            <w:pPr>
              <w:pStyle w:val="Box"/>
            </w:pPr>
            <w:r>
              <w:t xml:space="preserve">For this report, </w:t>
            </w:r>
            <w:r w:rsidR="0025773D">
              <w:t xml:space="preserve">no </w:t>
            </w:r>
            <w:r>
              <w:t>new data for this indicator are available for 2011</w:t>
            </w:r>
            <w:r w:rsidR="0025773D">
              <w:t>. However, data for the numerator are provided for information</w:t>
            </w:r>
            <w:r>
              <w:t>.</w:t>
            </w:r>
          </w:p>
          <w:p w:rsidR="006969D8" w:rsidRDefault="0025773D" w:rsidP="0082251B">
            <w:pPr>
              <w:pStyle w:val="BoxListBullet"/>
              <w:numPr>
                <w:ilvl w:val="0"/>
                <w:numId w:val="1"/>
              </w:numPr>
            </w:pPr>
            <w:r>
              <w:t>Enrolment d</w:t>
            </w:r>
            <w:r w:rsidR="006969D8">
              <w:t>ata by State and Territory, by Indigenous status are presented in table</w:t>
            </w:r>
            <w:r w:rsidR="003B5315">
              <w:t> </w:t>
            </w:r>
            <w:proofErr w:type="spellStart"/>
            <w:r w:rsidR="006969D8">
              <w:t>NEA.2.1</w:t>
            </w:r>
            <w:proofErr w:type="spellEnd"/>
            <w:r w:rsidR="006969D8">
              <w:t>.</w:t>
            </w:r>
          </w:p>
          <w:p w:rsidR="006969D8" w:rsidRDefault="006969D8" w:rsidP="0082251B">
            <w:pPr>
              <w:pStyle w:val="Box"/>
            </w:pPr>
            <w:r>
              <w:t>Data for 2010 and 2009 are included in the 2010 NEA performance report, and d</w:t>
            </w:r>
            <w:r w:rsidRPr="008770B3">
              <w:t>ata for 2008 are available in the 2009 NEA performance report.</w:t>
            </w:r>
          </w:p>
        </w:tc>
      </w:tr>
      <w:tr w:rsidR="006969D8" w:rsidTr="006969D8">
        <w:trPr>
          <w:cantSplit/>
        </w:trPr>
        <w:tc>
          <w:tcPr>
            <w:tcW w:w="8771" w:type="dxa"/>
            <w:tcBorders>
              <w:top w:val="nil"/>
              <w:left w:val="single" w:sz="4" w:space="0" w:color="auto"/>
              <w:bottom w:val="single" w:sz="4" w:space="0" w:color="auto"/>
              <w:right w:val="single" w:sz="4" w:space="0" w:color="auto"/>
            </w:tcBorders>
          </w:tcPr>
          <w:p w:rsidR="006969D8" w:rsidRDefault="006969D8" w:rsidP="006969D8">
            <w:pPr>
              <w:pStyle w:val="Box"/>
              <w:spacing w:before="0" w:line="120" w:lineRule="exact"/>
            </w:pPr>
          </w:p>
        </w:tc>
      </w:tr>
    </w:tbl>
    <w:p w:rsidR="006969D8" w:rsidRPr="00FC4A4C" w:rsidRDefault="006969D8" w:rsidP="006969D8">
      <w:pPr>
        <w:pStyle w:val="Heading4"/>
        <w:spacing w:after="120"/>
      </w:pPr>
      <w:r>
        <w:t xml:space="preserve">Attachment tables (measure </w:t>
      </w:r>
      <w:proofErr w:type="spellStart"/>
      <w:r>
        <w:t>2a</w:t>
      </w:r>
      <w:proofErr w:type="spellEnd"/>
      <w:r>
        <w:t>)</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6969D8" w:rsidRPr="00CF3BDE" w:rsidTr="006969D8">
        <w:trPr>
          <w:trHeight w:val="612"/>
        </w:trPr>
        <w:tc>
          <w:tcPr>
            <w:tcW w:w="1877" w:type="dxa"/>
            <w:noWrap/>
          </w:tcPr>
          <w:p w:rsidR="006969D8" w:rsidRDefault="007076BB" w:rsidP="006969D8">
            <w:hyperlink r:id="rId29" w:anchor="'Table NEA.2.2'!A1" w:history="1">
              <w:r w:rsidR="006969D8" w:rsidRPr="00412506">
                <w:rPr>
                  <w:rStyle w:val="Hyperlink"/>
                  <w:rFonts w:ascii="Arial" w:hAnsi="Arial" w:cs="Arial"/>
                  <w:b/>
                  <w:bCs/>
                  <w:color w:val="auto"/>
                  <w:sz w:val="20"/>
                  <w:szCs w:val="20"/>
                  <w:u w:val="none"/>
                </w:rPr>
                <w:t xml:space="preserve">Table </w:t>
              </w:r>
              <w:proofErr w:type="spellStart"/>
              <w:r w:rsidR="006969D8" w:rsidRPr="00412506">
                <w:rPr>
                  <w:rStyle w:val="Hyperlink"/>
                  <w:rFonts w:ascii="Arial" w:hAnsi="Arial" w:cs="Arial"/>
                  <w:b/>
                  <w:bCs/>
                  <w:color w:val="auto"/>
                  <w:sz w:val="20"/>
                  <w:szCs w:val="20"/>
                  <w:u w:val="none"/>
                </w:rPr>
                <w:t>NEA.2.</w:t>
              </w:r>
            </w:hyperlink>
            <w:r w:rsidR="006969D8">
              <w:rPr>
                <w:rStyle w:val="Hyperlink"/>
                <w:rFonts w:ascii="Arial" w:hAnsi="Arial" w:cs="Arial"/>
                <w:b/>
                <w:bCs/>
                <w:color w:val="auto"/>
                <w:sz w:val="20"/>
                <w:szCs w:val="20"/>
                <w:u w:val="none"/>
              </w:rPr>
              <w:t>1</w:t>
            </w:r>
            <w:proofErr w:type="spellEnd"/>
          </w:p>
        </w:tc>
        <w:tc>
          <w:tcPr>
            <w:tcW w:w="6943" w:type="dxa"/>
          </w:tcPr>
          <w:p w:rsidR="006969D8" w:rsidRPr="00412506" w:rsidRDefault="0025773D" w:rsidP="006969D8">
            <w:pPr>
              <w:jc w:val="both"/>
              <w:rPr>
                <w:rFonts w:ascii="Arial" w:hAnsi="Arial" w:cs="Arial"/>
                <w:sz w:val="20"/>
                <w:szCs w:val="20"/>
              </w:rPr>
            </w:pPr>
            <w:r>
              <w:rPr>
                <w:rFonts w:ascii="Arial" w:hAnsi="Arial" w:cs="Arial"/>
                <w:sz w:val="20"/>
                <w:szCs w:val="20"/>
              </w:rPr>
              <w:t>Number</w:t>
            </w:r>
            <w:r w:rsidRPr="008770B3">
              <w:rPr>
                <w:rFonts w:ascii="Arial" w:hAnsi="Arial" w:cs="Arial"/>
                <w:sz w:val="20"/>
                <w:szCs w:val="20"/>
              </w:rPr>
              <w:t xml:space="preserve"> </w:t>
            </w:r>
            <w:r w:rsidR="006969D8" w:rsidRPr="008770B3">
              <w:rPr>
                <w:rFonts w:ascii="Arial" w:hAnsi="Arial" w:cs="Arial"/>
                <w:sz w:val="20"/>
                <w:szCs w:val="20"/>
              </w:rPr>
              <w:t>of children aged 6–15 years enrolled in school, by Indigenous status, 2011</w:t>
            </w:r>
          </w:p>
        </w:tc>
      </w:tr>
    </w:tbl>
    <w:p w:rsidR="006969D8" w:rsidRDefault="006969D8" w:rsidP="006969D8">
      <w:pPr>
        <w:pStyle w:val="BoxSpace"/>
      </w:pPr>
    </w:p>
    <w:p w:rsidR="006969D8" w:rsidRDefault="006969D8">
      <w:pPr>
        <w:rPr>
          <w:b/>
          <w:color w:val="FF00FF"/>
          <w:sz w:val="14"/>
        </w:rPr>
      </w:pPr>
    </w:p>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14</w:t>
            </w:r>
            <w:r>
              <w:rPr>
                <w:b w:val="0"/>
              </w:rPr>
              <w:fldChar w:fldCharType="end"/>
            </w:r>
            <w:r>
              <w:tab/>
              <w:t>Comment on data quality</w:t>
            </w:r>
            <w:r w:rsidR="008770B3">
              <w:t xml:space="preserve"> (measure </w:t>
            </w:r>
            <w:proofErr w:type="spellStart"/>
            <w:r w:rsidR="008770B3">
              <w:t>2a</w:t>
            </w:r>
            <w:proofErr w:type="spellEnd"/>
            <w:r w:rsidR="008770B3">
              <w:t>)</w:t>
            </w:r>
          </w:p>
        </w:tc>
      </w:tr>
      <w:tr w:rsidR="0026369A" w:rsidTr="0026369A">
        <w:trPr>
          <w:cantSplit/>
        </w:trPr>
        <w:tc>
          <w:tcPr>
            <w:tcW w:w="8771" w:type="dxa"/>
            <w:tcBorders>
              <w:top w:val="nil"/>
              <w:left w:val="single" w:sz="4" w:space="0" w:color="auto"/>
              <w:bottom w:val="nil"/>
              <w:right w:val="single" w:sz="4" w:space="0" w:color="auto"/>
            </w:tcBorders>
          </w:tcPr>
          <w:p w:rsidR="008770B3" w:rsidRDefault="008770B3" w:rsidP="0082251B">
            <w:pPr>
              <w:pStyle w:val="Box"/>
            </w:pPr>
            <w:r>
              <w:t>The DQS for this indicator has been prepared by the ABS and is included in its original form in the section in this report titled ‘Data Quality Statements.’ Key points from the DQS are summarised below.</w:t>
            </w:r>
          </w:p>
          <w:p w:rsidR="008770B3" w:rsidRDefault="008770B3" w:rsidP="0082251B">
            <w:pPr>
              <w:pStyle w:val="BoxListBullet"/>
              <w:numPr>
                <w:ilvl w:val="0"/>
                <w:numId w:val="1"/>
              </w:numPr>
            </w:pPr>
            <w:r>
              <w:t>The data provide relevant information on the proportion of children aged 6–15 years enrolled in school. Data are not available by socioeconomic status (SES</w:t>
            </w:r>
            <w:r w:rsidR="004D0C3A">
              <w:t>)</w:t>
            </w:r>
            <w:r>
              <w:t>.</w:t>
            </w:r>
          </w:p>
          <w:p w:rsidR="008770B3" w:rsidRDefault="004D0C3A" w:rsidP="0082251B">
            <w:pPr>
              <w:pStyle w:val="BoxListBullet"/>
              <w:numPr>
                <w:ilvl w:val="0"/>
                <w:numId w:val="1"/>
              </w:numPr>
            </w:pPr>
            <w:r>
              <w:t xml:space="preserve">Annual data are available, with the most recent data collected in 2011. </w:t>
            </w:r>
            <w:r w:rsidR="007300E0">
              <w:t xml:space="preserve">Data for the numerator have been provided by Indigenous status. </w:t>
            </w:r>
            <w:r>
              <w:t>However, d</w:t>
            </w:r>
            <w:r w:rsidR="00C9074A">
              <w:t xml:space="preserve">ata </w:t>
            </w:r>
            <w:r w:rsidR="007300E0">
              <w:t xml:space="preserve">for the proportions </w:t>
            </w:r>
            <w:r w:rsidR="00C9074A" w:rsidRPr="00CB451E">
              <w:t xml:space="preserve">have not been </w:t>
            </w:r>
            <w:r>
              <w:t>provided</w:t>
            </w:r>
            <w:r w:rsidRPr="00CB451E">
              <w:t xml:space="preserve"> </w:t>
            </w:r>
            <w:r w:rsidR="00C9074A" w:rsidRPr="00CB451E">
              <w:t>by Indigenous status due to concerns with the quality of the data. Specifically, the rates for most states and territories exceed 100</w:t>
            </w:r>
            <w:r>
              <w:t> per cent</w:t>
            </w:r>
            <w:r w:rsidR="00C9074A" w:rsidRPr="00CB451E">
              <w:t xml:space="preserve">, primarily as a result of differences in the data sources. </w:t>
            </w:r>
            <w:r w:rsidR="008770B3">
              <w:t>Enrolments data (the numerator) are administratively based and may include students who cross jurisdictional boundaries to attend school. Indigenous population data (the denominator) are estimates of usual residents within a defined State or Territory boundary, based on assumptions regarding population changes for Indigenous people.</w:t>
            </w:r>
          </w:p>
          <w:p w:rsidR="004D0C3A" w:rsidRDefault="004D0C3A" w:rsidP="0082251B">
            <w:pPr>
              <w:pStyle w:val="BoxListBullet"/>
              <w:numPr>
                <w:ilvl w:val="0"/>
                <w:numId w:val="1"/>
              </w:numPr>
            </w:pPr>
            <w:r w:rsidRPr="00CB451E">
              <w:t xml:space="preserve">ABS is working to </w:t>
            </w:r>
            <w:r>
              <w:t>develop a substitute measure</w:t>
            </w:r>
            <w:r w:rsidRPr="00CB451E">
              <w:t>.</w:t>
            </w:r>
          </w:p>
          <w:p w:rsidR="008770B3" w:rsidRDefault="008770B3" w:rsidP="0082251B">
            <w:pPr>
              <w:pStyle w:val="BoxListBullet"/>
              <w:numPr>
                <w:ilvl w:val="0"/>
                <w:numId w:val="1"/>
              </w:numPr>
            </w:pPr>
            <w:r>
              <w:t>Detailed explanatory notes are publicly available to assist in interpretation of results.</w:t>
            </w:r>
          </w:p>
          <w:p w:rsidR="008770B3" w:rsidRDefault="008770B3" w:rsidP="0082251B">
            <w:pPr>
              <w:pStyle w:val="BoxListBullet"/>
              <w:numPr>
                <w:ilvl w:val="0"/>
                <w:numId w:val="1"/>
              </w:numPr>
            </w:pPr>
            <w:r>
              <w:t>Additional data from the data source are available.</w:t>
            </w:r>
          </w:p>
          <w:p w:rsidR="008770B3" w:rsidRDefault="008770B3" w:rsidP="0082251B">
            <w:pPr>
              <w:pStyle w:val="Box"/>
            </w:pPr>
            <w:r>
              <w:t>The Steering Committee also notes the following issues:</w:t>
            </w:r>
          </w:p>
          <w:p w:rsidR="00EE4218" w:rsidRDefault="00EE4218" w:rsidP="0082251B">
            <w:pPr>
              <w:pStyle w:val="BoxListBullet"/>
              <w:numPr>
                <w:ilvl w:val="0"/>
                <w:numId w:val="1"/>
              </w:numPr>
            </w:pPr>
            <w:r>
              <w:t>Subject to the outcomes of the NEA review, d</w:t>
            </w:r>
            <w:r w:rsidR="008770B3">
              <w:t>isaggregation of this indicator by SES remains a priority. The current structure of the data collection for student enrolments does not include collection of SES. The Steering Committee notes that the ABS is moving to a unit based collection for the NSSC which may enable collection of data by SES.</w:t>
            </w:r>
          </w:p>
          <w:p w:rsidR="0026369A" w:rsidRDefault="008770B3" w:rsidP="0082251B">
            <w:pPr>
              <w:pStyle w:val="BoxListBullet"/>
              <w:numPr>
                <w:ilvl w:val="0"/>
                <w:numId w:val="1"/>
              </w:numPr>
            </w:pPr>
            <w:r>
              <w:t xml:space="preserve">ABS data from the NSSC for reporting student enrolments (measure </w:t>
            </w:r>
            <w:proofErr w:type="spellStart"/>
            <w:r>
              <w:t>2a</w:t>
            </w:r>
            <w:proofErr w:type="spellEnd"/>
            <w:r>
              <w:t>) are not comparable with data from the NSAC for report</w:t>
            </w:r>
            <w:r w:rsidR="00881F3B">
              <w:t>ing student attendance (measure </w:t>
            </w:r>
            <w:proofErr w:type="spellStart"/>
            <w:r>
              <w:t>2b</w:t>
            </w:r>
            <w:proofErr w:type="spellEnd"/>
            <w:r>
              <w: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8770B3" w:rsidRDefault="008770B3" w:rsidP="008770B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770B3" w:rsidTr="008770B3">
        <w:tc>
          <w:tcPr>
            <w:tcW w:w="8771" w:type="dxa"/>
            <w:tcBorders>
              <w:top w:val="single" w:sz="6" w:space="0" w:color="auto"/>
              <w:bottom w:val="nil"/>
            </w:tcBorders>
          </w:tcPr>
          <w:p w:rsidR="008770B3" w:rsidRDefault="008770B3" w:rsidP="008770B3">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15</w:t>
            </w:r>
            <w:r>
              <w:rPr>
                <w:b w:val="0"/>
              </w:rPr>
              <w:fldChar w:fldCharType="end"/>
            </w:r>
            <w:r>
              <w:tab/>
              <w:t xml:space="preserve">Results (measure </w:t>
            </w:r>
            <w:proofErr w:type="spellStart"/>
            <w:r>
              <w:t>2b</w:t>
            </w:r>
            <w:proofErr w:type="spellEnd"/>
            <w:r>
              <w:t>)</w:t>
            </w:r>
          </w:p>
        </w:tc>
      </w:tr>
      <w:tr w:rsidR="008770B3" w:rsidTr="008770B3">
        <w:trPr>
          <w:cantSplit/>
        </w:trPr>
        <w:tc>
          <w:tcPr>
            <w:tcW w:w="8771" w:type="dxa"/>
            <w:tcBorders>
              <w:top w:val="nil"/>
              <w:left w:val="single" w:sz="4" w:space="0" w:color="auto"/>
              <w:bottom w:val="nil"/>
              <w:right w:val="single" w:sz="4" w:space="0" w:color="auto"/>
            </w:tcBorders>
          </w:tcPr>
          <w:p w:rsidR="008770B3" w:rsidRDefault="008770B3" w:rsidP="0082251B">
            <w:pPr>
              <w:pStyle w:val="Box"/>
            </w:pPr>
            <w:r>
              <w:t>For this report, new data for this indicator are available for 2011.</w:t>
            </w:r>
          </w:p>
          <w:p w:rsidR="008770B3" w:rsidRDefault="008770B3" w:rsidP="0082251B">
            <w:pPr>
              <w:pStyle w:val="BoxListBullet"/>
              <w:numPr>
                <w:ilvl w:val="0"/>
                <w:numId w:val="1"/>
              </w:numPr>
            </w:pPr>
            <w:r>
              <w:t xml:space="preserve">Data by State and Territory, by Indigenous status are presented in </w:t>
            </w:r>
            <w:r w:rsidR="003B5315">
              <w:br/>
            </w:r>
            <w:r>
              <w:t xml:space="preserve">tables </w:t>
            </w:r>
            <w:proofErr w:type="spellStart"/>
            <w:r>
              <w:t>NEA.2.2</w:t>
            </w:r>
            <w:proofErr w:type="spellEnd"/>
            <w:r>
              <w:softHyphen/>
              <w:t>–2.4.</w:t>
            </w:r>
          </w:p>
          <w:p w:rsidR="008770B3" w:rsidRDefault="008770B3" w:rsidP="0082251B">
            <w:pPr>
              <w:pStyle w:val="Box"/>
            </w:pPr>
            <w:r>
              <w:t>Data for 2010 are available in an addendum to the 2010 NEA performance report. Some data for 2009</w:t>
            </w:r>
            <w:r w:rsidR="00555575">
              <w:t xml:space="preserve"> and 2008</w:t>
            </w:r>
            <w:r>
              <w:t xml:space="preserve"> </w:t>
            </w:r>
            <w:r w:rsidR="00EA6184">
              <w:t xml:space="preserve">are </w:t>
            </w:r>
            <w:r>
              <w:t>available in the 2010 NEA performance report</w:t>
            </w:r>
            <w:r w:rsidR="00555575">
              <w:t>.</w:t>
            </w:r>
            <w:r>
              <w:t xml:space="preserve"> </w:t>
            </w:r>
            <w:r w:rsidR="00555575">
              <w:t>T</w:t>
            </w:r>
            <w:r>
              <w:t xml:space="preserve">he </w:t>
            </w:r>
            <w:r w:rsidR="00383332">
              <w:t>remaining</w:t>
            </w:r>
            <w:r>
              <w:t xml:space="preserve"> data for </w:t>
            </w:r>
            <w:r w:rsidRPr="000221C9">
              <w:t>2009</w:t>
            </w:r>
            <w:r w:rsidR="00555575">
              <w:t xml:space="preserve"> and 2008</w:t>
            </w:r>
            <w:r w:rsidRPr="000221C9">
              <w:t xml:space="preserve">, </w:t>
            </w:r>
            <w:r w:rsidR="00673D84">
              <w:t xml:space="preserve">and the data for </w:t>
            </w:r>
            <w:r w:rsidRPr="000221C9">
              <w:t>2007 are available in t</w:t>
            </w:r>
            <w:r w:rsidR="00673D84">
              <w:t>he 2009 NEA performance report.</w:t>
            </w:r>
          </w:p>
        </w:tc>
      </w:tr>
      <w:tr w:rsidR="008770B3" w:rsidTr="008770B3">
        <w:trPr>
          <w:cantSplit/>
        </w:trPr>
        <w:tc>
          <w:tcPr>
            <w:tcW w:w="8771" w:type="dxa"/>
            <w:tcBorders>
              <w:top w:val="nil"/>
              <w:left w:val="single" w:sz="4" w:space="0" w:color="auto"/>
              <w:bottom w:val="single" w:sz="4" w:space="0" w:color="auto"/>
              <w:right w:val="single" w:sz="4" w:space="0" w:color="auto"/>
            </w:tcBorders>
          </w:tcPr>
          <w:p w:rsidR="008770B3" w:rsidRDefault="008770B3" w:rsidP="008770B3">
            <w:pPr>
              <w:pStyle w:val="Box"/>
              <w:spacing w:before="0" w:line="120" w:lineRule="exact"/>
            </w:pPr>
          </w:p>
        </w:tc>
      </w:tr>
    </w:tbl>
    <w:p w:rsidR="008770B3" w:rsidRPr="00FC4A4C" w:rsidRDefault="008770B3" w:rsidP="008770B3">
      <w:pPr>
        <w:pStyle w:val="Heading4"/>
        <w:spacing w:after="120"/>
      </w:pPr>
      <w:r>
        <w:lastRenderedPageBreak/>
        <w:t xml:space="preserve">Attachment tables (measure </w:t>
      </w:r>
      <w:proofErr w:type="spellStart"/>
      <w:r>
        <w:t>2b</w:t>
      </w:r>
      <w:proofErr w:type="spellEnd"/>
      <w:r>
        <w:t>)</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8770B3" w:rsidRPr="00CF3BDE" w:rsidTr="008770B3">
        <w:trPr>
          <w:trHeight w:val="612"/>
        </w:trPr>
        <w:tc>
          <w:tcPr>
            <w:tcW w:w="1877" w:type="dxa"/>
            <w:noWrap/>
          </w:tcPr>
          <w:p w:rsidR="008770B3" w:rsidRPr="00412506" w:rsidRDefault="007076BB" w:rsidP="008770B3">
            <w:pPr>
              <w:rPr>
                <w:rFonts w:ascii="Arial" w:hAnsi="Arial" w:cs="Arial"/>
                <w:b/>
                <w:bCs/>
                <w:sz w:val="20"/>
                <w:szCs w:val="20"/>
              </w:rPr>
            </w:pPr>
            <w:hyperlink r:id="rId30" w:anchor="'Table NEA.2.3'!A1" w:history="1">
              <w:r w:rsidR="008770B3" w:rsidRPr="00412506">
                <w:rPr>
                  <w:rStyle w:val="Hyperlink"/>
                  <w:rFonts w:ascii="Arial" w:hAnsi="Arial" w:cs="Arial"/>
                  <w:b/>
                  <w:bCs/>
                  <w:color w:val="auto"/>
                  <w:sz w:val="20"/>
                  <w:szCs w:val="20"/>
                  <w:u w:val="none"/>
                </w:rPr>
                <w:t xml:space="preserve">Table </w:t>
              </w:r>
              <w:proofErr w:type="spellStart"/>
              <w:r w:rsidR="008770B3" w:rsidRPr="00412506">
                <w:rPr>
                  <w:rStyle w:val="Hyperlink"/>
                  <w:rFonts w:ascii="Arial" w:hAnsi="Arial" w:cs="Arial"/>
                  <w:b/>
                  <w:bCs/>
                  <w:color w:val="auto"/>
                  <w:sz w:val="20"/>
                  <w:szCs w:val="20"/>
                  <w:u w:val="none"/>
                </w:rPr>
                <w:t>NEA.2.</w:t>
              </w:r>
            </w:hyperlink>
            <w:r w:rsidR="008770B3">
              <w:rPr>
                <w:rStyle w:val="Hyperlink"/>
                <w:rFonts w:ascii="Arial" w:hAnsi="Arial" w:cs="Arial"/>
                <w:b/>
                <w:bCs/>
                <w:color w:val="auto"/>
                <w:sz w:val="20"/>
                <w:szCs w:val="20"/>
                <w:u w:val="none"/>
              </w:rPr>
              <w:t>2</w:t>
            </w:r>
            <w:proofErr w:type="spellEnd"/>
          </w:p>
        </w:tc>
        <w:tc>
          <w:tcPr>
            <w:tcW w:w="6943" w:type="dxa"/>
          </w:tcPr>
          <w:p w:rsidR="008770B3" w:rsidRPr="00412506" w:rsidRDefault="008770B3" w:rsidP="008770B3">
            <w:pPr>
              <w:jc w:val="both"/>
              <w:rPr>
                <w:rFonts w:ascii="Arial" w:hAnsi="Arial" w:cs="Arial"/>
                <w:sz w:val="20"/>
                <w:szCs w:val="20"/>
              </w:rPr>
            </w:pPr>
            <w:r w:rsidRPr="00412506">
              <w:rPr>
                <w:rFonts w:ascii="Arial" w:hAnsi="Arial" w:cs="Arial"/>
                <w:sz w:val="20"/>
                <w:szCs w:val="20"/>
              </w:rPr>
              <w:t>Student attendance rates, government schools, by Indigenous status, 2011 (per cent)</w:t>
            </w:r>
          </w:p>
        </w:tc>
      </w:tr>
      <w:tr w:rsidR="008770B3" w:rsidRPr="00CF3BDE" w:rsidTr="008770B3">
        <w:trPr>
          <w:trHeight w:val="612"/>
        </w:trPr>
        <w:tc>
          <w:tcPr>
            <w:tcW w:w="1877" w:type="dxa"/>
            <w:noWrap/>
          </w:tcPr>
          <w:p w:rsidR="008770B3" w:rsidRPr="00412506" w:rsidRDefault="007076BB" w:rsidP="008770B3">
            <w:pPr>
              <w:rPr>
                <w:rFonts w:ascii="Arial" w:hAnsi="Arial" w:cs="Arial"/>
                <w:b/>
                <w:bCs/>
                <w:sz w:val="20"/>
                <w:szCs w:val="20"/>
              </w:rPr>
            </w:pPr>
            <w:hyperlink r:id="rId31" w:anchor="'Table NEA.2.4'!A1" w:history="1">
              <w:r w:rsidR="008770B3" w:rsidRPr="00412506">
                <w:rPr>
                  <w:rStyle w:val="Hyperlink"/>
                  <w:rFonts w:ascii="Arial" w:hAnsi="Arial" w:cs="Arial"/>
                  <w:b/>
                  <w:bCs/>
                  <w:color w:val="auto"/>
                  <w:sz w:val="20"/>
                  <w:szCs w:val="20"/>
                  <w:u w:val="none"/>
                </w:rPr>
                <w:t xml:space="preserve">Table </w:t>
              </w:r>
              <w:proofErr w:type="spellStart"/>
              <w:r w:rsidR="008770B3" w:rsidRPr="00412506">
                <w:rPr>
                  <w:rStyle w:val="Hyperlink"/>
                  <w:rFonts w:ascii="Arial" w:hAnsi="Arial" w:cs="Arial"/>
                  <w:b/>
                  <w:bCs/>
                  <w:color w:val="auto"/>
                  <w:sz w:val="20"/>
                  <w:szCs w:val="20"/>
                  <w:u w:val="none"/>
                </w:rPr>
                <w:t>NEA.2.</w:t>
              </w:r>
            </w:hyperlink>
            <w:r w:rsidR="008770B3">
              <w:rPr>
                <w:rStyle w:val="Hyperlink"/>
                <w:rFonts w:ascii="Arial" w:hAnsi="Arial" w:cs="Arial"/>
                <w:b/>
                <w:bCs/>
                <w:color w:val="auto"/>
                <w:sz w:val="20"/>
                <w:szCs w:val="20"/>
                <w:u w:val="none"/>
              </w:rPr>
              <w:t>3</w:t>
            </w:r>
            <w:proofErr w:type="spellEnd"/>
          </w:p>
        </w:tc>
        <w:tc>
          <w:tcPr>
            <w:tcW w:w="6943" w:type="dxa"/>
          </w:tcPr>
          <w:p w:rsidR="008770B3" w:rsidRPr="00412506" w:rsidRDefault="008770B3" w:rsidP="008770B3">
            <w:pPr>
              <w:jc w:val="both"/>
              <w:rPr>
                <w:rFonts w:ascii="Arial" w:hAnsi="Arial" w:cs="Arial"/>
                <w:sz w:val="20"/>
                <w:szCs w:val="20"/>
              </w:rPr>
            </w:pPr>
            <w:r w:rsidRPr="00412506">
              <w:rPr>
                <w:rFonts w:ascii="Arial" w:hAnsi="Arial" w:cs="Arial"/>
                <w:sz w:val="20"/>
                <w:szCs w:val="20"/>
              </w:rPr>
              <w:t>Student attendance rates, independent schools, by Indigenous status, 2011 (per cent)</w:t>
            </w:r>
          </w:p>
        </w:tc>
      </w:tr>
      <w:tr w:rsidR="008770B3" w:rsidRPr="00CF3BDE" w:rsidTr="008770B3">
        <w:trPr>
          <w:trHeight w:val="612"/>
        </w:trPr>
        <w:tc>
          <w:tcPr>
            <w:tcW w:w="1877" w:type="dxa"/>
            <w:noWrap/>
          </w:tcPr>
          <w:p w:rsidR="008770B3" w:rsidRPr="00412506" w:rsidRDefault="007076BB" w:rsidP="008770B3">
            <w:pPr>
              <w:rPr>
                <w:rFonts w:ascii="Arial" w:hAnsi="Arial" w:cs="Arial"/>
                <w:b/>
                <w:bCs/>
                <w:sz w:val="20"/>
                <w:szCs w:val="20"/>
              </w:rPr>
            </w:pPr>
            <w:hyperlink r:id="rId32" w:anchor="'Table NEA.2.4'!A1" w:history="1">
              <w:r w:rsidR="008770B3" w:rsidRPr="00412506">
                <w:rPr>
                  <w:rStyle w:val="Hyperlink"/>
                  <w:rFonts w:ascii="Arial" w:hAnsi="Arial" w:cs="Arial"/>
                  <w:b/>
                  <w:bCs/>
                  <w:color w:val="auto"/>
                  <w:sz w:val="20"/>
                  <w:szCs w:val="20"/>
                  <w:u w:val="none"/>
                </w:rPr>
                <w:t xml:space="preserve">Table </w:t>
              </w:r>
              <w:proofErr w:type="spellStart"/>
              <w:r w:rsidR="008770B3" w:rsidRPr="00412506">
                <w:rPr>
                  <w:rStyle w:val="Hyperlink"/>
                  <w:rFonts w:ascii="Arial" w:hAnsi="Arial" w:cs="Arial"/>
                  <w:b/>
                  <w:bCs/>
                  <w:color w:val="auto"/>
                  <w:sz w:val="20"/>
                  <w:szCs w:val="20"/>
                  <w:u w:val="none"/>
                </w:rPr>
                <w:t>NEA.2.</w:t>
              </w:r>
            </w:hyperlink>
            <w:r w:rsidR="008770B3">
              <w:rPr>
                <w:rStyle w:val="Hyperlink"/>
                <w:rFonts w:ascii="Arial" w:hAnsi="Arial" w:cs="Arial"/>
                <w:b/>
                <w:bCs/>
                <w:color w:val="auto"/>
                <w:sz w:val="20"/>
                <w:szCs w:val="20"/>
                <w:u w:val="none"/>
              </w:rPr>
              <w:t>4</w:t>
            </w:r>
            <w:proofErr w:type="spellEnd"/>
          </w:p>
        </w:tc>
        <w:tc>
          <w:tcPr>
            <w:tcW w:w="6943" w:type="dxa"/>
          </w:tcPr>
          <w:p w:rsidR="008770B3" w:rsidRPr="00412506" w:rsidRDefault="008770B3" w:rsidP="008770B3">
            <w:pPr>
              <w:jc w:val="both"/>
              <w:rPr>
                <w:rFonts w:ascii="Arial" w:hAnsi="Arial" w:cs="Arial"/>
                <w:sz w:val="20"/>
                <w:szCs w:val="20"/>
              </w:rPr>
            </w:pPr>
            <w:r w:rsidRPr="00412506">
              <w:rPr>
                <w:rFonts w:ascii="Arial" w:hAnsi="Arial" w:cs="Arial"/>
                <w:sz w:val="20"/>
                <w:szCs w:val="20"/>
              </w:rPr>
              <w:t>Student attendance rates, Catholic schools, by Indigenous status, 2011 (per cent)</w:t>
            </w:r>
          </w:p>
        </w:tc>
      </w:tr>
    </w:tbl>
    <w:p w:rsidR="008770B3" w:rsidRDefault="008770B3" w:rsidP="008770B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770B3" w:rsidTr="008770B3">
        <w:tc>
          <w:tcPr>
            <w:tcW w:w="8771" w:type="dxa"/>
            <w:tcBorders>
              <w:top w:val="single" w:sz="6" w:space="0" w:color="auto"/>
              <w:bottom w:val="nil"/>
            </w:tcBorders>
          </w:tcPr>
          <w:p w:rsidR="008770B3" w:rsidRDefault="008770B3" w:rsidP="008770B3">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16</w:t>
            </w:r>
            <w:r>
              <w:rPr>
                <w:b w:val="0"/>
              </w:rPr>
              <w:fldChar w:fldCharType="end"/>
            </w:r>
            <w:r>
              <w:tab/>
              <w:t xml:space="preserve">Comment on data quality (measure </w:t>
            </w:r>
            <w:proofErr w:type="spellStart"/>
            <w:r>
              <w:t>2b</w:t>
            </w:r>
            <w:proofErr w:type="spellEnd"/>
            <w:r>
              <w:t>)</w:t>
            </w:r>
          </w:p>
        </w:tc>
      </w:tr>
      <w:tr w:rsidR="00913061" w:rsidTr="008770B3">
        <w:trPr>
          <w:cantSplit/>
        </w:trPr>
        <w:tc>
          <w:tcPr>
            <w:tcW w:w="8771" w:type="dxa"/>
            <w:tcBorders>
              <w:top w:val="nil"/>
              <w:left w:val="single" w:sz="4" w:space="0" w:color="auto"/>
              <w:bottom w:val="nil"/>
              <w:right w:val="single" w:sz="4" w:space="0" w:color="auto"/>
            </w:tcBorders>
          </w:tcPr>
          <w:p w:rsidR="00913061" w:rsidRPr="00913061" w:rsidRDefault="00913061" w:rsidP="0082251B">
            <w:pPr>
              <w:pStyle w:val="Box"/>
            </w:pPr>
            <w:r w:rsidRPr="00913061">
              <w:t>The DQS for this indicator has been prepared by ACARA and is included in its original form in the section in this report titled ‘Data Quality Statements.’ Key points from the DQS are summarised below.</w:t>
            </w:r>
          </w:p>
          <w:p w:rsidR="00913061" w:rsidRPr="00913061" w:rsidRDefault="00913061" w:rsidP="0082251B">
            <w:pPr>
              <w:pStyle w:val="BoxListBullet"/>
              <w:numPr>
                <w:ilvl w:val="0"/>
                <w:numId w:val="1"/>
              </w:numPr>
            </w:pPr>
            <w:r w:rsidRPr="00913061">
              <w:t>The data provide an indicative measure of student attendance in years 1–10 within an individual school sector within a State or Territory</w:t>
            </w:r>
            <w:r>
              <w:t>, by Indigenous status</w:t>
            </w:r>
          </w:p>
          <w:p w:rsidR="00913061" w:rsidRPr="00913061" w:rsidRDefault="00CE44B1" w:rsidP="0082251B">
            <w:pPr>
              <w:pStyle w:val="BoxListBullet"/>
              <w:numPr>
                <w:ilvl w:val="0"/>
                <w:numId w:val="1"/>
              </w:numPr>
            </w:pPr>
            <w:r>
              <w:t>Annual data are available.</w:t>
            </w:r>
          </w:p>
          <w:p w:rsidR="00913061" w:rsidRPr="00913061" w:rsidRDefault="00913061" w:rsidP="0082251B">
            <w:pPr>
              <w:pStyle w:val="BoxListBullet"/>
              <w:numPr>
                <w:ilvl w:val="0"/>
                <w:numId w:val="1"/>
              </w:numPr>
            </w:pPr>
            <w:r w:rsidRPr="00913061">
              <w:t>The data are of acceptable accuracy at the State and Territory level. National totals are not available as the data are not sufficiently robust to be added or averaged. Data are not comparable across states and territories, or across school sectors, due to differences in collection and reporting processes.</w:t>
            </w:r>
          </w:p>
          <w:p w:rsidR="00913061" w:rsidRPr="00913061" w:rsidRDefault="00913061" w:rsidP="0082251B">
            <w:pPr>
              <w:pStyle w:val="BoxListBullet"/>
              <w:numPr>
                <w:ilvl w:val="0"/>
                <w:numId w:val="1"/>
              </w:numPr>
            </w:pPr>
            <w:r w:rsidRPr="00913061">
              <w:t>Detailed explanatory notes are publicly available to assist interpretation of results. Some states do not separately report the rates for ungraded students, which may affect the interpretation of year level data.</w:t>
            </w:r>
          </w:p>
          <w:p w:rsidR="00913061" w:rsidRPr="00913061" w:rsidRDefault="00913061" w:rsidP="0082251B">
            <w:pPr>
              <w:pStyle w:val="Box"/>
            </w:pPr>
            <w:r w:rsidRPr="00913061">
              <w:t>The Steering Committee also notes the following issues:</w:t>
            </w:r>
          </w:p>
          <w:p w:rsidR="00913061" w:rsidRPr="00913061" w:rsidRDefault="00913061" w:rsidP="0082251B">
            <w:pPr>
              <w:pStyle w:val="BoxListBullet"/>
              <w:numPr>
                <w:ilvl w:val="0"/>
                <w:numId w:val="1"/>
              </w:numPr>
            </w:pPr>
            <w:r w:rsidRPr="00913061">
              <w:t>Data comparability issues limit the usefulness of this measure. Further improvements are required to develop comparable data across school sectors and across states and territories. Further, attendance rates for the total of all school</w:t>
            </w:r>
            <w:r w:rsidR="00383332">
              <w:t xml:space="preserve"> sector</w:t>
            </w:r>
            <w:r w:rsidRPr="00913061">
              <w:t xml:space="preserve">s and </w:t>
            </w:r>
            <w:r w:rsidR="00383332">
              <w:t>nationally</w:t>
            </w:r>
            <w:r w:rsidRPr="00913061">
              <w:t xml:space="preserve"> are required.</w:t>
            </w:r>
          </w:p>
          <w:p w:rsidR="00913061" w:rsidRPr="00913061" w:rsidRDefault="00913061" w:rsidP="0082251B">
            <w:pPr>
              <w:pStyle w:val="BoxListBullet"/>
              <w:numPr>
                <w:ilvl w:val="0"/>
                <w:numId w:val="1"/>
              </w:numPr>
            </w:pPr>
            <w:r w:rsidRPr="00913061">
              <w:t xml:space="preserve">ACARA plans to develop and implement a Student Attendance Data Methodology with the aim of collection and reporting consistent student attendance data across jurisdictional Education Authorities, and the Catholic and </w:t>
            </w:r>
            <w:r w:rsidR="004A3E0D">
              <w:t>i</w:t>
            </w:r>
            <w:r w:rsidRPr="00913061">
              <w:t xml:space="preserve">ndependent </w:t>
            </w:r>
            <w:r w:rsidR="00332F36">
              <w:t>s</w:t>
            </w:r>
            <w:r w:rsidR="00332F36" w:rsidRPr="00913061">
              <w:t>ectors</w:t>
            </w:r>
            <w:r w:rsidRPr="00913061">
              <w:t xml:space="preserve">. </w:t>
            </w:r>
          </w:p>
        </w:tc>
      </w:tr>
      <w:tr w:rsidR="008770B3" w:rsidTr="008770B3">
        <w:trPr>
          <w:cantSplit/>
        </w:trPr>
        <w:tc>
          <w:tcPr>
            <w:tcW w:w="8771" w:type="dxa"/>
            <w:tcBorders>
              <w:top w:val="nil"/>
              <w:left w:val="single" w:sz="4" w:space="0" w:color="auto"/>
              <w:bottom w:val="single" w:sz="4" w:space="0" w:color="auto"/>
              <w:right w:val="single" w:sz="4" w:space="0" w:color="auto"/>
            </w:tcBorders>
          </w:tcPr>
          <w:p w:rsidR="008770B3" w:rsidRDefault="008770B3" w:rsidP="008770B3">
            <w:pPr>
              <w:pStyle w:val="Box"/>
              <w:spacing w:before="0" w:line="120" w:lineRule="exact"/>
            </w:pPr>
          </w:p>
        </w:tc>
      </w:tr>
    </w:tbl>
    <w:p w:rsidR="0026369A" w:rsidRPr="00206C2C" w:rsidRDefault="0026369A" w:rsidP="0026369A">
      <w:pPr>
        <w:pStyle w:val="Heading3"/>
        <w:spacing w:before="360" w:after="240"/>
      </w:pPr>
      <w:r>
        <w:br w:type="page"/>
      </w:r>
      <w:bookmarkStart w:id="24" w:name="_Ref322529262"/>
      <w:r>
        <w:lastRenderedPageBreak/>
        <w:t>NEA Indicator 3</w:t>
      </w:r>
      <w:r w:rsidRPr="00223AA2">
        <w:t>. The proportion of Indigenous students completing year 10</w:t>
      </w:r>
      <w:bookmarkEnd w:id="24"/>
    </w:p>
    <w:tbl>
      <w:tblPr>
        <w:tblW w:w="8789" w:type="dxa"/>
        <w:tblInd w:w="108" w:type="dxa"/>
        <w:tblLook w:val="01E0" w:firstRow="1" w:lastRow="1" w:firstColumn="1" w:lastColumn="1" w:noHBand="0" w:noVBand="0"/>
      </w:tblPr>
      <w:tblGrid>
        <w:gridCol w:w="1985"/>
        <w:gridCol w:w="6804"/>
      </w:tblGrid>
      <w:tr w:rsidR="0026369A" w:rsidRPr="005E6794" w:rsidTr="0026369A">
        <w:trPr>
          <w:trHeight w:val="682"/>
        </w:trPr>
        <w:tc>
          <w:tcPr>
            <w:tcW w:w="1985" w:type="dxa"/>
          </w:tcPr>
          <w:p w:rsidR="0026369A" w:rsidRDefault="0026369A" w:rsidP="0026369A">
            <w:pPr>
              <w:pStyle w:val="TableBodyText"/>
              <w:ind w:left="-108"/>
              <w:jc w:val="left"/>
            </w:pPr>
            <w:r>
              <w:t>Key amendments from previous cycle:</w:t>
            </w:r>
          </w:p>
          <w:p w:rsidR="0026369A" w:rsidRPr="00FB6E71" w:rsidRDefault="0026369A" w:rsidP="0026369A">
            <w:pPr>
              <w:pStyle w:val="TableBodyText"/>
              <w:ind w:left="34"/>
              <w:jc w:val="left"/>
            </w:pPr>
          </w:p>
        </w:tc>
        <w:tc>
          <w:tcPr>
            <w:tcW w:w="6804" w:type="dxa"/>
          </w:tcPr>
          <w:p w:rsidR="0026369A" w:rsidRPr="00D0770C" w:rsidRDefault="0026369A" w:rsidP="0026369A">
            <w:pPr>
              <w:pStyle w:val="TableBodyText"/>
              <w:ind w:left="34"/>
              <w:jc w:val="left"/>
            </w:pPr>
            <w:r>
              <w:t>No amendments have been made</w:t>
            </w:r>
          </w:p>
        </w:tc>
      </w:tr>
      <w:tr w:rsidR="0026369A" w:rsidRPr="005E6794" w:rsidTr="0026369A">
        <w:trPr>
          <w:trHeight w:val="682"/>
        </w:trPr>
        <w:tc>
          <w:tcPr>
            <w:tcW w:w="1985" w:type="dxa"/>
          </w:tcPr>
          <w:p w:rsidR="0026369A" w:rsidRPr="005E6794" w:rsidRDefault="0026369A" w:rsidP="0026369A">
            <w:pPr>
              <w:pStyle w:val="TableBodyText"/>
              <w:ind w:left="-113"/>
              <w:jc w:val="left"/>
            </w:pPr>
            <w:r>
              <w:t>Outcome area</w:t>
            </w:r>
            <w:r w:rsidRPr="005E6794">
              <w:t>:</w:t>
            </w:r>
          </w:p>
        </w:tc>
        <w:tc>
          <w:tcPr>
            <w:tcW w:w="6804" w:type="dxa"/>
          </w:tcPr>
          <w:p w:rsidR="0026369A" w:rsidRDefault="0026369A" w:rsidP="0026369A">
            <w:pPr>
              <w:pStyle w:val="TableBodyText"/>
              <w:jc w:val="left"/>
            </w:pPr>
            <w:r>
              <w:t>Schooling promotes the social inclusion and reduces the educational</w:t>
            </w:r>
          </w:p>
          <w:p w:rsidR="0026369A" w:rsidRDefault="0026369A" w:rsidP="0026369A">
            <w:pPr>
              <w:pStyle w:val="TableBodyText"/>
              <w:jc w:val="left"/>
            </w:pPr>
            <w:r>
              <w:t>disadvantage of children, especially Indigenous children</w:t>
            </w:r>
          </w:p>
          <w:p w:rsidR="0026369A" w:rsidRPr="004161F4" w:rsidRDefault="0026369A" w:rsidP="0026369A">
            <w:pPr>
              <w:pStyle w:val="TableBodyText"/>
              <w:jc w:val="left"/>
            </w:pPr>
          </w:p>
        </w:tc>
      </w:tr>
      <w:tr w:rsidR="0026369A" w:rsidRPr="005E6794" w:rsidTr="0026369A">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Default="0026369A" w:rsidP="0026369A">
            <w:pPr>
              <w:pStyle w:val="TableBodyText"/>
              <w:jc w:val="left"/>
            </w:pPr>
            <w:r>
              <w:t>The proportion of Indigenous students completing year 10</w:t>
            </w:r>
          </w:p>
          <w:p w:rsidR="0026369A" w:rsidRPr="008941BF" w:rsidRDefault="0026369A" w:rsidP="0026369A">
            <w:pPr>
              <w:pStyle w:val="TableBodyText"/>
              <w:jc w:val="left"/>
            </w:pP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 xml:space="preserve">Measure: </w:t>
            </w:r>
          </w:p>
        </w:tc>
        <w:tc>
          <w:tcPr>
            <w:tcW w:w="6804" w:type="dxa"/>
          </w:tcPr>
          <w:p w:rsidR="0026369A" w:rsidRDefault="0026369A" w:rsidP="0026369A">
            <w:pPr>
              <w:pStyle w:val="TableBodyText"/>
              <w:jc w:val="left"/>
            </w:pPr>
            <w:r>
              <w:t>Proportion of the population aged 17 to 19 years whose highest year of schooling is year 10 or above, by Indigenous status</w:t>
            </w:r>
          </w:p>
          <w:p w:rsidR="0026369A" w:rsidRDefault="0026369A" w:rsidP="0026369A">
            <w:pPr>
              <w:pStyle w:val="TableBodyText"/>
              <w:jc w:val="left"/>
            </w:pPr>
          </w:p>
          <w:p w:rsidR="0026369A" w:rsidRDefault="0026369A" w:rsidP="0026369A">
            <w:pPr>
              <w:pStyle w:val="TableBodyText"/>
              <w:jc w:val="left"/>
            </w:pPr>
            <w:r>
              <w:t>The measure is defined as follows:</w:t>
            </w:r>
          </w:p>
          <w:p w:rsidR="0026369A" w:rsidRDefault="0026369A" w:rsidP="0026369A">
            <w:pPr>
              <w:pStyle w:val="TableBullet"/>
              <w:autoSpaceDE w:val="0"/>
              <w:autoSpaceDN w:val="0"/>
              <w:adjustRightInd w:val="0"/>
            </w:pPr>
            <w:r w:rsidRPr="00F5479C">
              <w:rPr>
                <w:i/>
              </w:rPr>
              <w:t>numerator</w:t>
            </w:r>
            <w:r w:rsidRPr="00F5479C">
              <w:t xml:space="preserve"> </w:t>
            </w:r>
            <w:r>
              <w:t>– people aged 17 to 19 years who have completed year 10 or above, by Indigenous status</w:t>
            </w:r>
          </w:p>
          <w:p w:rsidR="0026369A" w:rsidRDefault="0026369A" w:rsidP="0026369A">
            <w:pPr>
              <w:pStyle w:val="TableBullet"/>
              <w:autoSpaceDE w:val="0"/>
              <w:autoSpaceDN w:val="0"/>
              <w:adjustRightInd w:val="0"/>
            </w:pPr>
            <w:r w:rsidRPr="00F5479C">
              <w:rPr>
                <w:i/>
              </w:rPr>
              <w:t>denominator</w:t>
            </w:r>
            <w:r w:rsidRPr="00F5479C">
              <w:t xml:space="preserve"> </w:t>
            </w:r>
            <w:r>
              <w:t>– total population of people aged 17 to 19 years, by Indigenous status</w:t>
            </w:r>
          </w:p>
          <w:p w:rsidR="0026369A" w:rsidRDefault="0026369A" w:rsidP="0026369A">
            <w:pPr>
              <w:pStyle w:val="TableBodyText"/>
              <w:jc w:val="left"/>
            </w:pPr>
            <w:r w:rsidRPr="005E6794">
              <w:t xml:space="preserve">and is expressed as a </w:t>
            </w:r>
            <w:r w:rsidRPr="006C6846">
              <w:rPr>
                <w:i/>
              </w:rPr>
              <w:t>percentage</w:t>
            </w:r>
          </w:p>
          <w:p w:rsidR="0026369A" w:rsidRDefault="0026369A" w:rsidP="0026369A">
            <w:pPr>
              <w:pStyle w:val="TableBodyText"/>
              <w:jc w:val="left"/>
              <w:rPr>
                <w:i/>
              </w:rPr>
            </w:pPr>
          </w:p>
          <w:p w:rsidR="0026369A" w:rsidRDefault="0026369A" w:rsidP="0026369A">
            <w:pPr>
              <w:pStyle w:val="TableBodyText"/>
              <w:jc w:val="left"/>
            </w:pPr>
            <w:r w:rsidRPr="009B2FF4">
              <w:t xml:space="preserve">This measure is based on those people who </w:t>
            </w:r>
            <w:r>
              <w:t>self-</w:t>
            </w:r>
            <w:r w:rsidRPr="009B2FF4">
              <w:t xml:space="preserve">identify </w:t>
            </w:r>
            <w:r>
              <w:t>their highest year of schooling as year 10</w:t>
            </w:r>
            <w:r w:rsidRPr="009B2FF4">
              <w:t xml:space="preserve"> or above</w:t>
            </w:r>
          </w:p>
          <w:p w:rsidR="0026369A" w:rsidRPr="005E6794"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r>
              <w:t>s:</w:t>
            </w:r>
          </w:p>
        </w:tc>
        <w:tc>
          <w:tcPr>
            <w:tcW w:w="6804" w:type="dxa"/>
          </w:tcPr>
          <w:p w:rsidR="0026369A" w:rsidRDefault="0026369A" w:rsidP="0026369A">
            <w:pPr>
              <w:pStyle w:val="TableBodyText"/>
              <w:jc w:val="left"/>
            </w:pPr>
            <w:r w:rsidRPr="005E6794">
              <w:rPr>
                <w:i/>
              </w:rPr>
              <w:t>Numerator</w:t>
            </w:r>
            <w:r>
              <w:rPr>
                <w:i/>
              </w:rPr>
              <w:t xml:space="preserve"> and denominator </w:t>
            </w:r>
            <w:r w:rsidRPr="005E6794">
              <w:t>—</w:t>
            </w:r>
            <w:r>
              <w:t xml:space="preserve"> </w:t>
            </w:r>
            <w:r w:rsidRPr="007770DC">
              <w:rPr>
                <w:u w:val="single"/>
              </w:rPr>
              <w:t>Census of Population and Housing</w:t>
            </w:r>
            <w:r>
              <w:t xml:space="preserve"> (Census). Data are available 5-yearly</w:t>
            </w:r>
          </w:p>
          <w:p w:rsidR="0026369A" w:rsidRDefault="0026369A" w:rsidP="0026369A">
            <w:pPr>
              <w:pStyle w:val="TableBodyText"/>
              <w:jc w:val="left"/>
              <w:rPr>
                <w:i/>
              </w:rPr>
            </w:pPr>
          </w:p>
          <w:p w:rsidR="0026369A" w:rsidRPr="007770DC" w:rsidRDefault="0026369A" w:rsidP="0026369A">
            <w:pPr>
              <w:pStyle w:val="TableBodyText"/>
              <w:jc w:val="left"/>
            </w:pPr>
            <w:r w:rsidRPr="00CA06AE">
              <w:rPr>
                <w:i/>
              </w:rPr>
              <w:t xml:space="preserve">(Supplementary) Numerator and denominator </w:t>
            </w:r>
            <w:r>
              <w:t>— (Indigenous)</w:t>
            </w:r>
            <w:r w:rsidRPr="00CA06AE">
              <w:t xml:space="preserve"> </w:t>
            </w:r>
            <w:r w:rsidRPr="00CA06AE">
              <w:rPr>
                <w:u w:val="single"/>
              </w:rPr>
              <w:t>National Aboriginal and Torres Strait Islander Social Survey</w:t>
            </w:r>
            <w:r w:rsidRPr="00CA06AE">
              <w:t xml:space="preserve"> (NATSISS) and </w:t>
            </w:r>
            <w:r>
              <w:rPr>
                <w:u w:val="single"/>
              </w:rPr>
              <w:t>Australian</w:t>
            </w:r>
            <w:r w:rsidRPr="00CA06AE">
              <w:rPr>
                <w:u w:val="single"/>
              </w:rPr>
              <w:t xml:space="preserve"> Aboriginal and Torres Strait Islander Health Survey</w:t>
            </w:r>
            <w:r w:rsidRPr="00CA06AE">
              <w:t xml:space="preserve"> (</w:t>
            </w:r>
            <w:r>
              <w:t>AATSIHS</w:t>
            </w:r>
            <w:r w:rsidRPr="00CA06AE">
              <w:t>)</w:t>
            </w:r>
            <w:r>
              <w:t xml:space="preserve"> (which replaces the NATSIHS)</w:t>
            </w:r>
            <w:r w:rsidRPr="00CA06AE">
              <w:t>. Data are availabl</w:t>
            </w:r>
            <w:r>
              <w:t>e on a rotating 3-yearly cycle. (Non</w:t>
            </w:r>
            <w:r>
              <w:noBreakHyphen/>
              <w:t>Indigenous)</w:t>
            </w:r>
            <w:r w:rsidRPr="00CA06AE">
              <w:t xml:space="preserve"> </w:t>
            </w:r>
            <w:r w:rsidRPr="00CA06AE">
              <w:rPr>
                <w:u w:val="single"/>
              </w:rPr>
              <w:t>Survey of Education and Work</w:t>
            </w:r>
            <w:r w:rsidRPr="00CA06AE">
              <w:t xml:space="preserve"> (SE</w:t>
            </w:r>
            <w:r>
              <w:t>W). Data are available annually</w:t>
            </w:r>
          </w:p>
          <w:p w:rsidR="0026369A" w:rsidRPr="002C3C9C"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t>Data provider:</w:t>
            </w:r>
          </w:p>
        </w:tc>
        <w:tc>
          <w:tcPr>
            <w:tcW w:w="6804" w:type="dxa"/>
          </w:tcPr>
          <w:p w:rsidR="0026369A" w:rsidRDefault="0026369A" w:rsidP="0026369A">
            <w:pPr>
              <w:pStyle w:val="TableBodyText"/>
              <w:jc w:val="left"/>
            </w:pPr>
            <w:r w:rsidRPr="007770DC">
              <w:t>ABS</w:t>
            </w:r>
          </w:p>
          <w:p w:rsidR="0026369A" w:rsidRPr="005E6794" w:rsidRDefault="0026369A" w:rsidP="0026369A">
            <w:pPr>
              <w:pStyle w:val="TableBodyText"/>
              <w:jc w:val="left"/>
            </w:pP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t>Data availability:</w:t>
            </w:r>
          </w:p>
        </w:tc>
        <w:tc>
          <w:tcPr>
            <w:tcW w:w="6804" w:type="dxa"/>
          </w:tcPr>
          <w:p w:rsidR="0026369A" w:rsidRPr="004D2A03" w:rsidRDefault="0026369A" w:rsidP="0026369A">
            <w:pPr>
              <w:pStyle w:val="TableBodyText"/>
              <w:jc w:val="left"/>
            </w:pPr>
            <w:r>
              <w:t>No new data are available for this reporting cycle</w:t>
            </w: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Pr="007D01E8" w:rsidRDefault="0026369A" w:rsidP="0026369A">
            <w:pPr>
              <w:pStyle w:val="TableBullet"/>
              <w:numPr>
                <w:ilvl w:val="0"/>
                <w:numId w:val="0"/>
              </w:numPr>
              <w:ind w:left="170" w:hanging="170"/>
            </w:pPr>
            <w:r>
              <w:t>Not applicable</w:t>
            </w:r>
          </w:p>
        </w:tc>
      </w:tr>
    </w:tbl>
    <w:p w:rsidR="00555575" w:rsidRDefault="00555575" w:rsidP="00801652">
      <w:pPr>
        <w:pStyle w:val="BoxSpace"/>
        <w:keepNext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55575" w:rsidTr="00A17808">
        <w:tc>
          <w:tcPr>
            <w:tcW w:w="8771" w:type="dxa"/>
            <w:tcBorders>
              <w:top w:val="single" w:sz="6" w:space="0" w:color="auto"/>
              <w:bottom w:val="nil"/>
            </w:tcBorders>
          </w:tcPr>
          <w:p w:rsidR="00555575" w:rsidRDefault="00555575" w:rsidP="00555575">
            <w:pPr>
              <w:pStyle w:val="BoxTitle"/>
            </w:pPr>
            <w:r>
              <w:rPr>
                <w:b w:val="0"/>
              </w:rPr>
              <w:lastRenderedPageBreak/>
              <w:t xml:space="preserve">Box </w:t>
            </w:r>
            <w:r>
              <w:rPr>
                <w:b w:val="0"/>
              </w:rPr>
              <w:fldChar w:fldCharType="begin"/>
            </w:r>
            <w:r>
              <w:rPr>
                <w:b w:val="0"/>
              </w:rPr>
              <w:instrText xml:space="preserve"> SEQ Box \* ARABIC </w:instrText>
            </w:r>
            <w:r>
              <w:rPr>
                <w:b w:val="0"/>
              </w:rPr>
              <w:fldChar w:fldCharType="separate"/>
            </w:r>
            <w:r w:rsidR="00936B93">
              <w:rPr>
                <w:b w:val="0"/>
                <w:noProof/>
              </w:rPr>
              <w:t>17</w:t>
            </w:r>
            <w:r>
              <w:rPr>
                <w:b w:val="0"/>
              </w:rPr>
              <w:fldChar w:fldCharType="end"/>
            </w:r>
            <w:r>
              <w:tab/>
              <w:t>Results</w:t>
            </w:r>
          </w:p>
        </w:tc>
      </w:tr>
      <w:tr w:rsidR="00555575" w:rsidTr="00A17808">
        <w:trPr>
          <w:cantSplit/>
        </w:trPr>
        <w:tc>
          <w:tcPr>
            <w:tcW w:w="8771" w:type="dxa"/>
            <w:tcBorders>
              <w:top w:val="nil"/>
              <w:left w:val="single" w:sz="4" w:space="0" w:color="auto"/>
              <w:bottom w:val="nil"/>
              <w:right w:val="single" w:sz="4" w:space="0" w:color="auto"/>
            </w:tcBorders>
          </w:tcPr>
          <w:p w:rsidR="00555575" w:rsidRDefault="00555575" w:rsidP="00555575">
            <w:pPr>
              <w:pStyle w:val="Box"/>
            </w:pPr>
            <w:r>
              <w:t>No new data are provided in this report.</w:t>
            </w:r>
          </w:p>
          <w:p w:rsidR="00555575" w:rsidRPr="00F23695" w:rsidRDefault="00555575" w:rsidP="00521C5D">
            <w:pPr>
              <w:pStyle w:val="BoxListBullet"/>
              <w:numPr>
                <w:ilvl w:val="0"/>
                <w:numId w:val="1"/>
              </w:numPr>
            </w:pPr>
            <w:r w:rsidRPr="00F23695">
              <w:t xml:space="preserve">Data for 2008 </w:t>
            </w:r>
            <w:r w:rsidR="00F23695" w:rsidRPr="00F23695">
              <w:t xml:space="preserve">(NATSISS/SEW) </w:t>
            </w:r>
            <w:r w:rsidRPr="00F23695">
              <w:t>are available in the 2010 NEA performance report.</w:t>
            </w:r>
          </w:p>
          <w:p w:rsidR="00F23695" w:rsidRDefault="00F23695" w:rsidP="00C41E1E">
            <w:pPr>
              <w:pStyle w:val="BoxListBullet"/>
              <w:numPr>
                <w:ilvl w:val="0"/>
                <w:numId w:val="1"/>
              </w:numPr>
            </w:pPr>
            <w:r w:rsidRPr="00F23695">
              <w:t>Data for</w:t>
            </w:r>
            <w:r>
              <w:t xml:space="preserve"> 2006 (Census) are available in the 2008 NEA performance report.</w:t>
            </w:r>
          </w:p>
          <w:p w:rsidR="00F23695" w:rsidRDefault="00F23695" w:rsidP="00555575">
            <w:pPr>
              <w:pStyle w:val="Box"/>
            </w:pPr>
            <w:r>
              <w:t>New data are anticipated to be available for the next NEA performance report from the 2011-13 AATSIHS/AHS.</w:t>
            </w:r>
          </w:p>
        </w:tc>
      </w:tr>
      <w:tr w:rsidR="00555575" w:rsidTr="00555575">
        <w:trPr>
          <w:cantSplit/>
        </w:trPr>
        <w:tc>
          <w:tcPr>
            <w:tcW w:w="8771" w:type="dxa"/>
            <w:tcBorders>
              <w:top w:val="nil"/>
              <w:left w:val="single" w:sz="4" w:space="0" w:color="auto"/>
              <w:bottom w:val="single" w:sz="4" w:space="0" w:color="auto"/>
              <w:right w:val="single" w:sz="4" w:space="0" w:color="auto"/>
            </w:tcBorders>
          </w:tcPr>
          <w:p w:rsidR="00555575" w:rsidRDefault="00555575" w:rsidP="00555575">
            <w:pPr>
              <w:pStyle w:val="Box"/>
              <w:spacing w:before="0" w:line="120" w:lineRule="exact"/>
            </w:pPr>
          </w:p>
        </w:tc>
      </w:tr>
    </w:tbl>
    <w:p w:rsidR="0026369A" w:rsidRDefault="0026369A" w:rsidP="0026369A">
      <w:pPr>
        <w:pStyle w:val="Heading3"/>
        <w:spacing w:before="360" w:after="240"/>
      </w:pPr>
      <w:r>
        <w:br w:type="page"/>
      </w:r>
      <w:bookmarkStart w:id="25" w:name="_Ref322529351"/>
      <w:r>
        <w:lastRenderedPageBreak/>
        <w:t xml:space="preserve">NEA </w:t>
      </w:r>
      <w:r w:rsidRPr="00A162AD">
        <w:t xml:space="preserve">Indicator </w:t>
      </w:r>
      <w:r>
        <w:t>4</w:t>
      </w:r>
      <w:r w:rsidRPr="00A162AD">
        <w:t xml:space="preserve">. </w:t>
      </w:r>
      <w:r>
        <w:t>Literacy and numeracy achievement of year 3, 5, 7 and 9 students in national testing</w:t>
      </w:r>
      <w:bookmarkEnd w:id="25"/>
    </w:p>
    <w:tbl>
      <w:tblPr>
        <w:tblW w:w="8789" w:type="dxa"/>
        <w:tblInd w:w="108" w:type="dxa"/>
        <w:tblLook w:val="01E0" w:firstRow="1" w:lastRow="1" w:firstColumn="1" w:lastColumn="1" w:noHBand="0" w:noVBand="0"/>
      </w:tblPr>
      <w:tblGrid>
        <w:gridCol w:w="1985"/>
        <w:gridCol w:w="6804"/>
      </w:tblGrid>
      <w:tr w:rsidR="0026369A" w:rsidRPr="005E6794" w:rsidTr="0082251B">
        <w:trPr>
          <w:trHeight w:val="1082"/>
        </w:trPr>
        <w:tc>
          <w:tcPr>
            <w:tcW w:w="1985" w:type="dxa"/>
          </w:tcPr>
          <w:p w:rsidR="0026369A" w:rsidRDefault="0026369A" w:rsidP="0026369A">
            <w:pPr>
              <w:pStyle w:val="TableBodyText"/>
              <w:ind w:left="-108"/>
              <w:jc w:val="left"/>
            </w:pPr>
            <w:r>
              <w:t>Key amendments from previous cycle:</w:t>
            </w:r>
          </w:p>
          <w:p w:rsidR="0026369A" w:rsidRPr="00FB6E71" w:rsidRDefault="0026369A" w:rsidP="0026369A">
            <w:pPr>
              <w:pStyle w:val="TableBodyText"/>
              <w:ind w:left="34"/>
              <w:jc w:val="left"/>
            </w:pPr>
          </w:p>
        </w:tc>
        <w:tc>
          <w:tcPr>
            <w:tcW w:w="6804" w:type="dxa"/>
          </w:tcPr>
          <w:p w:rsidR="0026369A" w:rsidRPr="00C707F8" w:rsidRDefault="00F911C4" w:rsidP="00F2381B">
            <w:pPr>
              <w:pStyle w:val="TableBodyText"/>
              <w:ind w:left="34"/>
              <w:jc w:val="left"/>
            </w:pPr>
            <w:r w:rsidRPr="00CE019A">
              <w:t>From 2011, the NAPLAN writing te</w:t>
            </w:r>
            <w:r w:rsidR="00801652">
              <w:t>s</w:t>
            </w:r>
            <w:r w:rsidRPr="00CE019A">
              <w:t>t was assessed on a persuasive te</w:t>
            </w:r>
            <w:r w:rsidR="00F2381B">
              <w:t>x</w:t>
            </w:r>
            <w:r w:rsidRPr="00CE019A">
              <w:t xml:space="preserve">t, rather than the narrative text used in previous years. Results for NAPLAN writing from 2011 are not comparable with results for </w:t>
            </w:r>
            <w:r w:rsidR="00F23695">
              <w:t xml:space="preserve">prior </w:t>
            </w:r>
            <w:r w:rsidRPr="00CE019A">
              <w:t>years</w:t>
            </w:r>
            <w:r>
              <w:t>.</w:t>
            </w:r>
          </w:p>
        </w:tc>
      </w:tr>
      <w:tr w:rsidR="0026369A" w:rsidRPr="005E6794" w:rsidTr="0026369A">
        <w:trPr>
          <w:trHeight w:val="682"/>
        </w:trPr>
        <w:tc>
          <w:tcPr>
            <w:tcW w:w="1985" w:type="dxa"/>
          </w:tcPr>
          <w:p w:rsidR="0026369A" w:rsidRPr="005E6794" w:rsidRDefault="0026369A" w:rsidP="0026369A">
            <w:pPr>
              <w:pStyle w:val="TableBodyText"/>
              <w:ind w:left="-113"/>
              <w:jc w:val="left"/>
            </w:pPr>
            <w:r>
              <w:t>Outcome area</w:t>
            </w:r>
            <w:r w:rsidRPr="005E6794">
              <w:t>:</w:t>
            </w:r>
          </w:p>
        </w:tc>
        <w:tc>
          <w:tcPr>
            <w:tcW w:w="6804" w:type="dxa"/>
          </w:tcPr>
          <w:p w:rsidR="0026369A" w:rsidRDefault="0026369A" w:rsidP="0026369A">
            <w:pPr>
              <w:pStyle w:val="TableBodyText"/>
              <w:jc w:val="left"/>
            </w:pPr>
            <w:r>
              <w:t>Young people are meeting basic literacy and numeracy standards, and overall levels of literacy and numeracy achievement are improving</w:t>
            </w:r>
          </w:p>
          <w:p w:rsidR="0026369A" w:rsidRPr="004161F4" w:rsidRDefault="0026369A" w:rsidP="0026369A">
            <w:pPr>
              <w:pStyle w:val="TableBodyText"/>
              <w:jc w:val="left"/>
            </w:pPr>
          </w:p>
        </w:tc>
      </w:tr>
      <w:tr w:rsidR="0026369A" w:rsidRPr="005E6794" w:rsidTr="0026369A">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Default="0026369A" w:rsidP="0026369A">
            <w:pPr>
              <w:pStyle w:val="TableBodyText"/>
              <w:jc w:val="left"/>
            </w:pPr>
            <w:r>
              <w:t>Literacy and numeracy achievement of year 3, 5, 7 and 9 students in national testing</w:t>
            </w:r>
          </w:p>
          <w:p w:rsidR="0026369A" w:rsidRPr="008941BF" w:rsidRDefault="0026369A" w:rsidP="0026369A">
            <w:pPr>
              <w:pStyle w:val="TableBodyText"/>
              <w:jc w:val="left"/>
            </w:pP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Measure</w:t>
            </w:r>
            <w:r>
              <w:t>s</w:t>
            </w:r>
            <w:r w:rsidRPr="005E6794">
              <w:t xml:space="preserve">: </w:t>
            </w:r>
          </w:p>
        </w:tc>
        <w:tc>
          <w:tcPr>
            <w:tcW w:w="6804" w:type="dxa"/>
          </w:tcPr>
          <w:p w:rsidR="0026369A" w:rsidRDefault="0026369A" w:rsidP="0026369A">
            <w:pPr>
              <w:pStyle w:val="TableBodyText"/>
              <w:jc w:val="left"/>
            </w:pPr>
            <w:r>
              <w:t>There ar</w:t>
            </w:r>
            <w:r w:rsidRPr="00CA06AE">
              <w:t>e two measures for th</w:t>
            </w:r>
            <w:r>
              <w:t>is indicator:</w:t>
            </w:r>
          </w:p>
          <w:p w:rsidR="0026369A" w:rsidRDefault="0026369A" w:rsidP="0026369A">
            <w:pPr>
              <w:pStyle w:val="TableBodyText"/>
              <w:jc w:val="left"/>
            </w:pPr>
          </w:p>
          <w:p w:rsidR="0026369A" w:rsidRDefault="0026369A" w:rsidP="0026369A">
            <w:pPr>
              <w:pStyle w:val="TableBodyText"/>
              <w:jc w:val="left"/>
            </w:pPr>
            <w:r>
              <w:t>Measure 4(a): Proportion of students who achieved at or above the national minimum standard (for reading, writing and numeracy, in years 3, 5, 7 and 9)</w:t>
            </w:r>
          </w:p>
          <w:p w:rsidR="0026369A" w:rsidRDefault="0026369A" w:rsidP="0026369A">
            <w:pPr>
              <w:pStyle w:val="TableBodyText"/>
              <w:jc w:val="left"/>
            </w:pPr>
          </w:p>
          <w:p w:rsidR="0026369A" w:rsidRDefault="0026369A" w:rsidP="0026369A">
            <w:pPr>
              <w:pStyle w:val="TableBodyText"/>
              <w:jc w:val="left"/>
            </w:pPr>
            <w:r>
              <w:t xml:space="preserve">[Note: NAPLAN reports the percentage of students who achieved at or above the national minimum standard. The complex process by which student scores are arrived at and distributed across the national achievement bands (using the </w:t>
            </w:r>
            <w:proofErr w:type="spellStart"/>
            <w:r>
              <w:t>Rasch</w:t>
            </w:r>
            <w:proofErr w:type="spellEnd"/>
            <w:r>
              <w:t xml:space="preserve"> model, a recognised analysis model for educational measurement) are agreed by states, territories and the Commonwealth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26369A" w:rsidRDefault="0026369A" w:rsidP="0026369A">
            <w:pPr>
              <w:pStyle w:val="TableBodyText"/>
              <w:jc w:val="left"/>
            </w:pPr>
          </w:p>
          <w:p w:rsidR="0026369A" w:rsidRPr="00D96D99" w:rsidRDefault="0026369A" w:rsidP="0026369A">
            <w:pPr>
              <w:pStyle w:val="TableBodyText"/>
              <w:jc w:val="left"/>
            </w:pPr>
            <w:r>
              <w:t>Measure 4(b): NAPLAN mean scale scores for students (for reading, writing and numeracy, in years 3, 5, 7 and 9)</w:t>
            </w:r>
          </w:p>
          <w:p w:rsidR="0026369A" w:rsidRPr="005E6794"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r>
              <w:t>:</w:t>
            </w:r>
          </w:p>
        </w:tc>
        <w:tc>
          <w:tcPr>
            <w:tcW w:w="6804" w:type="dxa"/>
          </w:tcPr>
          <w:p w:rsidR="0026369A" w:rsidRPr="007770DC" w:rsidRDefault="0026369A" w:rsidP="0026369A">
            <w:pPr>
              <w:pStyle w:val="TableBodyText"/>
              <w:jc w:val="left"/>
            </w:pPr>
            <w:r>
              <w:rPr>
                <w:u w:val="single"/>
              </w:rPr>
              <w:t>National Assessment Program – Literacy and Numeracy</w:t>
            </w:r>
            <w:r>
              <w:t xml:space="preserve"> (NAPLAN). Data are available annually.</w:t>
            </w:r>
          </w:p>
          <w:p w:rsidR="0026369A" w:rsidRPr="008815FE"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t>Data provider:</w:t>
            </w:r>
          </w:p>
        </w:tc>
        <w:tc>
          <w:tcPr>
            <w:tcW w:w="6804" w:type="dxa"/>
          </w:tcPr>
          <w:p w:rsidR="0026369A" w:rsidRPr="0093214F" w:rsidRDefault="0026369A" w:rsidP="0026369A">
            <w:pPr>
              <w:pStyle w:val="TableBodyText"/>
              <w:jc w:val="left"/>
            </w:pPr>
            <w:r w:rsidRPr="0093214F">
              <w:t>ACARA</w:t>
            </w: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t>Data availability:</w:t>
            </w:r>
          </w:p>
        </w:tc>
        <w:tc>
          <w:tcPr>
            <w:tcW w:w="6804" w:type="dxa"/>
          </w:tcPr>
          <w:p w:rsidR="0026369A" w:rsidRPr="00CA06AE" w:rsidRDefault="0026369A" w:rsidP="0026369A">
            <w:pPr>
              <w:pStyle w:val="TableBodyText"/>
              <w:jc w:val="left"/>
            </w:pPr>
            <w:r>
              <w:t>2011</w:t>
            </w:r>
          </w:p>
          <w:p w:rsidR="0026369A" w:rsidRPr="008E5CBC" w:rsidRDefault="0026369A" w:rsidP="0026369A">
            <w:pPr>
              <w:pStyle w:val="TableBodyText"/>
              <w:jc w:val="left"/>
              <w:rPr>
                <w:color w:val="FF0000"/>
              </w:rPr>
            </w:pP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Default="0026369A" w:rsidP="0026369A">
            <w:pPr>
              <w:pStyle w:val="TableBullet"/>
              <w:numPr>
                <w:ilvl w:val="0"/>
                <w:numId w:val="0"/>
              </w:numPr>
            </w:pPr>
            <w:r>
              <w:t>For each year level (3, 5, 7 and 9 — reported individually) by learning domain (reading, writing and numeracy — reported individually):</w:t>
            </w:r>
          </w:p>
          <w:p w:rsidR="0026369A" w:rsidRDefault="0026369A" w:rsidP="0026369A">
            <w:pPr>
              <w:pStyle w:val="TableBullet"/>
              <w:autoSpaceDE w:val="0"/>
              <w:autoSpaceDN w:val="0"/>
              <w:adjustRightInd w:val="0"/>
            </w:pPr>
            <w:r>
              <w:t>State and Territor</w:t>
            </w:r>
            <w:r w:rsidRPr="00CA06AE">
              <w:t>y, by geolocation</w:t>
            </w:r>
          </w:p>
          <w:p w:rsidR="0026369A" w:rsidRPr="007D01E8" w:rsidRDefault="0026369A" w:rsidP="0026369A">
            <w:pPr>
              <w:pStyle w:val="TableBullet"/>
              <w:numPr>
                <w:ilvl w:val="0"/>
                <w:numId w:val="0"/>
              </w:numPr>
            </w:pPr>
          </w:p>
        </w:tc>
      </w:tr>
    </w:tbl>
    <w:p w:rsidR="00555575" w:rsidRDefault="00555575" w:rsidP="00555575">
      <w:pPr>
        <w:rPr>
          <w:szCs w:val="20"/>
        </w:rPr>
      </w:pPr>
      <w:r>
        <w:br w:type="page"/>
      </w:r>
    </w:p>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555575">
        <w:trPr>
          <w:cantSplit/>
        </w:trPr>
        <w:tc>
          <w:tcPr>
            <w:tcW w:w="8771" w:type="dxa"/>
            <w:tcBorders>
              <w:top w:val="single" w:sz="6" w:space="0" w:color="auto"/>
              <w:bottom w:val="nil"/>
            </w:tcBorders>
          </w:tcPr>
          <w:p w:rsidR="0026369A" w:rsidRDefault="0026369A" w:rsidP="00555575">
            <w:pPr>
              <w:pStyle w:val="BoxTitle"/>
              <w:widowControl w:val="0"/>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18</w:t>
            </w:r>
            <w:r>
              <w:rPr>
                <w:b w:val="0"/>
              </w:rPr>
              <w:fldChar w:fldCharType="end"/>
            </w:r>
            <w:r>
              <w:tab/>
              <w:t>Results</w:t>
            </w:r>
          </w:p>
        </w:tc>
      </w:tr>
      <w:tr w:rsidR="0026369A" w:rsidTr="00555575">
        <w:trPr>
          <w:cantSplit/>
        </w:trPr>
        <w:tc>
          <w:tcPr>
            <w:tcW w:w="8771" w:type="dxa"/>
            <w:tcBorders>
              <w:top w:val="nil"/>
              <w:left w:val="single" w:sz="4" w:space="0" w:color="auto"/>
              <w:bottom w:val="nil"/>
              <w:right w:val="single" w:sz="4" w:space="0" w:color="auto"/>
            </w:tcBorders>
          </w:tcPr>
          <w:p w:rsidR="00555575" w:rsidRDefault="00555575" w:rsidP="0082251B">
            <w:pPr>
              <w:pStyle w:val="Box"/>
              <w:keepLines/>
              <w:widowControl w:val="0"/>
            </w:pPr>
            <w:r>
              <w:t>For this report, new data for this indicator are available for 2011.</w:t>
            </w:r>
          </w:p>
          <w:p w:rsidR="00555575" w:rsidRDefault="00555575" w:rsidP="0082251B">
            <w:pPr>
              <w:pStyle w:val="BoxListBullet"/>
              <w:keepLines/>
              <w:widowControl w:val="0"/>
              <w:numPr>
                <w:ilvl w:val="0"/>
                <w:numId w:val="1"/>
              </w:numPr>
            </w:pPr>
            <w:r>
              <w:t xml:space="preserve">Data by State and Territory for measure </w:t>
            </w:r>
            <w:proofErr w:type="spellStart"/>
            <w:r>
              <w:t>4a</w:t>
            </w:r>
            <w:proofErr w:type="spellEnd"/>
            <w:r>
              <w:t xml:space="preserve"> are presented in tables </w:t>
            </w:r>
            <w:proofErr w:type="spellStart"/>
            <w:r>
              <w:t>NEA.4.1</w:t>
            </w:r>
            <w:proofErr w:type="spellEnd"/>
            <w:r>
              <w:t>–4.12</w:t>
            </w:r>
            <w:r w:rsidR="004A18A0">
              <w:t>.</w:t>
            </w:r>
          </w:p>
          <w:p w:rsidR="00555575" w:rsidRDefault="00555575" w:rsidP="0082251B">
            <w:pPr>
              <w:pStyle w:val="BoxListBullet"/>
              <w:keepLines/>
              <w:widowControl w:val="0"/>
              <w:numPr>
                <w:ilvl w:val="0"/>
                <w:numId w:val="1"/>
              </w:numPr>
            </w:pPr>
            <w:r>
              <w:t xml:space="preserve">Data by State and Territory for measure </w:t>
            </w:r>
            <w:proofErr w:type="spellStart"/>
            <w:r>
              <w:t>4b</w:t>
            </w:r>
            <w:proofErr w:type="spellEnd"/>
            <w:r>
              <w:t xml:space="preserve"> are presented in tables </w:t>
            </w:r>
            <w:proofErr w:type="spellStart"/>
            <w:r>
              <w:t>NEA.4.13</w:t>
            </w:r>
            <w:proofErr w:type="spellEnd"/>
            <w:r>
              <w:t>–4.24.</w:t>
            </w:r>
          </w:p>
          <w:p w:rsidR="00E66386" w:rsidRDefault="00E66386" w:rsidP="0082251B">
            <w:pPr>
              <w:pStyle w:val="Box"/>
            </w:pPr>
            <w:r>
              <w:t>Data for 2010 are available in the 2010 NEA performance report. Data for 2009 and 2008 are available in t</w:t>
            </w:r>
            <w:r w:rsidR="00CE44B1">
              <w:t>he 2009 NEA performance report.</w:t>
            </w:r>
          </w:p>
          <w:p w:rsidR="0026369A" w:rsidRDefault="00555575" w:rsidP="0082251B">
            <w:pPr>
              <w:pStyle w:val="Box"/>
              <w:keepLines/>
              <w:widowControl w:val="0"/>
            </w:pPr>
            <w:r>
              <w:t>Apparent differences may not be statistically significant</w:t>
            </w:r>
            <w:r w:rsidRPr="00555575">
              <w:t xml:space="preserve"> and relevant confidence intervals may be requested directly from the data provider</w:t>
            </w:r>
            <w:r>
              <w:t xml:space="preserve">. </w:t>
            </w:r>
            <w:r w:rsidRPr="00555575">
              <w:t>Different confidence intervals are required depending on the type of analysis. Confidence intervals for comparing data within years across jurisdictions are different from confidence intervals for comparing data across years within and across jurisdictions.</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FC4A4C" w:rsidRDefault="0026369A" w:rsidP="0026369A">
      <w:pPr>
        <w:pStyle w:val="Heading4"/>
        <w:spacing w:after="120"/>
      </w:pPr>
      <w:r>
        <w:t>Attachment table</w:t>
      </w:r>
      <w:r w:rsidR="000F0C9C">
        <w:t>s</w:t>
      </w:r>
      <w:r w:rsidR="00667874">
        <w:t xml:space="preserve"> </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33" w:anchor="'Table NEA 4.1'!A1" w:history="1">
              <w:r w:rsidR="0026369A" w:rsidRPr="002019D0">
                <w:rPr>
                  <w:rStyle w:val="Hyperlink"/>
                  <w:rFonts w:ascii="Arial" w:hAnsi="Arial" w:cs="Arial"/>
                  <w:b/>
                  <w:bCs/>
                  <w:color w:val="auto"/>
                  <w:sz w:val="20"/>
                  <w:szCs w:val="20"/>
                  <w:u w:val="none"/>
                </w:rPr>
                <w:t>Table NEA 4.1</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reading,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34" w:anchor="'Table NEA 4.2'!A1" w:history="1">
              <w:r w:rsidR="0026369A" w:rsidRPr="002019D0">
                <w:rPr>
                  <w:rStyle w:val="Hyperlink"/>
                  <w:rFonts w:ascii="Arial" w:hAnsi="Arial" w:cs="Arial"/>
                  <w:b/>
                  <w:bCs/>
                  <w:color w:val="auto"/>
                  <w:sz w:val="20"/>
                  <w:szCs w:val="20"/>
                  <w:u w:val="none"/>
                </w:rPr>
                <w:t>Table NEA 4.2</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writing,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35" w:anchor="'Table NEA 4.3'!A1" w:history="1">
              <w:r w:rsidR="0026369A" w:rsidRPr="002019D0">
                <w:rPr>
                  <w:rStyle w:val="Hyperlink"/>
                  <w:rFonts w:ascii="Arial" w:hAnsi="Arial" w:cs="Arial"/>
                  <w:b/>
                  <w:bCs/>
                  <w:color w:val="auto"/>
                  <w:sz w:val="20"/>
                  <w:szCs w:val="20"/>
                  <w:u w:val="none"/>
                </w:rPr>
                <w:t>Table NEA 4.3</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numeracy,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36" w:anchor="'Table NEA 4.4'!A1" w:history="1">
              <w:r w:rsidR="0026369A" w:rsidRPr="002019D0">
                <w:rPr>
                  <w:rStyle w:val="Hyperlink"/>
                  <w:rFonts w:ascii="Arial" w:hAnsi="Arial" w:cs="Arial"/>
                  <w:b/>
                  <w:bCs/>
                  <w:color w:val="auto"/>
                  <w:sz w:val="20"/>
                  <w:szCs w:val="20"/>
                  <w:u w:val="none"/>
                </w:rPr>
                <w:t>Table NEA 4.4</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reading,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37" w:anchor="'Table NEA 4.5'!A1" w:history="1">
              <w:r w:rsidR="0026369A" w:rsidRPr="002019D0">
                <w:rPr>
                  <w:rStyle w:val="Hyperlink"/>
                  <w:rFonts w:ascii="Arial" w:hAnsi="Arial" w:cs="Arial"/>
                  <w:b/>
                  <w:bCs/>
                  <w:color w:val="auto"/>
                  <w:sz w:val="20"/>
                  <w:szCs w:val="20"/>
                  <w:u w:val="none"/>
                </w:rPr>
                <w:t>Table NEA 4.5</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writing,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38" w:anchor="'Table NEA 4.6'!A1" w:history="1">
              <w:r w:rsidR="0026369A" w:rsidRPr="002019D0">
                <w:rPr>
                  <w:rStyle w:val="Hyperlink"/>
                  <w:rFonts w:ascii="Arial" w:hAnsi="Arial" w:cs="Arial"/>
                  <w:b/>
                  <w:bCs/>
                  <w:color w:val="auto"/>
                  <w:sz w:val="20"/>
                  <w:szCs w:val="20"/>
                  <w:u w:val="none"/>
                </w:rPr>
                <w:t>Table NEA 4.6</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numeracy,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39" w:anchor="'Table NEA 4.7'!A1" w:history="1">
              <w:r w:rsidR="0026369A" w:rsidRPr="002019D0">
                <w:rPr>
                  <w:rStyle w:val="Hyperlink"/>
                  <w:rFonts w:ascii="Arial" w:hAnsi="Arial" w:cs="Arial"/>
                  <w:b/>
                  <w:bCs/>
                  <w:color w:val="auto"/>
                  <w:sz w:val="20"/>
                  <w:szCs w:val="20"/>
                  <w:u w:val="none"/>
                </w:rPr>
                <w:t>Table NEA 4.7</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reading,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0" w:anchor="'Table NEA 4.8'!A1" w:history="1">
              <w:r w:rsidR="0026369A" w:rsidRPr="002019D0">
                <w:rPr>
                  <w:rStyle w:val="Hyperlink"/>
                  <w:rFonts w:ascii="Arial" w:hAnsi="Arial" w:cs="Arial"/>
                  <w:b/>
                  <w:bCs/>
                  <w:color w:val="auto"/>
                  <w:sz w:val="20"/>
                  <w:szCs w:val="20"/>
                  <w:u w:val="none"/>
                </w:rPr>
                <w:t>Table NEA 4.8</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writing,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1" w:anchor="'Table NEA 4.9'!A1" w:history="1">
              <w:r w:rsidR="0026369A" w:rsidRPr="002019D0">
                <w:rPr>
                  <w:rStyle w:val="Hyperlink"/>
                  <w:rFonts w:ascii="Arial" w:hAnsi="Arial" w:cs="Arial"/>
                  <w:b/>
                  <w:bCs/>
                  <w:color w:val="auto"/>
                  <w:sz w:val="20"/>
                  <w:szCs w:val="20"/>
                  <w:u w:val="none"/>
                </w:rPr>
                <w:t>Table NEA 4.9</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numeracy,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2" w:anchor="'Table NEA 4.10'!A1" w:history="1">
              <w:r w:rsidR="0026369A" w:rsidRPr="002019D0">
                <w:rPr>
                  <w:rStyle w:val="Hyperlink"/>
                  <w:rFonts w:ascii="Arial" w:hAnsi="Arial" w:cs="Arial"/>
                  <w:b/>
                  <w:bCs/>
                  <w:color w:val="auto"/>
                  <w:sz w:val="20"/>
                  <w:szCs w:val="20"/>
                  <w:u w:val="none"/>
                </w:rPr>
                <w:t>Table NEA 4.10</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reading,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3" w:anchor="'Table NEA 4.11'!A1" w:history="1">
              <w:r w:rsidR="0026369A" w:rsidRPr="002019D0">
                <w:rPr>
                  <w:rStyle w:val="Hyperlink"/>
                  <w:rFonts w:ascii="Arial" w:hAnsi="Arial" w:cs="Arial"/>
                  <w:b/>
                  <w:bCs/>
                  <w:color w:val="auto"/>
                  <w:sz w:val="20"/>
                  <w:szCs w:val="20"/>
                  <w:u w:val="none"/>
                </w:rPr>
                <w:t>Table NEA 4.11</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writing, by State and Territory, by geolocation, 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4" w:anchor="'Table NEA 4.12'!A1" w:history="1">
              <w:r w:rsidR="0026369A" w:rsidRPr="002019D0">
                <w:rPr>
                  <w:rStyle w:val="Hyperlink"/>
                  <w:rFonts w:ascii="Arial" w:hAnsi="Arial" w:cs="Arial"/>
                  <w:b/>
                  <w:bCs/>
                  <w:color w:val="auto"/>
                  <w:sz w:val="20"/>
                  <w:szCs w:val="20"/>
                  <w:u w:val="none"/>
                </w:rPr>
                <w:t>Table NEA 4.12</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numeracy, by State and Territory, by geolocation, </w:t>
            </w:r>
            <w:r w:rsidRPr="002019D0">
              <w:rPr>
                <w:rFonts w:ascii="Arial" w:hAnsi="Arial" w:cs="Arial"/>
                <w:sz w:val="20"/>
                <w:szCs w:val="20"/>
              </w:rPr>
              <w:lastRenderedPageBreak/>
              <w:t xml:space="preserve">2011 (per cent)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5" w:anchor="'Table NEA 4.13'!A1" w:history="1">
              <w:r w:rsidR="0026369A" w:rsidRPr="002019D0">
                <w:rPr>
                  <w:rStyle w:val="Hyperlink"/>
                  <w:rFonts w:ascii="Arial" w:hAnsi="Arial" w:cs="Arial"/>
                  <w:b/>
                  <w:bCs/>
                  <w:color w:val="auto"/>
                  <w:sz w:val="20"/>
                  <w:szCs w:val="20"/>
                  <w:u w:val="none"/>
                </w:rPr>
                <w:t>Table NEA 4.13</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3 students, by State and Territory, by geolocation, 2011 (score points)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6" w:anchor="'Table NEA 4.14'!A1" w:history="1">
              <w:r w:rsidR="0026369A" w:rsidRPr="002019D0">
                <w:rPr>
                  <w:rStyle w:val="Hyperlink"/>
                  <w:rFonts w:ascii="Arial" w:hAnsi="Arial" w:cs="Arial"/>
                  <w:b/>
                  <w:bCs/>
                  <w:color w:val="auto"/>
                  <w:sz w:val="20"/>
                  <w:szCs w:val="20"/>
                  <w:u w:val="none"/>
                </w:rPr>
                <w:t>Table NEA 4.14</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3 students, by State and Territory, by geolocation, 2011 (score points)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7" w:anchor="'Table NEA 4.15'!A1" w:history="1">
              <w:r w:rsidR="0026369A" w:rsidRPr="002019D0">
                <w:rPr>
                  <w:rStyle w:val="Hyperlink"/>
                  <w:rFonts w:ascii="Arial" w:hAnsi="Arial" w:cs="Arial"/>
                  <w:b/>
                  <w:bCs/>
                  <w:color w:val="auto"/>
                  <w:sz w:val="20"/>
                  <w:szCs w:val="20"/>
                  <w:u w:val="none"/>
                </w:rPr>
                <w:t>Table NEA 4.15</w:t>
              </w:r>
            </w:hyperlink>
          </w:p>
        </w:tc>
        <w:tc>
          <w:tcPr>
            <w:tcW w:w="6943" w:type="dxa"/>
          </w:tcPr>
          <w:p w:rsidR="0026369A" w:rsidRPr="002019D0" w:rsidRDefault="0026369A" w:rsidP="00DD0FF7">
            <w:pPr>
              <w:jc w:val="both"/>
              <w:rPr>
                <w:rFonts w:ascii="Arial" w:hAnsi="Arial" w:cs="Arial"/>
                <w:sz w:val="20"/>
                <w:szCs w:val="20"/>
              </w:rPr>
            </w:pPr>
            <w:r w:rsidRPr="002019D0">
              <w:rPr>
                <w:rFonts w:ascii="Arial" w:hAnsi="Arial" w:cs="Arial"/>
                <w:sz w:val="20"/>
                <w:szCs w:val="20"/>
              </w:rPr>
              <w:t>NAPLAN Mean scale scores for numeracy, year 3 students, by State and Territory, by geolocation, 2011 (score points)</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8" w:anchor="'Table NEA 4.16'!A1" w:history="1">
              <w:r w:rsidR="0026369A" w:rsidRPr="002019D0">
                <w:rPr>
                  <w:rStyle w:val="Hyperlink"/>
                  <w:rFonts w:ascii="Arial" w:hAnsi="Arial" w:cs="Arial"/>
                  <w:b/>
                  <w:bCs/>
                  <w:color w:val="auto"/>
                  <w:sz w:val="20"/>
                  <w:szCs w:val="20"/>
                  <w:u w:val="none"/>
                </w:rPr>
                <w:t>Table NEA 4.16</w:t>
              </w:r>
            </w:hyperlink>
          </w:p>
        </w:tc>
        <w:tc>
          <w:tcPr>
            <w:tcW w:w="6943" w:type="dxa"/>
          </w:tcPr>
          <w:p w:rsidR="0026369A" w:rsidRPr="002019D0" w:rsidRDefault="0026369A" w:rsidP="00DD0FF7">
            <w:pPr>
              <w:jc w:val="both"/>
              <w:rPr>
                <w:rFonts w:ascii="Arial" w:hAnsi="Arial" w:cs="Arial"/>
                <w:sz w:val="20"/>
                <w:szCs w:val="20"/>
              </w:rPr>
            </w:pPr>
            <w:r w:rsidRPr="002019D0">
              <w:rPr>
                <w:rFonts w:ascii="Arial" w:hAnsi="Arial" w:cs="Arial"/>
                <w:sz w:val="20"/>
                <w:szCs w:val="20"/>
              </w:rPr>
              <w:t>NAPLAN Mean scale scores for reading, year 5 students, by State and Territory, by geolocation, 2011 (score points)</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49" w:anchor="'Table NEA 4.17'!A1" w:history="1">
              <w:r w:rsidR="0026369A" w:rsidRPr="002019D0">
                <w:rPr>
                  <w:rStyle w:val="Hyperlink"/>
                  <w:rFonts w:ascii="Arial" w:hAnsi="Arial" w:cs="Arial"/>
                  <w:b/>
                  <w:bCs/>
                  <w:color w:val="auto"/>
                  <w:sz w:val="20"/>
                  <w:szCs w:val="20"/>
                  <w:u w:val="none"/>
                </w:rPr>
                <w:t>Table NEA 4.17</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NAPLAN Mean scale scores for writing, year 5 students, by State and Territory, by ge</w:t>
            </w:r>
            <w:r w:rsidR="00DD0FF7">
              <w:rPr>
                <w:rFonts w:ascii="Arial" w:hAnsi="Arial" w:cs="Arial"/>
                <w:sz w:val="20"/>
                <w:szCs w:val="20"/>
              </w:rPr>
              <w:t>olocation, 2011 (score points)</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50" w:anchor="'Table NEA 4.18'!A1" w:history="1">
              <w:r w:rsidR="0026369A" w:rsidRPr="002019D0">
                <w:rPr>
                  <w:rStyle w:val="Hyperlink"/>
                  <w:rFonts w:ascii="Arial" w:hAnsi="Arial" w:cs="Arial"/>
                  <w:b/>
                  <w:bCs/>
                  <w:color w:val="auto"/>
                  <w:sz w:val="20"/>
                  <w:szCs w:val="20"/>
                  <w:u w:val="none"/>
                </w:rPr>
                <w:t>Table NEA 4.18</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NAPLAN Mean scale scores for numeracy, year 5 students, by State and Territory, by ge</w:t>
            </w:r>
            <w:r w:rsidR="00DD0FF7">
              <w:rPr>
                <w:rFonts w:ascii="Arial" w:hAnsi="Arial" w:cs="Arial"/>
                <w:sz w:val="20"/>
                <w:szCs w:val="20"/>
              </w:rPr>
              <w:t>olocation, 2011 (score points)</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51" w:anchor="'Table NEA 4.19'!A1" w:history="1">
              <w:r w:rsidR="0026369A" w:rsidRPr="002019D0">
                <w:rPr>
                  <w:rStyle w:val="Hyperlink"/>
                  <w:rFonts w:ascii="Arial" w:hAnsi="Arial" w:cs="Arial"/>
                  <w:b/>
                  <w:bCs/>
                  <w:color w:val="auto"/>
                  <w:sz w:val="20"/>
                  <w:szCs w:val="20"/>
                  <w:u w:val="none"/>
                </w:rPr>
                <w:t>Table NEA 4.19</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7 students, by State and Territory, by geolocation, 2011 (score points)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52" w:anchor="'Table NEA 4.20'!A1" w:history="1">
              <w:r w:rsidR="0026369A" w:rsidRPr="002019D0">
                <w:rPr>
                  <w:rStyle w:val="Hyperlink"/>
                  <w:rFonts w:ascii="Arial" w:hAnsi="Arial" w:cs="Arial"/>
                  <w:b/>
                  <w:bCs/>
                  <w:color w:val="auto"/>
                  <w:sz w:val="20"/>
                  <w:szCs w:val="20"/>
                  <w:u w:val="none"/>
                </w:rPr>
                <w:t>Table NEA 4.20</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7 students, by State and Territory, by geolocation, 2011 (score points)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53" w:anchor="'Table NEA 4.21'!A1" w:history="1">
              <w:r w:rsidR="0026369A" w:rsidRPr="002019D0">
                <w:rPr>
                  <w:rStyle w:val="Hyperlink"/>
                  <w:rFonts w:ascii="Arial" w:hAnsi="Arial" w:cs="Arial"/>
                  <w:b/>
                  <w:bCs/>
                  <w:color w:val="auto"/>
                  <w:sz w:val="20"/>
                  <w:szCs w:val="20"/>
                  <w:u w:val="none"/>
                </w:rPr>
                <w:t>Table NEA 4.21</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7 students, by State and Territory, by geolocation, 2011 (score points)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54" w:anchor="'Table NEA 4.22'!A1" w:history="1">
              <w:r w:rsidR="0026369A" w:rsidRPr="002019D0">
                <w:rPr>
                  <w:rStyle w:val="Hyperlink"/>
                  <w:rFonts w:ascii="Arial" w:hAnsi="Arial" w:cs="Arial"/>
                  <w:b/>
                  <w:bCs/>
                  <w:color w:val="auto"/>
                  <w:sz w:val="20"/>
                  <w:szCs w:val="20"/>
                  <w:u w:val="none"/>
                </w:rPr>
                <w:t>Table NEA 4.22</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9 students, by State and Territory, by geolocation, 2011 (score points)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55" w:anchor="'Table NEA 4.23'!A1" w:history="1">
              <w:r w:rsidR="0026369A" w:rsidRPr="002019D0">
                <w:rPr>
                  <w:rStyle w:val="Hyperlink"/>
                  <w:rFonts w:ascii="Arial" w:hAnsi="Arial" w:cs="Arial"/>
                  <w:b/>
                  <w:bCs/>
                  <w:color w:val="auto"/>
                  <w:sz w:val="20"/>
                  <w:szCs w:val="20"/>
                  <w:u w:val="none"/>
                </w:rPr>
                <w:t>Table NEA 4.23</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9 students, by State and Territory, by geolocation, 2011 (score points)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56" w:anchor="'Table NEA 4.24'!A1" w:history="1">
              <w:r w:rsidR="0026369A" w:rsidRPr="002019D0">
                <w:rPr>
                  <w:rStyle w:val="Hyperlink"/>
                  <w:rFonts w:ascii="Arial" w:hAnsi="Arial" w:cs="Arial"/>
                  <w:b/>
                  <w:bCs/>
                  <w:color w:val="auto"/>
                  <w:sz w:val="20"/>
                  <w:szCs w:val="20"/>
                  <w:u w:val="none"/>
                </w:rPr>
                <w:t>Table NEA 4.24</w:t>
              </w:r>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9 students, by State and Territory, by geolocation, 2011 (score points)  </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19</w:t>
            </w:r>
            <w:r>
              <w:rPr>
                <w:b w:val="0"/>
              </w:rPr>
              <w:fldChar w:fldCharType="end"/>
            </w:r>
            <w:r>
              <w:tab/>
              <w:t>Comment on data quality</w:t>
            </w:r>
          </w:p>
        </w:tc>
      </w:tr>
      <w:tr w:rsidR="0026369A" w:rsidTr="0026369A">
        <w:trPr>
          <w:cantSplit/>
        </w:trPr>
        <w:tc>
          <w:tcPr>
            <w:tcW w:w="8771" w:type="dxa"/>
            <w:tcBorders>
              <w:top w:val="nil"/>
              <w:left w:val="single" w:sz="4" w:space="0" w:color="auto"/>
              <w:bottom w:val="nil"/>
              <w:right w:val="single" w:sz="4" w:space="0" w:color="auto"/>
            </w:tcBorders>
          </w:tcPr>
          <w:p w:rsidR="00555575" w:rsidRPr="00913061" w:rsidRDefault="00555575" w:rsidP="0082251B">
            <w:pPr>
              <w:pStyle w:val="Box"/>
            </w:pPr>
            <w:r w:rsidRPr="00913061">
              <w:t>The DQS for this indicator has been prepared by ACARA and is included in its original form in the section in this report titled ‘Data Quality Statements.’ Key points from the DQS are summarised below.</w:t>
            </w:r>
          </w:p>
          <w:p w:rsidR="00555575" w:rsidRPr="00913061" w:rsidRDefault="00555575" w:rsidP="0082251B">
            <w:pPr>
              <w:pStyle w:val="BoxListBullet"/>
              <w:numPr>
                <w:ilvl w:val="0"/>
                <w:numId w:val="1"/>
              </w:numPr>
            </w:pPr>
            <w:r w:rsidRPr="00913061">
              <w:t>The data provide relevant information on the literacy and numeracy achievement of year 3, 5, 7 and 9 students in national testing for the learning domains of reading, writing and numeracy.</w:t>
            </w:r>
          </w:p>
          <w:p w:rsidR="00555575" w:rsidRPr="00913061" w:rsidRDefault="00555575" w:rsidP="0082251B">
            <w:pPr>
              <w:pStyle w:val="BoxListBullet"/>
              <w:numPr>
                <w:ilvl w:val="0"/>
                <w:numId w:val="1"/>
              </w:numPr>
            </w:pPr>
            <w:r w:rsidRPr="00913061">
              <w:t>Data are available by State and Territory.</w:t>
            </w:r>
          </w:p>
          <w:p w:rsidR="00913061" w:rsidRPr="0030718C" w:rsidRDefault="00CE44B1" w:rsidP="0082251B">
            <w:pPr>
              <w:pStyle w:val="BoxListBullet"/>
              <w:numPr>
                <w:ilvl w:val="0"/>
                <w:numId w:val="1"/>
              </w:numPr>
            </w:pPr>
            <w:r>
              <w:t>Annual data are available.</w:t>
            </w:r>
          </w:p>
          <w:p w:rsidR="00555575" w:rsidRPr="0030718C" w:rsidRDefault="00555575" w:rsidP="0082251B">
            <w:pPr>
              <w:pStyle w:val="BoxListBullet"/>
              <w:numPr>
                <w:ilvl w:val="0"/>
                <w:numId w:val="1"/>
              </w:numPr>
            </w:pPr>
            <w:r w:rsidRPr="0030718C">
              <w:t>Students are classified in four ways: assessed, exempt, absent and withdrawn. Exempt students are not assessed and are deemed not to have met the national minimum standard. Absent and withdrawn students are not assessed and are not counted as part of the cohort of assessed students. Data are available on the proportion of students who were exempt, absent and withdrawn.</w:t>
            </w:r>
          </w:p>
          <w:p w:rsidR="00555575" w:rsidRPr="0030718C" w:rsidRDefault="00555575" w:rsidP="0082251B">
            <w:pPr>
              <w:pStyle w:val="BoxListBullet"/>
              <w:numPr>
                <w:ilvl w:val="0"/>
                <w:numId w:val="1"/>
              </w:numPr>
            </w:pPr>
            <w:r w:rsidRPr="0030718C">
              <w:t>Data are sourced from NAPLAN (for assessed students) and from student enrolment records (for exempt, absent and withdrawn students)</w:t>
            </w:r>
          </w:p>
          <w:p w:rsidR="00555575" w:rsidRPr="0030718C" w:rsidRDefault="00555575" w:rsidP="0082251B">
            <w:pPr>
              <w:pStyle w:val="BoxListBullet"/>
              <w:numPr>
                <w:ilvl w:val="0"/>
                <w:numId w:val="1"/>
              </w:numPr>
            </w:pPr>
            <w:r w:rsidRPr="0030718C">
              <w:t>Data are of acceptable accuracy. Percentages in tables are rounded and may not sum to 100.</w:t>
            </w:r>
          </w:p>
          <w:p w:rsidR="00555575" w:rsidRPr="0030718C" w:rsidRDefault="00555575" w:rsidP="0082251B">
            <w:pPr>
              <w:pStyle w:val="BoxListBullet"/>
              <w:numPr>
                <w:ilvl w:val="0"/>
                <w:numId w:val="1"/>
              </w:numPr>
            </w:pPr>
            <w:r w:rsidRPr="0030718C">
              <w:t>Detailed explanatory notes are publicly available to assist in</w:t>
            </w:r>
            <w:r w:rsidR="00CE44B1">
              <w:t xml:space="preserve"> the interpretation of results.</w:t>
            </w:r>
          </w:p>
          <w:p w:rsidR="00555575" w:rsidRPr="0030718C" w:rsidRDefault="00555575" w:rsidP="0082251B">
            <w:pPr>
              <w:pStyle w:val="BoxListBullet"/>
              <w:numPr>
                <w:ilvl w:val="0"/>
                <w:numId w:val="1"/>
              </w:numPr>
            </w:pPr>
            <w:r w:rsidRPr="0030718C">
              <w:t>Additional data from the data source are available on-line.</w:t>
            </w:r>
          </w:p>
          <w:p w:rsidR="00555575" w:rsidRDefault="00555575" w:rsidP="0082251B">
            <w:pPr>
              <w:pStyle w:val="Box"/>
            </w:pPr>
            <w:r w:rsidRPr="0030718C">
              <w:t>The Steering Committee also notes the following issues:</w:t>
            </w:r>
          </w:p>
          <w:p w:rsidR="00555575" w:rsidRDefault="00555575" w:rsidP="0082251B">
            <w:pPr>
              <w:pStyle w:val="BoxListBullet"/>
              <w:numPr>
                <w:ilvl w:val="0"/>
                <w:numId w:val="1"/>
              </w:numPr>
            </w:pPr>
            <w:r>
              <w:t>A break in series for the NAPLAN writing test occurred in 2011. Writing is now assessed using a persuasive tex</w:t>
            </w:r>
            <w:r w:rsidRPr="00CE019A">
              <w:t xml:space="preserve">t, rather than </w:t>
            </w:r>
            <w:r>
              <w:t xml:space="preserve">a </w:t>
            </w:r>
            <w:r w:rsidRPr="00CE019A">
              <w:t>narrative text</w:t>
            </w:r>
            <w:r>
              <w:t>. This means r</w:t>
            </w:r>
            <w:r w:rsidRPr="00CE019A">
              <w:t xml:space="preserve">esults for NAPLAN writing from 2011 are not comparable with results for </w:t>
            </w:r>
            <w:r w:rsidR="00B06935">
              <w:t xml:space="preserve">prior </w:t>
            </w:r>
            <w:r w:rsidRPr="00CE019A">
              <w:t>years.</w:t>
            </w:r>
          </w:p>
          <w:p w:rsidR="00913061" w:rsidRDefault="00555575" w:rsidP="0082251B">
            <w:pPr>
              <w:pStyle w:val="BoxListBullet"/>
              <w:numPr>
                <w:ilvl w:val="0"/>
                <w:numId w:val="1"/>
              </w:numPr>
            </w:pPr>
            <w:r w:rsidRPr="00555575">
              <w:t xml:space="preserve">Relevant confidence intervals should be considered when interpreting the data in this report. At the request of the CRC, confidence intervals have not been provided with this report, as different confidence intervals are relevant to different analyses. The CRC have advised that they may request the data collection agency to undertake significance testing on the NAPLAN data. </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Default="0026369A" w:rsidP="0026369A">
      <w:pPr>
        <w:pStyle w:val="BodyText"/>
      </w:pPr>
    </w:p>
    <w:p w:rsidR="0026369A" w:rsidRPr="00F018C3" w:rsidRDefault="0026369A" w:rsidP="0026369A">
      <w:pPr>
        <w:pStyle w:val="Heading3"/>
        <w:spacing w:before="360" w:after="240"/>
      </w:pPr>
      <w:r>
        <w:br w:type="page"/>
      </w:r>
      <w:bookmarkStart w:id="26" w:name="_Ref322529356"/>
      <w:r w:rsidRPr="00F018C3">
        <w:lastRenderedPageBreak/>
        <w:t>NEA Indicator 5. Literacy and numeracy achievement of year 3, 5, 7 and 9 Indigenous and low SES students in national testing</w:t>
      </w:r>
      <w:bookmarkEnd w:id="26"/>
    </w:p>
    <w:tbl>
      <w:tblPr>
        <w:tblW w:w="8789" w:type="dxa"/>
        <w:tblInd w:w="108" w:type="dxa"/>
        <w:tblLook w:val="01E0" w:firstRow="1" w:lastRow="1" w:firstColumn="1" w:lastColumn="1" w:noHBand="0" w:noVBand="0"/>
      </w:tblPr>
      <w:tblGrid>
        <w:gridCol w:w="1985"/>
        <w:gridCol w:w="6804"/>
      </w:tblGrid>
      <w:tr w:rsidR="0026369A" w:rsidRPr="005E6794" w:rsidTr="0082251B">
        <w:trPr>
          <w:trHeight w:val="1224"/>
        </w:trPr>
        <w:tc>
          <w:tcPr>
            <w:tcW w:w="1985" w:type="dxa"/>
          </w:tcPr>
          <w:p w:rsidR="0026369A" w:rsidRDefault="0026369A" w:rsidP="0026369A">
            <w:pPr>
              <w:pStyle w:val="TableBodyText"/>
              <w:ind w:left="-108"/>
              <w:jc w:val="left"/>
            </w:pPr>
            <w:r>
              <w:t>Key amendments from previous cycle:</w:t>
            </w:r>
          </w:p>
          <w:p w:rsidR="0026369A" w:rsidRPr="00FB6E71" w:rsidRDefault="0026369A" w:rsidP="0026369A">
            <w:pPr>
              <w:pStyle w:val="TableBodyText"/>
              <w:ind w:left="34"/>
              <w:jc w:val="left"/>
            </w:pPr>
          </w:p>
        </w:tc>
        <w:tc>
          <w:tcPr>
            <w:tcW w:w="6804" w:type="dxa"/>
          </w:tcPr>
          <w:p w:rsidR="0026369A" w:rsidRPr="006E091C" w:rsidRDefault="00F911C4" w:rsidP="00801652">
            <w:pPr>
              <w:pStyle w:val="TableBullet"/>
              <w:numPr>
                <w:ilvl w:val="0"/>
                <w:numId w:val="0"/>
              </w:numPr>
            </w:pPr>
            <w:r w:rsidRPr="00CE019A">
              <w:t>From 2011, the NAPLAN writing te</w:t>
            </w:r>
            <w:r w:rsidR="00801652">
              <w:t>s</w:t>
            </w:r>
            <w:r w:rsidRPr="00CE019A">
              <w:t xml:space="preserve">t was assessed on a persuasive </w:t>
            </w:r>
            <w:r w:rsidR="00F2381B" w:rsidRPr="00CE019A">
              <w:t>te</w:t>
            </w:r>
            <w:r w:rsidR="00F2381B">
              <w:t>x</w:t>
            </w:r>
            <w:r w:rsidR="00F2381B" w:rsidRPr="00CE019A">
              <w:t>t</w:t>
            </w:r>
            <w:r w:rsidRPr="00CE019A">
              <w:t xml:space="preserve">, rather than the narrative text used in previous years. Results for NAPLAN writing from 2011 are not comparable with results for </w:t>
            </w:r>
            <w:r w:rsidR="00761D52">
              <w:t xml:space="preserve">prior </w:t>
            </w:r>
            <w:r w:rsidRPr="00CE019A">
              <w:t>years</w:t>
            </w:r>
            <w:r>
              <w:t>.</w:t>
            </w:r>
          </w:p>
        </w:tc>
      </w:tr>
      <w:tr w:rsidR="0026369A" w:rsidRPr="005E6794" w:rsidTr="0026369A">
        <w:trPr>
          <w:trHeight w:val="682"/>
        </w:trPr>
        <w:tc>
          <w:tcPr>
            <w:tcW w:w="1985" w:type="dxa"/>
          </w:tcPr>
          <w:p w:rsidR="0026369A" w:rsidRPr="005E6794" w:rsidRDefault="0026369A" w:rsidP="0026369A">
            <w:pPr>
              <w:pStyle w:val="TableBodyText"/>
              <w:ind w:left="-113"/>
              <w:jc w:val="left"/>
            </w:pPr>
            <w:r>
              <w:t>Outcome area</w:t>
            </w:r>
            <w:r w:rsidRPr="005E6794">
              <w:t>:</w:t>
            </w:r>
          </w:p>
        </w:tc>
        <w:tc>
          <w:tcPr>
            <w:tcW w:w="6804" w:type="dxa"/>
          </w:tcPr>
          <w:p w:rsidR="0026369A" w:rsidRDefault="0026369A" w:rsidP="0026369A">
            <w:pPr>
              <w:pStyle w:val="TableBodyText"/>
              <w:jc w:val="left"/>
            </w:pPr>
            <w:r>
              <w:t>Schooling promotes the social inclusion and reduces the educational disadvantage of children, especially Indigenous children</w:t>
            </w:r>
          </w:p>
          <w:p w:rsidR="0026369A" w:rsidRPr="004161F4" w:rsidRDefault="0026369A" w:rsidP="0026369A">
            <w:pPr>
              <w:pStyle w:val="TableBodyText"/>
              <w:jc w:val="left"/>
            </w:pPr>
          </w:p>
        </w:tc>
      </w:tr>
      <w:tr w:rsidR="0026369A" w:rsidRPr="005E6794" w:rsidTr="0026369A">
        <w:trPr>
          <w:trHeight w:val="682"/>
        </w:trPr>
        <w:tc>
          <w:tcPr>
            <w:tcW w:w="1985" w:type="dxa"/>
          </w:tcPr>
          <w:p w:rsidR="0026369A" w:rsidRDefault="0026369A" w:rsidP="0026369A">
            <w:pPr>
              <w:pStyle w:val="TableBodyText"/>
              <w:ind w:left="-113"/>
              <w:jc w:val="left"/>
            </w:pPr>
            <w:r>
              <w:t>Related target:</w:t>
            </w:r>
          </w:p>
        </w:tc>
        <w:tc>
          <w:tcPr>
            <w:tcW w:w="6804" w:type="dxa"/>
          </w:tcPr>
          <w:p w:rsidR="0026369A" w:rsidRDefault="0026369A" w:rsidP="0026369A">
            <w:pPr>
              <w:pStyle w:val="TableBodyText"/>
              <w:jc w:val="left"/>
            </w:pPr>
            <w:r w:rsidRPr="00C90184">
              <w:t>Halve the gap for Indigenous students in reading, writing and numeracy within a decade</w:t>
            </w:r>
          </w:p>
          <w:p w:rsidR="0026369A" w:rsidRPr="00C90184" w:rsidRDefault="0026369A" w:rsidP="0026369A">
            <w:pPr>
              <w:pStyle w:val="TableBodyText"/>
              <w:jc w:val="left"/>
            </w:pPr>
          </w:p>
        </w:tc>
      </w:tr>
      <w:tr w:rsidR="0026369A" w:rsidRPr="005E6794" w:rsidTr="0026369A">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Default="0026369A" w:rsidP="0026369A">
            <w:pPr>
              <w:pStyle w:val="TableBodyText"/>
              <w:jc w:val="left"/>
            </w:pPr>
            <w:r>
              <w:t>Literacy and numeracy achievement of year 3, 5, 7 and 9 Indigenous and low SES students in national testing</w:t>
            </w:r>
          </w:p>
          <w:p w:rsidR="0026369A" w:rsidRPr="008941BF" w:rsidRDefault="0026369A" w:rsidP="0026369A">
            <w:pPr>
              <w:pStyle w:val="TableBodyText"/>
              <w:jc w:val="left"/>
            </w:pP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Measure</w:t>
            </w:r>
            <w:r>
              <w:t>s</w:t>
            </w:r>
            <w:r w:rsidRPr="005E6794">
              <w:t xml:space="preserve">: </w:t>
            </w:r>
          </w:p>
        </w:tc>
        <w:tc>
          <w:tcPr>
            <w:tcW w:w="6804" w:type="dxa"/>
          </w:tcPr>
          <w:p w:rsidR="0026369A" w:rsidRDefault="0026369A" w:rsidP="0026369A">
            <w:pPr>
              <w:pStyle w:val="TableBodyText"/>
              <w:jc w:val="left"/>
            </w:pPr>
            <w:r>
              <w:t>There ar</w:t>
            </w:r>
            <w:r w:rsidRPr="00CA06AE">
              <w:t>e two measures f</w:t>
            </w:r>
            <w:r>
              <w:t>or this indicator:</w:t>
            </w:r>
          </w:p>
          <w:p w:rsidR="0026369A" w:rsidRDefault="0026369A" w:rsidP="0026369A">
            <w:pPr>
              <w:pStyle w:val="TableBodyText"/>
              <w:jc w:val="left"/>
            </w:pPr>
          </w:p>
          <w:p w:rsidR="0026369A" w:rsidRDefault="0026369A" w:rsidP="0026369A">
            <w:pPr>
              <w:pStyle w:val="TableBodyText"/>
              <w:jc w:val="left"/>
            </w:pPr>
            <w:r w:rsidRPr="00D96D99">
              <w:rPr>
                <w:i/>
              </w:rPr>
              <w:t>(Main)</w:t>
            </w:r>
            <w:r>
              <w:t xml:space="preserve"> Measure 5(a): Proportion of students who achieved at or above the national minimum standard, by Indigenous status, by parental education and by parental occupation (for reading, writing and numeracy, in years 3, 5, 7 and 9)</w:t>
            </w:r>
          </w:p>
          <w:p w:rsidR="0026369A" w:rsidRDefault="0026369A" w:rsidP="0026369A">
            <w:pPr>
              <w:pStyle w:val="TableBodyText"/>
              <w:jc w:val="left"/>
            </w:pPr>
          </w:p>
          <w:p w:rsidR="0026369A" w:rsidRDefault="0026369A" w:rsidP="0026369A">
            <w:pPr>
              <w:pStyle w:val="TableBodyText"/>
              <w:jc w:val="left"/>
            </w:pPr>
            <w:r>
              <w:t xml:space="preserve">[Note: NAPLAN reports the percentage of students who achieved at or above the national minimum standard. The complex process by which student scores are arrived at and distributed across the national achievement bands (using the </w:t>
            </w:r>
            <w:proofErr w:type="spellStart"/>
            <w:r>
              <w:t>Rasch</w:t>
            </w:r>
            <w:proofErr w:type="spellEnd"/>
            <w:r>
              <w:t xml:space="preserve"> model, a recognised analysis model for educational measurement) are agreed by states, territories and the Commonwealth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26369A" w:rsidRDefault="0026369A" w:rsidP="0026369A">
            <w:pPr>
              <w:pStyle w:val="TableBodyText"/>
              <w:jc w:val="left"/>
            </w:pPr>
          </w:p>
          <w:p w:rsidR="0026369A" w:rsidRDefault="0026369A" w:rsidP="0026369A">
            <w:pPr>
              <w:pStyle w:val="TableBodyText"/>
              <w:jc w:val="left"/>
            </w:pPr>
            <w:r w:rsidRPr="00D96D99">
              <w:rPr>
                <w:i/>
              </w:rPr>
              <w:t>(Supplementary)</w:t>
            </w:r>
            <w:r>
              <w:t xml:space="preserve"> Measure 5(b): NAPLAN mean scale scores for students, by Indigenous status, by parental education and by parental occupation (for reading, writing and numeracy, in years 3, 5, 7 and 9)</w:t>
            </w:r>
          </w:p>
          <w:p w:rsidR="0026369A" w:rsidRPr="005E6794" w:rsidRDefault="0026369A" w:rsidP="0026369A">
            <w:pPr>
              <w:pStyle w:val="TableBullet"/>
              <w:numPr>
                <w:ilvl w:val="0"/>
                <w:numId w:val="0"/>
              </w:numPr>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r>
              <w:t>:</w:t>
            </w:r>
          </w:p>
        </w:tc>
        <w:tc>
          <w:tcPr>
            <w:tcW w:w="6804" w:type="dxa"/>
          </w:tcPr>
          <w:p w:rsidR="0026369A" w:rsidRPr="007770DC" w:rsidRDefault="0026369A" w:rsidP="0026369A">
            <w:pPr>
              <w:pStyle w:val="TableBodyText"/>
              <w:jc w:val="left"/>
            </w:pPr>
            <w:r>
              <w:rPr>
                <w:u w:val="single"/>
              </w:rPr>
              <w:t>National Assessment Program – Literacy and Numeracy</w:t>
            </w:r>
            <w:r>
              <w:t xml:space="preserve"> (NAPLAN). Data are available annually</w:t>
            </w:r>
          </w:p>
          <w:p w:rsidR="0026369A" w:rsidRPr="008815FE"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t>Data provider:</w:t>
            </w:r>
          </w:p>
        </w:tc>
        <w:tc>
          <w:tcPr>
            <w:tcW w:w="6804" w:type="dxa"/>
          </w:tcPr>
          <w:p w:rsidR="0026369A" w:rsidRPr="0059482B" w:rsidRDefault="0026369A" w:rsidP="0026369A">
            <w:pPr>
              <w:pStyle w:val="TableBodyText"/>
              <w:jc w:val="left"/>
            </w:pPr>
            <w:r w:rsidRPr="0059482B">
              <w:t>ACARA</w:t>
            </w: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t>Data availability:</w:t>
            </w:r>
          </w:p>
        </w:tc>
        <w:tc>
          <w:tcPr>
            <w:tcW w:w="6804" w:type="dxa"/>
          </w:tcPr>
          <w:p w:rsidR="0026369A" w:rsidRPr="00CA06AE" w:rsidRDefault="00CE44B1" w:rsidP="0026369A">
            <w:pPr>
              <w:pStyle w:val="TableBodyText"/>
              <w:jc w:val="left"/>
            </w:pPr>
            <w:r>
              <w:t>2011</w:t>
            </w:r>
          </w:p>
          <w:p w:rsidR="0026369A" w:rsidRPr="00206C2C" w:rsidRDefault="0026369A" w:rsidP="0026369A">
            <w:pPr>
              <w:pStyle w:val="TableBodyText"/>
              <w:jc w:val="left"/>
            </w:pP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Default="0026369A" w:rsidP="0026369A">
            <w:pPr>
              <w:pStyle w:val="TableBullet"/>
              <w:numPr>
                <w:ilvl w:val="0"/>
                <w:numId w:val="0"/>
              </w:numPr>
            </w:pPr>
            <w:r>
              <w:t>For each year level (3, 5, 7 and 9 — reported individually) by learning domain (reading, writing and numeracy — reported individually):</w:t>
            </w:r>
          </w:p>
          <w:p w:rsidR="0026369A" w:rsidRDefault="0026369A" w:rsidP="0026369A">
            <w:pPr>
              <w:pStyle w:val="TableBullet"/>
              <w:autoSpaceDE w:val="0"/>
              <w:autoSpaceDN w:val="0"/>
              <w:adjustRightInd w:val="0"/>
            </w:pPr>
            <w:r>
              <w:t>State and Territory, by Indigenous status</w:t>
            </w:r>
          </w:p>
          <w:p w:rsidR="0026369A" w:rsidRPr="00CA06AE" w:rsidRDefault="0026369A" w:rsidP="0026369A">
            <w:pPr>
              <w:pStyle w:val="TableBullet"/>
              <w:autoSpaceDE w:val="0"/>
              <w:autoSpaceDN w:val="0"/>
              <w:adjustRightInd w:val="0"/>
            </w:pPr>
            <w:r w:rsidRPr="00CA06AE">
              <w:t>State and Territory, by parental education</w:t>
            </w:r>
          </w:p>
          <w:p w:rsidR="0026369A" w:rsidRPr="007D01E8" w:rsidRDefault="0026369A" w:rsidP="0026369A">
            <w:pPr>
              <w:pStyle w:val="TableBullet"/>
              <w:autoSpaceDE w:val="0"/>
              <w:autoSpaceDN w:val="0"/>
              <w:adjustRightInd w:val="0"/>
            </w:pPr>
            <w:r w:rsidRPr="00CA06AE">
              <w:lastRenderedPageBreak/>
              <w:t>State and Territory, by pa</w:t>
            </w:r>
            <w:r>
              <w:t>rental occupation</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20</w:t>
            </w:r>
            <w:r>
              <w:rPr>
                <w:b w:val="0"/>
              </w:rPr>
              <w:fldChar w:fldCharType="end"/>
            </w:r>
            <w:r>
              <w:tab/>
              <w:t>Results</w:t>
            </w:r>
          </w:p>
        </w:tc>
      </w:tr>
      <w:tr w:rsidR="0026369A" w:rsidTr="0026369A">
        <w:trPr>
          <w:cantSplit/>
        </w:trPr>
        <w:tc>
          <w:tcPr>
            <w:tcW w:w="8771" w:type="dxa"/>
            <w:tcBorders>
              <w:top w:val="nil"/>
              <w:left w:val="single" w:sz="4" w:space="0" w:color="auto"/>
              <w:bottom w:val="nil"/>
              <w:right w:val="single" w:sz="4" w:space="0" w:color="auto"/>
            </w:tcBorders>
          </w:tcPr>
          <w:p w:rsidR="00555575" w:rsidRDefault="00555575" w:rsidP="0082251B">
            <w:pPr>
              <w:pStyle w:val="Box"/>
            </w:pPr>
            <w:r>
              <w:t>For this report, new data for this indicator are available for 2011.</w:t>
            </w:r>
          </w:p>
          <w:p w:rsidR="00555575" w:rsidRDefault="00555575" w:rsidP="0082251B">
            <w:pPr>
              <w:pStyle w:val="BoxListBullet"/>
              <w:numPr>
                <w:ilvl w:val="0"/>
                <w:numId w:val="1"/>
              </w:numPr>
            </w:pPr>
            <w:r>
              <w:t xml:space="preserve">Data by State and Territory for measure </w:t>
            </w:r>
            <w:proofErr w:type="spellStart"/>
            <w:r>
              <w:t>5a</w:t>
            </w:r>
            <w:proofErr w:type="spellEnd"/>
            <w:r>
              <w:t xml:space="preserve">, by </w:t>
            </w:r>
            <w:r w:rsidR="00857791">
              <w:t xml:space="preserve">parental education/parental occupation </w:t>
            </w:r>
            <w:r>
              <w:t xml:space="preserve">are presented in tables </w:t>
            </w:r>
            <w:proofErr w:type="spellStart"/>
            <w:r>
              <w:t>NEA.5.1</w:t>
            </w:r>
            <w:proofErr w:type="spellEnd"/>
            <w:r>
              <w:t>–5.12</w:t>
            </w:r>
          </w:p>
          <w:p w:rsidR="00555575" w:rsidRDefault="00555575" w:rsidP="0082251B">
            <w:pPr>
              <w:pStyle w:val="BoxListBullet"/>
              <w:numPr>
                <w:ilvl w:val="0"/>
                <w:numId w:val="1"/>
              </w:numPr>
            </w:pPr>
            <w:r>
              <w:t xml:space="preserve">Data by State and Territory for measure </w:t>
            </w:r>
            <w:proofErr w:type="spellStart"/>
            <w:r>
              <w:t>5b</w:t>
            </w:r>
            <w:proofErr w:type="spellEnd"/>
            <w:r>
              <w:t xml:space="preserve">, by </w:t>
            </w:r>
            <w:r w:rsidR="00857791">
              <w:t xml:space="preserve">parental education/parental occupation </w:t>
            </w:r>
            <w:r>
              <w:t xml:space="preserve">are presented in tables </w:t>
            </w:r>
            <w:proofErr w:type="spellStart"/>
            <w:r>
              <w:t>NEA.5.13</w:t>
            </w:r>
            <w:proofErr w:type="spellEnd"/>
            <w:r>
              <w:t>–5.24</w:t>
            </w:r>
          </w:p>
          <w:p w:rsidR="00555575" w:rsidRDefault="00555575" w:rsidP="0082251B">
            <w:pPr>
              <w:pStyle w:val="BoxListBullet"/>
              <w:numPr>
                <w:ilvl w:val="0"/>
                <w:numId w:val="1"/>
              </w:numPr>
            </w:pPr>
            <w:r>
              <w:t xml:space="preserve">Data on the proportion of students from whom parental education and/or parental occupation </w:t>
            </w:r>
            <w:r w:rsidR="005D4241">
              <w:t>are</w:t>
            </w:r>
            <w:r>
              <w:t xml:space="preserve"> not stated is in table </w:t>
            </w:r>
            <w:proofErr w:type="spellStart"/>
            <w:r>
              <w:t>NEA.5.25</w:t>
            </w:r>
            <w:proofErr w:type="spellEnd"/>
          </w:p>
          <w:p w:rsidR="00555575" w:rsidRDefault="00555575" w:rsidP="0082251B">
            <w:pPr>
              <w:pStyle w:val="BoxListBullet"/>
              <w:numPr>
                <w:ilvl w:val="0"/>
                <w:numId w:val="1"/>
              </w:numPr>
            </w:pPr>
            <w:r>
              <w:t xml:space="preserve">Data by State and Territory for measure </w:t>
            </w:r>
            <w:proofErr w:type="spellStart"/>
            <w:r>
              <w:t>5a</w:t>
            </w:r>
            <w:proofErr w:type="spellEnd"/>
            <w:r>
              <w:t xml:space="preserve">, by Indigenous status are presented in tables </w:t>
            </w:r>
            <w:proofErr w:type="spellStart"/>
            <w:r>
              <w:t>NEA.5.26</w:t>
            </w:r>
            <w:proofErr w:type="spellEnd"/>
            <w:r>
              <w:t>–5.37</w:t>
            </w:r>
          </w:p>
          <w:p w:rsidR="00555575" w:rsidRDefault="00555575" w:rsidP="0082251B">
            <w:pPr>
              <w:pStyle w:val="BoxListBullet"/>
              <w:numPr>
                <w:ilvl w:val="0"/>
                <w:numId w:val="1"/>
              </w:numPr>
            </w:pPr>
            <w:r>
              <w:t xml:space="preserve">Data by State and Territory for measure </w:t>
            </w:r>
            <w:proofErr w:type="spellStart"/>
            <w:r>
              <w:t>5b</w:t>
            </w:r>
            <w:proofErr w:type="spellEnd"/>
            <w:r>
              <w:t xml:space="preserve">, by Indigenous status are presented in tables </w:t>
            </w:r>
            <w:proofErr w:type="spellStart"/>
            <w:r>
              <w:t>NEA.5.38</w:t>
            </w:r>
            <w:proofErr w:type="spellEnd"/>
            <w:r>
              <w:t>–5.49</w:t>
            </w:r>
          </w:p>
          <w:p w:rsidR="00555575" w:rsidRDefault="00555575" w:rsidP="0082251B">
            <w:pPr>
              <w:pStyle w:val="Box"/>
            </w:pPr>
            <w:r>
              <w:t>Data for 2010 are available in the 2010 NEA performance report. Data for 2009 and 2008 (national results only for parental education and parental occupation) are available in t</w:t>
            </w:r>
            <w:r w:rsidR="00CE44B1">
              <w:t>he 2009 NEA performance report.</w:t>
            </w:r>
          </w:p>
          <w:p w:rsidR="0026369A" w:rsidRDefault="00555575" w:rsidP="0082251B">
            <w:pPr>
              <w:pStyle w:val="Box"/>
              <w:spacing w:line="240" w:lineRule="auto"/>
            </w:pPr>
            <w:r>
              <w:t>Apparent differences may not be statistically significant</w:t>
            </w:r>
            <w:r w:rsidRPr="00555575">
              <w:t xml:space="preserve"> and relevant confidence intervals may be requested directly from the data provider</w:t>
            </w:r>
            <w:r>
              <w:t xml:space="preserve">. </w:t>
            </w:r>
            <w:r w:rsidRPr="00555575">
              <w:t>Different confidence intervals are required depending on the type of analysis. Confidence intervals for comparing data within years across jurisdictions are different from confidence intervals for comparing data across years within and across jurisdictions.</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FC4A4C" w:rsidRDefault="0026369A" w:rsidP="0026369A">
      <w:pPr>
        <w:pStyle w:val="Heading4"/>
        <w:spacing w:after="120"/>
      </w:pPr>
      <w:r>
        <w:t>Attachment table</w:t>
      </w:r>
      <w:r w:rsidR="000F0C9C">
        <w:t>s</w:t>
      </w:r>
      <w:r w:rsidR="00667874">
        <w:t xml:space="preserve"> </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57" w:anchor="'Table NEA.5.1'!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reading,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58" w:anchor="'Table NEA.5.2'!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writing,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59" w:anchor="'Table NEA.5.3'!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numeracy,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0" w:anchor="'Table NEA.5.4'!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reading,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1" w:anchor="'Table NEA.5.5'!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NEA.5.5</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writing,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2" w:anchor="'Table NEA.5.6'!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NEA.5.6</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numeracy,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3" w:anchor="'Table NEA.5.7'!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NEA.5.7</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reading,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4" w:anchor="'Table NEA.5.8'!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NEA.5.8</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writing,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5" w:anchor="'Table NEA.5.9'!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NEA.5.9</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numeracy,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6" w:anchor="'Table NEA.5.10'!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NEA.5.10</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reading,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7" w:anchor="'Table NEA.5.11'!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NEA.5.11</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writing,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8" w:anchor="'Table NEA.5.12'!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NEA.5.12</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numeracy, by State and Territory, by parental education and parental occupation,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69" w:anchor="'Table NEA.5.13'!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NEA.5.13</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3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0" w:anchor="'Table NEA.5.14'!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NEA.5.14</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3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1" w:anchor="'Table NEA.5.15'!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NEA.5.15</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3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2" w:anchor="'Table NEA.5.16'!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NEA.5.16</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5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3" w:anchor="'Table NEA.5.17'!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NEA.5.17</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5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4" w:anchor="'Table NEA.5.18'!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NEA.5.18</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5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5" w:anchor="'Table NEA.5.19'!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NEA.5.19</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7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6" w:anchor="'Table NEA.5.20'!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NEA.5.20</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7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7" w:anchor="'Table NEA.5.21'!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NEA.5.21</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7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8" w:anchor="'Table NEA.5.22'!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NEA.5.22</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9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79" w:anchor="'Table NEA.5.23'!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NEA.5.23</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9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0" w:anchor="'Table NEA.5.24'!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NEA.5.24</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9 students, by State and Territory, by parental education and parental occupation,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1" w:anchor="'Table NEA.5.25'!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NEA.5.25</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students with parental education and parental occupation not stated, by State and Territory, by year, by learning domain,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2" w:anchor="'Table NEA.5.26'!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NEA.5.26</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reading,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3" w:anchor="'Table NEA.5.27'!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NEA.5.27</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writing,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4" w:anchor="'Table NEA.5.28'!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NEA.5.28</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numeracy,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5" w:anchor="'Table NEA.5.29'!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NEA.5.29</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reading,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6" w:anchor="'Table NEA.5.30'!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NEA.5.30</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writing,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7" w:anchor="'Table NEA.5.31'!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NEA.5.31</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numeracy,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8" w:anchor="'Table NEA.5.32'!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NEA.5.32</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reading,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89" w:anchor="'Table NEA.5.33'!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NEA.5.33</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writing,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0" w:anchor="'Table NEA.5.34'!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NEA.5.34</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numeracy,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1" w:anchor="'Table NEA.5.35'!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NEA.5.35</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reading,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2" w:anchor="'Table NEA.5.36'!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NEA.5.36</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writing,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3" w:anchor="'Table NEA.5.37'!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NEA.5.37</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numeracy, by State and Territory, by Indigenous status, 2011 (per cent)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4" w:anchor="'Table NEA.5.38'!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NEA.5.38</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3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5" w:anchor="'Table NEA.5.39'!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NEA.5.39</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3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6" w:anchor="'Table NEA.5.40'!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NEA.5.40</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3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7" w:anchor="'Table NEA.5.41'!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NEA.5.41</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5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8" w:anchor="'Table NEA.5.42'!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NEA.5.42</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5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99" w:anchor="'Table NEA.5.43'!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NEA.5.43</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5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100" w:anchor="'Table NEA.5.44'!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NEA.5.44</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7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101" w:anchor="'Table NEA.5.45'!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NEA.5.45</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7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102" w:anchor="'Table NEA.5.46'!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NEA.5.46</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7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103" w:anchor="'Table NEA.5.47'!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NEA.5.47</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reading, Year 9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104" w:anchor="'Table NEA.5.48'!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NEA.5.48</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writing, Year 9 students, by Indigenous status, 2011 (scale score)  </w:t>
            </w:r>
          </w:p>
        </w:tc>
      </w:tr>
      <w:tr w:rsidR="0026369A" w:rsidRPr="002019D0" w:rsidTr="0026369A">
        <w:trPr>
          <w:trHeight w:val="612"/>
        </w:trPr>
        <w:tc>
          <w:tcPr>
            <w:tcW w:w="1877" w:type="dxa"/>
            <w:tcBorders>
              <w:top w:val="single" w:sz="6" w:space="0" w:color="auto"/>
              <w:left w:val="single" w:sz="6" w:space="0" w:color="auto"/>
              <w:bottom w:val="single" w:sz="6" w:space="0" w:color="auto"/>
              <w:right w:val="single" w:sz="6" w:space="0" w:color="auto"/>
            </w:tcBorders>
            <w:noWrap/>
          </w:tcPr>
          <w:p w:rsidR="0026369A" w:rsidRPr="002019D0" w:rsidRDefault="007076BB" w:rsidP="0026369A">
            <w:pPr>
              <w:rPr>
                <w:rFonts w:ascii="Arial" w:hAnsi="Arial" w:cs="Arial"/>
                <w:b/>
                <w:bCs/>
                <w:sz w:val="20"/>
                <w:szCs w:val="20"/>
              </w:rPr>
            </w:pPr>
            <w:hyperlink r:id="rId105" w:anchor="'Table NEA.5.49'!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NEA.5.49</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NAPLAN Mean scale scores for numeracy, Year 9 students, by Indigenous status, 2011 (scale score)  </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21</w:t>
            </w:r>
            <w:r>
              <w:rPr>
                <w:b w:val="0"/>
              </w:rPr>
              <w:fldChar w:fldCharType="end"/>
            </w:r>
            <w:r>
              <w:tab/>
              <w:t>Comment on data quality</w:t>
            </w:r>
          </w:p>
        </w:tc>
      </w:tr>
      <w:tr w:rsidR="0026369A" w:rsidTr="0026369A">
        <w:trPr>
          <w:cantSplit/>
        </w:trPr>
        <w:tc>
          <w:tcPr>
            <w:tcW w:w="8771" w:type="dxa"/>
            <w:tcBorders>
              <w:top w:val="nil"/>
              <w:left w:val="single" w:sz="4" w:space="0" w:color="auto"/>
              <w:bottom w:val="nil"/>
              <w:right w:val="single" w:sz="4" w:space="0" w:color="auto"/>
            </w:tcBorders>
          </w:tcPr>
          <w:p w:rsidR="00E66386" w:rsidRPr="0030718C" w:rsidRDefault="00E66386" w:rsidP="0082251B">
            <w:pPr>
              <w:pStyle w:val="Box"/>
            </w:pPr>
            <w:r w:rsidRPr="0030718C">
              <w:t>The DQS for this indicator has been prepared by ACARA and is included in its original form in the section in this report titled ‘Data Quality Statements.’ Key points from the DQS are summarised below.</w:t>
            </w:r>
          </w:p>
          <w:p w:rsidR="00E66386" w:rsidRPr="0030718C" w:rsidRDefault="00E66386" w:rsidP="0082251B">
            <w:pPr>
              <w:pStyle w:val="BoxListBullet"/>
              <w:numPr>
                <w:ilvl w:val="0"/>
                <w:numId w:val="1"/>
              </w:numPr>
            </w:pPr>
            <w:r w:rsidRPr="0030718C">
              <w:t>The data provide relevant information on the literacy and numeracy achievement of year 3, 5, 7 and 9 students in national testing for the learning domains of reading, writing and numeracy.</w:t>
            </w:r>
          </w:p>
          <w:p w:rsidR="0030718C" w:rsidRPr="0030718C" w:rsidRDefault="0030718C" w:rsidP="0082251B">
            <w:pPr>
              <w:pStyle w:val="BoxListBullet"/>
              <w:numPr>
                <w:ilvl w:val="0"/>
                <w:numId w:val="1"/>
              </w:numPr>
            </w:pPr>
            <w:r w:rsidRPr="0030718C">
              <w:t>Data are available by State and Territory.</w:t>
            </w:r>
          </w:p>
          <w:p w:rsidR="0030718C" w:rsidRPr="0030718C" w:rsidRDefault="0030718C" w:rsidP="0082251B">
            <w:pPr>
              <w:pStyle w:val="BoxListBullet"/>
              <w:numPr>
                <w:ilvl w:val="0"/>
                <w:numId w:val="1"/>
              </w:numPr>
            </w:pPr>
            <w:r w:rsidRPr="0030718C">
              <w:t xml:space="preserve">Annual data are available. </w:t>
            </w:r>
          </w:p>
          <w:p w:rsidR="0030718C" w:rsidRPr="0030718C" w:rsidRDefault="0030718C" w:rsidP="0082251B">
            <w:pPr>
              <w:pStyle w:val="BoxListBullet"/>
              <w:numPr>
                <w:ilvl w:val="0"/>
                <w:numId w:val="1"/>
              </w:numPr>
            </w:pPr>
            <w:r w:rsidRPr="0030718C">
              <w:t xml:space="preserve">Data are available by Indigenous status and socioeconomic status (SES) (measured by parental education and parental occupation), by State and Territory. </w:t>
            </w:r>
          </w:p>
          <w:p w:rsidR="0030718C" w:rsidRPr="0030718C" w:rsidRDefault="0030718C" w:rsidP="0082251B">
            <w:pPr>
              <w:pStyle w:val="BoxListBullet"/>
              <w:numPr>
                <w:ilvl w:val="0"/>
                <w:numId w:val="1"/>
              </w:numPr>
            </w:pPr>
            <w:r w:rsidRPr="0030718C">
              <w:t>Students are classified in four ways: assessed, exempt, absent and withdrawn. Exempt students are not assessed and are deemed not to have met the national minimum standard. Absent and withdrawn students are not assessed and are not counted as part of the cohort of assessed students. Data are available on the proportion of students who were exempt, absent and withdrawn.</w:t>
            </w:r>
          </w:p>
          <w:p w:rsidR="0030718C" w:rsidRPr="0030718C" w:rsidRDefault="0030718C" w:rsidP="0082251B">
            <w:pPr>
              <w:pStyle w:val="BoxListBullet"/>
              <w:numPr>
                <w:ilvl w:val="0"/>
                <w:numId w:val="1"/>
              </w:numPr>
            </w:pPr>
            <w:r w:rsidRPr="0030718C">
              <w:t>Data are sourced from NAPLAN (for assessed students) and from student enrolment records (for exempt, absent and withdrawn students)</w:t>
            </w:r>
          </w:p>
          <w:p w:rsidR="0030718C" w:rsidRPr="0030718C" w:rsidRDefault="0030718C" w:rsidP="0082251B">
            <w:pPr>
              <w:pStyle w:val="BoxListBullet"/>
              <w:numPr>
                <w:ilvl w:val="0"/>
                <w:numId w:val="1"/>
              </w:numPr>
            </w:pPr>
            <w:r w:rsidRPr="0030718C">
              <w:t>Data are of acceptable accuracy. Percentages in tables are rounded and may not sum to 100.</w:t>
            </w:r>
          </w:p>
          <w:p w:rsidR="0030718C" w:rsidRPr="0030718C" w:rsidRDefault="0030718C" w:rsidP="0082251B">
            <w:pPr>
              <w:pStyle w:val="BoxListBullet"/>
              <w:numPr>
                <w:ilvl w:val="0"/>
                <w:numId w:val="1"/>
              </w:numPr>
            </w:pPr>
            <w:r w:rsidRPr="0030718C">
              <w:t xml:space="preserve">Detailed explanatory notes are publicly available to assist in the interpretation of results. </w:t>
            </w:r>
          </w:p>
          <w:p w:rsidR="0030718C" w:rsidRPr="0030718C" w:rsidRDefault="0030718C" w:rsidP="0082251B">
            <w:pPr>
              <w:pStyle w:val="BoxListBullet"/>
              <w:numPr>
                <w:ilvl w:val="0"/>
                <w:numId w:val="1"/>
              </w:numPr>
            </w:pPr>
            <w:r w:rsidRPr="0030718C">
              <w:t>Additional data from the data source are available on-line.</w:t>
            </w:r>
          </w:p>
          <w:p w:rsidR="0030718C" w:rsidRPr="0030718C" w:rsidRDefault="0030718C" w:rsidP="0082251B">
            <w:pPr>
              <w:pStyle w:val="Box"/>
            </w:pPr>
            <w:r w:rsidRPr="0030718C">
              <w:t>The Steering Committee also notes the following issues:</w:t>
            </w:r>
          </w:p>
          <w:p w:rsidR="0030718C" w:rsidRPr="0030718C" w:rsidRDefault="0030718C" w:rsidP="0082251B">
            <w:pPr>
              <w:pStyle w:val="BoxListBullet"/>
              <w:numPr>
                <w:ilvl w:val="0"/>
                <w:numId w:val="1"/>
              </w:numPr>
            </w:pPr>
            <w:r w:rsidRPr="0030718C">
              <w:t xml:space="preserve">A break in series for the NAPLAN writing test occurred in 2011. Writing is now assessed using a persuasive text, rather than a narrative text. This means results for NAPLAN writing from 2011 are not comparable with results for </w:t>
            </w:r>
            <w:r w:rsidR="00FF5C2B">
              <w:t xml:space="preserve">prior </w:t>
            </w:r>
            <w:r w:rsidRPr="0030718C">
              <w:t>years.</w:t>
            </w:r>
          </w:p>
          <w:p w:rsidR="0026369A" w:rsidRPr="0030718C" w:rsidRDefault="0030718C" w:rsidP="0082251B">
            <w:pPr>
              <w:pStyle w:val="BoxListBullet"/>
              <w:numPr>
                <w:ilvl w:val="0"/>
                <w:numId w:val="1"/>
              </w:numPr>
            </w:pPr>
            <w:r w:rsidRPr="0030718C">
              <w:t>Relevant confidence intervals should be considered when interpreting the data in this report. At the request of the CRC, confidence intervals have not been provided with this report, as different confidence intervals are relevant to different analyses. The CRC have advised that they may request the data collection agency to undertake significance testing on the NAPLAN data.</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Default="0026369A" w:rsidP="0026369A">
      <w:pPr>
        <w:pStyle w:val="Heading3"/>
        <w:spacing w:before="360" w:after="240"/>
      </w:pPr>
      <w:r>
        <w:br w:type="page"/>
      </w:r>
      <w:bookmarkStart w:id="27" w:name="_Ref322529360"/>
      <w:r>
        <w:lastRenderedPageBreak/>
        <w:t>NEA Indicator 6. The proportion of students in the bottom and top levels of performance in international testing (for example, Program for International Student Assessment [PISA], Trends in International Mathematics and Science Study [TIMSS])</w:t>
      </w:r>
      <w:bookmarkEnd w:id="27"/>
    </w:p>
    <w:tbl>
      <w:tblPr>
        <w:tblW w:w="8789" w:type="dxa"/>
        <w:tblInd w:w="108" w:type="dxa"/>
        <w:tblLook w:val="01E0" w:firstRow="1" w:lastRow="1" w:firstColumn="1" w:lastColumn="1" w:noHBand="0" w:noVBand="0"/>
      </w:tblPr>
      <w:tblGrid>
        <w:gridCol w:w="1985"/>
        <w:gridCol w:w="6804"/>
      </w:tblGrid>
      <w:tr w:rsidR="0026369A" w:rsidRPr="005E6794" w:rsidTr="0026369A">
        <w:trPr>
          <w:trHeight w:val="682"/>
        </w:trPr>
        <w:tc>
          <w:tcPr>
            <w:tcW w:w="1985" w:type="dxa"/>
          </w:tcPr>
          <w:p w:rsidR="0026369A" w:rsidRDefault="0026369A" w:rsidP="0026369A">
            <w:pPr>
              <w:pStyle w:val="TableBodyText"/>
              <w:ind w:left="-108"/>
              <w:jc w:val="left"/>
            </w:pPr>
            <w:r>
              <w:t>Key amendments from previous cycle:</w:t>
            </w:r>
          </w:p>
          <w:p w:rsidR="0026369A" w:rsidRPr="00FB6E71" w:rsidRDefault="0026369A" w:rsidP="0026369A">
            <w:pPr>
              <w:pStyle w:val="TableBodyText"/>
              <w:ind w:left="34"/>
              <w:jc w:val="left"/>
            </w:pPr>
          </w:p>
        </w:tc>
        <w:tc>
          <w:tcPr>
            <w:tcW w:w="6804" w:type="dxa"/>
          </w:tcPr>
          <w:p w:rsidR="0026369A" w:rsidRPr="004D2A03" w:rsidRDefault="0026369A" w:rsidP="0026369A">
            <w:pPr>
              <w:pStyle w:val="TableBodyText"/>
              <w:ind w:left="34"/>
              <w:jc w:val="left"/>
            </w:pPr>
            <w:r>
              <w:t>No amendments have been made</w:t>
            </w:r>
          </w:p>
        </w:tc>
      </w:tr>
      <w:tr w:rsidR="0026369A" w:rsidRPr="005E6794" w:rsidTr="0026369A">
        <w:trPr>
          <w:trHeight w:val="682"/>
        </w:trPr>
        <w:tc>
          <w:tcPr>
            <w:tcW w:w="1985" w:type="dxa"/>
          </w:tcPr>
          <w:p w:rsidR="0026369A" w:rsidRPr="005E6794" w:rsidRDefault="0026369A" w:rsidP="0026369A">
            <w:pPr>
              <w:pStyle w:val="TableBodyText"/>
              <w:ind w:left="-113"/>
              <w:jc w:val="left"/>
            </w:pPr>
            <w:r>
              <w:t>Outcome area</w:t>
            </w:r>
            <w:r w:rsidRPr="005E6794">
              <w:t>:</w:t>
            </w:r>
          </w:p>
        </w:tc>
        <w:tc>
          <w:tcPr>
            <w:tcW w:w="6804" w:type="dxa"/>
          </w:tcPr>
          <w:p w:rsidR="0026369A" w:rsidRDefault="0026369A" w:rsidP="0026369A">
            <w:pPr>
              <w:pStyle w:val="TableBodyText"/>
              <w:jc w:val="left"/>
            </w:pPr>
            <w:r>
              <w:t>Australian students excel by international standards</w:t>
            </w:r>
          </w:p>
          <w:p w:rsidR="0026369A" w:rsidRPr="004161F4" w:rsidRDefault="0026369A" w:rsidP="0026369A">
            <w:pPr>
              <w:pStyle w:val="TableBodyText"/>
              <w:jc w:val="left"/>
            </w:pPr>
          </w:p>
        </w:tc>
      </w:tr>
      <w:tr w:rsidR="0026369A" w:rsidRPr="005E6794" w:rsidTr="0026369A">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Default="0026369A" w:rsidP="0026369A">
            <w:pPr>
              <w:pStyle w:val="TableBodyText"/>
              <w:jc w:val="left"/>
            </w:pPr>
            <w:r>
              <w:t>The proportion of students in the bottom and top levels of performance in international testing</w:t>
            </w:r>
          </w:p>
          <w:p w:rsidR="0026369A" w:rsidRPr="008941BF" w:rsidRDefault="0026369A" w:rsidP="0026369A">
            <w:pPr>
              <w:pStyle w:val="TableBodyText"/>
              <w:jc w:val="left"/>
            </w:pP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Measure</w:t>
            </w:r>
            <w:r>
              <w:t>s</w:t>
            </w:r>
            <w:r w:rsidRPr="005E6794">
              <w:t xml:space="preserve">: </w:t>
            </w:r>
          </w:p>
        </w:tc>
        <w:tc>
          <w:tcPr>
            <w:tcW w:w="6804" w:type="dxa"/>
          </w:tcPr>
          <w:p w:rsidR="0026369A" w:rsidRDefault="0026369A" w:rsidP="0026369A">
            <w:pPr>
              <w:pStyle w:val="TableBodyText"/>
              <w:jc w:val="left"/>
            </w:pPr>
            <w:r>
              <w:t>There are two measures for this indicator:</w:t>
            </w:r>
          </w:p>
          <w:p w:rsidR="0026369A" w:rsidRDefault="0026369A" w:rsidP="0026369A">
            <w:pPr>
              <w:pStyle w:val="TableBodyText"/>
              <w:jc w:val="left"/>
            </w:pPr>
          </w:p>
          <w:p w:rsidR="0026369A" w:rsidRDefault="0026369A" w:rsidP="0026369A">
            <w:pPr>
              <w:pStyle w:val="TableBodyText"/>
              <w:jc w:val="left"/>
            </w:pPr>
            <w:r>
              <w:t>Measure 6(a): Proportion of students that achieved at or above the nationally agreed proficiency level for each of reading literacy, mathematical literacy and scientific literacy</w:t>
            </w:r>
          </w:p>
          <w:p w:rsidR="0026369A" w:rsidRDefault="0026369A" w:rsidP="0026369A">
            <w:pPr>
              <w:pStyle w:val="TableBodyText"/>
              <w:jc w:val="left"/>
            </w:pPr>
          </w:p>
          <w:p w:rsidR="0026369A" w:rsidRDefault="0026369A" w:rsidP="0026369A">
            <w:pPr>
              <w:pStyle w:val="TableBodyText"/>
              <w:jc w:val="left"/>
            </w:pPr>
            <w:r>
              <w:t>The measure is defined as:</w:t>
            </w:r>
          </w:p>
          <w:p w:rsidR="0026369A" w:rsidRDefault="0026369A" w:rsidP="0026369A">
            <w:pPr>
              <w:pStyle w:val="TableBullet"/>
            </w:pPr>
            <w:r w:rsidRPr="001E00EB">
              <w:rPr>
                <w:i/>
              </w:rPr>
              <w:t>numerator</w:t>
            </w:r>
            <w:r>
              <w:t xml:space="preserve"> — number of students who achieved at or above the nationally agreed proficiency level (Level 3 for PISA) for each of reading literacy, mathematical literacy and scientific literacy</w:t>
            </w:r>
          </w:p>
          <w:p w:rsidR="0026369A" w:rsidRDefault="0026369A" w:rsidP="0026369A">
            <w:pPr>
              <w:pStyle w:val="TableBullet"/>
            </w:pPr>
            <w:r w:rsidRPr="001E00EB">
              <w:rPr>
                <w:i/>
              </w:rPr>
              <w:t>denominator</w:t>
            </w:r>
            <w:r>
              <w:t xml:space="preserve"> — total population of all students (15 year old students participating in PISA)</w:t>
            </w:r>
          </w:p>
          <w:p w:rsidR="0026369A" w:rsidRDefault="0026369A" w:rsidP="0026369A">
            <w:pPr>
              <w:pStyle w:val="TableBodyText"/>
              <w:jc w:val="left"/>
            </w:pPr>
            <w:r>
              <w:t xml:space="preserve">and is expressed as a </w:t>
            </w:r>
            <w:r w:rsidRPr="00B35EB2">
              <w:rPr>
                <w:i/>
              </w:rPr>
              <w:t>percentage</w:t>
            </w:r>
          </w:p>
          <w:p w:rsidR="0026369A" w:rsidRDefault="0026369A" w:rsidP="0026369A">
            <w:pPr>
              <w:pStyle w:val="TableBodyText"/>
              <w:jc w:val="left"/>
            </w:pPr>
          </w:p>
          <w:p w:rsidR="0026369A" w:rsidRDefault="0026369A" w:rsidP="0026369A">
            <w:pPr>
              <w:pStyle w:val="TableBodyText"/>
              <w:jc w:val="left"/>
            </w:pPr>
            <w:r>
              <w:t xml:space="preserve">Measure 6(b): Proportion of students in </w:t>
            </w:r>
            <w:r w:rsidRPr="00EE6F79">
              <w:rPr>
                <w:u w:val="single"/>
              </w:rPr>
              <w:t>top</w:t>
            </w:r>
            <w:r>
              <w:t xml:space="preserve"> and </w:t>
            </w:r>
            <w:r w:rsidRPr="00EE6F79">
              <w:rPr>
                <w:u w:val="single"/>
              </w:rPr>
              <w:t>bottom</w:t>
            </w:r>
            <w:r>
              <w:t xml:space="preserve"> levels of performance for each of reading literacy, mathematical literacy and scientific literacy</w:t>
            </w:r>
          </w:p>
          <w:p w:rsidR="0026369A" w:rsidRDefault="0026369A" w:rsidP="0026369A">
            <w:pPr>
              <w:pStyle w:val="TableBodyText"/>
              <w:jc w:val="left"/>
            </w:pPr>
          </w:p>
          <w:p w:rsidR="0026369A" w:rsidRPr="00CA06AE" w:rsidRDefault="0026369A" w:rsidP="0026369A">
            <w:pPr>
              <w:pStyle w:val="TableBodyText"/>
              <w:jc w:val="left"/>
            </w:pPr>
            <w:r w:rsidRPr="00CA06AE">
              <w:t xml:space="preserve">The measure for the </w:t>
            </w:r>
            <w:r w:rsidRPr="00CA06AE">
              <w:rPr>
                <w:u w:val="single"/>
              </w:rPr>
              <w:t>top</w:t>
            </w:r>
            <w:r w:rsidRPr="00CA06AE">
              <w:t xml:space="preserve"> level for PISA is defined as:</w:t>
            </w:r>
          </w:p>
          <w:p w:rsidR="0026369A" w:rsidRPr="00CA06AE" w:rsidRDefault="0026369A" w:rsidP="00D11E31">
            <w:pPr>
              <w:pStyle w:val="TableBodyText"/>
              <w:numPr>
                <w:ilvl w:val="0"/>
                <w:numId w:val="21"/>
              </w:numPr>
              <w:spacing w:line="220" w:lineRule="exact"/>
              <w:jc w:val="left"/>
            </w:pPr>
            <w:r w:rsidRPr="00CA06AE">
              <w:rPr>
                <w:i/>
              </w:rPr>
              <w:t>numerator</w:t>
            </w:r>
            <w:r w:rsidRPr="00CA06AE">
              <w:t xml:space="preserve"> — number of students who achieved at level 5 and level 6 on each of reading literacy, mathematical literacy and scientific literacy</w:t>
            </w:r>
          </w:p>
          <w:p w:rsidR="0026369A" w:rsidRPr="00CA06AE" w:rsidRDefault="0026369A" w:rsidP="00D11E31">
            <w:pPr>
              <w:pStyle w:val="TableBodyText"/>
              <w:numPr>
                <w:ilvl w:val="0"/>
                <w:numId w:val="21"/>
              </w:numPr>
              <w:spacing w:line="220" w:lineRule="exact"/>
              <w:jc w:val="left"/>
            </w:pPr>
            <w:r w:rsidRPr="00CA06AE">
              <w:rPr>
                <w:i/>
              </w:rPr>
              <w:t>denominator</w:t>
            </w:r>
            <w:r w:rsidRPr="00CA06AE">
              <w:t xml:space="preserve"> — total population of all students (15 year old students participating in PISA)</w:t>
            </w:r>
          </w:p>
          <w:p w:rsidR="0026369A" w:rsidRDefault="0026369A" w:rsidP="0026369A">
            <w:pPr>
              <w:pStyle w:val="TableBodyText"/>
              <w:jc w:val="left"/>
            </w:pPr>
            <w:r>
              <w:t xml:space="preserve">and is expressed as a </w:t>
            </w:r>
            <w:r w:rsidRPr="00B35EB2">
              <w:rPr>
                <w:i/>
              </w:rPr>
              <w:t>percentage</w:t>
            </w:r>
          </w:p>
          <w:p w:rsidR="0026369A" w:rsidRPr="00CA06AE" w:rsidRDefault="0026369A" w:rsidP="0026369A">
            <w:pPr>
              <w:pStyle w:val="TableBodyText"/>
              <w:jc w:val="left"/>
            </w:pPr>
          </w:p>
          <w:p w:rsidR="0026369A" w:rsidRPr="00CA06AE" w:rsidRDefault="0026369A" w:rsidP="0026369A">
            <w:pPr>
              <w:pStyle w:val="TableBodyText"/>
              <w:jc w:val="left"/>
            </w:pPr>
            <w:r w:rsidRPr="00CA06AE">
              <w:t xml:space="preserve">The measure for the </w:t>
            </w:r>
            <w:r w:rsidRPr="00CA06AE">
              <w:rPr>
                <w:u w:val="single"/>
              </w:rPr>
              <w:t>bottom</w:t>
            </w:r>
            <w:r w:rsidRPr="00CA06AE">
              <w:t xml:space="preserve"> level for PISA is defined as:</w:t>
            </w:r>
          </w:p>
          <w:p w:rsidR="0026369A" w:rsidRPr="00CA06AE" w:rsidRDefault="0026369A" w:rsidP="00D11E31">
            <w:pPr>
              <w:pStyle w:val="TableBodyText"/>
              <w:numPr>
                <w:ilvl w:val="0"/>
                <w:numId w:val="21"/>
              </w:numPr>
              <w:spacing w:line="220" w:lineRule="exact"/>
              <w:jc w:val="left"/>
            </w:pPr>
            <w:r w:rsidRPr="00CA06AE">
              <w:rPr>
                <w:i/>
              </w:rPr>
              <w:t>numerator</w:t>
            </w:r>
            <w:r w:rsidRPr="00CA06AE">
              <w:t xml:space="preserve"> — number of students who achieved at level 1 or below on each of reading literacy, mathematical literacy and scientific literacy</w:t>
            </w:r>
          </w:p>
          <w:p w:rsidR="0026369A" w:rsidRPr="00CA06AE" w:rsidRDefault="0026369A" w:rsidP="00D11E31">
            <w:pPr>
              <w:pStyle w:val="TableBodyText"/>
              <w:numPr>
                <w:ilvl w:val="0"/>
                <w:numId w:val="21"/>
              </w:numPr>
              <w:spacing w:line="220" w:lineRule="exact"/>
              <w:jc w:val="left"/>
            </w:pPr>
            <w:r w:rsidRPr="00CA06AE">
              <w:rPr>
                <w:i/>
              </w:rPr>
              <w:t>denominator</w:t>
            </w:r>
            <w:r w:rsidRPr="00CA06AE">
              <w:t xml:space="preserve"> — total population of all students (15 year old students participating in PISA)</w:t>
            </w:r>
          </w:p>
          <w:p w:rsidR="0026369A" w:rsidRDefault="0026369A" w:rsidP="0026369A">
            <w:pPr>
              <w:pStyle w:val="TableBodyText"/>
              <w:ind w:left="0"/>
              <w:jc w:val="left"/>
            </w:pPr>
            <w:r>
              <w:t xml:space="preserve">and is expressed as a </w:t>
            </w:r>
            <w:r w:rsidRPr="00B35EB2">
              <w:rPr>
                <w:i/>
              </w:rPr>
              <w:t>percentage</w:t>
            </w:r>
          </w:p>
          <w:p w:rsidR="0026369A" w:rsidRPr="005E6794" w:rsidRDefault="0026369A" w:rsidP="0026369A">
            <w:pPr>
              <w:pStyle w:val="TableBodyText"/>
              <w:ind w:left="0"/>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lastRenderedPageBreak/>
              <w:t>Data source</w:t>
            </w:r>
            <w:r>
              <w:t>s:</w:t>
            </w:r>
          </w:p>
        </w:tc>
        <w:tc>
          <w:tcPr>
            <w:tcW w:w="6804" w:type="dxa"/>
          </w:tcPr>
          <w:p w:rsidR="0026369A" w:rsidRDefault="0026369A" w:rsidP="0026369A">
            <w:pPr>
              <w:pStyle w:val="TableBodyText"/>
              <w:jc w:val="left"/>
            </w:pPr>
            <w:r w:rsidRPr="005E6794">
              <w:rPr>
                <w:i/>
              </w:rPr>
              <w:t>Numerator</w:t>
            </w:r>
            <w:r>
              <w:rPr>
                <w:i/>
              </w:rPr>
              <w:t xml:space="preserve"> and denominator </w:t>
            </w:r>
            <w:r w:rsidRPr="005E6794">
              <w:t>—</w:t>
            </w:r>
            <w:r>
              <w:t xml:space="preserve"> </w:t>
            </w:r>
          </w:p>
          <w:p w:rsidR="0026369A" w:rsidRDefault="0026369A" w:rsidP="0026369A">
            <w:pPr>
              <w:pStyle w:val="TableBodyText"/>
              <w:jc w:val="left"/>
            </w:pPr>
            <w:r>
              <w:t>3-yearly PISA (2009) – 2009 data published in previous cycle. No new data are available for this reporting cycle</w:t>
            </w:r>
          </w:p>
          <w:p w:rsidR="0026369A" w:rsidRDefault="0026369A" w:rsidP="0026369A">
            <w:pPr>
              <w:pStyle w:val="TableBodyText"/>
              <w:jc w:val="left"/>
            </w:pPr>
            <w:r>
              <w:t xml:space="preserve">4-yearly TIMSS – 2011 data </w:t>
            </w:r>
            <w:r w:rsidRPr="00EA19AB">
              <w:t xml:space="preserve">anticipated to be available for the </w:t>
            </w:r>
            <w:r>
              <w:t>2012 NEA performance report</w:t>
            </w:r>
          </w:p>
          <w:p w:rsidR="0026369A" w:rsidRPr="00360BCB" w:rsidRDefault="0026369A" w:rsidP="00C41E1E">
            <w:pPr>
              <w:pStyle w:val="TableBodyText"/>
              <w:jc w:val="left"/>
            </w:pPr>
            <w:r>
              <w:t xml:space="preserve">5-yearly </w:t>
            </w:r>
            <w:r w:rsidR="00811B23" w:rsidRPr="00811B23">
              <w:t>Progress in International Reading Literacy Study</w:t>
            </w:r>
            <w:r w:rsidR="00811B23">
              <w:t xml:space="preserve"> (</w:t>
            </w:r>
            <w:r>
              <w:t>PIRLS</w:t>
            </w:r>
            <w:r w:rsidR="00811B23">
              <w:t>)</w:t>
            </w:r>
            <w:r>
              <w:t xml:space="preserve"> – At this stage, PIRLS is a once-off assessment. Therefore, ongoing trend data for PIRLS may not be available. 2011 data </w:t>
            </w:r>
            <w:r w:rsidR="00A6418B">
              <w:t>are</w:t>
            </w:r>
            <w:r w:rsidR="00C97A49">
              <w:t xml:space="preserve"> </w:t>
            </w:r>
            <w:r>
              <w:t>anticipated to be available for the 2012 NEA performance report</w:t>
            </w:r>
          </w:p>
          <w:p w:rsidR="0026369A" w:rsidRPr="008815FE"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t>Data provider:</w:t>
            </w:r>
          </w:p>
        </w:tc>
        <w:tc>
          <w:tcPr>
            <w:tcW w:w="6804" w:type="dxa"/>
          </w:tcPr>
          <w:p w:rsidR="0026369A" w:rsidRPr="005E6794" w:rsidRDefault="0026369A" w:rsidP="0026369A">
            <w:pPr>
              <w:pStyle w:val="TableBodyText"/>
              <w:jc w:val="left"/>
            </w:pPr>
            <w:r w:rsidRPr="005E6794">
              <w:rPr>
                <w:i/>
              </w:rPr>
              <w:t>Numerator</w:t>
            </w:r>
            <w:r>
              <w:rPr>
                <w:i/>
              </w:rPr>
              <w:t xml:space="preserve"> and denominator </w:t>
            </w:r>
            <w:r w:rsidRPr="005E6794">
              <w:t>—</w:t>
            </w:r>
            <w:r>
              <w:t xml:space="preserve"> ACER</w:t>
            </w: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t>Data availability:</w:t>
            </w:r>
          </w:p>
        </w:tc>
        <w:tc>
          <w:tcPr>
            <w:tcW w:w="6804" w:type="dxa"/>
          </w:tcPr>
          <w:p w:rsidR="0026369A" w:rsidRPr="004D2A03" w:rsidRDefault="0026369A" w:rsidP="0026369A">
            <w:pPr>
              <w:pStyle w:val="TableBodyText"/>
              <w:jc w:val="left"/>
            </w:pPr>
            <w:r>
              <w:t>No new data are available for this reporting cycle</w:t>
            </w: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Pr="007D01E8" w:rsidRDefault="0026369A" w:rsidP="0026369A">
            <w:pPr>
              <w:pStyle w:val="TableBullet"/>
              <w:numPr>
                <w:ilvl w:val="0"/>
                <w:numId w:val="0"/>
              </w:numPr>
              <w:ind w:left="170" w:hanging="170"/>
            </w:pPr>
            <w:r>
              <w:t>Not applicable</w:t>
            </w:r>
          </w:p>
        </w:tc>
      </w:tr>
    </w:tbl>
    <w:p w:rsidR="00EF0EE7" w:rsidRDefault="00EF0EE7" w:rsidP="00EF0EE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F0EE7" w:rsidTr="00511130">
        <w:tc>
          <w:tcPr>
            <w:tcW w:w="8771" w:type="dxa"/>
            <w:tcBorders>
              <w:top w:val="single" w:sz="6" w:space="0" w:color="auto"/>
              <w:bottom w:val="nil"/>
            </w:tcBorders>
          </w:tcPr>
          <w:p w:rsidR="00EF0EE7" w:rsidRDefault="00EF0EE7" w:rsidP="0051113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22</w:t>
            </w:r>
            <w:r>
              <w:rPr>
                <w:b w:val="0"/>
              </w:rPr>
              <w:fldChar w:fldCharType="end"/>
            </w:r>
            <w:r>
              <w:tab/>
              <w:t>Results</w:t>
            </w:r>
          </w:p>
        </w:tc>
      </w:tr>
      <w:tr w:rsidR="00EF0EE7" w:rsidTr="00511130">
        <w:trPr>
          <w:cantSplit/>
        </w:trPr>
        <w:tc>
          <w:tcPr>
            <w:tcW w:w="8771" w:type="dxa"/>
            <w:tcBorders>
              <w:top w:val="nil"/>
              <w:left w:val="single" w:sz="4" w:space="0" w:color="auto"/>
              <w:bottom w:val="nil"/>
              <w:right w:val="single" w:sz="4" w:space="0" w:color="auto"/>
            </w:tcBorders>
          </w:tcPr>
          <w:p w:rsidR="00EF0EE7" w:rsidRDefault="00EF0EE7" w:rsidP="0082251B">
            <w:pPr>
              <w:pStyle w:val="Box"/>
            </w:pPr>
            <w:r>
              <w:t>No new data are provided in this report.</w:t>
            </w:r>
          </w:p>
          <w:p w:rsidR="00332F36" w:rsidRPr="00332F36" w:rsidRDefault="00332F36" w:rsidP="0082251B">
            <w:pPr>
              <w:pStyle w:val="BoxListBullet"/>
              <w:numPr>
                <w:ilvl w:val="0"/>
                <w:numId w:val="1"/>
              </w:numPr>
            </w:pPr>
            <w:r w:rsidRPr="00332F36">
              <w:t xml:space="preserve">Data for measure </w:t>
            </w:r>
            <w:proofErr w:type="spellStart"/>
            <w:r w:rsidRPr="00332F36">
              <w:t>6a</w:t>
            </w:r>
            <w:proofErr w:type="spellEnd"/>
            <w:r>
              <w:t xml:space="preserve"> (PISA data for 2006) </w:t>
            </w:r>
            <w:r w:rsidRPr="00CD47FA">
              <w:t>are available in the baseline 2008 NEA performance report.</w:t>
            </w:r>
          </w:p>
          <w:p w:rsidR="00EF0EE7" w:rsidRPr="00EF0EE7" w:rsidRDefault="00332F36" w:rsidP="0082251B">
            <w:pPr>
              <w:pStyle w:val="BoxListBullet"/>
              <w:numPr>
                <w:ilvl w:val="0"/>
                <w:numId w:val="1"/>
              </w:numPr>
              <w:rPr>
                <w:u w:val="dotted"/>
              </w:rPr>
            </w:pPr>
            <w:r w:rsidRPr="00332F36">
              <w:t xml:space="preserve">Data for measure </w:t>
            </w:r>
            <w:proofErr w:type="spellStart"/>
            <w:r w:rsidRPr="00332F36">
              <w:t>6b</w:t>
            </w:r>
            <w:proofErr w:type="spellEnd"/>
            <w:r w:rsidRPr="00332F36">
              <w:t xml:space="preserve"> </w:t>
            </w:r>
            <w:r>
              <w:t>(</w:t>
            </w:r>
            <w:r w:rsidR="00552D57" w:rsidRPr="00332F36">
              <w:t>PISA d</w:t>
            </w:r>
            <w:r w:rsidR="00EF0EE7" w:rsidRPr="00332F36">
              <w:t xml:space="preserve">ata for </w:t>
            </w:r>
            <w:r w:rsidR="00552D57" w:rsidRPr="00332F36">
              <w:t xml:space="preserve">2006 </w:t>
            </w:r>
            <w:r>
              <w:t xml:space="preserve">and 2009) </w:t>
            </w:r>
            <w:r w:rsidR="00EF0EE7" w:rsidRPr="00332F36">
              <w:t xml:space="preserve">are available in the 2010 NEA performance report. </w:t>
            </w:r>
          </w:p>
        </w:tc>
      </w:tr>
      <w:tr w:rsidR="00EF0EE7" w:rsidTr="00511130">
        <w:trPr>
          <w:cantSplit/>
        </w:trPr>
        <w:tc>
          <w:tcPr>
            <w:tcW w:w="8771" w:type="dxa"/>
            <w:tcBorders>
              <w:top w:val="nil"/>
              <w:left w:val="single" w:sz="4" w:space="0" w:color="auto"/>
              <w:bottom w:val="single" w:sz="4" w:space="0" w:color="auto"/>
              <w:right w:val="single" w:sz="4" w:space="0" w:color="auto"/>
            </w:tcBorders>
          </w:tcPr>
          <w:p w:rsidR="00EF0EE7" w:rsidRDefault="00EF0EE7" w:rsidP="00511130">
            <w:pPr>
              <w:pStyle w:val="Box"/>
              <w:spacing w:before="0" w:line="120" w:lineRule="exact"/>
            </w:pPr>
          </w:p>
        </w:tc>
      </w:tr>
    </w:tbl>
    <w:p w:rsidR="0026369A" w:rsidRDefault="0026369A" w:rsidP="0026369A">
      <w:pPr>
        <w:pStyle w:val="Heading3"/>
        <w:spacing w:before="360" w:after="240"/>
      </w:pPr>
      <w:r>
        <w:br w:type="page"/>
      </w:r>
      <w:bookmarkStart w:id="28" w:name="_Ref322529367"/>
      <w:r>
        <w:lastRenderedPageBreak/>
        <w:t>NEA Indicator 7</w:t>
      </w:r>
      <w:r w:rsidRPr="003870A8">
        <w:t xml:space="preserve">. The proportion of the </w:t>
      </w:r>
      <w:r>
        <w:t>20 to 24</w:t>
      </w:r>
      <w:r w:rsidRPr="003870A8">
        <w:t xml:space="preserve"> year old population having attained at </w:t>
      </w:r>
      <w:r>
        <w:t>least a year 12 or equivalent or</w:t>
      </w:r>
      <w:r w:rsidRPr="003870A8">
        <w:t xml:space="preserve"> </w:t>
      </w:r>
      <w:proofErr w:type="spellStart"/>
      <w:r w:rsidRPr="003870A8">
        <w:t>AQF</w:t>
      </w:r>
      <w:proofErr w:type="spellEnd"/>
      <w:r w:rsidRPr="003870A8">
        <w:t xml:space="preserve"> Certificate</w:t>
      </w:r>
      <w:r>
        <w:t xml:space="preserve"> Level </w:t>
      </w:r>
      <w:r w:rsidRPr="003870A8">
        <w:t>II</w:t>
      </w:r>
      <w:r>
        <w:t xml:space="preserve"> or above</w:t>
      </w:r>
      <w:bookmarkEnd w:id="28"/>
    </w:p>
    <w:tbl>
      <w:tblPr>
        <w:tblW w:w="8789" w:type="dxa"/>
        <w:tblInd w:w="108" w:type="dxa"/>
        <w:tblLook w:val="01E0" w:firstRow="1" w:lastRow="1" w:firstColumn="1" w:lastColumn="1" w:noHBand="0" w:noVBand="0"/>
      </w:tblPr>
      <w:tblGrid>
        <w:gridCol w:w="1985"/>
        <w:gridCol w:w="6804"/>
      </w:tblGrid>
      <w:tr w:rsidR="0026369A" w:rsidRPr="005E6794" w:rsidTr="0026369A">
        <w:trPr>
          <w:trHeight w:val="682"/>
        </w:trPr>
        <w:tc>
          <w:tcPr>
            <w:tcW w:w="1985" w:type="dxa"/>
          </w:tcPr>
          <w:p w:rsidR="0026369A" w:rsidRDefault="0026369A" w:rsidP="0026369A">
            <w:pPr>
              <w:pStyle w:val="TableBodyText"/>
              <w:ind w:left="-108"/>
              <w:jc w:val="left"/>
            </w:pPr>
            <w:r>
              <w:t>Key amendments from previous cycle:</w:t>
            </w:r>
          </w:p>
          <w:p w:rsidR="0026369A" w:rsidRPr="00FB6E71" w:rsidRDefault="0026369A" w:rsidP="0026369A">
            <w:pPr>
              <w:pStyle w:val="TableBodyText"/>
              <w:ind w:left="34"/>
              <w:jc w:val="left"/>
            </w:pPr>
          </w:p>
        </w:tc>
        <w:tc>
          <w:tcPr>
            <w:tcW w:w="6804" w:type="dxa"/>
          </w:tcPr>
          <w:p w:rsidR="0026369A" w:rsidRPr="00080369" w:rsidRDefault="0026369A" w:rsidP="0026369A">
            <w:pPr>
              <w:pStyle w:val="TableBodyText"/>
              <w:ind w:left="34"/>
              <w:jc w:val="left"/>
            </w:pPr>
            <w:r w:rsidRPr="00080369">
              <w:t>Data for 2010 have been revised due to amendments to the 2010 SEW population benchmarks:</w:t>
            </w:r>
          </w:p>
          <w:p w:rsidR="0026369A" w:rsidRPr="00080369" w:rsidRDefault="0026369A" w:rsidP="00C41E1E">
            <w:pPr>
              <w:pStyle w:val="TableBullet"/>
            </w:pPr>
            <w:r w:rsidRPr="00080369">
              <w:t>Net Overseas Migration estimates used in calculating the population benchmarks have been revised</w:t>
            </w:r>
          </w:p>
          <w:p w:rsidR="0026369A" w:rsidRDefault="0026369A" w:rsidP="00C41E1E">
            <w:pPr>
              <w:pStyle w:val="TableBullet"/>
            </w:pPr>
            <w:r w:rsidRPr="00080369">
              <w:t xml:space="preserve">the population benchmarks </w:t>
            </w:r>
            <w:r w:rsidR="008A3452">
              <w:t xml:space="preserve">for the NT have been amended </w:t>
            </w:r>
            <w:r w:rsidRPr="00080369">
              <w:t>to align with</w:t>
            </w:r>
            <w:r w:rsidR="008A3452">
              <w:t xml:space="preserve"> changes in the geographical </w:t>
            </w:r>
            <w:r w:rsidRPr="00080369">
              <w:t>scope</w:t>
            </w:r>
            <w:r w:rsidR="008A3452">
              <w:t xml:space="preserve"> of the survey</w:t>
            </w:r>
            <w:r w:rsidRPr="00080369">
              <w:t>.</w:t>
            </w:r>
          </w:p>
          <w:p w:rsidR="0026369A" w:rsidRPr="00080369" w:rsidRDefault="0026369A" w:rsidP="0026369A">
            <w:pPr>
              <w:pStyle w:val="TableBodyText"/>
              <w:ind w:left="754"/>
              <w:jc w:val="left"/>
            </w:pPr>
          </w:p>
        </w:tc>
      </w:tr>
      <w:tr w:rsidR="0026369A" w:rsidRPr="005E6794" w:rsidTr="0026369A">
        <w:trPr>
          <w:trHeight w:val="682"/>
        </w:trPr>
        <w:tc>
          <w:tcPr>
            <w:tcW w:w="1985" w:type="dxa"/>
          </w:tcPr>
          <w:p w:rsidR="0026369A" w:rsidRPr="005E6794" w:rsidRDefault="0026369A" w:rsidP="0026369A">
            <w:pPr>
              <w:pStyle w:val="TableBodyText"/>
              <w:ind w:left="-113"/>
              <w:jc w:val="left"/>
            </w:pPr>
            <w:r>
              <w:t>Outcome area</w:t>
            </w:r>
            <w:r w:rsidRPr="005E6794">
              <w:t>:</w:t>
            </w:r>
          </w:p>
        </w:tc>
        <w:tc>
          <w:tcPr>
            <w:tcW w:w="6804" w:type="dxa"/>
          </w:tcPr>
          <w:p w:rsidR="0026369A" w:rsidRDefault="0026369A" w:rsidP="0026369A">
            <w:pPr>
              <w:pStyle w:val="TableBodyText"/>
              <w:jc w:val="left"/>
            </w:pPr>
            <w:r>
              <w:t>Young people make a successful transition from school to work and</w:t>
            </w:r>
          </w:p>
          <w:p w:rsidR="0026369A" w:rsidRPr="004161F4" w:rsidRDefault="0026369A" w:rsidP="0026369A">
            <w:pPr>
              <w:pStyle w:val="TableBodyText"/>
              <w:jc w:val="left"/>
            </w:pPr>
            <w:r>
              <w:t>further study</w:t>
            </w:r>
          </w:p>
        </w:tc>
      </w:tr>
      <w:tr w:rsidR="0026369A" w:rsidRPr="005E6794" w:rsidTr="0026369A">
        <w:trPr>
          <w:trHeight w:val="682"/>
        </w:trPr>
        <w:tc>
          <w:tcPr>
            <w:tcW w:w="1985" w:type="dxa"/>
          </w:tcPr>
          <w:p w:rsidR="0026369A" w:rsidRDefault="0026369A" w:rsidP="0026369A">
            <w:pPr>
              <w:pStyle w:val="TableBodyText"/>
              <w:ind w:left="-113"/>
              <w:jc w:val="left"/>
            </w:pPr>
            <w:r>
              <w:t>Related target:</w:t>
            </w:r>
          </w:p>
        </w:tc>
        <w:tc>
          <w:tcPr>
            <w:tcW w:w="6804" w:type="dxa"/>
          </w:tcPr>
          <w:p w:rsidR="0026369A" w:rsidRPr="00C90184" w:rsidRDefault="0026369A" w:rsidP="0026369A">
            <w:pPr>
              <w:pStyle w:val="TableBodyText"/>
              <w:jc w:val="left"/>
            </w:pPr>
            <w:r w:rsidRPr="00C90184">
              <w:t>Lift the year 12 or equivalent attainment rate to 90 per cent by 20</w:t>
            </w:r>
            <w:r>
              <w:t>15</w:t>
            </w:r>
          </w:p>
        </w:tc>
      </w:tr>
      <w:tr w:rsidR="0026369A" w:rsidRPr="005E6794" w:rsidTr="0026369A">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Default="0026369A" w:rsidP="0026369A">
            <w:pPr>
              <w:pStyle w:val="TableBodyText"/>
              <w:jc w:val="left"/>
            </w:pPr>
            <w:r>
              <w:t xml:space="preserve">The proportion of the 20 to 24 year old population having attained at least a year 12 or equivalent or </w:t>
            </w:r>
            <w:proofErr w:type="spellStart"/>
            <w:r>
              <w:t>AQF</w:t>
            </w:r>
            <w:proofErr w:type="spellEnd"/>
            <w:r>
              <w:t xml:space="preserve"> Certificate Level II or above</w:t>
            </w:r>
          </w:p>
          <w:p w:rsidR="0026369A" w:rsidRPr="008941BF" w:rsidRDefault="0026369A" w:rsidP="0026369A">
            <w:pPr>
              <w:pStyle w:val="TableBodyText"/>
              <w:jc w:val="left"/>
            </w:pPr>
          </w:p>
        </w:tc>
      </w:tr>
      <w:tr w:rsidR="0026369A" w:rsidRPr="005E6794" w:rsidTr="0026369A">
        <w:trPr>
          <w:trHeight w:val="5100"/>
        </w:trPr>
        <w:tc>
          <w:tcPr>
            <w:tcW w:w="1985" w:type="dxa"/>
          </w:tcPr>
          <w:p w:rsidR="0026369A" w:rsidRPr="005E6794" w:rsidRDefault="0026369A" w:rsidP="0026369A">
            <w:pPr>
              <w:pStyle w:val="TableBodyText"/>
              <w:ind w:left="-113"/>
              <w:jc w:val="left"/>
            </w:pPr>
            <w:r w:rsidRPr="005E6794">
              <w:t xml:space="preserve">Measure: </w:t>
            </w:r>
          </w:p>
        </w:tc>
        <w:tc>
          <w:tcPr>
            <w:tcW w:w="6804" w:type="dxa"/>
          </w:tcPr>
          <w:p w:rsidR="0026369A" w:rsidRDefault="0026369A" w:rsidP="0026369A">
            <w:pPr>
              <w:pStyle w:val="TableBodyText"/>
              <w:jc w:val="left"/>
            </w:pPr>
            <w:r>
              <w:t xml:space="preserve">Proportion of the 20 to 24 year old population having attained at least a year 12 or equivalent or </w:t>
            </w:r>
            <w:proofErr w:type="spellStart"/>
            <w:r>
              <w:t>AQF</w:t>
            </w:r>
            <w:proofErr w:type="spellEnd"/>
            <w:r>
              <w:t xml:space="preserve"> Certificate Level II or above</w:t>
            </w:r>
          </w:p>
          <w:p w:rsidR="0026369A" w:rsidRDefault="0026369A" w:rsidP="0026369A">
            <w:pPr>
              <w:pStyle w:val="TableBodyText"/>
              <w:jc w:val="left"/>
            </w:pPr>
          </w:p>
          <w:p w:rsidR="0026369A" w:rsidRDefault="0026369A" w:rsidP="0026369A">
            <w:pPr>
              <w:pStyle w:val="TableBodyText"/>
              <w:jc w:val="left"/>
            </w:pPr>
            <w:r>
              <w:t>The measure is defined as:</w:t>
            </w:r>
          </w:p>
          <w:p w:rsidR="0026369A" w:rsidRDefault="0026369A" w:rsidP="0026369A">
            <w:pPr>
              <w:pStyle w:val="TableBullet"/>
            </w:pPr>
            <w:r w:rsidRPr="001E00EB">
              <w:rPr>
                <w:i/>
              </w:rPr>
              <w:t>numerator</w:t>
            </w:r>
            <w:r>
              <w:t xml:space="preserve"> </w:t>
            </w:r>
            <w:r w:rsidRPr="005E6794">
              <w:t>—</w:t>
            </w:r>
            <w:r>
              <w:t xml:space="preserve"> number of 20 to 24 year olds who self-identify as having attained a year 12 or </w:t>
            </w:r>
            <w:proofErr w:type="spellStart"/>
            <w:r>
              <w:t>AQF</w:t>
            </w:r>
            <w:proofErr w:type="spellEnd"/>
            <w:r>
              <w:t xml:space="preserve"> Certificate Level II or above (includes Certificate I/II </w:t>
            </w:r>
            <w:proofErr w:type="spellStart"/>
            <w:r>
              <w:t>nfd</w:t>
            </w:r>
            <w:proofErr w:type="spellEnd"/>
            <w:r>
              <w:t>)</w:t>
            </w:r>
          </w:p>
          <w:p w:rsidR="0026369A" w:rsidRDefault="0026369A" w:rsidP="0026369A">
            <w:pPr>
              <w:pStyle w:val="TableBullet"/>
            </w:pPr>
            <w:r w:rsidRPr="001E00EB">
              <w:rPr>
                <w:i/>
              </w:rPr>
              <w:t xml:space="preserve">denominator </w:t>
            </w:r>
            <w:r w:rsidRPr="005E6794">
              <w:t>—</w:t>
            </w:r>
            <w:r>
              <w:t xml:space="preserve"> number of 20 to 24 year olds in the population</w:t>
            </w:r>
          </w:p>
          <w:p w:rsidR="0026369A" w:rsidRDefault="0026369A" w:rsidP="0026369A">
            <w:pPr>
              <w:pStyle w:val="TableBodyText"/>
              <w:ind w:left="34"/>
              <w:jc w:val="left"/>
            </w:pPr>
            <w:r>
              <w:t xml:space="preserve">and is expressed as a </w:t>
            </w:r>
            <w:r w:rsidRPr="00B35EB2">
              <w:rPr>
                <w:i/>
              </w:rPr>
              <w:t>percentage</w:t>
            </w:r>
            <w:r>
              <w:t>.</w:t>
            </w:r>
          </w:p>
          <w:p w:rsidR="0026369A" w:rsidRDefault="0026369A" w:rsidP="0026369A">
            <w:pPr>
              <w:pStyle w:val="TableBodyText"/>
              <w:ind w:left="34"/>
              <w:jc w:val="left"/>
            </w:pPr>
          </w:p>
          <w:p w:rsidR="0026369A" w:rsidRDefault="0026369A" w:rsidP="0026369A">
            <w:pPr>
              <w:pStyle w:val="TableBodyText"/>
              <w:ind w:left="34"/>
              <w:jc w:val="left"/>
              <w:rPr>
                <w:rFonts w:cs="Arial"/>
              </w:rPr>
            </w:pPr>
            <w:r>
              <w:rPr>
                <w:rFonts w:cs="Arial"/>
              </w:rPr>
              <w:t xml:space="preserve">Persons whose level of study is determined to be certificate level but is not able to be further defined (ie, Certificate </w:t>
            </w:r>
            <w:proofErr w:type="spellStart"/>
            <w:r>
              <w:rPr>
                <w:rFonts w:cs="Arial"/>
              </w:rPr>
              <w:t>nfd</w:t>
            </w:r>
            <w:proofErr w:type="spellEnd"/>
            <w:r>
              <w:rPr>
                <w:rFonts w:cs="Arial"/>
              </w:rPr>
              <w:t>) are assumed to have attained below Certificate level II and are therefore excluded from the numerator</w:t>
            </w:r>
          </w:p>
          <w:p w:rsidR="0026369A" w:rsidRDefault="0026369A" w:rsidP="0026369A">
            <w:pPr>
              <w:pStyle w:val="TableBodyText"/>
              <w:ind w:left="34"/>
              <w:jc w:val="left"/>
            </w:pPr>
            <w:r>
              <w:t>People whose level of study cannot be determined are assumed to be have attained below Certificate II and are therefore excluded from the numerator</w:t>
            </w:r>
          </w:p>
          <w:p w:rsidR="0026369A" w:rsidRPr="005E6794" w:rsidRDefault="0026369A" w:rsidP="0026369A">
            <w:pPr>
              <w:pStyle w:val="TableBodyText"/>
              <w:ind w:left="34"/>
              <w:jc w:val="left"/>
            </w:pPr>
            <w:r>
              <w:t>Excludes people whose educational attainment is not stated from the numerator and denominator (applicable only to Census data)</w:t>
            </w:r>
          </w:p>
        </w:tc>
      </w:tr>
      <w:tr w:rsidR="0026369A" w:rsidRPr="005E6794" w:rsidTr="0026369A">
        <w:trPr>
          <w:trHeight w:val="1559"/>
        </w:trPr>
        <w:tc>
          <w:tcPr>
            <w:tcW w:w="1985" w:type="dxa"/>
          </w:tcPr>
          <w:p w:rsidR="0026369A" w:rsidRPr="005E6794" w:rsidRDefault="0026369A" w:rsidP="0026369A">
            <w:pPr>
              <w:pStyle w:val="TableBodyText"/>
              <w:ind w:left="-113"/>
              <w:jc w:val="left"/>
            </w:pPr>
            <w:r w:rsidRPr="005E6794">
              <w:t>Data source</w:t>
            </w:r>
            <w:r>
              <w:t>s:</w:t>
            </w:r>
          </w:p>
        </w:tc>
        <w:tc>
          <w:tcPr>
            <w:tcW w:w="6804" w:type="dxa"/>
          </w:tcPr>
          <w:p w:rsidR="0026369A" w:rsidRDefault="0026369A" w:rsidP="0026369A">
            <w:pPr>
              <w:pStyle w:val="TableBodyText"/>
              <w:jc w:val="left"/>
            </w:pPr>
            <w:r w:rsidRPr="005E6794">
              <w:rPr>
                <w:i/>
              </w:rPr>
              <w:t>Numerator</w:t>
            </w:r>
            <w:r>
              <w:rPr>
                <w:i/>
              </w:rPr>
              <w:t xml:space="preserve"> and denominator </w:t>
            </w:r>
            <w:r w:rsidRPr="005E6794">
              <w:t>—</w:t>
            </w:r>
            <w:r>
              <w:t xml:space="preserve"> </w:t>
            </w:r>
            <w:r w:rsidRPr="007F6C7B">
              <w:rPr>
                <w:u w:val="single"/>
              </w:rPr>
              <w:t>Census of Population and Housing</w:t>
            </w:r>
            <w:r>
              <w:t xml:space="preserve"> (Census). Data are available every 5 years</w:t>
            </w:r>
          </w:p>
          <w:p w:rsidR="0026369A" w:rsidRDefault="0026369A" w:rsidP="0026369A">
            <w:pPr>
              <w:pStyle w:val="TableBodyText"/>
              <w:jc w:val="left"/>
              <w:rPr>
                <w:i/>
              </w:rPr>
            </w:pPr>
          </w:p>
          <w:p w:rsidR="0026369A" w:rsidRPr="008815FE" w:rsidRDefault="0026369A" w:rsidP="0006175B">
            <w:pPr>
              <w:pStyle w:val="TableBodyText"/>
              <w:jc w:val="left"/>
            </w:pPr>
            <w:r w:rsidRPr="005E6794">
              <w:rPr>
                <w:i/>
              </w:rPr>
              <w:t>Numerator</w:t>
            </w:r>
            <w:r>
              <w:rPr>
                <w:i/>
              </w:rPr>
              <w:t xml:space="preserve"> and denominator </w:t>
            </w:r>
            <w:r w:rsidRPr="005E6794">
              <w:t>—</w:t>
            </w:r>
            <w:r>
              <w:t xml:space="preserve"> </w:t>
            </w:r>
            <w:r w:rsidRPr="002E7CB0">
              <w:rPr>
                <w:u w:val="single"/>
              </w:rPr>
              <w:t>Survey of Education and Work</w:t>
            </w:r>
            <w:r>
              <w:t xml:space="preserve"> (SEW). Data are available annually</w:t>
            </w: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t>Data provider:</w:t>
            </w:r>
          </w:p>
        </w:tc>
        <w:tc>
          <w:tcPr>
            <w:tcW w:w="6804" w:type="dxa"/>
          </w:tcPr>
          <w:p w:rsidR="0026369A" w:rsidRPr="005E6794" w:rsidRDefault="0026369A" w:rsidP="0026369A">
            <w:pPr>
              <w:pStyle w:val="TableBodyText"/>
              <w:jc w:val="left"/>
            </w:pPr>
            <w:r w:rsidRPr="005E6794">
              <w:rPr>
                <w:i/>
              </w:rPr>
              <w:t>Numerator</w:t>
            </w:r>
            <w:r>
              <w:rPr>
                <w:i/>
              </w:rPr>
              <w:t xml:space="preserve"> and denominator </w:t>
            </w:r>
            <w:r w:rsidRPr="005E6794">
              <w:t>—</w:t>
            </w:r>
            <w:r>
              <w:t xml:space="preserve"> ABS</w:t>
            </w: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lastRenderedPageBreak/>
              <w:t>Data availability:</w:t>
            </w:r>
          </w:p>
        </w:tc>
        <w:tc>
          <w:tcPr>
            <w:tcW w:w="6804" w:type="dxa"/>
          </w:tcPr>
          <w:p w:rsidR="0026369A" w:rsidRPr="00206C2C" w:rsidRDefault="0026369A" w:rsidP="0026369A">
            <w:pPr>
              <w:pStyle w:val="TableBodyText"/>
              <w:jc w:val="left"/>
            </w:pPr>
            <w:r>
              <w:t>SEW — 2010 (revised) and 2011</w:t>
            </w:r>
          </w:p>
        </w:tc>
      </w:tr>
      <w:tr w:rsidR="0026369A" w:rsidRPr="005E6794" w:rsidTr="0026369A">
        <w:tc>
          <w:tcPr>
            <w:tcW w:w="1985" w:type="dxa"/>
          </w:tcPr>
          <w:p w:rsidR="0026369A" w:rsidRDefault="0026369A" w:rsidP="0026369A">
            <w:pPr>
              <w:pStyle w:val="TableBodyText"/>
              <w:ind w:left="-113"/>
              <w:jc w:val="left"/>
            </w:pPr>
            <w:r w:rsidRPr="005E6794">
              <w:t>Cross tabulations provided</w:t>
            </w:r>
            <w:r>
              <w:t xml:space="preserve"> (all)</w:t>
            </w:r>
            <w:r w:rsidRPr="005E6794">
              <w:t>:</w:t>
            </w:r>
          </w:p>
          <w:p w:rsidR="0026369A" w:rsidRPr="005E6794" w:rsidRDefault="0026369A" w:rsidP="0026369A">
            <w:pPr>
              <w:pStyle w:val="TableBodyText"/>
              <w:ind w:left="-113"/>
              <w:jc w:val="left"/>
            </w:pPr>
          </w:p>
        </w:tc>
        <w:tc>
          <w:tcPr>
            <w:tcW w:w="6804" w:type="dxa"/>
          </w:tcPr>
          <w:p w:rsidR="0026369A" w:rsidRPr="007D01E8" w:rsidRDefault="0026369A" w:rsidP="0026369A">
            <w:pPr>
              <w:pStyle w:val="TableBullet"/>
              <w:numPr>
                <w:ilvl w:val="0"/>
                <w:numId w:val="0"/>
              </w:numPr>
            </w:pPr>
            <w:r>
              <w:t>State and Territory</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23</w:t>
            </w:r>
            <w:r>
              <w:rPr>
                <w:b w:val="0"/>
              </w:rPr>
              <w:fldChar w:fldCharType="end"/>
            </w:r>
            <w:r>
              <w:tab/>
              <w:t>Results</w:t>
            </w:r>
          </w:p>
        </w:tc>
      </w:tr>
      <w:tr w:rsidR="0026369A" w:rsidTr="0026369A">
        <w:trPr>
          <w:cantSplit/>
        </w:trPr>
        <w:tc>
          <w:tcPr>
            <w:tcW w:w="8771" w:type="dxa"/>
            <w:tcBorders>
              <w:top w:val="nil"/>
              <w:left w:val="single" w:sz="4" w:space="0" w:color="auto"/>
              <w:bottom w:val="nil"/>
              <w:right w:val="single" w:sz="4" w:space="0" w:color="auto"/>
            </w:tcBorders>
          </w:tcPr>
          <w:p w:rsidR="00EF0EE7" w:rsidRDefault="00EF0EE7" w:rsidP="0082251B">
            <w:pPr>
              <w:pStyle w:val="Box"/>
            </w:pPr>
            <w:r>
              <w:t>For this report, new data for this indicator are available for 2011.</w:t>
            </w:r>
          </w:p>
          <w:p w:rsidR="00EF0EE7" w:rsidRDefault="00EF0EE7" w:rsidP="0082251B">
            <w:pPr>
              <w:pStyle w:val="BoxListBullet"/>
              <w:numPr>
                <w:ilvl w:val="0"/>
                <w:numId w:val="1"/>
              </w:numPr>
            </w:pPr>
            <w:r>
              <w:t xml:space="preserve">Data by State and Territory are presented in table </w:t>
            </w:r>
            <w:proofErr w:type="spellStart"/>
            <w:r>
              <w:t>NEA.7.1</w:t>
            </w:r>
            <w:proofErr w:type="spellEnd"/>
            <w:r>
              <w:t>.</w:t>
            </w:r>
          </w:p>
          <w:p w:rsidR="00511130" w:rsidRDefault="00511130" w:rsidP="0082251B">
            <w:pPr>
              <w:pStyle w:val="Box"/>
              <w:spacing w:line="240" w:lineRule="auto"/>
            </w:pPr>
            <w:r>
              <w:t>Data for 2010 in the 2010 NEA performance report have been revised</w:t>
            </w:r>
            <w:r w:rsidR="006E4AEF">
              <w:t xml:space="preserve"> and are included in this report</w:t>
            </w:r>
            <w:r>
              <w:t>.</w:t>
            </w:r>
          </w:p>
          <w:p w:rsidR="00511130" w:rsidRDefault="00511130" w:rsidP="0082251B">
            <w:pPr>
              <w:pStyle w:val="BoxListBullet"/>
              <w:numPr>
                <w:ilvl w:val="0"/>
                <w:numId w:val="1"/>
              </w:numPr>
            </w:pPr>
            <w:r>
              <w:t xml:space="preserve">Data by State and Territory are presented in table </w:t>
            </w:r>
            <w:proofErr w:type="spellStart"/>
            <w:r>
              <w:t>NEA.7.2</w:t>
            </w:r>
            <w:proofErr w:type="spellEnd"/>
            <w:r>
              <w:t>.</w:t>
            </w:r>
          </w:p>
          <w:p w:rsidR="0026369A" w:rsidRDefault="00511130" w:rsidP="0082251B">
            <w:pPr>
              <w:pStyle w:val="Box"/>
              <w:spacing w:line="240" w:lineRule="auto"/>
            </w:pPr>
            <w:r>
              <w:t>Data for 2009 and 2008 are available in the 2009 NEA performance report.</w:t>
            </w:r>
          </w:p>
          <w:p w:rsidR="00552D57" w:rsidRDefault="00552D57" w:rsidP="0082251B">
            <w:pPr>
              <w:pStyle w:val="Box"/>
              <w:spacing w:line="240" w:lineRule="auto"/>
            </w:pPr>
            <w:r w:rsidRPr="002455BA">
              <w:t xml:space="preserve">Apparent differences in results between years may not be statistically significant. To assist in interpretation, 95 per cent confidence intervals and relative standard errors are provided in the attachment tables for this performance </w:t>
            </w:r>
            <w:r>
              <w:t>indicator</w:t>
            </w:r>
            <w:r w:rsidRPr="002455BA">
              <w: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FC4A4C" w:rsidRDefault="0026369A" w:rsidP="0026369A">
      <w:pPr>
        <w:pStyle w:val="Heading4"/>
        <w:spacing w:after="120"/>
      </w:pPr>
      <w:r>
        <w:t>Attachment table</w:t>
      </w:r>
      <w:r w:rsidR="000F0C9C">
        <w:t>s</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06" w:anchor="'Table NEA.7.1'!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NEA.7.1</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Persons aged 20–24 years who have completed Year 12 (or equivalent) or attained a formal qualification at Certificate II level or above, 2011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07" w:anchor="'Table NEA.7.2'!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NEA.7.2</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Persons aged 20–24 years who have completed Year 12 (or equivalent) or attained a formal qualification at Certificate II level or above, 2010 </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24</w:t>
            </w:r>
            <w:r>
              <w:rPr>
                <w:b w:val="0"/>
              </w:rPr>
              <w:fldChar w:fldCharType="end"/>
            </w:r>
            <w:r>
              <w:tab/>
              <w:t>Comment on data quality</w:t>
            </w:r>
          </w:p>
        </w:tc>
      </w:tr>
      <w:tr w:rsidR="0026369A" w:rsidTr="0026369A">
        <w:trPr>
          <w:cantSplit/>
        </w:trPr>
        <w:tc>
          <w:tcPr>
            <w:tcW w:w="8771" w:type="dxa"/>
            <w:tcBorders>
              <w:top w:val="nil"/>
              <w:left w:val="single" w:sz="4" w:space="0" w:color="auto"/>
              <w:bottom w:val="nil"/>
              <w:right w:val="single" w:sz="4" w:space="0" w:color="auto"/>
            </w:tcBorders>
          </w:tcPr>
          <w:p w:rsidR="00C042A9" w:rsidRPr="00491F73" w:rsidRDefault="00C042A9" w:rsidP="0082251B">
            <w:pPr>
              <w:pStyle w:val="Box"/>
            </w:pPr>
            <w:r w:rsidRPr="00491F73">
              <w:t>The DQS for this indicator has been prepared by the ABS and is included in its original form in the section in this report titled ‘Data Quality Statements.’ Key points from the DQS are summarised below.</w:t>
            </w:r>
          </w:p>
          <w:p w:rsidR="00C042A9" w:rsidRPr="00491F73" w:rsidRDefault="00C042A9" w:rsidP="0082251B">
            <w:pPr>
              <w:pStyle w:val="BoxListBullet"/>
              <w:numPr>
                <w:ilvl w:val="0"/>
                <w:numId w:val="1"/>
              </w:numPr>
            </w:pPr>
            <w:r w:rsidRPr="00491F73">
              <w:t xml:space="preserve">The data provide relevant information on the proportion of the 20–24 year old population who have completed year 12 or equivalent or </w:t>
            </w:r>
            <w:proofErr w:type="spellStart"/>
            <w:r w:rsidRPr="00491F73">
              <w:t>AQF</w:t>
            </w:r>
            <w:proofErr w:type="spellEnd"/>
            <w:r w:rsidRPr="00491F73">
              <w:t xml:space="preserve"> Certificate III or above. Data are av</w:t>
            </w:r>
            <w:r w:rsidR="00CE44B1">
              <w:t>ailable by State and Territory.</w:t>
            </w:r>
          </w:p>
          <w:p w:rsidR="00A20B5F" w:rsidRDefault="00A20B5F" w:rsidP="0082251B">
            <w:pPr>
              <w:pStyle w:val="BoxListBullet"/>
              <w:numPr>
                <w:ilvl w:val="0"/>
                <w:numId w:val="1"/>
              </w:numPr>
            </w:pPr>
            <w:r>
              <w:t xml:space="preserve">Annual data are available from the supplementary data source — Survey of Education and Work (SEW) — with the most recent available data </w:t>
            </w:r>
            <w:r w:rsidR="006574E1">
              <w:t>for</w:t>
            </w:r>
            <w:r>
              <w:t xml:space="preserve"> 2011.</w:t>
            </w:r>
          </w:p>
          <w:p w:rsidR="00A20B5F" w:rsidRDefault="00A20B5F" w:rsidP="0082251B">
            <w:pPr>
              <w:pStyle w:val="BoxListBullet"/>
              <w:numPr>
                <w:ilvl w:val="0"/>
                <w:numId w:val="1"/>
              </w:numPr>
            </w:pPr>
            <w:r>
              <w:t xml:space="preserve">Prior to 2009, all persons in very remote areas were excluded from the SEW. From 2009 onwards, the SEW has had a slightly wider scope, and excludes only persons in Indigenous communities in very remote areas. This change has only a minor effect on </w:t>
            </w:r>
            <w:r w:rsidRPr="0040191D">
              <w:rPr>
                <w:i/>
              </w:rPr>
              <w:t xml:space="preserve">national </w:t>
            </w:r>
            <w:r>
              <w:t>comparisons over time.</w:t>
            </w:r>
          </w:p>
          <w:p w:rsidR="00C042A9" w:rsidRDefault="00C042A9" w:rsidP="0082251B">
            <w:pPr>
              <w:pStyle w:val="BoxListBullet"/>
              <w:numPr>
                <w:ilvl w:val="0"/>
                <w:numId w:val="1"/>
              </w:numPr>
            </w:pPr>
            <w:r w:rsidRPr="00491F73">
              <w:t xml:space="preserve">The </w:t>
            </w:r>
            <w:r>
              <w:t>ongoing</w:t>
            </w:r>
            <w:r w:rsidRPr="00491F73">
              <w:t xml:space="preserve"> exclusion of Indigenous communities in very remote areas has only a minor </w:t>
            </w:r>
            <w:r>
              <w:t>effect</w:t>
            </w:r>
            <w:r w:rsidRPr="00491F73">
              <w:t xml:space="preserve"> on estimates by </w:t>
            </w:r>
            <w:r w:rsidRPr="0040191D">
              <w:rPr>
                <w:i/>
              </w:rPr>
              <w:t>State and Territory</w:t>
            </w:r>
            <w:r w:rsidRPr="00491F73">
              <w:t xml:space="preserve">, except for the </w:t>
            </w:r>
            <w:r>
              <w:t>NT</w:t>
            </w:r>
            <w:r w:rsidRPr="00491F73">
              <w:t xml:space="preserve">, where </w:t>
            </w:r>
            <w:r>
              <w:t xml:space="preserve">remote Indigenous communities </w:t>
            </w:r>
            <w:r w:rsidRPr="00491F73">
              <w:t>account for around</w:t>
            </w:r>
            <w:r w:rsidR="00CE44B1">
              <w:t xml:space="preserve"> 15 per cent of the population.</w:t>
            </w:r>
          </w:p>
          <w:p w:rsidR="00C042A9" w:rsidRPr="00491F73" w:rsidRDefault="00C042A9" w:rsidP="0082251B">
            <w:pPr>
              <w:pStyle w:val="BoxListBullet"/>
              <w:numPr>
                <w:ilvl w:val="0"/>
                <w:numId w:val="1"/>
              </w:numPr>
            </w:pPr>
            <w:r w:rsidRPr="00CB451E">
              <w:t>Data for 2010 have been revised due to amendments to the population benchmarks for the 2010 SEW.</w:t>
            </w:r>
            <w:r w:rsidR="00A20B5F">
              <w:t xml:space="preserve"> Revised 2010 data are included in this report to maintain time series.</w:t>
            </w:r>
          </w:p>
          <w:p w:rsidR="00C042A9" w:rsidRPr="00EA2071" w:rsidRDefault="00C042A9" w:rsidP="0082251B">
            <w:pPr>
              <w:pStyle w:val="BoxListBullet"/>
              <w:numPr>
                <w:ilvl w:val="0"/>
                <w:numId w:val="1"/>
              </w:numPr>
            </w:pPr>
            <w:r w:rsidRPr="00EA2071">
              <w:t>Detailed explanatory notes are publicly available to assist in interpretation of results.</w:t>
            </w:r>
          </w:p>
          <w:p w:rsidR="00C042A9" w:rsidRPr="00EA2071" w:rsidRDefault="00C042A9" w:rsidP="0082251B">
            <w:pPr>
              <w:pStyle w:val="BoxListBullet"/>
              <w:numPr>
                <w:ilvl w:val="0"/>
                <w:numId w:val="1"/>
              </w:numPr>
            </w:pPr>
            <w:r w:rsidRPr="00EA2071">
              <w:t>Additional data from the data source are available.</w:t>
            </w:r>
          </w:p>
          <w:p w:rsidR="00C042A9" w:rsidRPr="00EA2071" w:rsidRDefault="00C042A9" w:rsidP="0082251B">
            <w:pPr>
              <w:pStyle w:val="Box"/>
            </w:pPr>
            <w:r w:rsidRPr="00EA2071">
              <w:t>The Steering Committee also notes the following issues:</w:t>
            </w:r>
          </w:p>
          <w:p w:rsidR="00A20B5F" w:rsidRDefault="00A20B5F" w:rsidP="0082251B">
            <w:pPr>
              <w:pStyle w:val="BoxListBullet"/>
              <w:numPr>
                <w:ilvl w:val="0"/>
                <w:numId w:val="1"/>
              </w:numPr>
            </w:pPr>
            <w:r>
              <w:t>The full sample for the SEW was reinstated in 2010 and generally resulted in lower RSEs</w:t>
            </w:r>
            <w:r w:rsidR="00C042A9" w:rsidRPr="00EA2071">
              <w:t>.</w:t>
            </w:r>
            <w:r>
              <w:t xml:space="preserve"> However, the size of the RSEs continue</w:t>
            </w:r>
            <w:r w:rsidR="006574E1">
              <w:t>s</w:t>
            </w:r>
            <w:r>
              <w:t xml:space="preserve"> to affect the ability to identify year to year movements for this indicator for all jurisdictions.</w:t>
            </w:r>
          </w:p>
          <w:p w:rsidR="00A20B5F" w:rsidRPr="00EA2071" w:rsidRDefault="00A20B5F" w:rsidP="0082251B">
            <w:pPr>
              <w:pStyle w:val="BoxListBullet"/>
              <w:numPr>
                <w:ilvl w:val="0"/>
                <w:numId w:val="1"/>
              </w:numPr>
            </w:pPr>
            <w:r>
              <w:t xml:space="preserve">The ABS has investigated the use of ‘pooling’ of SEW results for multiple years to reduce RSEs. However, the size of the RSEs did not reduce enough to improve </w:t>
            </w:r>
            <w:r w:rsidR="006574E1">
              <w:t xml:space="preserve">substantially </w:t>
            </w:r>
            <w:r>
              <w:t>detection of year on year movements.</w:t>
            </w:r>
          </w:p>
          <w:p w:rsidR="0026369A" w:rsidRDefault="00A20B5F" w:rsidP="0082251B">
            <w:pPr>
              <w:pStyle w:val="BoxListBullet"/>
              <w:numPr>
                <w:ilvl w:val="0"/>
                <w:numId w:val="1"/>
              </w:numPr>
            </w:pPr>
            <w:r>
              <w:t>Subject to the outcomes of the NEA review, t</w:t>
            </w:r>
            <w:r w:rsidR="00C042A9" w:rsidRPr="00EA2071">
              <w:t xml:space="preserve">he Steering Committee considers that further investigation of administrative data on completions of year 12 or equivalent certificate and </w:t>
            </w:r>
            <w:proofErr w:type="spellStart"/>
            <w:r w:rsidR="00C042A9" w:rsidRPr="00EA2071">
              <w:t>AQF</w:t>
            </w:r>
            <w:proofErr w:type="spellEnd"/>
            <w:r w:rsidR="00C042A9" w:rsidRPr="00EA2071">
              <w:t xml:space="preserve"> Certificate level III or above is required for </w:t>
            </w:r>
            <w:r>
              <w:t xml:space="preserve">annual </w:t>
            </w:r>
            <w:r w:rsidR="00C042A9" w:rsidRPr="00EA2071">
              <w:t xml:space="preserve">reporting against this </w:t>
            </w:r>
            <w:r>
              <w:t>indicator</w:t>
            </w:r>
            <w:r w:rsidR="00C042A9" w:rsidRPr="00EA2071">
              <w: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Default="0026369A" w:rsidP="0026369A">
      <w:pPr>
        <w:pStyle w:val="Heading3"/>
        <w:spacing w:before="360" w:after="240"/>
      </w:pPr>
      <w:r>
        <w:br w:type="page"/>
      </w:r>
      <w:bookmarkStart w:id="29" w:name="_Ref322529388"/>
      <w:r>
        <w:lastRenderedPageBreak/>
        <w:t>NEA Indicator 8</w:t>
      </w:r>
      <w:r w:rsidRPr="00BD31F7">
        <w:t xml:space="preserve">. The proportion of the </w:t>
      </w:r>
      <w:r>
        <w:t>20 to 24</w:t>
      </w:r>
      <w:r w:rsidRPr="00BD31F7">
        <w:t xml:space="preserve"> year old Indigenous and low SES population having attained at least a year 12 or equivalent o</w:t>
      </w:r>
      <w:r>
        <w:t>r</w:t>
      </w:r>
      <w:r w:rsidRPr="00BD31F7">
        <w:t xml:space="preserve"> </w:t>
      </w:r>
      <w:proofErr w:type="spellStart"/>
      <w:r w:rsidRPr="00BD31F7">
        <w:t>AQF</w:t>
      </w:r>
      <w:proofErr w:type="spellEnd"/>
      <w:r w:rsidRPr="00BD31F7">
        <w:t xml:space="preserve"> Certificate</w:t>
      </w:r>
      <w:r>
        <w:t xml:space="preserve"> Level</w:t>
      </w:r>
      <w:r w:rsidRPr="00BD31F7">
        <w:t xml:space="preserve"> II</w:t>
      </w:r>
      <w:r>
        <w:t xml:space="preserve"> or above</w:t>
      </w:r>
      <w:bookmarkEnd w:id="29"/>
    </w:p>
    <w:tbl>
      <w:tblPr>
        <w:tblW w:w="8789" w:type="dxa"/>
        <w:tblInd w:w="108" w:type="dxa"/>
        <w:tblLook w:val="01E0" w:firstRow="1" w:lastRow="1" w:firstColumn="1" w:lastColumn="1" w:noHBand="0" w:noVBand="0"/>
      </w:tblPr>
      <w:tblGrid>
        <w:gridCol w:w="1985"/>
        <w:gridCol w:w="6804"/>
      </w:tblGrid>
      <w:tr w:rsidR="0026369A" w:rsidRPr="005E6794" w:rsidTr="0026369A">
        <w:trPr>
          <w:trHeight w:val="682"/>
        </w:trPr>
        <w:tc>
          <w:tcPr>
            <w:tcW w:w="1985" w:type="dxa"/>
          </w:tcPr>
          <w:p w:rsidR="0026369A" w:rsidRDefault="0026369A" w:rsidP="0026369A">
            <w:pPr>
              <w:pStyle w:val="TableBodyText"/>
              <w:ind w:left="-108"/>
              <w:jc w:val="left"/>
            </w:pPr>
            <w:r>
              <w:t>Key amendments from previous cycle:</w:t>
            </w:r>
          </w:p>
          <w:p w:rsidR="0026369A" w:rsidRPr="00FB6E71" w:rsidRDefault="0026369A" w:rsidP="0026369A">
            <w:pPr>
              <w:pStyle w:val="TableBodyText"/>
              <w:ind w:left="34"/>
              <w:jc w:val="left"/>
            </w:pPr>
          </w:p>
        </w:tc>
        <w:tc>
          <w:tcPr>
            <w:tcW w:w="6804" w:type="dxa"/>
          </w:tcPr>
          <w:p w:rsidR="0026369A" w:rsidRPr="00407328" w:rsidRDefault="0026369A" w:rsidP="0026369A">
            <w:pPr>
              <w:pStyle w:val="TableBodyText"/>
              <w:ind w:left="34"/>
              <w:jc w:val="left"/>
            </w:pPr>
            <w:r w:rsidRPr="00407328">
              <w:t xml:space="preserve">Data for 2010 </w:t>
            </w:r>
            <w:r>
              <w:t xml:space="preserve">(relevant to SES only) </w:t>
            </w:r>
            <w:r w:rsidRPr="00407328">
              <w:t>have been revised due to amendments to the 2010 SEW population benchmarks:</w:t>
            </w:r>
          </w:p>
          <w:p w:rsidR="0026369A" w:rsidRPr="003B744D" w:rsidRDefault="0026369A" w:rsidP="00D11E31">
            <w:pPr>
              <w:pStyle w:val="TableBodyText"/>
              <w:numPr>
                <w:ilvl w:val="0"/>
                <w:numId w:val="24"/>
              </w:numPr>
              <w:jc w:val="left"/>
            </w:pPr>
            <w:r w:rsidRPr="003B744D">
              <w:t>Net Overseas Migration estimates used in calculating the population benchmarks have been revised</w:t>
            </w:r>
          </w:p>
          <w:p w:rsidR="0026369A" w:rsidRPr="003B744D" w:rsidRDefault="0026369A" w:rsidP="00D11E31">
            <w:pPr>
              <w:pStyle w:val="TableBodyText"/>
              <w:numPr>
                <w:ilvl w:val="0"/>
                <w:numId w:val="24"/>
              </w:numPr>
              <w:jc w:val="left"/>
            </w:pPr>
            <w:r w:rsidRPr="003B744D">
              <w:t xml:space="preserve">the population benchmarks </w:t>
            </w:r>
            <w:r w:rsidR="007B596C">
              <w:t xml:space="preserve">for the NT have been amended to </w:t>
            </w:r>
            <w:r w:rsidRPr="003B744D">
              <w:t>align with</w:t>
            </w:r>
            <w:r w:rsidR="007B596C">
              <w:t xml:space="preserve"> changes in the geographical </w:t>
            </w:r>
            <w:r w:rsidRPr="003B744D">
              <w:t>scope</w:t>
            </w:r>
            <w:r w:rsidR="007B596C">
              <w:t xml:space="preserve"> of the survey</w:t>
            </w:r>
            <w:r w:rsidRPr="003B744D">
              <w:t>.</w:t>
            </w:r>
          </w:p>
          <w:p w:rsidR="0026369A" w:rsidRPr="006E3D6A" w:rsidRDefault="0026369A" w:rsidP="0026369A">
            <w:pPr>
              <w:pStyle w:val="TableBodyText"/>
              <w:ind w:left="754"/>
              <w:jc w:val="left"/>
            </w:pPr>
          </w:p>
        </w:tc>
      </w:tr>
      <w:tr w:rsidR="0026369A" w:rsidRPr="005E6794" w:rsidTr="0026369A">
        <w:trPr>
          <w:trHeight w:val="682"/>
        </w:trPr>
        <w:tc>
          <w:tcPr>
            <w:tcW w:w="1985" w:type="dxa"/>
          </w:tcPr>
          <w:p w:rsidR="0026369A" w:rsidRPr="005E6794" w:rsidRDefault="0026369A" w:rsidP="0026369A">
            <w:pPr>
              <w:pStyle w:val="TableBodyText"/>
              <w:ind w:left="-113"/>
              <w:jc w:val="left"/>
            </w:pPr>
            <w:r>
              <w:t>Outcome area</w:t>
            </w:r>
            <w:r w:rsidRPr="005E6794">
              <w:t>:</w:t>
            </w:r>
          </w:p>
        </w:tc>
        <w:tc>
          <w:tcPr>
            <w:tcW w:w="6804" w:type="dxa"/>
          </w:tcPr>
          <w:p w:rsidR="0026369A" w:rsidRPr="004161F4" w:rsidRDefault="0026369A" w:rsidP="00CE44B1">
            <w:pPr>
              <w:pStyle w:val="TableBodyText"/>
              <w:jc w:val="left"/>
            </w:pPr>
            <w:r>
              <w:t>Young people make a successful transition from school to work and</w:t>
            </w:r>
            <w:r w:rsidR="00CE44B1">
              <w:t xml:space="preserve"> </w:t>
            </w:r>
            <w:r>
              <w:t>further study</w:t>
            </w:r>
          </w:p>
        </w:tc>
      </w:tr>
      <w:tr w:rsidR="0026369A" w:rsidRPr="005E6794" w:rsidTr="0082251B">
        <w:trPr>
          <w:trHeight w:val="682"/>
        </w:trPr>
        <w:tc>
          <w:tcPr>
            <w:tcW w:w="1985" w:type="dxa"/>
          </w:tcPr>
          <w:p w:rsidR="0026369A" w:rsidRDefault="0026369A" w:rsidP="0026369A">
            <w:pPr>
              <w:pStyle w:val="TableBodyText"/>
              <w:ind w:left="-113"/>
              <w:jc w:val="left"/>
            </w:pPr>
            <w:r>
              <w:t>Related target:</w:t>
            </w:r>
          </w:p>
        </w:tc>
        <w:tc>
          <w:tcPr>
            <w:tcW w:w="6804" w:type="dxa"/>
          </w:tcPr>
          <w:p w:rsidR="0026369A" w:rsidRPr="00330EC8" w:rsidRDefault="0026369A" w:rsidP="0026369A">
            <w:pPr>
              <w:pStyle w:val="TableBodyText"/>
              <w:jc w:val="left"/>
            </w:pPr>
            <w:r>
              <w:t>At least halve the gap between Indigenous and non-Indigenous students with year 12 attainment or equivalent by 2020</w:t>
            </w:r>
          </w:p>
        </w:tc>
      </w:tr>
      <w:tr w:rsidR="0026369A" w:rsidRPr="005E6794" w:rsidTr="0082251B">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Default="0026369A" w:rsidP="0026369A">
            <w:pPr>
              <w:pStyle w:val="TableBodyText"/>
              <w:jc w:val="left"/>
            </w:pPr>
            <w:r>
              <w:t xml:space="preserve">The proportion of the 20 to 24 year old </w:t>
            </w:r>
            <w:r w:rsidR="00B37E7F">
              <w:t xml:space="preserve">Indigenous and low SES </w:t>
            </w:r>
            <w:r>
              <w:t xml:space="preserve">population having attained at least a year 12 or equivalent or </w:t>
            </w:r>
            <w:proofErr w:type="spellStart"/>
            <w:r>
              <w:t>AQF</w:t>
            </w:r>
            <w:proofErr w:type="spellEnd"/>
            <w:r>
              <w:t xml:space="preserve"> Certificate Level II or above</w:t>
            </w:r>
          </w:p>
          <w:p w:rsidR="0026369A" w:rsidRPr="008941BF" w:rsidRDefault="0026369A" w:rsidP="0026369A">
            <w:pPr>
              <w:pStyle w:val="TableBodyText"/>
              <w:jc w:val="left"/>
            </w:pP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 xml:space="preserve">Measure: </w:t>
            </w:r>
          </w:p>
        </w:tc>
        <w:tc>
          <w:tcPr>
            <w:tcW w:w="6804" w:type="dxa"/>
          </w:tcPr>
          <w:p w:rsidR="0026369A" w:rsidRDefault="0026369A" w:rsidP="0026369A">
            <w:pPr>
              <w:pStyle w:val="TableBodyText"/>
              <w:jc w:val="left"/>
            </w:pPr>
            <w:r>
              <w:t xml:space="preserve">Proportion of the 20 to 24 year old population having attained at least a year 12 or equivalent or </w:t>
            </w:r>
            <w:proofErr w:type="spellStart"/>
            <w:r>
              <w:t>AQF</w:t>
            </w:r>
            <w:proofErr w:type="spellEnd"/>
            <w:r>
              <w:t xml:space="preserve"> Certificate Level II or above, by Indigenous status and SES</w:t>
            </w:r>
          </w:p>
          <w:p w:rsidR="0026369A" w:rsidRDefault="0026369A" w:rsidP="0026369A">
            <w:pPr>
              <w:pStyle w:val="TableBodyText"/>
              <w:jc w:val="left"/>
            </w:pPr>
          </w:p>
          <w:p w:rsidR="0026369A" w:rsidRDefault="0026369A" w:rsidP="0026369A">
            <w:pPr>
              <w:pStyle w:val="TableBodyText"/>
              <w:jc w:val="left"/>
            </w:pPr>
            <w:r>
              <w:t>The measure is defined as:</w:t>
            </w:r>
          </w:p>
          <w:p w:rsidR="0026369A" w:rsidRDefault="0026369A" w:rsidP="0026369A">
            <w:pPr>
              <w:pStyle w:val="TableBullet"/>
            </w:pPr>
            <w:r w:rsidRPr="001E00EB">
              <w:rPr>
                <w:i/>
              </w:rPr>
              <w:t>numerator</w:t>
            </w:r>
            <w:r>
              <w:t xml:space="preserve"> </w:t>
            </w:r>
            <w:r w:rsidRPr="005E6794">
              <w:t>—</w:t>
            </w:r>
            <w:r>
              <w:t xml:space="preserve"> number of 20 to 24 year olds who self-identify as having attained a year 12 or </w:t>
            </w:r>
            <w:proofErr w:type="spellStart"/>
            <w:r>
              <w:t>AQF</w:t>
            </w:r>
            <w:proofErr w:type="spellEnd"/>
            <w:r>
              <w:t xml:space="preserve"> Certificate Level II or above (includes Certificate I/II </w:t>
            </w:r>
            <w:proofErr w:type="spellStart"/>
            <w:r>
              <w:t>nfd</w:t>
            </w:r>
            <w:proofErr w:type="spellEnd"/>
            <w:r>
              <w:t>), by Indigenous status and SES</w:t>
            </w:r>
          </w:p>
          <w:p w:rsidR="0026369A" w:rsidRDefault="0026369A" w:rsidP="0026369A">
            <w:pPr>
              <w:pStyle w:val="TableBullet"/>
            </w:pPr>
            <w:r w:rsidRPr="001E00EB">
              <w:rPr>
                <w:i/>
              </w:rPr>
              <w:t xml:space="preserve">denominator </w:t>
            </w:r>
            <w:r w:rsidRPr="005E6794">
              <w:t>—</w:t>
            </w:r>
            <w:r>
              <w:t xml:space="preserve"> number of 20 to 24 year olds in the population, by Indigenous status and SES</w:t>
            </w:r>
          </w:p>
          <w:p w:rsidR="0026369A" w:rsidRDefault="0026369A" w:rsidP="0026369A">
            <w:pPr>
              <w:pStyle w:val="TableBodyText"/>
              <w:ind w:left="34"/>
              <w:jc w:val="left"/>
            </w:pPr>
            <w:r>
              <w:t xml:space="preserve">and is expressed as a </w:t>
            </w:r>
            <w:r w:rsidRPr="00B35EB2">
              <w:rPr>
                <w:i/>
              </w:rPr>
              <w:t>percentage</w:t>
            </w:r>
          </w:p>
          <w:p w:rsidR="0026369A" w:rsidRDefault="0026369A" w:rsidP="0026369A">
            <w:pPr>
              <w:pStyle w:val="TableBodyText"/>
              <w:ind w:left="34"/>
              <w:jc w:val="left"/>
            </w:pPr>
          </w:p>
          <w:p w:rsidR="0026369A" w:rsidRDefault="0026369A" w:rsidP="0026369A">
            <w:pPr>
              <w:pStyle w:val="TableBodyText"/>
              <w:ind w:left="34"/>
              <w:jc w:val="left"/>
              <w:rPr>
                <w:rFonts w:cs="Arial"/>
              </w:rPr>
            </w:pPr>
            <w:r>
              <w:rPr>
                <w:rFonts w:cs="Arial"/>
              </w:rPr>
              <w:t xml:space="preserve">Persons whose level of study is determined to be certificate level but is not able to be further defined (ie, Certificate </w:t>
            </w:r>
            <w:proofErr w:type="spellStart"/>
            <w:r>
              <w:rPr>
                <w:rFonts w:cs="Arial"/>
              </w:rPr>
              <w:t>nfd</w:t>
            </w:r>
            <w:proofErr w:type="spellEnd"/>
            <w:r>
              <w:rPr>
                <w:rFonts w:cs="Arial"/>
              </w:rPr>
              <w:t>) are assumed to have attained below Certificate level II and are therefore excluded from the numerator</w:t>
            </w:r>
          </w:p>
          <w:p w:rsidR="0026369A" w:rsidRDefault="0026369A" w:rsidP="0026369A">
            <w:pPr>
              <w:pStyle w:val="TableBodyText"/>
              <w:ind w:left="34"/>
              <w:jc w:val="left"/>
            </w:pPr>
            <w:r>
              <w:t>People whose level of study cannot be determined are assumed to have attained below Certificate II and are therefore excluded from the numerator</w:t>
            </w:r>
          </w:p>
          <w:p w:rsidR="0026369A" w:rsidRPr="00991FF1" w:rsidRDefault="0026369A" w:rsidP="0026369A">
            <w:pPr>
              <w:pStyle w:val="TableBodyText"/>
              <w:ind w:left="34"/>
              <w:jc w:val="left"/>
            </w:pPr>
            <w:r>
              <w:t>Excludes people whose educational attainment is not stated from the numerator and denominator (applicable only to Census data)</w:t>
            </w:r>
          </w:p>
          <w:p w:rsidR="0026369A" w:rsidRPr="005E6794"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r>
              <w:t>s:</w:t>
            </w:r>
          </w:p>
        </w:tc>
        <w:tc>
          <w:tcPr>
            <w:tcW w:w="6804" w:type="dxa"/>
          </w:tcPr>
          <w:p w:rsidR="0026369A" w:rsidRDefault="0026369A" w:rsidP="0026369A">
            <w:pPr>
              <w:pStyle w:val="TableBodyText"/>
              <w:jc w:val="left"/>
            </w:pPr>
            <w:r w:rsidRPr="005E6794">
              <w:rPr>
                <w:i/>
              </w:rPr>
              <w:t>Numerator</w:t>
            </w:r>
            <w:r>
              <w:rPr>
                <w:i/>
              </w:rPr>
              <w:t xml:space="preserve"> and denominator </w:t>
            </w:r>
            <w:r w:rsidRPr="005E6794">
              <w:t>—</w:t>
            </w:r>
            <w:r>
              <w:t xml:space="preserve"> (Indigenous status and SES) </w:t>
            </w:r>
            <w:r w:rsidRPr="008B3567">
              <w:rPr>
                <w:u w:val="single"/>
              </w:rPr>
              <w:t>Census of Population and Health</w:t>
            </w:r>
            <w:r>
              <w:t xml:space="preserve"> (Census). Data are available every 5 years</w:t>
            </w:r>
          </w:p>
          <w:p w:rsidR="0026369A" w:rsidRDefault="0026369A" w:rsidP="0026369A">
            <w:pPr>
              <w:pStyle w:val="TableBodyText"/>
              <w:jc w:val="left"/>
            </w:pPr>
          </w:p>
          <w:p w:rsidR="0026369A" w:rsidRDefault="0026369A" w:rsidP="0026369A">
            <w:pPr>
              <w:pStyle w:val="TableBodyText"/>
              <w:jc w:val="left"/>
            </w:pPr>
            <w:r w:rsidRPr="005E6794">
              <w:rPr>
                <w:i/>
              </w:rPr>
              <w:t>Numerator</w:t>
            </w:r>
            <w:r>
              <w:rPr>
                <w:i/>
              </w:rPr>
              <w:t xml:space="preserve"> and denominator </w:t>
            </w:r>
            <w:r w:rsidRPr="005E6794">
              <w:t>—</w:t>
            </w:r>
            <w:r>
              <w:t xml:space="preserve"> (Indigenous) </w:t>
            </w:r>
            <w:r w:rsidRPr="00CD45C3">
              <w:rPr>
                <w:u w:val="single"/>
              </w:rPr>
              <w:t>National Aboriginal and Torres Strait Islander Social Survey</w:t>
            </w:r>
            <w:r>
              <w:t xml:space="preserve"> (NATSISS) and </w:t>
            </w:r>
            <w:r>
              <w:rPr>
                <w:u w:val="single"/>
              </w:rPr>
              <w:t>Australian</w:t>
            </w:r>
            <w:r w:rsidRPr="00CD45C3">
              <w:rPr>
                <w:u w:val="single"/>
              </w:rPr>
              <w:t xml:space="preserve"> Aboriginal and Torres Strait Islander Health Survey</w:t>
            </w:r>
            <w:r>
              <w:t xml:space="preserve"> (AATSIHS) (which replaces the NATSIHS). Data are available on a rotating 3-yearly cycle. (Non-Indigenous) </w:t>
            </w:r>
            <w:r w:rsidRPr="002E7CB0">
              <w:rPr>
                <w:u w:val="single"/>
              </w:rPr>
              <w:t>Survey of Education and Work</w:t>
            </w:r>
            <w:r>
              <w:t xml:space="preserve"> (SEW). Data are </w:t>
            </w:r>
            <w:r>
              <w:lastRenderedPageBreak/>
              <w:t>available annually</w:t>
            </w:r>
          </w:p>
          <w:p w:rsidR="0026369A" w:rsidRDefault="0026369A" w:rsidP="0026369A">
            <w:pPr>
              <w:pStyle w:val="TableBodyText"/>
              <w:jc w:val="left"/>
            </w:pPr>
          </w:p>
          <w:p w:rsidR="0026369A" w:rsidRPr="007770DC" w:rsidRDefault="0026369A" w:rsidP="0026369A">
            <w:pPr>
              <w:pStyle w:val="TableBodyText"/>
              <w:jc w:val="left"/>
            </w:pPr>
            <w:r w:rsidRPr="005E6794">
              <w:rPr>
                <w:i/>
              </w:rPr>
              <w:t>Numerator</w:t>
            </w:r>
            <w:r>
              <w:rPr>
                <w:i/>
              </w:rPr>
              <w:t xml:space="preserve"> and denominator </w:t>
            </w:r>
            <w:r w:rsidRPr="005E6794">
              <w:t>—</w:t>
            </w:r>
            <w:r>
              <w:t xml:space="preserve"> (SES) </w:t>
            </w:r>
            <w:r w:rsidRPr="002E7CB0">
              <w:rPr>
                <w:u w:val="single"/>
              </w:rPr>
              <w:t>Survey of Education and Work</w:t>
            </w:r>
            <w:r w:rsidR="00CE44B1">
              <w:t xml:space="preserve"> (SEW).</w:t>
            </w:r>
          </w:p>
          <w:p w:rsidR="0026369A" w:rsidRPr="008815FE"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lastRenderedPageBreak/>
              <w:t>Data provider:</w:t>
            </w:r>
          </w:p>
        </w:tc>
        <w:tc>
          <w:tcPr>
            <w:tcW w:w="6804" w:type="dxa"/>
          </w:tcPr>
          <w:p w:rsidR="0026369A" w:rsidRPr="005E6794" w:rsidRDefault="0026369A" w:rsidP="0026369A">
            <w:pPr>
              <w:pStyle w:val="TableBodyText"/>
              <w:spacing w:after="0" w:line="120" w:lineRule="atLeast"/>
              <w:jc w:val="left"/>
            </w:pPr>
            <w:r w:rsidRPr="005E6794">
              <w:rPr>
                <w:i/>
              </w:rPr>
              <w:t>Numerator</w:t>
            </w:r>
            <w:r>
              <w:rPr>
                <w:i/>
              </w:rPr>
              <w:t xml:space="preserve"> and denominator </w:t>
            </w:r>
            <w:r w:rsidRPr="005E6794">
              <w:t>—</w:t>
            </w:r>
            <w:r>
              <w:t xml:space="preserve"> ABS</w:t>
            </w: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t>Data availability:</w:t>
            </w:r>
          </w:p>
        </w:tc>
        <w:tc>
          <w:tcPr>
            <w:tcW w:w="6804" w:type="dxa"/>
          </w:tcPr>
          <w:p w:rsidR="0026369A" w:rsidRPr="0059482B" w:rsidRDefault="0026369A" w:rsidP="0026369A">
            <w:pPr>
              <w:pStyle w:val="TableBodyText"/>
              <w:jc w:val="left"/>
            </w:pPr>
            <w:r>
              <w:t>SEW — 2010 (revised) and 2011</w:t>
            </w:r>
          </w:p>
          <w:p w:rsidR="0026369A" w:rsidRPr="00CA06AE" w:rsidRDefault="0026369A" w:rsidP="0026369A">
            <w:pPr>
              <w:pStyle w:val="TableBodyText"/>
              <w:jc w:val="left"/>
            </w:pPr>
            <w:r w:rsidRPr="00CA06AE">
              <w:t xml:space="preserve">[No new data </w:t>
            </w:r>
            <w:r>
              <w:t xml:space="preserve">are </w:t>
            </w:r>
            <w:r w:rsidRPr="00CA06AE">
              <w:t>available by Indigenous status</w:t>
            </w:r>
            <w:r>
              <w:t xml:space="preserve"> for this reporting cycle</w:t>
            </w:r>
            <w:r w:rsidRPr="00CA06AE">
              <w:t>]</w:t>
            </w:r>
          </w:p>
          <w:p w:rsidR="0026369A" w:rsidRPr="00206C2C" w:rsidRDefault="0026369A" w:rsidP="0026369A">
            <w:pPr>
              <w:pStyle w:val="TableBodyText"/>
              <w:jc w:val="left"/>
            </w:pP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Default="0026369A" w:rsidP="0026369A">
            <w:pPr>
              <w:pStyle w:val="TableBodyText"/>
              <w:jc w:val="left"/>
            </w:pPr>
            <w:r>
              <w:t>State and Territory by:</w:t>
            </w:r>
          </w:p>
          <w:p w:rsidR="0026369A" w:rsidRPr="007D01E8" w:rsidRDefault="0026369A" w:rsidP="0026369A">
            <w:pPr>
              <w:pStyle w:val="TableBullet"/>
            </w:pPr>
            <w:r>
              <w:t>SES (CD based SEIFA IRSD)</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25</w:t>
            </w:r>
            <w:r>
              <w:rPr>
                <w:b w:val="0"/>
              </w:rPr>
              <w:fldChar w:fldCharType="end"/>
            </w:r>
            <w:r>
              <w:tab/>
              <w:t>Results</w:t>
            </w:r>
          </w:p>
        </w:tc>
      </w:tr>
      <w:tr w:rsidR="0026369A" w:rsidTr="0026369A">
        <w:trPr>
          <w:cantSplit/>
        </w:trPr>
        <w:tc>
          <w:tcPr>
            <w:tcW w:w="8771" w:type="dxa"/>
            <w:tcBorders>
              <w:top w:val="nil"/>
              <w:left w:val="single" w:sz="4" w:space="0" w:color="auto"/>
              <w:bottom w:val="nil"/>
              <w:right w:val="single" w:sz="4" w:space="0" w:color="auto"/>
            </w:tcBorders>
          </w:tcPr>
          <w:p w:rsidR="00803F0D" w:rsidRDefault="00803F0D" w:rsidP="0082251B">
            <w:pPr>
              <w:pStyle w:val="Box"/>
            </w:pPr>
            <w:r>
              <w:t>For this report, new data for this indicator are available for 2011.</w:t>
            </w:r>
          </w:p>
          <w:p w:rsidR="00803F0D" w:rsidRDefault="00803F0D" w:rsidP="0082251B">
            <w:pPr>
              <w:pStyle w:val="BoxListBullet"/>
              <w:numPr>
                <w:ilvl w:val="0"/>
                <w:numId w:val="1"/>
              </w:numPr>
            </w:pPr>
            <w:r>
              <w:t xml:space="preserve">Data by State and Territory, by SES are presented in table </w:t>
            </w:r>
            <w:proofErr w:type="spellStart"/>
            <w:r>
              <w:t>NEA.8.1</w:t>
            </w:r>
            <w:proofErr w:type="spellEnd"/>
            <w:r>
              <w:t>–8.3.</w:t>
            </w:r>
          </w:p>
          <w:p w:rsidR="00803F0D" w:rsidRDefault="00803F0D" w:rsidP="0082251B">
            <w:pPr>
              <w:pStyle w:val="Box"/>
              <w:spacing w:line="240" w:lineRule="auto"/>
            </w:pPr>
            <w:r>
              <w:t>Data for 2010 in the 2010 NEA performance report have been revised</w:t>
            </w:r>
            <w:r w:rsidR="007945C3">
              <w:t xml:space="preserve"> and are included in this report</w:t>
            </w:r>
            <w:r>
              <w:t>.</w:t>
            </w:r>
          </w:p>
          <w:p w:rsidR="00803F0D" w:rsidRDefault="00803F0D" w:rsidP="0082251B">
            <w:pPr>
              <w:pStyle w:val="BoxListBullet"/>
              <w:numPr>
                <w:ilvl w:val="0"/>
                <w:numId w:val="1"/>
              </w:numPr>
            </w:pPr>
            <w:r>
              <w:t xml:space="preserve">Data by State and Territory, by SES are presented in table </w:t>
            </w:r>
            <w:proofErr w:type="spellStart"/>
            <w:r>
              <w:t>NEA.8.4</w:t>
            </w:r>
            <w:proofErr w:type="spellEnd"/>
            <w:r>
              <w:t>–8.6.</w:t>
            </w:r>
          </w:p>
          <w:p w:rsidR="0026369A" w:rsidRDefault="00803F0D" w:rsidP="0082251B">
            <w:pPr>
              <w:pStyle w:val="Box"/>
              <w:spacing w:line="240" w:lineRule="auto"/>
            </w:pPr>
            <w:r>
              <w:t>Data for 2009 (SES) and 2008 (SES and Indigenous status) are available in the 2009 NEA performance report.</w:t>
            </w:r>
            <w:r w:rsidR="007945C3">
              <w:t xml:space="preserve"> 2006 Census data are available in the 2008 NEA performance report.</w:t>
            </w:r>
          </w:p>
          <w:p w:rsidR="00803F0D" w:rsidRDefault="00803F0D" w:rsidP="0082251B">
            <w:pPr>
              <w:pStyle w:val="Box"/>
              <w:spacing w:line="240" w:lineRule="auto"/>
            </w:pPr>
            <w:r w:rsidRPr="008E3989">
              <w:t>Apparent differences in results between years may not be statistically significant. To</w:t>
            </w:r>
            <w:r>
              <w:t xml:space="preserve"> </w:t>
            </w:r>
            <w:r w:rsidRPr="008E3989">
              <w:t>assist in interpretation, 95 per cent confidence intervals and relative standard errors</w:t>
            </w:r>
            <w:r>
              <w:t xml:space="preserve"> </w:t>
            </w:r>
            <w:r w:rsidRPr="008E3989">
              <w:t>are provided in the attachment tables for this indicator.</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FC4A4C" w:rsidRDefault="0026369A" w:rsidP="0026369A">
      <w:pPr>
        <w:pStyle w:val="Heading4"/>
        <w:spacing w:after="120"/>
      </w:pPr>
      <w:r>
        <w:t>Attachment table</w:t>
      </w:r>
      <w:r w:rsidR="000F0C9C">
        <w:t>s</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08" w:anchor="'Table NEA.8.1'!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NEA.8.1</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Persons aged 20–24 years who have completed Year 12 (or equivalent) or attained a formal qualification at Certificate Level II or above, by SES based on SEIFA IRSD, 2011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09" w:anchor="'Table NEA.8.2'!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NEA.8.2</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RSEs for persons aged 20–24 years who have completed Year 12 (or equivalent) or attained a formal qualification at Certificate Level II or above, by SES based on SEIFA IRSD, 2011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0" w:anchor="'Table NEA.8.3'!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NEA.8.3</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95 per cent confidence intervals for persons aged 20–24 years who have completed Year 12 (or equivalent) or attained a formal qualification at Certificate level II or above, by SES based on SEIFA IRSD, 2011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1" w:anchor="'Table NEA.8.4'!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NEA.8.4</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Persons aged 20–24 years who have completed Year 12 (or equivalent) or attained a formal qualification at Certificate Level II or above, by SES based on SEIFA IRSD, 2010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2" w:anchor="'Table NEA.8.5'!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NEA.8.5</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RSEs for persons aged 20–24 years who have completed Year 12 (or equivalent) or attained a formal qualification at Certificate Level II or above, by SES based on SEIFA IRSD, 2010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3" w:anchor="'Table NEA.8.6'!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NEA.8.6</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95 per cent confidence intervals for persons aged 20–24 years who have completed Year 12 (or equivalent) or attained a formal qualification at Certificate level II or above, by SES based on SEIFA IRSD, 2010   </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AD04EC">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26</w:t>
            </w:r>
            <w:r>
              <w:rPr>
                <w:b w:val="0"/>
              </w:rPr>
              <w:fldChar w:fldCharType="end"/>
            </w:r>
            <w:r>
              <w:tab/>
              <w:t>Comment on data quality</w:t>
            </w:r>
          </w:p>
        </w:tc>
      </w:tr>
      <w:tr w:rsidR="0026369A" w:rsidTr="00AD04EC">
        <w:trPr>
          <w:cantSplit/>
        </w:trPr>
        <w:tc>
          <w:tcPr>
            <w:tcW w:w="8771" w:type="dxa"/>
            <w:tcBorders>
              <w:top w:val="nil"/>
              <w:left w:val="single" w:sz="4" w:space="0" w:color="auto"/>
              <w:bottom w:val="nil"/>
              <w:right w:val="single" w:sz="4" w:space="0" w:color="auto"/>
            </w:tcBorders>
          </w:tcPr>
          <w:p w:rsidR="00C042A9" w:rsidRPr="00491F73" w:rsidRDefault="00C042A9" w:rsidP="00C41E1E">
            <w:pPr>
              <w:pStyle w:val="Box"/>
            </w:pPr>
            <w:r w:rsidRPr="00491F73">
              <w:t>The DQS for this indicator has been prepared by the ABS and is included in its original form in the section in this report titled ‘Data Quality Statements.’ Key points from the DQS are summarised below.</w:t>
            </w:r>
          </w:p>
          <w:p w:rsidR="00C042A9" w:rsidRPr="00F14211" w:rsidRDefault="00C042A9" w:rsidP="00C41E1E">
            <w:pPr>
              <w:pStyle w:val="BoxListBullet"/>
              <w:numPr>
                <w:ilvl w:val="0"/>
                <w:numId w:val="1"/>
              </w:numPr>
            </w:pPr>
            <w:r w:rsidRPr="00491F73">
              <w:t xml:space="preserve">The data provide relevant information on the proportion of the 20–24 year old population who have completed year 12 or equivalent or </w:t>
            </w:r>
            <w:proofErr w:type="spellStart"/>
            <w:r w:rsidRPr="00491F73">
              <w:t>AQF</w:t>
            </w:r>
            <w:proofErr w:type="spellEnd"/>
            <w:r w:rsidRPr="00491F73">
              <w:t xml:space="preserve"> Certificate III or above</w:t>
            </w:r>
            <w:r w:rsidR="00CE44B1">
              <w:t>.</w:t>
            </w:r>
          </w:p>
          <w:p w:rsidR="003B4143" w:rsidRPr="00F14211" w:rsidRDefault="003B4143" w:rsidP="00C41E1E">
            <w:pPr>
              <w:pStyle w:val="BoxListBullet"/>
              <w:numPr>
                <w:ilvl w:val="0"/>
                <w:numId w:val="1"/>
              </w:numPr>
            </w:pPr>
            <w:r w:rsidRPr="00F14211">
              <w:t>Data by SES are available annually</w:t>
            </w:r>
            <w:r w:rsidR="00575EA5">
              <w:t xml:space="preserve"> from the SEW, with the most recent available data </w:t>
            </w:r>
            <w:r w:rsidR="006574E1">
              <w:t>for</w:t>
            </w:r>
            <w:r w:rsidR="00575EA5">
              <w:t xml:space="preserve"> 2011</w:t>
            </w:r>
            <w:r w:rsidRPr="00F14211">
              <w:t>. Data by Indigenous status are available every five years from the Census, and every three years on a rotating basis from the NATSISS/NATSIHS</w:t>
            </w:r>
            <w:r w:rsidR="006574E1">
              <w:t xml:space="preserve"> (now AATSIH</w:t>
            </w:r>
            <w:r w:rsidR="00890B23">
              <w:t>S</w:t>
            </w:r>
            <w:r w:rsidR="006574E1">
              <w:t>)</w:t>
            </w:r>
            <w:r w:rsidRPr="00F14211">
              <w:t xml:space="preserve"> (Indigenous population, with the </w:t>
            </w:r>
            <w:r w:rsidR="009605B1">
              <w:t>annual SEW data providing a non</w:t>
            </w:r>
            <w:r w:rsidR="009605B1">
              <w:noBreakHyphen/>
            </w:r>
            <w:r w:rsidRPr="00F14211">
              <w:t>Indigenous comparator).</w:t>
            </w:r>
            <w:r w:rsidR="00575EA5">
              <w:t xml:space="preserve"> No new data are available by Indigenous status for this report.</w:t>
            </w:r>
          </w:p>
          <w:p w:rsidR="00575EA5" w:rsidRDefault="00575EA5" w:rsidP="00C41E1E">
            <w:pPr>
              <w:pStyle w:val="BoxListBullet"/>
              <w:numPr>
                <w:ilvl w:val="0"/>
                <w:numId w:val="1"/>
              </w:numPr>
            </w:pPr>
            <w:r>
              <w:t xml:space="preserve">Prior to 2009, all persons in very remote areas were excluded from the SEW. From 2009 onwards, the SEW has had a slightly wider scope, and excludes only persons in Indigenous communities from very remote areas. This change had only a minor effect on </w:t>
            </w:r>
            <w:r w:rsidRPr="0040191D">
              <w:rPr>
                <w:i/>
              </w:rPr>
              <w:t xml:space="preserve">national </w:t>
            </w:r>
            <w:r>
              <w:t>comparisons over time.</w:t>
            </w:r>
          </w:p>
          <w:p w:rsidR="00C042A9" w:rsidRDefault="00C042A9" w:rsidP="00C41E1E">
            <w:pPr>
              <w:pStyle w:val="BoxListBullet"/>
              <w:numPr>
                <w:ilvl w:val="0"/>
                <w:numId w:val="1"/>
              </w:numPr>
            </w:pPr>
            <w:r w:rsidRPr="00F14211">
              <w:t xml:space="preserve">The ongoing exclusion of Indigenous communities in very remote areas has only a minor effect on estimates by </w:t>
            </w:r>
            <w:r w:rsidRPr="0040191D">
              <w:rPr>
                <w:i/>
              </w:rPr>
              <w:t>State and Territory</w:t>
            </w:r>
            <w:r w:rsidRPr="00491F73">
              <w:t xml:space="preserve">, except for the </w:t>
            </w:r>
            <w:r>
              <w:t>NT</w:t>
            </w:r>
            <w:r w:rsidRPr="00491F73">
              <w:t xml:space="preserve">, where </w:t>
            </w:r>
            <w:r>
              <w:t xml:space="preserve">remote Indigenous communities </w:t>
            </w:r>
            <w:r w:rsidRPr="00491F73">
              <w:t>account for around 15 per cent of the population</w:t>
            </w:r>
            <w:r w:rsidRPr="00CB451E">
              <w:t>.</w:t>
            </w:r>
          </w:p>
          <w:p w:rsidR="00C042A9" w:rsidRPr="00491F73" w:rsidRDefault="00C042A9" w:rsidP="00C41E1E">
            <w:pPr>
              <w:pStyle w:val="BoxListBullet"/>
              <w:numPr>
                <w:ilvl w:val="0"/>
                <w:numId w:val="1"/>
              </w:numPr>
            </w:pPr>
            <w:r w:rsidRPr="00CB451E">
              <w:t>Data for 2010 have been revised due to amendments to the population benchmarks for the 2010 SEW.</w:t>
            </w:r>
            <w:r w:rsidR="00575EA5">
              <w:t xml:space="preserve"> Revised 2010 data are included in this report to maintain time series.</w:t>
            </w:r>
          </w:p>
          <w:p w:rsidR="00C042A9" w:rsidRPr="00EA2071" w:rsidRDefault="00C042A9" w:rsidP="00C41E1E">
            <w:pPr>
              <w:pStyle w:val="BoxListBullet"/>
              <w:numPr>
                <w:ilvl w:val="0"/>
                <w:numId w:val="1"/>
              </w:numPr>
            </w:pPr>
            <w:r w:rsidRPr="00EA2071">
              <w:t>Detailed explanatory notes are publicly available to assist in interpretation of results.</w:t>
            </w:r>
          </w:p>
          <w:p w:rsidR="00C042A9" w:rsidRPr="00EA2071" w:rsidRDefault="00C042A9" w:rsidP="00C41E1E">
            <w:pPr>
              <w:pStyle w:val="BoxListBullet"/>
              <w:numPr>
                <w:ilvl w:val="0"/>
                <w:numId w:val="1"/>
              </w:numPr>
            </w:pPr>
            <w:r w:rsidRPr="00EA2071">
              <w:t>Additional data from the data source are available.</w:t>
            </w:r>
          </w:p>
          <w:p w:rsidR="00C042A9" w:rsidRPr="00EA2071" w:rsidRDefault="00C042A9" w:rsidP="00C41E1E">
            <w:pPr>
              <w:pStyle w:val="Box"/>
            </w:pPr>
            <w:r w:rsidRPr="00EA2071">
              <w:t>The Steering Committee also notes the following issues:</w:t>
            </w:r>
          </w:p>
          <w:p w:rsidR="00300692" w:rsidRDefault="00300692" w:rsidP="00C41E1E">
            <w:pPr>
              <w:pStyle w:val="BoxListBullet"/>
              <w:numPr>
                <w:ilvl w:val="0"/>
                <w:numId w:val="1"/>
              </w:numPr>
            </w:pPr>
            <w:r>
              <w:t>The full sample for the SEW was reinstated in 2010 and generally resulted in lower RSEs</w:t>
            </w:r>
            <w:r w:rsidR="00C042A9" w:rsidRPr="00EA2071">
              <w:t>.</w:t>
            </w:r>
            <w:r>
              <w:t xml:space="preserve"> However, the size of the RSEs continue to affect the ability to identify year on year movements for this indicator for all jurisdictions.</w:t>
            </w:r>
          </w:p>
          <w:p w:rsidR="00300692" w:rsidRDefault="00300692" w:rsidP="00C41E1E">
            <w:pPr>
              <w:pStyle w:val="BoxListBullet"/>
              <w:numPr>
                <w:ilvl w:val="0"/>
                <w:numId w:val="1"/>
              </w:numPr>
            </w:pPr>
            <w:r>
              <w:t xml:space="preserve">The ABS investigated the use of ‘pooling’ of SEW results for multiple years to reduce RSEs. However, the size of the RSEs did not reduce enough to improve </w:t>
            </w:r>
            <w:r w:rsidR="006574E1">
              <w:t xml:space="preserve">substantially </w:t>
            </w:r>
            <w:r>
              <w:t>detection of year on year movements.</w:t>
            </w:r>
          </w:p>
          <w:p w:rsidR="0026369A" w:rsidRDefault="00300692" w:rsidP="00C41E1E">
            <w:pPr>
              <w:pStyle w:val="BoxListBullet"/>
              <w:numPr>
                <w:ilvl w:val="0"/>
                <w:numId w:val="1"/>
              </w:numPr>
            </w:pPr>
            <w:r>
              <w:t>Subject to the outcomes of the NEA review, t</w:t>
            </w:r>
            <w:r w:rsidR="00C042A9" w:rsidRPr="00EA2071">
              <w:t xml:space="preserve">he Steering Committee considers that further investigation of administrative data on completions of year 12 or equivalent certificate and </w:t>
            </w:r>
            <w:proofErr w:type="spellStart"/>
            <w:r w:rsidR="00C042A9" w:rsidRPr="00EA2071">
              <w:t>AQF</w:t>
            </w:r>
            <w:proofErr w:type="spellEnd"/>
            <w:r w:rsidR="00C042A9" w:rsidRPr="00EA2071">
              <w:t xml:space="preserve"> Certificate level II or above is required for </w:t>
            </w:r>
            <w:r>
              <w:t xml:space="preserve">annual </w:t>
            </w:r>
            <w:r w:rsidR="00C042A9" w:rsidRPr="00EA2071">
              <w:t>reporting</w:t>
            </w:r>
            <w:r w:rsidR="00462373">
              <w:t xml:space="preserve"> </w:t>
            </w:r>
            <w:r w:rsidR="00C042A9" w:rsidRPr="00EA2071">
              <w:t xml:space="preserve">against this </w:t>
            </w:r>
            <w:r>
              <w:t>indicator</w:t>
            </w:r>
            <w:r w:rsidR="00462373">
              <w:t xml:space="preserve"> by Indigenous status and/or SES</w:t>
            </w:r>
            <w:r w:rsidR="00C042A9" w:rsidRPr="00EA2071">
              <w: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Default="0026369A" w:rsidP="0026369A">
      <w:pPr>
        <w:pStyle w:val="Heading3"/>
        <w:spacing w:before="360" w:after="240"/>
      </w:pPr>
      <w:r>
        <w:br w:type="page"/>
      </w:r>
      <w:bookmarkStart w:id="30" w:name="_Ref322529468"/>
      <w:r>
        <w:lastRenderedPageBreak/>
        <w:t>NEA Indicator 9</w:t>
      </w:r>
      <w:r w:rsidRPr="00223AA2">
        <w:t>. The proportion of young people participating in post school education or training six months after school</w:t>
      </w:r>
      <w:bookmarkEnd w:id="30"/>
    </w:p>
    <w:tbl>
      <w:tblPr>
        <w:tblW w:w="8789" w:type="dxa"/>
        <w:tblInd w:w="108" w:type="dxa"/>
        <w:tblLook w:val="01E0" w:firstRow="1" w:lastRow="1" w:firstColumn="1" w:lastColumn="1" w:noHBand="0" w:noVBand="0"/>
      </w:tblPr>
      <w:tblGrid>
        <w:gridCol w:w="1985"/>
        <w:gridCol w:w="6804"/>
      </w:tblGrid>
      <w:tr w:rsidR="0026369A" w:rsidRPr="005E6794" w:rsidTr="0026369A">
        <w:trPr>
          <w:trHeight w:val="923"/>
        </w:trPr>
        <w:tc>
          <w:tcPr>
            <w:tcW w:w="1985" w:type="dxa"/>
          </w:tcPr>
          <w:p w:rsidR="0026369A" w:rsidRDefault="0026369A" w:rsidP="0026369A">
            <w:pPr>
              <w:pStyle w:val="TableBodyText"/>
              <w:ind w:left="-108"/>
              <w:jc w:val="left"/>
            </w:pPr>
            <w:r>
              <w:t>Key amendments from previous cycle:</w:t>
            </w:r>
          </w:p>
          <w:p w:rsidR="0026369A" w:rsidRPr="00FB6E71" w:rsidRDefault="0026369A" w:rsidP="0026369A">
            <w:pPr>
              <w:pStyle w:val="TableBodyText"/>
              <w:ind w:left="34"/>
              <w:jc w:val="left"/>
            </w:pPr>
          </w:p>
        </w:tc>
        <w:tc>
          <w:tcPr>
            <w:tcW w:w="6804" w:type="dxa"/>
          </w:tcPr>
          <w:p w:rsidR="0026369A" w:rsidRPr="003B744D" w:rsidRDefault="0026369A" w:rsidP="0026369A">
            <w:pPr>
              <w:pStyle w:val="TableBodyText"/>
              <w:ind w:left="34"/>
              <w:jc w:val="left"/>
            </w:pPr>
            <w:r w:rsidRPr="003B744D">
              <w:t>Data for 2010 have been revised due to amendments to the 2010 SEW population benchmarks:</w:t>
            </w:r>
          </w:p>
          <w:p w:rsidR="0026369A" w:rsidRPr="003B744D" w:rsidRDefault="0026369A" w:rsidP="00C41E1E">
            <w:pPr>
              <w:pStyle w:val="TableBullet"/>
            </w:pPr>
            <w:r w:rsidRPr="003B744D">
              <w:t>Net Overseas Migration estimates used in calculating the population benchmarks have been revised</w:t>
            </w:r>
          </w:p>
          <w:p w:rsidR="0026369A" w:rsidRPr="003B744D" w:rsidRDefault="0026369A" w:rsidP="00C41E1E">
            <w:pPr>
              <w:pStyle w:val="TableBullet"/>
            </w:pPr>
            <w:r w:rsidRPr="003B744D">
              <w:t xml:space="preserve">the population benchmarks </w:t>
            </w:r>
            <w:r w:rsidR="00C27F44">
              <w:t xml:space="preserve">for the NT have been amended to </w:t>
            </w:r>
            <w:r w:rsidRPr="003B744D">
              <w:t>align with</w:t>
            </w:r>
            <w:r w:rsidR="00C27F44">
              <w:t xml:space="preserve"> changes in the geographical </w:t>
            </w:r>
            <w:r w:rsidRPr="003B744D">
              <w:t>scope</w:t>
            </w:r>
            <w:r w:rsidR="00C27F44">
              <w:t xml:space="preserve"> of the survey</w:t>
            </w:r>
            <w:r w:rsidRPr="003B744D">
              <w:t>.</w:t>
            </w:r>
          </w:p>
          <w:p w:rsidR="0026369A" w:rsidRPr="003B744D" w:rsidRDefault="0026369A" w:rsidP="0026369A">
            <w:pPr>
              <w:pStyle w:val="TableBodyText"/>
              <w:ind w:left="754"/>
              <w:jc w:val="left"/>
            </w:pPr>
          </w:p>
        </w:tc>
      </w:tr>
      <w:tr w:rsidR="0026369A" w:rsidRPr="005E6794" w:rsidTr="0026369A">
        <w:trPr>
          <w:trHeight w:val="923"/>
        </w:trPr>
        <w:tc>
          <w:tcPr>
            <w:tcW w:w="1985" w:type="dxa"/>
          </w:tcPr>
          <w:p w:rsidR="0026369A" w:rsidRPr="005E6794" w:rsidRDefault="0026369A" w:rsidP="0026369A">
            <w:pPr>
              <w:pStyle w:val="TableBodyText"/>
              <w:ind w:left="-113"/>
              <w:jc w:val="left"/>
            </w:pPr>
            <w:r>
              <w:t>Outcome area</w:t>
            </w:r>
            <w:r w:rsidRPr="005E6794">
              <w:t>:</w:t>
            </w:r>
          </w:p>
        </w:tc>
        <w:tc>
          <w:tcPr>
            <w:tcW w:w="6804" w:type="dxa"/>
          </w:tcPr>
          <w:p w:rsidR="0026369A" w:rsidRPr="003B744D" w:rsidRDefault="0026369A" w:rsidP="00CE44B1">
            <w:pPr>
              <w:pStyle w:val="TableBodyText"/>
              <w:jc w:val="left"/>
            </w:pPr>
            <w:r w:rsidRPr="003B744D">
              <w:t>Young people make a successful transition from school to work and</w:t>
            </w:r>
            <w:r w:rsidR="00CE44B1">
              <w:t xml:space="preserve"> </w:t>
            </w:r>
            <w:r w:rsidRPr="003B744D">
              <w:t>further study</w:t>
            </w:r>
          </w:p>
        </w:tc>
      </w:tr>
      <w:tr w:rsidR="0026369A" w:rsidRPr="005E6794" w:rsidTr="0026369A">
        <w:trPr>
          <w:trHeight w:val="898"/>
        </w:trPr>
        <w:tc>
          <w:tcPr>
            <w:tcW w:w="1985" w:type="dxa"/>
          </w:tcPr>
          <w:p w:rsidR="0026369A" w:rsidRDefault="0026369A" w:rsidP="0026369A">
            <w:pPr>
              <w:pStyle w:val="TableBodyText"/>
              <w:ind w:left="-113"/>
              <w:jc w:val="left"/>
            </w:pPr>
            <w:r>
              <w:t>Performance indicator:</w:t>
            </w:r>
          </w:p>
        </w:tc>
        <w:tc>
          <w:tcPr>
            <w:tcW w:w="6804" w:type="dxa"/>
          </w:tcPr>
          <w:p w:rsidR="0026369A" w:rsidRDefault="0026369A" w:rsidP="0026369A">
            <w:pPr>
              <w:pStyle w:val="TableBodyText"/>
              <w:jc w:val="left"/>
            </w:pPr>
            <w:r>
              <w:t>The proportion of young people participating in post school education or training six months after school</w:t>
            </w:r>
          </w:p>
          <w:p w:rsidR="0026369A" w:rsidRPr="008941BF" w:rsidRDefault="0026369A" w:rsidP="0026369A">
            <w:pPr>
              <w:pStyle w:val="TableBodyText"/>
              <w:jc w:val="left"/>
            </w:pP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 xml:space="preserve">Measure: </w:t>
            </w:r>
          </w:p>
        </w:tc>
        <w:tc>
          <w:tcPr>
            <w:tcW w:w="6804" w:type="dxa"/>
          </w:tcPr>
          <w:p w:rsidR="0026369A" w:rsidRDefault="0026369A" w:rsidP="0026369A">
            <w:pPr>
              <w:pStyle w:val="TableBodyText"/>
              <w:jc w:val="left"/>
            </w:pPr>
            <w:r>
              <w:t>Proportion of 15 to 19 year olds who have left school (not just in the previous six months) and are fully engaged in education or training or employment, by highest level of schooling completed.</w:t>
            </w:r>
          </w:p>
          <w:p w:rsidR="0026369A" w:rsidRDefault="0026369A" w:rsidP="0026369A">
            <w:pPr>
              <w:pStyle w:val="TableBodyText"/>
              <w:jc w:val="left"/>
            </w:pPr>
          </w:p>
          <w:p w:rsidR="0026369A" w:rsidRDefault="0026369A" w:rsidP="0026369A">
            <w:pPr>
              <w:pStyle w:val="TableBodyText"/>
              <w:jc w:val="left"/>
            </w:pPr>
            <w:r>
              <w:t>The measure is defined as:</w:t>
            </w:r>
          </w:p>
          <w:p w:rsidR="0026369A" w:rsidRDefault="0026369A" w:rsidP="0026369A">
            <w:pPr>
              <w:pStyle w:val="TableBullet"/>
            </w:pPr>
            <w:r w:rsidRPr="001E00EB">
              <w:rPr>
                <w:i/>
              </w:rPr>
              <w:t>numerator</w:t>
            </w:r>
            <w:r>
              <w:t xml:space="preserve"> </w:t>
            </w:r>
            <w:r w:rsidRPr="005E6794">
              <w:t>—</w:t>
            </w:r>
            <w:r>
              <w:t xml:space="preserve"> number of persons aged 15 to 19 years who have left school and are fully engaged in employment, education and/or training, by highest level of schooling completed</w:t>
            </w:r>
          </w:p>
          <w:p w:rsidR="0026369A" w:rsidRDefault="0026369A" w:rsidP="0026369A">
            <w:pPr>
              <w:pStyle w:val="TableBullet"/>
            </w:pPr>
            <w:r w:rsidRPr="001E00EB">
              <w:rPr>
                <w:i/>
              </w:rPr>
              <w:t>denominator</w:t>
            </w:r>
            <w:r w:rsidRPr="001E00EB">
              <w:t xml:space="preserve"> </w:t>
            </w:r>
            <w:r w:rsidRPr="005E6794">
              <w:t>—</w:t>
            </w:r>
            <w:r>
              <w:t xml:space="preserve"> number of persons aged 15 to 19 years who have left school, by highest level of schooling completed</w:t>
            </w:r>
          </w:p>
          <w:p w:rsidR="0026369A" w:rsidRDefault="0026369A" w:rsidP="0026369A">
            <w:pPr>
              <w:pStyle w:val="TableBodyText"/>
              <w:jc w:val="left"/>
            </w:pPr>
            <w:r>
              <w:t xml:space="preserve">and is expressed as a </w:t>
            </w:r>
            <w:r w:rsidRPr="00B35EB2">
              <w:rPr>
                <w:i/>
              </w:rPr>
              <w:t>percentage</w:t>
            </w:r>
          </w:p>
          <w:p w:rsidR="0026369A" w:rsidRDefault="0026369A" w:rsidP="0026369A">
            <w:pPr>
              <w:pStyle w:val="TableBodyText"/>
              <w:jc w:val="left"/>
            </w:pPr>
          </w:p>
          <w:p w:rsidR="0026369A" w:rsidRDefault="0026369A" w:rsidP="0026369A">
            <w:pPr>
              <w:pStyle w:val="TableBodyText"/>
              <w:jc w:val="left"/>
            </w:pPr>
            <w:r>
              <w:t>Fully engaged is defined as full time employment, full time education or training, or a mixture of part time employment and part time education or training</w:t>
            </w:r>
          </w:p>
          <w:p w:rsidR="0026369A" w:rsidRPr="005E6794"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r>
              <w:t>:</w:t>
            </w:r>
          </w:p>
        </w:tc>
        <w:tc>
          <w:tcPr>
            <w:tcW w:w="6804" w:type="dxa"/>
          </w:tcPr>
          <w:p w:rsidR="0026369A" w:rsidRDefault="0026369A" w:rsidP="0026369A">
            <w:pPr>
              <w:pStyle w:val="TableBodyText"/>
              <w:jc w:val="left"/>
            </w:pPr>
            <w:r w:rsidRPr="005E6794">
              <w:rPr>
                <w:i/>
              </w:rPr>
              <w:t>Numerator</w:t>
            </w:r>
            <w:r>
              <w:rPr>
                <w:i/>
              </w:rPr>
              <w:t xml:space="preserve"> and denominator </w:t>
            </w:r>
            <w:r w:rsidRPr="005E6794">
              <w:t>—</w:t>
            </w:r>
            <w:r>
              <w:t xml:space="preserve"> </w:t>
            </w:r>
            <w:r w:rsidRPr="006D167C">
              <w:rPr>
                <w:u w:val="single"/>
              </w:rPr>
              <w:t>Survey of Education and Work</w:t>
            </w:r>
            <w:r>
              <w:t xml:space="preserve"> (SEW). Data are available annually</w:t>
            </w:r>
          </w:p>
          <w:p w:rsidR="0026369A" w:rsidRPr="008815FE"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t>Data provider:</w:t>
            </w:r>
          </w:p>
        </w:tc>
        <w:tc>
          <w:tcPr>
            <w:tcW w:w="6804" w:type="dxa"/>
          </w:tcPr>
          <w:p w:rsidR="0026369A" w:rsidRPr="005E6794" w:rsidRDefault="0026369A" w:rsidP="0026369A">
            <w:pPr>
              <w:pStyle w:val="TableBodyText"/>
              <w:jc w:val="left"/>
            </w:pPr>
            <w:r w:rsidRPr="005E6794">
              <w:rPr>
                <w:i/>
              </w:rPr>
              <w:t>Numerator</w:t>
            </w:r>
            <w:r>
              <w:rPr>
                <w:i/>
              </w:rPr>
              <w:t xml:space="preserve"> and denominator </w:t>
            </w:r>
            <w:r w:rsidRPr="005E6794">
              <w:t>—</w:t>
            </w:r>
            <w:r>
              <w:t xml:space="preserve"> ABS</w:t>
            </w: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t>Data availability:</w:t>
            </w:r>
          </w:p>
        </w:tc>
        <w:tc>
          <w:tcPr>
            <w:tcW w:w="6804" w:type="dxa"/>
          </w:tcPr>
          <w:p w:rsidR="0026369A" w:rsidRPr="0059482B" w:rsidRDefault="0026369A" w:rsidP="0026369A">
            <w:pPr>
              <w:pStyle w:val="TableBodyText"/>
              <w:jc w:val="left"/>
            </w:pPr>
            <w:r>
              <w:t>SEW — 2010 (revised) and 2011</w:t>
            </w:r>
          </w:p>
          <w:p w:rsidR="0026369A" w:rsidRPr="00206C2C" w:rsidRDefault="0026369A" w:rsidP="0026369A">
            <w:pPr>
              <w:pStyle w:val="TableBodyText"/>
              <w:jc w:val="left"/>
            </w:pP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Default="0026369A" w:rsidP="0026369A">
            <w:pPr>
              <w:pStyle w:val="TableBullet"/>
              <w:numPr>
                <w:ilvl w:val="0"/>
                <w:numId w:val="0"/>
              </w:numPr>
            </w:pPr>
            <w:r>
              <w:t>State and Territory, by highest level of schooling completed by:</w:t>
            </w:r>
          </w:p>
          <w:p w:rsidR="0026369A" w:rsidRPr="00015748" w:rsidRDefault="0026369A" w:rsidP="0026369A">
            <w:pPr>
              <w:pStyle w:val="TableBullet"/>
            </w:pPr>
            <w:r w:rsidRPr="00015748">
              <w:t>Fully engaged in education, training and/or employment (disaggregated by education an</w:t>
            </w:r>
            <w:r w:rsidR="001D5099">
              <w:t>d training, employment, total)</w:t>
            </w:r>
          </w:p>
          <w:p w:rsidR="0026369A" w:rsidRPr="00015748" w:rsidRDefault="0026369A" w:rsidP="0026369A">
            <w:pPr>
              <w:pStyle w:val="TableBullet"/>
            </w:pPr>
            <w:r>
              <w:t xml:space="preserve">(fully engaged total) </w:t>
            </w:r>
            <w:r w:rsidRPr="00015748">
              <w:t>by SES (CD based SEIFA IRSD)</w:t>
            </w:r>
          </w:p>
          <w:p w:rsidR="0026369A" w:rsidRDefault="0026369A" w:rsidP="0026369A">
            <w:pPr>
              <w:pStyle w:val="TableBullet"/>
              <w:numPr>
                <w:ilvl w:val="0"/>
                <w:numId w:val="0"/>
              </w:numPr>
            </w:pPr>
          </w:p>
          <w:p w:rsidR="0026369A" w:rsidRDefault="0026369A" w:rsidP="0026369A">
            <w:pPr>
              <w:pStyle w:val="TableBodyText"/>
              <w:jc w:val="left"/>
            </w:pPr>
            <w:r>
              <w:t>Level of schooling completed will be reported for: year 12, year 11, year 10 or below.</w:t>
            </w:r>
          </w:p>
          <w:p w:rsidR="0026369A" w:rsidRPr="007D01E8" w:rsidRDefault="0026369A" w:rsidP="0026369A">
            <w:pPr>
              <w:pStyle w:val="TableBodyText"/>
              <w:jc w:val="left"/>
            </w:pP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27</w:t>
            </w:r>
            <w:r>
              <w:rPr>
                <w:b w:val="0"/>
              </w:rPr>
              <w:fldChar w:fldCharType="end"/>
            </w:r>
            <w:r>
              <w:tab/>
              <w:t>Results</w:t>
            </w:r>
          </w:p>
        </w:tc>
      </w:tr>
      <w:tr w:rsidR="0026369A" w:rsidTr="0026369A">
        <w:trPr>
          <w:cantSplit/>
        </w:trPr>
        <w:tc>
          <w:tcPr>
            <w:tcW w:w="8771" w:type="dxa"/>
            <w:tcBorders>
              <w:top w:val="nil"/>
              <w:left w:val="single" w:sz="4" w:space="0" w:color="auto"/>
              <w:bottom w:val="nil"/>
              <w:right w:val="single" w:sz="4" w:space="0" w:color="auto"/>
            </w:tcBorders>
          </w:tcPr>
          <w:p w:rsidR="00803F0D" w:rsidRDefault="00803F0D" w:rsidP="0082251B">
            <w:pPr>
              <w:pStyle w:val="Box"/>
            </w:pPr>
            <w:r>
              <w:t>For this report, new data for this indicator are available for 2011.</w:t>
            </w:r>
          </w:p>
          <w:p w:rsidR="00803F0D" w:rsidRDefault="00803F0D" w:rsidP="0082251B">
            <w:pPr>
              <w:pStyle w:val="BoxListBullet"/>
              <w:numPr>
                <w:ilvl w:val="0"/>
                <w:numId w:val="1"/>
              </w:numPr>
            </w:pPr>
            <w:r>
              <w:t xml:space="preserve">Data by State and Territory are presented in tables </w:t>
            </w:r>
            <w:proofErr w:type="spellStart"/>
            <w:r>
              <w:t>NEA.9.1</w:t>
            </w:r>
            <w:proofErr w:type="spellEnd"/>
            <w:r>
              <w:t>–9.2.</w:t>
            </w:r>
          </w:p>
          <w:p w:rsidR="00803F0D" w:rsidRDefault="00803F0D" w:rsidP="0082251B">
            <w:pPr>
              <w:pStyle w:val="BoxListBullet"/>
              <w:numPr>
                <w:ilvl w:val="0"/>
                <w:numId w:val="1"/>
              </w:numPr>
            </w:pPr>
            <w:r>
              <w:t xml:space="preserve">Data by State and Territory, be SES are presented in tables </w:t>
            </w:r>
            <w:proofErr w:type="spellStart"/>
            <w:r>
              <w:t>NEA.9.3</w:t>
            </w:r>
            <w:proofErr w:type="spellEnd"/>
            <w:r>
              <w:t>–9.5.</w:t>
            </w:r>
          </w:p>
          <w:p w:rsidR="00803F0D" w:rsidRDefault="00803F0D" w:rsidP="0082251B">
            <w:pPr>
              <w:pStyle w:val="Box"/>
              <w:spacing w:line="240" w:lineRule="auto"/>
            </w:pPr>
            <w:r>
              <w:t>Data for 2010 in the 2010 NEA performance report have been revised</w:t>
            </w:r>
            <w:r w:rsidR="003D14E8">
              <w:t xml:space="preserve"> and are included in this report</w:t>
            </w:r>
            <w:r>
              <w:t>.</w:t>
            </w:r>
          </w:p>
          <w:p w:rsidR="00803F0D" w:rsidRDefault="00803F0D" w:rsidP="0082251B">
            <w:pPr>
              <w:pStyle w:val="BoxListBullet"/>
              <w:numPr>
                <w:ilvl w:val="0"/>
                <w:numId w:val="1"/>
              </w:numPr>
            </w:pPr>
            <w:r>
              <w:t xml:space="preserve">Data by State and Territory are presented in tables </w:t>
            </w:r>
            <w:proofErr w:type="spellStart"/>
            <w:r>
              <w:t>NEA.9.6</w:t>
            </w:r>
            <w:proofErr w:type="spellEnd"/>
            <w:r>
              <w:t>–9.7.</w:t>
            </w:r>
          </w:p>
          <w:p w:rsidR="00803F0D" w:rsidRDefault="00803F0D" w:rsidP="0082251B">
            <w:pPr>
              <w:pStyle w:val="BoxListBullet"/>
              <w:numPr>
                <w:ilvl w:val="0"/>
                <w:numId w:val="1"/>
              </w:numPr>
            </w:pPr>
            <w:r>
              <w:t xml:space="preserve">Data by State and Territory, be SES are presented in tables </w:t>
            </w:r>
            <w:proofErr w:type="spellStart"/>
            <w:r>
              <w:t>NEA.9.8</w:t>
            </w:r>
            <w:proofErr w:type="spellEnd"/>
            <w:r>
              <w:t>–9.10.</w:t>
            </w:r>
          </w:p>
          <w:p w:rsidR="00803F0D" w:rsidRPr="008E3989" w:rsidRDefault="00803F0D" w:rsidP="0082251B">
            <w:pPr>
              <w:pStyle w:val="Box"/>
            </w:pPr>
            <w:r>
              <w:t>Data for 2009 and 2008 are available in the 2009 NEA performance report.</w:t>
            </w:r>
          </w:p>
          <w:p w:rsidR="0026369A" w:rsidRDefault="00803F0D" w:rsidP="0082251B">
            <w:pPr>
              <w:pStyle w:val="Box"/>
              <w:spacing w:line="240" w:lineRule="auto"/>
            </w:pPr>
            <w:r w:rsidRPr="003B63E3">
              <w:t>Apparent differences in results between years may not be statistically significant. To</w:t>
            </w:r>
            <w:r>
              <w:t xml:space="preserve"> </w:t>
            </w:r>
            <w:r w:rsidRPr="003B63E3">
              <w:t>assist in interpretation, 95 per cent confidence intervals and relative standard errors</w:t>
            </w:r>
            <w:r>
              <w:t xml:space="preserve"> </w:t>
            </w:r>
            <w:r w:rsidRPr="003B63E3">
              <w:t>are provided in the attachment tables for this indicator.</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FC4A4C" w:rsidRDefault="0026369A" w:rsidP="0026369A">
      <w:pPr>
        <w:pStyle w:val="Heading4"/>
        <w:spacing w:after="120"/>
      </w:pPr>
      <w:r>
        <w:t>Attachment table</w:t>
      </w:r>
      <w:r w:rsidR="000F0C9C">
        <w:t>s</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4" w:anchor="'Table NEA.9.1'!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NEA.9.1</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Young people (school leavers aged 15–19 years), by level of schooling completed and engagement in post-school education, training and/or employment, 2011</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5" w:anchor="'Table NEA.9.2'!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NEA.9.2</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RSEs and 95 per cent confidence intervals for young people (school leavers aged 15–19 years), by level of schooling completed and engagement in post-school education, training and/or employment, 2011</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6" w:anchor="'Table NEA.9.3'!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NEA.9.3</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Young people (school leavers aged 15–19 years), by level of schooling completed and engagement in post-school education, training and/or employment, 2011, by SES based on ABS SEIFA IRSD</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7" w:anchor="'Table NEA.9.4'!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NEA.9.4</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RSEs for young people (school leavers aged 15–19 years), by level of schooling completed and engagement in post-school education, training and/or employment, 2011, by SES based on ABS SEIFA IRSD</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8" w:anchor="'Table NEA.9.5'!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NEA.9.5</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95 per cent confidence intervals for young people (school leavers aged </w:t>
            </w:r>
            <w:r w:rsidR="00DD0FF7">
              <w:rPr>
                <w:rFonts w:ascii="Arial" w:hAnsi="Arial" w:cs="Arial"/>
                <w:sz w:val="20"/>
                <w:szCs w:val="20"/>
              </w:rPr>
              <w:br/>
            </w:r>
            <w:r>
              <w:rPr>
                <w:rFonts w:ascii="Arial" w:hAnsi="Arial" w:cs="Arial"/>
                <w:sz w:val="20"/>
                <w:szCs w:val="20"/>
              </w:rPr>
              <w:t>15–19 years), by level of schooling c</w:t>
            </w:r>
            <w:r w:rsidR="004A18A0">
              <w:rPr>
                <w:rFonts w:ascii="Arial" w:hAnsi="Arial" w:cs="Arial"/>
                <w:sz w:val="20"/>
                <w:szCs w:val="20"/>
              </w:rPr>
              <w:t>ompleted and engagement in post</w:t>
            </w:r>
            <w:r w:rsidR="004A18A0">
              <w:rPr>
                <w:rFonts w:ascii="Arial" w:hAnsi="Arial" w:cs="Arial"/>
                <w:sz w:val="20"/>
                <w:szCs w:val="20"/>
              </w:rPr>
              <w:noBreakHyphen/>
            </w:r>
            <w:r>
              <w:rPr>
                <w:rFonts w:ascii="Arial" w:hAnsi="Arial" w:cs="Arial"/>
                <w:sz w:val="20"/>
                <w:szCs w:val="20"/>
              </w:rPr>
              <w:t xml:space="preserve">school education, training and/or employment, 2011, by SES based on ABS SEIFA IRSD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19" w:anchor="'Table NEA.9.6'!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NEA.9.6</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Young people (school leavers aged 15–19 years), by level of schooling completed and engagement in post-school education, training and/or employment, 2010</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0" w:anchor="'Table NEA.9.7'!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NEA.9.7</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RSEs and 95 per cent confidence intervals for young people (school leavers aged 15–19 years), by level of schooling completed and engagement in post-school education, training and/or employment, 2010</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1" w:anchor="'Table NEA.9.8'!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NEA.9.8</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Young people (school leavers aged 15–19 years), by level of schooling completed and engagement in post-school education, training and/or employment, 2010, by SES based on ABS SEIFA IRSD</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2" w:anchor="'Table NEA.9.9'!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NEA.9.9</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RSEs for young people (school leavers aged 15–19 years), by level of schooling completed and engagement in post-school education, training and/or employment, 2010, by SES based on ABS SEIFA IRSD</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3" w:anchor="'Table NEA.9.10'!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NEA.9.10</w:t>
              </w:r>
              <w:proofErr w:type="spellEnd"/>
            </w:hyperlink>
          </w:p>
        </w:tc>
        <w:tc>
          <w:tcPr>
            <w:tcW w:w="6943" w:type="dxa"/>
          </w:tcPr>
          <w:p w:rsidR="0026369A" w:rsidRDefault="0026369A" w:rsidP="0026369A">
            <w:pPr>
              <w:jc w:val="both"/>
              <w:rPr>
                <w:rFonts w:ascii="Arial" w:hAnsi="Arial" w:cs="Arial"/>
                <w:sz w:val="20"/>
                <w:szCs w:val="20"/>
              </w:rPr>
            </w:pPr>
            <w:r>
              <w:rPr>
                <w:rFonts w:ascii="Arial" w:hAnsi="Arial" w:cs="Arial"/>
                <w:sz w:val="20"/>
                <w:szCs w:val="20"/>
              </w:rPr>
              <w:t xml:space="preserve">95 per cent confidence intervals for young people (school leavers aged </w:t>
            </w:r>
            <w:r w:rsidR="00DD0FF7">
              <w:rPr>
                <w:rFonts w:ascii="Arial" w:hAnsi="Arial" w:cs="Arial"/>
                <w:sz w:val="20"/>
                <w:szCs w:val="20"/>
              </w:rPr>
              <w:br/>
            </w:r>
            <w:r>
              <w:rPr>
                <w:rFonts w:ascii="Arial" w:hAnsi="Arial" w:cs="Arial"/>
                <w:sz w:val="20"/>
                <w:szCs w:val="20"/>
              </w:rPr>
              <w:t>15–19 years), by level of schooling c</w:t>
            </w:r>
            <w:r w:rsidR="004A18A0">
              <w:rPr>
                <w:rFonts w:ascii="Arial" w:hAnsi="Arial" w:cs="Arial"/>
                <w:sz w:val="20"/>
                <w:szCs w:val="20"/>
              </w:rPr>
              <w:t>ompleted and engagement in post</w:t>
            </w:r>
            <w:r w:rsidR="004A18A0">
              <w:rPr>
                <w:rFonts w:ascii="Arial" w:hAnsi="Arial" w:cs="Arial"/>
                <w:sz w:val="20"/>
                <w:szCs w:val="20"/>
              </w:rPr>
              <w:noBreakHyphen/>
            </w:r>
            <w:r>
              <w:rPr>
                <w:rFonts w:ascii="Arial" w:hAnsi="Arial" w:cs="Arial"/>
                <w:sz w:val="20"/>
                <w:szCs w:val="20"/>
              </w:rPr>
              <w:t xml:space="preserve">school education, training and/or employment, 2010, by SES based on ABS SEIFA IRSD </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28</w:t>
            </w:r>
            <w:r>
              <w:rPr>
                <w:b w:val="0"/>
              </w:rPr>
              <w:fldChar w:fldCharType="end"/>
            </w:r>
            <w:r>
              <w:tab/>
              <w:t>Comment on data quality</w:t>
            </w:r>
          </w:p>
        </w:tc>
      </w:tr>
      <w:tr w:rsidR="0026369A" w:rsidTr="0026369A">
        <w:trPr>
          <w:cantSplit/>
        </w:trPr>
        <w:tc>
          <w:tcPr>
            <w:tcW w:w="8771" w:type="dxa"/>
            <w:tcBorders>
              <w:top w:val="nil"/>
              <w:left w:val="single" w:sz="4" w:space="0" w:color="auto"/>
              <w:bottom w:val="nil"/>
              <w:right w:val="single" w:sz="4" w:space="0" w:color="auto"/>
            </w:tcBorders>
          </w:tcPr>
          <w:p w:rsidR="00803F0D" w:rsidRPr="0077174A" w:rsidRDefault="00803F0D" w:rsidP="0082251B">
            <w:pPr>
              <w:pStyle w:val="Box"/>
            </w:pPr>
            <w:r w:rsidRPr="0077174A">
              <w:t>The DQS for this indicator has been prepared by the ABS and is included in its original form in the section in this report titled ‘Data Quality Statements.’ Key points from the DQS are summarised below.</w:t>
            </w:r>
          </w:p>
          <w:p w:rsidR="0077174A" w:rsidRDefault="00803F0D" w:rsidP="0082251B">
            <w:pPr>
              <w:pStyle w:val="BoxListBullet"/>
              <w:numPr>
                <w:ilvl w:val="0"/>
                <w:numId w:val="1"/>
              </w:numPr>
            </w:pPr>
            <w:r w:rsidRPr="0077174A">
              <w:t>The data provide relevant information on the proportion of 15–19 year old school leavers who are fully participating in post school education and/or training (with an additional grouping also including employment). Data are available by SES. Data are not available by Indigenous status.</w:t>
            </w:r>
            <w:r w:rsidR="00A10A5E">
              <w:t xml:space="preserve"> </w:t>
            </w:r>
            <w:r w:rsidR="0077174A" w:rsidRPr="0077174A">
              <w:t>Data are av</w:t>
            </w:r>
            <w:r w:rsidR="00CE44B1">
              <w:t>ailable by State and Territory.</w:t>
            </w:r>
          </w:p>
          <w:p w:rsidR="00A10A5E" w:rsidRDefault="00A10A5E" w:rsidP="0082251B">
            <w:pPr>
              <w:pStyle w:val="BoxListBullet"/>
              <w:numPr>
                <w:ilvl w:val="0"/>
                <w:numId w:val="1"/>
              </w:numPr>
            </w:pPr>
            <w:r>
              <w:t xml:space="preserve">Annual data are available from the Survey of Education and Work (SEW), with the most recent available data </w:t>
            </w:r>
            <w:r w:rsidR="006574E1">
              <w:t>for</w:t>
            </w:r>
            <w:r>
              <w:t xml:space="preserve"> 2011.</w:t>
            </w:r>
          </w:p>
          <w:p w:rsidR="00A10A5E" w:rsidRPr="0077174A" w:rsidRDefault="00A10A5E" w:rsidP="0082251B">
            <w:pPr>
              <w:pStyle w:val="BoxListBullet"/>
              <w:numPr>
                <w:ilvl w:val="0"/>
                <w:numId w:val="1"/>
              </w:numPr>
            </w:pPr>
            <w:r>
              <w:t xml:space="preserve">Prior to 2009, all persons in very remote areas were excluded from the SEW. From 2009 onwards, the SEW has had a slightly wider scope, and excludes only persons in Indigenous communities in very remote areas. This change has only a minor effect on </w:t>
            </w:r>
            <w:r w:rsidRPr="0040191D">
              <w:rPr>
                <w:i/>
              </w:rPr>
              <w:t>national</w:t>
            </w:r>
            <w:r>
              <w:t xml:space="preserve"> comparisons over time.</w:t>
            </w:r>
          </w:p>
          <w:p w:rsidR="0077174A" w:rsidRPr="0077174A" w:rsidRDefault="0077174A" w:rsidP="0082251B">
            <w:pPr>
              <w:pStyle w:val="BoxListBullet"/>
              <w:numPr>
                <w:ilvl w:val="0"/>
                <w:numId w:val="1"/>
              </w:numPr>
            </w:pPr>
            <w:r w:rsidRPr="0077174A">
              <w:t xml:space="preserve">The ongoing exclusion of Indigenous communities in very remote areas has only a minor effect on estimates by </w:t>
            </w:r>
            <w:r w:rsidRPr="0040191D">
              <w:rPr>
                <w:i/>
              </w:rPr>
              <w:t>State and Territory</w:t>
            </w:r>
            <w:r w:rsidRPr="0077174A">
              <w:t>, except for the NT, where remote Indigenous communities account for around</w:t>
            </w:r>
            <w:r w:rsidR="00CE44B1">
              <w:t xml:space="preserve"> 15 per cent of the population.</w:t>
            </w:r>
          </w:p>
          <w:p w:rsidR="0077174A" w:rsidRPr="0077174A" w:rsidRDefault="0077174A" w:rsidP="0082251B">
            <w:pPr>
              <w:pStyle w:val="BoxListBullet"/>
              <w:numPr>
                <w:ilvl w:val="0"/>
                <w:numId w:val="1"/>
              </w:numPr>
            </w:pPr>
            <w:r w:rsidRPr="0077174A">
              <w:t>Data for 2010 have been revised due to amendments to the population benchmarks for the 2010 SEW.</w:t>
            </w:r>
            <w:r w:rsidR="00A10A5E">
              <w:t xml:space="preserve"> Revised 2010 data are included in this report to maintain time series.</w:t>
            </w:r>
          </w:p>
          <w:p w:rsidR="0077174A" w:rsidRPr="0077174A" w:rsidRDefault="0077174A" w:rsidP="0082251B">
            <w:pPr>
              <w:pStyle w:val="BoxListBullet"/>
              <w:numPr>
                <w:ilvl w:val="0"/>
                <w:numId w:val="1"/>
              </w:numPr>
            </w:pPr>
            <w:r w:rsidRPr="0077174A">
              <w:t>Detailed explanatory notes are publicly available to assist in interpretation of results.</w:t>
            </w:r>
          </w:p>
          <w:p w:rsidR="0077174A" w:rsidRPr="0077174A" w:rsidRDefault="0077174A" w:rsidP="0082251B">
            <w:pPr>
              <w:pStyle w:val="BoxListBullet"/>
              <w:numPr>
                <w:ilvl w:val="0"/>
                <w:numId w:val="1"/>
              </w:numPr>
            </w:pPr>
            <w:r w:rsidRPr="0077174A">
              <w:t>Additional data from the data source are available.</w:t>
            </w:r>
          </w:p>
          <w:p w:rsidR="0077174A" w:rsidRPr="0077174A" w:rsidRDefault="0077174A" w:rsidP="0082251B">
            <w:pPr>
              <w:pStyle w:val="Box"/>
            </w:pPr>
            <w:r w:rsidRPr="0077174A">
              <w:t>The Steering Committee also notes the following issues:</w:t>
            </w:r>
          </w:p>
          <w:p w:rsidR="0077174A" w:rsidRDefault="00A10A5E" w:rsidP="0082251B">
            <w:pPr>
              <w:pStyle w:val="BoxListBullet"/>
              <w:numPr>
                <w:ilvl w:val="0"/>
                <w:numId w:val="1"/>
              </w:numPr>
            </w:pPr>
            <w:r>
              <w:t>The full sample for the SEW was reinstated in 2010 and generally resulted in lower RSEs</w:t>
            </w:r>
            <w:r w:rsidR="0077174A" w:rsidRPr="0077174A">
              <w:t>.</w:t>
            </w:r>
            <w:r>
              <w:t xml:space="preserve"> However, the size of the RSEs continue to affect the ability to identify year on year movements for this indicator for all jurisdictions.</w:t>
            </w:r>
          </w:p>
          <w:p w:rsidR="00A10A5E" w:rsidRPr="0077174A" w:rsidRDefault="00A10A5E" w:rsidP="0082251B">
            <w:pPr>
              <w:pStyle w:val="BoxListBullet"/>
              <w:numPr>
                <w:ilvl w:val="0"/>
                <w:numId w:val="1"/>
              </w:numPr>
            </w:pPr>
            <w:r>
              <w:t xml:space="preserve">The ABS investigated the use of ‘pooling’ of SEW results for multiple years to reduce RSEs. However, the size of the RSEs did not reduce enough to improve </w:t>
            </w:r>
            <w:r w:rsidR="006574E1">
              <w:t xml:space="preserve">substantially </w:t>
            </w:r>
            <w:r>
              <w:t>detection of year on year movements.</w:t>
            </w:r>
          </w:p>
          <w:p w:rsidR="0026369A" w:rsidRPr="0077174A" w:rsidRDefault="00A10A5E" w:rsidP="0082251B">
            <w:pPr>
              <w:pStyle w:val="BoxListBullet"/>
              <w:numPr>
                <w:ilvl w:val="0"/>
                <w:numId w:val="1"/>
              </w:numPr>
            </w:pPr>
            <w:r>
              <w:t>Subject to the outcomes of the NEA review, the Steering Committee considers that further investigation of alternative data sources and/or alternative measures is required for reporting against this indicator</w:t>
            </w:r>
            <w:r w:rsidR="00803F0D" w:rsidRPr="0077174A">
              <w: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Default="0026369A" w:rsidP="0026369A">
      <w:pPr>
        <w:pStyle w:val="BodyText"/>
      </w:pPr>
    </w:p>
    <w:p w:rsidR="0026369A" w:rsidRDefault="0026369A" w:rsidP="0026369A">
      <w:pPr>
        <w:pStyle w:val="Heading3"/>
        <w:spacing w:before="360" w:after="240"/>
      </w:pPr>
      <w:r>
        <w:br w:type="page"/>
      </w:r>
      <w:bookmarkStart w:id="31" w:name="_Ref322529473"/>
      <w:r>
        <w:lastRenderedPageBreak/>
        <w:t>NEA Indicator 10</w:t>
      </w:r>
      <w:r w:rsidRPr="00815A7A">
        <w:t>. The proportion of 18 to 24 year olds engaged in full time employment, education or training at or above Certificate III</w:t>
      </w:r>
      <w:bookmarkEnd w:id="31"/>
    </w:p>
    <w:tbl>
      <w:tblPr>
        <w:tblW w:w="8789" w:type="dxa"/>
        <w:tblInd w:w="108" w:type="dxa"/>
        <w:tblLook w:val="01E0" w:firstRow="1" w:lastRow="1" w:firstColumn="1" w:lastColumn="1" w:noHBand="0" w:noVBand="0"/>
      </w:tblPr>
      <w:tblGrid>
        <w:gridCol w:w="1985"/>
        <w:gridCol w:w="6804"/>
      </w:tblGrid>
      <w:tr w:rsidR="00DD0FF7" w:rsidRPr="005E6794" w:rsidTr="00DD0FF7">
        <w:trPr>
          <w:trHeight w:val="655"/>
        </w:trPr>
        <w:tc>
          <w:tcPr>
            <w:tcW w:w="1985" w:type="dxa"/>
          </w:tcPr>
          <w:p w:rsidR="00DD0FF7" w:rsidRPr="00FB6E71" w:rsidRDefault="00DD0FF7" w:rsidP="0026369A">
            <w:pPr>
              <w:pStyle w:val="TableBodyText"/>
              <w:ind w:left="-108"/>
              <w:jc w:val="left"/>
            </w:pPr>
            <w:r>
              <w:t>Key amendments from previous cycle:</w:t>
            </w:r>
          </w:p>
        </w:tc>
        <w:tc>
          <w:tcPr>
            <w:tcW w:w="6804" w:type="dxa"/>
          </w:tcPr>
          <w:p w:rsidR="00DD0FF7" w:rsidRPr="00374911" w:rsidRDefault="00DD0FF7" w:rsidP="0026369A">
            <w:pPr>
              <w:pStyle w:val="TableBodyText"/>
              <w:ind w:left="34"/>
              <w:jc w:val="left"/>
            </w:pPr>
            <w:r w:rsidRPr="00374911">
              <w:t>Data for 2010 have been revised due to amendments to the 2010 SEW population benchmarks:</w:t>
            </w:r>
          </w:p>
          <w:p w:rsidR="00DD0FF7" w:rsidRPr="00374911" w:rsidRDefault="00DD0FF7" w:rsidP="00C41E1E">
            <w:pPr>
              <w:pStyle w:val="TableBullet"/>
            </w:pPr>
            <w:r w:rsidRPr="00374911">
              <w:t>Net Overseas Migration estimates used in calculating the population benchmarks have been revised</w:t>
            </w:r>
          </w:p>
          <w:p w:rsidR="00DD0FF7" w:rsidRDefault="00DD0FF7" w:rsidP="00C41E1E">
            <w:pPr>
              <w:pStyle w:val="TableBullet"/>
            </w:pPr>
            <w:r w:rsidRPr="00374911">
              <w:t xml:space="preserve">the population benchmarks </w:t>
            </w:r>
            <w:r w:rsidR="003A69AA">
              <w:t xml:space="preserve">for the NT have been amended </w:t>
            </w:r>
            <w:r w:rsidRPr="00374911">
              <w:t>to align with</w:t>
            </w:r>
            <w:r w:rsidR="003A69AA">
              <w:t xml:space="preserve"> changes in the geographical </w:t>
            </w:r>
            <w:r w:rsidRPr="00374911">
              <w:t>scope</w:t>
            </w:r>
            <w:r w:rsidR="003A69AA">
              <w:t xml:space="preserve"> of the survey</w:t>
            </w:r>
            <w:r w:rsidRPr="00374911">
              <w:t>.</w:t>
            </w:r>
          </w:p>
          <w:p w:rsidR="00DD0FF7" w:rsidRPr="00374911" w:rsidRDefault="00DD0FF7" w:rsidP="0026369A">
            <w:pPr>
              <w:pStyle w:val="TableBodyText"/>
              <w:ind w:left="754"/>
              <w:jc w:val="left"/>
            </w:pPr>
          </w:p>
        </w:tc>
      </w:tr>
      <w:tr w:rsidR="00DD0FF7" w:rsidRPr="005E6794" w:rsidTr="00DD0FF7">
        <w:trPr>
          <w:trHeight w:val="743"/>
        </w:trPr>
        <w:tc>
          <w:tcPr>
            <w:tcW w:w="1985" w:type="dxa"/>
          </w:tcPr>
          <w:p w:rsidR="00DD0FF7" w:rsidRPr="005E6794" w:rsidRDefault="00DD0FF7" w:rsidP="0026369A">
            <w:pPr>
              <w:pStyle w:val="TableBodyText"/>
              <w:ind w:left="-113"/>
              <w:jc w:val="left"/>
            </w:pPr>
            <w:r>
              <w:t>Outcome area</w:t>
            </w:r>
            <w:r w:rsidRPr="005E6794">
              <w:t>:</w:t>
            </w:r>
          </w:p>
        </w:tc>
        <w:tc>
          <w:tcPr>
            <w:tcW w:w="6804" w:type="dxa"/>
          </w:tcPr>
          <w:p w:rsidR="00DD0FF7" w:rsidRPr="004161F4" w:rsidRDefault="00DD0FF7" w:rsidP="0026369A">
            <w:pPr>
              <w:pStyle w:val="TableBodyText"/>
              <w:jc w:val="left"/>
            </w:pPr>
            <w:r>
              <w:t>Young people make a successful transition from school to work and further study</w:t>
            </w:r>
          </w:p>
        </w:tc>
      </w:tr>
      <w:tr w:rsidR="00DD0FF7" w:rsidRPr="005E6794" w:rsidTr="00DD0FF7">
        <w:trPr>
          <w:trHeight w:val="682"/>
        </w:trPr>
        <w:tc>
          <w:tcPr>
            <w:tcW w:w="1985" w:type="dxa"/>
          </w:tcPr>
          <w:p w:rsidR="00DD0FF7" w:rsidRDefault="00DD0FF7" w:rsidP="0026369A">
            <w:pPr>
              <w:pStyle w:val="TableBodyText"/>
              <w:ind w:left="-113"/>
              <w:jc w:val="left"/>
            </w:pPr>
            <w:r>
              <w:t>Performance indicator:</w:t>
            </w:r>
          </w:p>
        </w:tc>
        <w:tc>
          <w:tcPr>
            <w:tcW w:w="6804" w:type="dxa"/>
          </w:tcPr>
          <w:p w:rsidR="00DD0FF7" w:rsidRDefault="00DD0FF7" w:rsidP="0026369A">
            <w:pPr>
              <w:pStyle w:val="TableBodyText"/>
              <w:jc w:val="left"/>
            </w:pPr>
            <w:r>
              <w:t>The proportion of 18 to 24 year olds engaged in full time employment, education or training at or above Certificate III</w:t>
            </w:r>
          </w:p>
          <w:p w:rsidR="00DD0FF7" w:rsidRPr="008941BF" w:rsidRDefault="00DD0FF7" w:rsidP="0026369A">
            <w:pPr>
              <w:pStyle w:val="TableBodyText"/>
              <w:jc w:val="left"/>
            </w:pPr>
          </w:p>
        </w:tc>
      </w:tr>
      <w:tr w:rsidR="00DD0FF7" w:rsidRPr="005E6794" w:rsidTr="00DD0FF7">
        <w:trPr>
          <w:trHeight w:val="5342"/>
        </w:trPr>
        <w:tc>
          <w:tcPr>
            <w:tcW w:w="1985" w:type="dxa"/>
          </w:tcPr>
          <w:p w:rsidR="00DD0FF7" w:rsidRPr="005E6794" w:rsidRDefault="00DD0FF7" w:rsidP="0026369A">
            <w:pPr>
              <w:pStyle w:val="TableBodyText"/>
              <w:ind w:left="-113"/>
              <w:jc w:val="left"/>
            </w:pPr>
            <w:r w:rsidRPr="005E6794">
              <w:t xml:space="preserve">Measure: </w:t>
            </w:r>
          </w:p>
        </w:tc>
        <w:tc>
          <w:tcPr>
            <w:tcW w:w="6804" w:type="dxa"/>
          </w:tcPr>
          <w:p w:rsidR="00DD0FF7" w:rsidRDefault="00DD0FF7" w:rsidP="0026369A">
            <w:pPr>
              <w:pStyle w:val="TableBodyText"/>
              <w:jc w:val="left"/>
            </w:pPr>
            <w:r>
              <w:t xml:space="preserve">Proportion of 18 to 24 year olds who are fully engaged in employment, education or training at or above </w:t>
            </w:r>
            <w:proofErr w:type="spellStart"/>
            <w:r>
              <w:t>AQF</w:t>
            </w:r>
            <w:proofErr w:type="spellEnd"/>
            <w:r>
              <w:t xml:space="preserve"> Certificate Level III</w:t>
            </w:r>
          </w:p>
          <w:p w:rsidR="00DD0FF7" w:rsidRDefault="00DD0FF7" w:rsidP="0026369A">
            <w:pPr>
              <w:pStyle w:val="TableBodyText"/>
              <w:jc w:val="left"/>
            </w:pPr>
          </w:p>
          <w:p w:rsidR="00DD0FF7" w:rsidRDefault="00DD0FF7" w:rsidP="0026369A">
            <w:pPr>
              <w:pStyle w:val="TableBodyText"/>
              <w:jc w:val="left"/>
            </w:pPr>
            <w:r>
              <w:t>The measure is defined as:</w:t>
            </w:r>
          </w:p>
          <w:p w:rsidR="00DD0FF7" w:rsidRDefault="00DD0FF7" w:rsidP="0026369A">
            <w:pPr>
              <w:pStyle w:val="TableBullet"/>
            </w:pPr>
            <w:r w:rsidRPr="001E00EB">
              <w:rPr>
                <w:i/>
              </w:rPr>
              <w:t>numerator</w:t>
            </w:r>
            <w:r>
              <w:t xml:space="preserve"> </w:t>
            </w:r>
            <w:r w:rsidRPr="005E6794">
              <w:t>—</w:t>
            </w:r>
            <w:r>
              <w:t xml:space="preserve"> number of persons aged 18 to 24 years who are fully engaged in employment, education and/or training </w:t>
            </w:r>
            <w:r w:rsidR="00CE44B1">
              <w:t xml:space="preserve">at or above </w:t>
            </w:r>
            <w:proofErr w:type="spellStart"/>
            <w:r w:rsidR="00CE44B1">
              <w:t>AQF</w:t>
            </w:r>
            <w:proofErr w:type="spellEnd"/>
            <w:r w:rsidR="00CE44B1">
              <w:t xml:space="preserve"> Certificate III</w:t>
            </w:r>
          </w:p>
          <w:p w:rsidR="00DD0FF7" w:rsidRDefault="00DD0FF7" w:rsidP="0026369A">
            <w:pPr>
              <w:pStyle w:val="TableBullet"/>
            </w:pPr>
            <w:r w:rsidRPr="001E00EB">
              <w:rPr>
                <w:i/>
              </w:rPr>
              <w:t>denominator</w:t>
            </w:r>
            <w:r w:rsidRPr="001E00EB">
              <w:t xml:space="preserve"> </w:t>
            </w:r>
            <w:r w:rsidRPr="005E6794">
              <w:t>—</w:t>
            </w:r>
            <w:r>
              <w:t xml:space="preserve"> number of persons aged 18 to 24 years</w:t>
            </w:r>
          </w:p>
          <w:p w:rsidR="00DD0FF7" w:rsidRDefault="00DD0FF7" w:rsidP="0026369A">
            <w:pPr>
              <w:pStyle w:val="TableBodyText"/>
              <w:jc w:val="left"/>
            </w:pPr>
            <w:r>
              <w:t xml:space="preserve">and is expressed as a </w:t>
            </w:r>
            <w:r w:rsidRPr="00B35EB2">
              <w:rPr>
                <w:i/>
              </w:rPr>
              <w:t>percentage</w:t>
            </w:r>
          </w:p>
          <w:p w:rsidR="00DD0FF7" w:rsidRDefault="00DD0FF7" w:rsidP="0026369A">
            <w:pPr>
              <w:pStyle w:val="TableBodyText"/>
              <w:jc w:val="left"/>
            </w:pPr>
          </w:p>
          <w:p w:rsidR="00DD0FF7" w:rsidRDefault="00DD0FF7" w:rsidP="0026369A">
            <w:pPr>
              <w:pStyle w:val="TableBodyText"/>
              <w:jc w:val="left"/>
            </w:pPr>
            <w:r>
              <w:t>Fully engaged is defined as full time employment, full time education or training, or a mixture of part time employment and part time education or training</w:t>
            </w:r>
          </w:p>
          <w:p w:rsidR="00DD0FF7" w:rsidRDefault="00DD0FF7" w:rsidP="0082251B">
            <w:pPr>
              <w:pStyle w:val="TableBodyText"/>
              <w:ind w:left="0"/>
              <w:jc w:val="left"/>
            </w:pPr>
          </w:p>
          <w:p w:rsidR="00DD0FF7" w:rsidRDefault="00DD0FF7" w:rsidP="0082251B">
            <w:pPr>
              <w:pStyle w:val="TableBodyText"/>
              <w:jc w:val="left"/>
            </w:pPr>
            <w:r>
              <w:t xml:space="preserve">People whose level of study cannot be determined are assumed to be studying at below the Certificate III level and are excluded from the </w:t>
            </w:r>
            <w:r w:rsidR="00BB2AD4">
              <w:t>numerator</w:t>
            </w:r>
          </w:p>
          <w:p w:rsidR="00DD0FF7" w:rsidRPr="005E6794" w:rsidRDefault="00DD0FF7" w:rsidP="0026369A">
            <w:pPr>
              <w:pStyle w:val="TableBodyText"/>
              <w:jc w:val="left"/>
            </w:pPr>
            <w:r>
              <w:t>Persons who have not stated the level of qualification they are working towards are excluded from the numerator and denominator (only applicable to Census data)</w:t>
            </w:r>
          </w:p>
        </w:tc>
      </w:tr>
      <w:tr w:rsidR="00DD0FF7" w:rsidRPr="005E6794" w:rsidTr="00DD0FF7">
        <w:trPr>
          <w:trHeight w:val="574"/>
        </w:trPr>
        <w:tc>
          <w:tcPr>
            <w:tcW w:w="1985" w:type="dxa"/>
          </w:tcPr>
          <w:p w:rsidR="00DD0FF7" w:rsidRPr="005E6794" w:rsidRDefault="00DD0FF7" w:rsidP="0026369A">
            <w:pPr>
              <w:pStyle w:val="TableBodyText"/>
              <w:ind w:left="-113"/>
              <w:jc w:val="left"/>
            </w:pPr>
            <w:r w:rsidRPr="005E6794">
              <w:t>Data source</w:t>
            </w:r>
            <w:r>
              <w:t>s:</w:t>
            </w:r>
          </w:p>
        </w:tc>
        <w:tc>
          <w:tcPr>
            <w:tcW w:w="6804" w:type="dxa"/>
          </w:tcPr>
          <w:p w:rsidR="00DD0FF7" w:rsidRDefault="00DD0FF7" w:rsidP="0026369A">
            <w:pPr>
              <w:pStyle w:val="TableBodyText"/>
              <w:jc w:val="left"/>
            </w:pPr>
            <w:r>
              <w:rPr>
                <w:i/>
              </w:rPr>
              <w:t xml:space="preserve">(Main) </w:t>
            </w:r>
            <w:r w:rsidRPr="005E6794">
              <w:rPr>
                <w:i/>
              </w:rPr>
              <w:t>Numerator</w:t>
            </w:r>
            <w:r>
              <w:rPr>
                <w:i/>
              </w:rPr>
              <w:t xml:space="preserve"> and denominator </w:t>
            </w:r>
            <w:r w:rsidRPr="005E6794">
              <w:t>—</w:t>
            </w:r>
            <w:r>
              <w:t xml:space="preserve"> (All) (SES) </w:t>
            </w:r>
            <w:r w:rsidRPr="006D167C">
              <w:rPr>
                <w:u w:val="single"/>
              </w:rPr>
              <w:t>Survey of Education and Work</w:t>
            </w:r>
            <w:r>
              <w:t xml:space="preserve"> (SEW). Data are available annually</w:t>
            </w:r>
          </w:p>
          <w:p w:rsidR="00DD0FF7" w:rsidRDefault="00DD0FF7" w:rsidP="0026369A">
            <w:pPr>
              <w:pStyle w:val="TableBodyText"/>
              <w:jc w:val="left"/>
            </w:pPr>
          </w:p>
          <w:p w:rsidR="00DD0FF7" w:rsidRDefault="00DD0FF7" w:rsidP="0026369A">
            <w:pPr>
              <w:pStyle w:val="TableBodyText"/>
              <w:jc w:val="left"/>
            </w:pPr>
            <w:r>
              <w:rPr>
                <w:i/>
              </w:rPr>
              <w:t xml:space="preserve">(Supplementary) </w:t>
            </w:r>
            <w:r w:rsidRPr="005E6794">
              <w:rPr>
                <w:i/>
              </w:rPr>
              <w:t>Numerator</w:t>
            </w:r>
            <w:r>
              <w:rPr>
                <w:i/>
              </w:rPr>
              <w:t xml:space="preserve"> and denominator </w:t>
            </w:r>
            <w:r w:rsidRPr="005E6794">
              <w:t>—</w:t>
            </w:r>
            <w:r>
              <w:t xml:space="preserve"> (Indigenous status) (SES) </w:t>
            </w:r>
            <w:r w:rsidRPr="003B744D">
              <w:rPr>
                <w:u w:val="single"/>
              </w:rPr>
              <w:t>Census of Population and Housing</w:t>
            </w:r>
            <w:r>
              <w:t xml:space="preserve"> (Census). Data are available every 5 years</w:t>
            </w:r>
          </w:p>
          <w:p w:rsidR="00DD0FF7" w:rsidRDefault="00DD0FF7" w:rsidP="0026369A">
            <w:pPr>
              <w:pStyle w:val="TableBodyText"/>
              <w:jc w:val="left"/>
            </w:pPr>
          </w:p>
          <w:p w:rsidR="006A56AD" w:rsidRDefault="00DD0FF7" w:rsidP="0026369A">
            <w:pPr>
              <w:pStyle w:val="TableBodyText"/>
              <w:jc w:val="left"/>
            </w:pPr>
            <w:r>
              <w:rPr>
                <w:i/>
              </w:rPr>
              <w:t xml:space="preserve">(Supplementary) </w:t>
            </w:r>
            <w:r w:rsidRPr="005E6794">
              <w:rPr>
                <w:i/>
              </w:rPr>
              <w:t>Numerator</w:t>
            </w:r>
            <w:r>
              <w:rPr>
                <w:i/>
              </w:rPr>
              <w:t xml:space="preserve"> and denominator </w:t>
            </w:r>
            <w:r w:rsidRPr="005E6794">
              <w:t>—</w:t>
            </w:r>
            <w:r>
              <w:t xml:space="preserve"> (Indigenous) </w:t>
            </w:r>
            <w:r w:rsidRPr="006D167C">
              <w:rPr>
                <w:u w:val="single"/>
              </w:rPr>
              <w:t>National Aboriginal and Torres Strait Islander Social Survey</w:t>
            </w:r>
            <w:r>
              <w:t xml:space="preserve"> (NATSISS) and </w:t>
            </w:r>
            <w:r>
              <w:rPr>
                <w:u w:val="single"/>
              </w:rPr>
              <w:t>Australian</w:t>
            </w:r>
            <w:r w:rsidRPr="006D167C">
              <w:rPr>
                <w:u w:val="single"/>
              </w:rPr>
              <w:t xml:space="preserve"> Aboriginal and Torres Strait Islander Health Survey</w:t>
            </w:r>
            <w:r>
              <w:t xml:space="preserve"> (AATSIHS) (which replaces the NATSIHS). Data are available on a rotating 3-yearly cycle. (Non-Indigenous) </w:t>
            </w:r>
            <w:r w:rsidRPr="006D167C">
              <w:rPr>
                <w:u w:val="single"/>
              </w:rPr>
              <w:t>Survey of Education and Work</w:t>
            </w:r>
            <w:r>
              <w:t xml:space="preserve"> (SEW). Data are available annually</w:t>
            </w:r>
          </w:p>
          <w:p w:rsidR="00DD0FF7" w:rsidRPr="008815FE" w:rsidRDefault="00DD0FF7" w:rsidP="0026369A">
            <w:pPr>
              <w:pStyle w:val="TableBodyText"/>
              <w:jc w:val="left"/>
            </w:pPr>
          </w:p>
        </w:tc>
      </w:tr>
      <w:tr w:rsidR="00DD0FF7" w:rsidRPr="005E6794" w:rsidTr="00DD0FF7">
        <w:trPr>
          <w:trHeight w:val="582"/>
        </w:trPr>
        <w:tc>
          <w:tcPr>
            <w:tcW w:w="1985" w:type="dxa"/>
          </w:tcPr>
          <w:p w:rsidR="00DD0FF7" w:rsidRPr="005E6794" w:rsidRDefault="00DD0FF7" w:rsidP="0026369A">
            <w:pPr>
              <w:pStyle w:val="TableBodyText"/>
              <w:ind w:left="-113"/>
              <w:jc w:val="left"/>
            </w:pPr>
            <w:r w:rsidRPr="005E6794">
              <w:lastRenderedPageBreak/>
              <w:t>Data provider:</w:t>
            </w:r>
          </w:p>
        </w:tc>
        <w:tc>
          <w:tcPr>
            <w:tcW w:w="6804" w:type="dxa"/>
          </w:tcPr>
          <w:p w:rsidR="00DD0FF7" w:rsidRPr="005E6794" w:rsidRDefault="00DD0FF7" w:rsidP="0026369A">
            <w:pPr>
              <w:pStyle w:val="TableBodyText"/>
              <w:jc w:val="left"/>
            </w:pPr>
            <w:r w:rsidRPr="005E6794">
              <w:rPr>
                <w:i/>
              </w:rPr>
              <w:t>Numerator</w:t>
            </w:r>
            <w:r>
              <w:rPr>
                <w:i/>
              </w:rPr>
              <w:t xml:space="preserve"> and denominator </w:t>
            </w:r>
            <w:r w:rsidRPr="005E6794">
              <w:t>—</w:t>
            </w:r>
            <w:r>
              <w:t xml:space="preserve"> ABS</w:t>
            </w:r>
          </w:p>
        </w:tc>
      </w:tr>
      <w:tr w:rsidR="00DD0FF7" w:rsidRPr="005E6794" w:rsidTr="00DD0FF7">
        <w:trPr>
          <w:trHeight w:val="646"/>
        </w:trPr>
        <w:tc>
          <w:tcPr>
            <w:tcW w:w="1985" w:type="dxa"/>
          </w:tcPr>
          <w:p w:rsidR="00DD0FF7" w:rsidRPr="005E6794" w:rsidRDefault="00DD0FF7" w:rsidP="0026369A">
            <w:pPr>
              <w:pStyle w:val="TableBodyText"/>
              <w:ind w:left="-113"/>
              <w:jc w:val="left"/>
            </w:pPr>
            <w:r w:rsidRPr="005E6794">
              <w:t>Data availability:</w:t>
            </w:r>
          </w:p>
        </w:tc>
        <w:tc>
          <w:tcPr>
            <w:tcW w:w="6804" w:type="dxa"/>
          </w:tcPr>
          <w:p w:rsidR="00DD0FF7" w:rsidRDefault="00DD0FF7" w:rsidP="0026369A">
            <w:pPr>
              <w:pStyle w:val="TableBodyText"/>
              <w:jc w:val="left"/>
            </w:pPr>
            <w:r>
              <w:t xml:space="preserve">SEW — </w:t>
            </w:r>
            <w:r w:rsidR="00CC4B8B">
              <w:t xml:space="preserve">2008 (revised SES), </w:t>
            </w:r>
            <w:r>
              <w:t>2010 (</w:t>
            </w:r>
            <w:r w:rsidR="00CC4B8B">
              <w:t xml:space="preserve">all </w:t>
            </w:r>
            <w:r>
              <w:t>revised) and 2011</w:t>
            </w:r>
          </w:p>
          <w:p w:rsidR="00DD0FF7" w:rsidRPr="0059482B" w:rsidRDefault="00DD0FF7" w:rsidP="0026369A">
            <w:pPr>
              <w:pStyle w:val="TableBodyText"/>
              <w:jc w:val="left"/>
            </w:pPr>
            <w:r>
              <w:t>[No new data are available by Indigenous status for this reporting cycle]</w:t>
            </w:r>
          </w:p>
          <w:p w:rsidR="00DD0FF7" w:rsidRPr="00206C2C" w:rsidRDefault="00DD0FF7" w:rsidP="0026369A">
            <w:pPr>
              <w:pStyle w:val="TableBodyText"/>
              <w:jc w:val="left"/>
            </w:pPr>
          </w:p>
        </w:tc>
      </w:tr>
      <w:tr w:rsidR="00DD0FF7" w:rsidRPr="005E6794" w:rsidTr="00DD0FF7">
        <w:tc>
          <w:tcPr>
            <w:tcW w:w="1985" w:type="dxa"/>
          </w:tcPr>
          <w:p w:rsidR="00DD0FF7" w:rsidRDefault="00DD0FF7" w:rsidP="0026369A">
            <w:pPr>
              <w:pStyle w:val="TableBodyText"/>
              <w:ind w:left="-113"/>
              <w:jc w:val="left"/>
            </w:pPr>
            <w:r w:rsidRPr="005E6794">
              <w:t>Cross tabulations provided:</w:t>
            </w:r>
          </w:p>
          <w:p w:rsidR="00DD0FF7" w:rsidRPr="005E6794" w:rsidRDefault="00DD0FF7" w:rsidP="0026369A">
            <w:pPr>
              <w:pStyle w:val="TableBodyText"/>
              <w:ind w:left="-113"/>
              <w:jc w:val="left"/>
            </w:pPr>
          </w:p>
        </w:tc>
        <w:tc>
          <w:tcPr>
            <w:tcW w:w="6804" w:type="dxa"/>
          </w:tcPr>
          <w:p w:rsidR="00DD0FF7" w:rsidRDefault="00CE44B1" w:rsidP="0026369A">
            <w:pPr>
              <w:pStyle w:val="TableBullet"/>
              <w:numPr>
                <w:ilvl w:val="0"/>
                <w:numId w:val="0"/>
              </w:numPr>
            </w:pPr>
            <w:r>
              <w:t>State and Territory, by</w:t>
            </w:r>
          </w:p>
          <w:p w:rsidR="00DD0FF7" w:rsidRPr="007D01E8" w:rsidRDefault="00DD0FF7" w:rsidP="0026369A">
            <w:pPr>
              <w:pStyle w:val="TableBullet"/>
            </w:pPr>
            <w:r w:rsidRPr="00CA06AE">
              <w:t>engagement (education and training, employment, total), by</w:t>
            </w:r>
            <w:r>
              <w:t xml:space="preserve"> </w:t>
            </w:r>
            <w:r w:rsidRPr="00CA06AE">
              <w:t>SES (CD based SEIFA IRSD)</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29</w:t>
            </w:r>
            <w:r>
              <w:rPr>
                <w:b w:val="0"/>
              </w:rPr>
              <w:fldChar w:fldCharType="end"/>
            </w:r>
            <w:r>
              <w:tab/>
              <w:t>Results</w:t>
            </w:r>
          </w:p>
        </w:tc>
      </w:tr>
      <w:tr w:rsidR="0026369A" w:rsidTr="0026369A">
        <w:trPr>
          <w:cantSplit/>
        </w:trPr>
        <w:tc>
          <w:tcPr>
            <w:tcW w:w="8771" w:type="dxa"/>
            <w:tcBorders>
              <w:top w:val="nil"/>
              <w:left w:val="single" w:sz="4" w:space="0" w:color="auto"/>
              <w:bottom w:val="nil"/>
              <w:right w:val="single" w:sz="4" w:space="0" w:color="auto"/>
            </w:tcBorders>
          </w:tcPr>
          <w:p w:rsidR="007B664B" w:rsidRDefault="007B664B" w:rsidP="0082251B">
            <w:pPr>
              <w:pStyle w:val="Box"/>
            </w:pPr>
            <w:r>
              <w:t>For this report, new data for this indicator are available for 2011.</w:t>
            </w:r>
          </w:p>
          <w:p w:rsidR="007B664B" w:rsidRDefault="007B664B" w:rsidP="0082251B">
            <w:pPr>
              <w:pStyle w:val="BoxListBullet"/>
              <w:numPr>
                <w:ilvl w:val="0"/>
                <w:numId w:val="1"/>
              </w:numPr>
            </w:pPr>
            <w:r>
              <w:t xml:space="preserve">Data by State and Territory are presented in table </w:t>
            </w:r>
            <w:proofErr w:type="spellStart"/>
            <w:r>
              <w:t>NEA.10.1</w:t>
            </w:r>
            <w:proofErr w:type="spellEnd"/>
            <w:r>
              <w:t>.</w:t>
            </w:r>
          </w:p>
          <w:p w:rsidR="007B664B" w:rsidRDefault="007B664B" w:rsidP="0082251B">
            <w:pPr>
              <w:pStyle w:val="BoxListBullet"/>
              <w:numPr>
                <w:ilvl w:val="0"/>
                <w:numId w:val="1"/>
              </w:numPr>
            </w:pPr>
            <w:r>
              <w:t xml:space="preserve">Data by State and Territory, by SES, are presented in tables </w:t>
            </w:r>
            <w:proofErr w:type="spellStart"/>
            <w:r>
              <w:t>NEA.10.2</w:t>
            </w:r>
            <w:proofErr w:type="spellEnd"/>
            <w:r>
              <w:t>–10.4.</w:t>
            </w:r>
          </w:p>
          <w:p w:rsidR="007B664B" w:rsidRDefault="007B664B" w:rsidP="0082251B">
            <w:pPr>
              <w:pStyle w:val="Box"/>
              <w:spacing w:line="240" w:lineRule="auto"/>
            </w:pPr>
            <w:r>
              <w:t>Data for 2010 in the 2010 NEA performance report have been revised</w:t>
            </w:r>
            <w:r w:rsidR="00C349AF">
              <w:t xml:space="preserve"> and are included in this report</w:t>
            </w:r>
            <w:r>
              <w:t>.</w:t>
            </w:r>
          </w:p>
          <w:p w:rsidR="007B664B" w:rsidRDefault="007B664B" w:rsidP="0082251B">
            <w:pPr>
              <w:pStyle w:val="BoxListBullet"/>
              <w:numPr>
                <w:ilvl w:val="0"/>
                <w:numId w:val="1"/>
              </w:numPr>
            </w:pPr>
            <w:r>
              <w:t xml:space="preserve">Data by State and Territory are presented in table </w:t>
            </w:r>
            <w:proofErr w:type="spellStart"/>
            <w:r>
              <w:t>NEA.10.5</w:t>
            </w:r>
            <w:proofErr w:type="spellEnd"/>
            <w:r>
              <w:t>.</w:t>
            </w:r>
          </w:p>
          <w:p w:rsidR="00737079" w:rsidRDefault="00737079" w:rsidP="00737079">
            <w:pPr>
              <w:pStyle w:val="Box"/>
              <w:spacing w:line="240" w:lineRule="auto"/>
            </w:pPr>
            <w:r>
              <w:t>Data by SES for 2008</w:t>
            </w:r>
            <w:r w:rsidR="00CC4B8B">
              <w:t xml:space="preserve"> in the 2009 NEA performance report</w:t>
            </w:r>
            <w:r>
              <w:t xml:space="preserve"> have been revised and are included in this report.</w:t>
            </w:r>
          </w:p>
          <w:p w:rsidR="007B664B" w:rsidRDefault="007B664B" w:rsidP="0082251B">
            <w:pPr>
              <w:pStyle w:val="BoxListBullet"/>
              <w:numPr>
                <w:ilvl w:val="0"/>
                <w:numId w:val="1"/>
              </w:numPr>
            </w:pPr>
            <w:r>
              <w:t xml:space="preserve">Data by State and Territory, by SES, are presented in tables </w:t>
            </w:r>
            <w:proofErr w:type="spellStart"/>
            <w:r>
              <w:t>NEA.10.6</w:t>
            </w:r>
            <w:proofErr w:type="spellEnd"/>
            <w:r>
              <w:t>–</w:t>
            </w:r>
            <w:r w:rsidR="00737079">
              <w:t>11</w:t>
            </w:r>
            <w:r>
              <w:t>.</w:t>
            </w:r>
          </w:p>
          <w:p w:rsidR="007B664B" w:rsidRPr="008E3989" w:rsidRDefault="007B664B" w:rsidP="0082251B">
            <w:pPr>
              <w:pStyle w:val="Box"/>
            </w:pPr>
            <w:r>
              <w:t xml:space="preserve">Data for 2009 and </w:t>
            </w:r>
            <w:r w:rsidR="00737079">
              <w:t xml:space="preserve">the rest of the data for </w:t>
            </w:r>
            <w:r>
              <w:t>2008 are available in the 2009 NEA performance report.</w:t>
            </w:r>
          </w:p>
          <w:p w:rsidR="0026369A" w:rsidRDefault="007B664B" w:rsidP="001D5099">
            <w:pPr>
              <w:pStyle w:val="Box"/>
              <w:spacing w:line="240" w:lineRule="auto"/>
            </w:pPr>
            <w:r w:rsidRPr="003B63E3">
              <w:t>Apparent differences in results between years may not be statistically significant. To</w:t>
            </w:r>
            <w:r>
              <w:t xml:space="preserve"> </w:t>
            </w:r>
            <w:r w:rsidRPr="003B63E3">
              <w:t>assist in interpretation, 95 per cent confidence intervals and relative standard errors</w:t>
            </w:r>
            <w:r>
              <w:t xml:space="preserve"> </w:t>
            </w:r>
            <w:r w:rsidRPr="003B63E3">
              <w:t>are provided in the attachment tables for this indicator.</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Pr="00FC4A4C" w:rsidRDefault="0026369A" w:rsidP="0026369A">
      <w:pPr>
        <w:pStyle w:val="Heading4"/>
        <w:spacing w:after="120"/>
      </w:pPr>
      <w:r>
        <w:t>Attachment table</w:t>
      </w:r>
      <w:r w:rsidR="000F0C9C">
        <w:t>s</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4" w:anchor="'Table NEA.10.1'!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NEA.10.1</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Persons aged 18–24 years who are fully engaged in employment, education or training at or above Certificate III level, 2011</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5" w:anchor="'Table NEA.10.2'!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NEA.10.2</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Persons aged 18–24 years who are fully engaged in employment, education or training at or above Certificate III level, 2011, by SES based on ABS SEIFA </w:t>
            </w:r>
            <w:r>
              <w:rPr>
                <w:rFonts w:ascii="Arial" w:hAnsi="Arial" w:cs="Arial"/>
                <w:sz w:val="20"/>
                <w:szCs w:val="20"/>
              </w:rPr>
              <w:t>IRSD</w:t>
            </w:r>
            <w:r w:rsidRPr="002019D0">
              <w:rPr>
                <w:rFonts w:ascii="Arial" w:hAnsi="Arial" w:cs="Arial"/>
                <w:sz w:val="20"/>
                <w:szCs w:val="20"/>
              </w:rPr>
              <w:t xml:space="preserve">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6" w:anchor="'Table NEA.10.3'!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NEA.10.3</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RSEs for persons aged 18–24 years who are fully engaged in employment, education or training at or above Certificate III level, 2011, by SES based on ABS SEIFA </w:t>
            </w:r>
            <w:r>
              <w:rPr>
                <w:rFonts w:ascii="Arial" w:hAnsi="Arial" w:cs="Arial"/>
                <w:sz w:val="20"/>
                <w:szCs w:val="20"/>
              </w:rPr>
              <w:t>IRSD</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7" w:anchor="'Table NEA.10.4'!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NEA.10.4</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95 per cent confidence intervals for persons aged 18–24 years who are fully engaged in employment, education or training at or above Certificate III level, 2011, by SES based on ABS SEIFA </w:t>
            </w:r>
            <w:r>
              <w:rPr>
                <w:rFonts w:ascii="Arial" w:hAnsi="Arial" w:cs="Arial"/>
                <w:sz w:val="20"/>
                <w:szCs w:val="20"/>
              </w:rPr>
              <w:t>IRSD</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8" w:anchor="'Table NEA.10.5'!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NEA.10.5</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Persons aged 18–24 years who are fully engaged in employment, education or training at or above Certificate III level, 2010</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29" w:anchor="'Table NEA.10.6'!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NEA.10.6</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Persons aged 18–24 years who are fully engaged in employment, education or training at or above Certificate III level, 2010, by SES based on ABS SEIFA </w:t>
            </w:r>
            <w:r>
              <w:rPr>
                <w:rFonts w:ascii="Arial" w:hAnsi="Arial" w:cs="Arial"/>
                <w:sz w:val="20"/>
                <w:szCs w:val="20"/>
              </w:rPr>
              <w:t>IRSD</w:t>
            </w:r>
            <w:r w:rsidRPr="002019D0">
              <w:rPr>
                <w:rFonts w:ascii="Arial" w:hAnsi="Arial" w:cs="Arial"/>
                <w:sz w:val="20"/>
                <w:szCs w:val="20"/>
              </w:rPr>
              <w:t xml:space="preserve"> </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30" w:anchor="'Table NEA.10.7'!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NEA.10.7</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RSEs for persons aged 18–24 years who are fully engaged in employment, education or training at or above Certificate III level, 2010, by SES based on ABS SEIFA </w:t>
            </w:r>
            <w:r>
              <w:rPr>
                <w:rFonts w:ascii="Arial" w:hAnsi="Arial" w:cs="Arial"/>
                <w:sz w:val="20"/>
                <w:szCs w:val="20"/>
              </w:rPr>
              <w:t>IRSD</w:t>
            </w:r>
          </w:p>
        </w:tc>
      </w:tr>
      <w:tr w:rsidR="0026369A" w:rsidRPr="00CF3BDE" w:rsidTr="0026369A">
        <w:trPr>
          <w:trHeight w:val="612"/>
        </w:trPr>
        <w:tc>
          <w:tcPr>
            <w:tcW w:w="1877" w:type="dxa"/>
            <w:noWrap/>
          </w:tcPr>
          <w:p w:rsidR="0026369A" w:rsidRPr="002019D0" w:rsidRDefault="007076BB" w:rsidP="0026369A">
            <w:pPr>
              <w:rPr>
                <w:rFonts w:ascii="Arial" w:hAnsi="Arial" w:cs="Arial"/>
                <w:b/>
                <w:bCs/>
                <w:sz w:val="20"/>
                <w:szCs w:val="20"/>
              </w:rPr>
            </w:pPr>
            <w:hyperlink r:id="rId131" w:anchor="'Table NEA.10.8'!A1" w:history="1">
              <w:r w:rsidR="0026369A" w:rsidRPr="002019D0">
                <w:rPr>
                  <w:rStyle w:val="Hyperlink"/>
                  <w:rFonts w:ascii="Arial" w:hAnsi="Arial" w:cs="Arial"/>
                  <w:b/>
                  <w:bCs/>
                  <w:color w:val="auto"/>
                  <w:sz w:val="20"/>
                  <w:szCs w:val="20"/>
                  <w:u w:val="none"/>
                </w:rPr>
                <w:t xml:space="preserve">Table </w:t>
              </w:r>
              <w:proofErr w:type="spellStart"/>
              <w:r w:rsidR="0026369A" w:rsidRPr="002019D0">
                <w:rPr>
                  <w:rStyle w:val="Hyperlink"/>
                  <w:rFonts w:ascii="Arial" w:hAnsi="Arial" w:cs="Arial"/>
                  <w:b/>
                  <w:bCs/>
                  <w:color w:val="auto"/>
                  <w:sz w:val="20"/>
                  <w:szCs w:val="20"/>
                  <w:u w:val="none"/>
                </w:rPr>
                <w:t>NEA.10.8</w:t>
              </w:r>
              <w:proofErr w:type="spellEnd"/>
            </w:hyperlink>
          </w:p>
        </w:tc>
        <w:tc>
          <w:tcPr>
            <w:tcW w:w="6943" w:type="dxa"/>
          </w:tcPr>
          <w:p w:rsidR="0026369A" w:rsidRPr="002019D0" w:rsidRDefault="0026369A" w:rsidP="0026369A">
            <w:pPr>
              <w:jc w:val="both"/>
              <w:rPr>
                <w:rFonts w:ascii="Arial" w:hAnsi="Arial" w:cs="Arial"/>
                <w:sz w:val="20"/>
                <w:szCs w:val="20"/>
              </w:rPr>
            </w:pPr>
            <w:r w:rsidRPr="002019D0">
              <w:rPr>
                <w:rFonts w:ascii="Arial" w:hAnsi="Arial" w:cs="Arial"/>
                <w:sz w:val="20"/>
                <w:szCs w:val="20"/>
              </w:rPr>
              <w:t xml:space="preserve">95 per cent confidence intervals for persons aged 18–24 years who are fully engaged in employment, education or training at or above Certificate III level, 2010, by SES based on ABS SEIFA </w:t>
            </w:r>
            <w:r>
              <w:rPr>
                <w:rFonts w:ascii="Arial" w:hAnsi="Arial" w:cs="Arial"/>
                <w:sz w:val="20"/>
                <w:szCs w:val="20"/>
              </w:rPr>
              <w:t>IRSD</w:t>
            </w:r>
          </w:p>
        </w:tc>
      </w:tr>
      <w:tr w:rsidR="00737079" w:rsidRPr="00737079" w:rsidTr="0026369A">
        <w:trPr>
          <w:trHeight w:val="612"/>
        </w:trPr>
        <w:tc>
          <w:tcPr>
            <w:tcW w:w="1877" w:type="dxa"/>
            <w:noWrap/>
          </w:tcPr>
          <w:p w:rsidR="00737079" w:rsidRPr="00FA3C52" w:rsidRDefault="007076BB" w:rsidP="00FA3C52">
            <w:pPr>
              <w:pBdr>
                <w:left w:val="single" w:sz="24" w:space="12" w:color="C0C0C0"/>
              </w:pBdr>
              <w:rPr>
                <w:rFonts w:ascii="Arial" w:hAnsi="Arial" w:cs="Arial"/>
                <w:b/>
                <w:bCs/>
                <w:sz w:val="20"/>
                <w:szCs w:val="20"/>
              </w:rPr>
            </w:pPr>
            <w:hyperlink r:id="rId132" w:anchor="'Table NEA.10.6'!A1" w:history="1">
              <w:r w:rsidR="00737079" w:rsidRPr="00FA3C52">
                <w:rPr>
                  <w:rStyle w:val="Hyperlink"/>
                  <w:rFonts w:ascii="Arial" w:hAnsi="Arial" w:cs="Arial"/>
                  <w:b/>
                  <w:bCs/>
                  <w:color w:val="auto"/>
                  <w:sz w:val="20"/>
                  <w:szCs w:val="20"/>
                  <w:u w:val="none"/>
                </w:rPr>
                <w:t xml:space="preserve">Table </w:t>
              </w:r>
              <w:proofErr w:type="spellStart"/>
              <w:r w:rsidR="00737079" w:rsidRPr="00FA3C52">
                <w:rPr>
                  <w:rStyle w:val="Hyperlink"/>
                  <w:rFonts w:ascii="Arial" w:hAnsi="Arial" w:cs="Arial"/>
                  <w:b/>
                  <w:bCs/>
                  <w:color w:val="auto"/>
                  <w:sz w:val="20"/>
                  <w:szCs w:val="20"/>
                  <w:u w:val="none"/>
                </w:rPr>
                <w:t>NEA.10.</w:t>
              </w:r>
            </w:hyperlink>
            <w:r w:rsidR="00737079" w:rsidRPr="00FA3C52">
              <w:rPr>
                <w:rStyle w:val="Hyperlink"/>
                <w:rFonts w:ascii="Arial" w:hAnsi="Arial" w:cs="Arial"/>
                <w:b/>
                <w:bCs/>
                <w:color w:val="auto"/>
                <w:sz w:val="20"/>
                <w:szCs w:val="20"/>
                <w:u w:val="none"/>
              </w:rPr>
              <w:t>9</w:t>
            </w:r>
            <w:proofErr w:type="spellEnd"/>
          </w:p>
        </w:tc>
        <w:tc>
          <w:tcPr>
            <w:tcW w:w="6943" w:type="dxa"/>
          </w:tcPr>
          <w:p w:rsidR="00737079" w:rsidRPr="00FA3C52" w:rsidRDefault="00737079" w:rsidP="00FA3C52">
            <w:pPr>
              <w:pBdr>
                <w:left w:val="single" w:sz="24" w:space="12" w:color="C0C0C0"/>
              </w:pBdr>
              <w:jc w:val="both"/>
              <w:rPr>
                <w:rFonts w:ascii="Arial" w:hAnsi="Arial" w:cs="Arial"/>
                <w:sz w:val="20"/>
                <w:szCs w:val="20"/>
              </w:rPr>
            </w:pPr>
            <w:r w:rsidRPr="00FA3C52">
              <w:rPr>
                <w:rFonts w:ascii="Arial" w:hAnsi="Arial" w:cs="Arial"/>
                <w:sz w:val="20"/>
                <w:szCs w:val="20"/>
              </w:rPr>
              <w:t xml:space="preserve">Persons aged 18–24 years who are fully engaged in employment, education or training at or above Certificate III level, 2008, by SES based on ABS SEIFA IRSD </w:t>
            </w:r>
          </w:p>
        </w:tc>
      </w:tr>
      <w:tr w:rsidR="00737079" w:rsidRPr="00737079" w:rsidTr="0026369A">
        <w:trPr>
          <w:trHeight w:val="612"/>
        </w:trPr>
        <w:tc>
          <w:tcPr>
            <w:tcW w:w="1877" w:type="dxa"/>
            <w:noWrap/>
          </w:tcPr>
          <w:p w:rsidR="00737079" w:rsidRPr="00FA3C52" w:rsidRDefault="00FA3C52" w:rsidP="00FA3C52">
            <w:pPr>
              <w:pBdr>
                <w:left w:val="single" w:sz="24" w:space="12" w:color="C0C0C0"/>
              </w:pBdr>
              <w:rPr>
                <w:rFonts w:ascii="Arial" w:hAnsi="Arial" w:cs="Arial"/>
                <w:b/>
                <w:bCs/>
                <w:sz w:val="20"/>
                <w:szCs w:val="20"/>
              </w:rPr>
            </w:pPr>
            <w:r>
              <w:rPr>
                <w:rStyle w:val="Hyperlink"/>
                <w:rFonts w:ascii="Arial" w:hAnsi="Arial" w:cs="Arial"/>
                <w:b/>
                <w:bCs/>
                <w:color w:val="auto"/>
                <w:sz w:val="20"/>
                <w:szCs w:val="20"/>
                <w:u w:val="none"/>
              </w:rPr>
              <w:t xml:space="preserve">Table </w:t>
            </w:r>
            <w:proofErr w:type="spellStart"/>
            <w:r>
              <w:rPr>
                <w:rStyle w:val="Hyperlink"/>
                <w:rFonts w:ascii="Arial" w:hAnsi="Arial" w:cs="Arial"/>
                <w:b/>
                <w:bCs/>
                <w:color w:val="auto"/>
                <w:sz w:val="20"/>
                <w:szCs w:val="20"/>
                <w:u w:val="none"/>
              </w:rPr>
              <w:t>NEA.10.</w:t>
            </w:r>
            <w:r w:rsidR="00737079" w:rsidRPr="00FA3C52">
              <w:rPr>
                <w:rStyle w:val="Hyperlink"/>
                <w:rFonts w:ascii="Arial" w:hAnsi="Arial" w:cs="Arial"/>
                <w:b/>
                <w:bCs/>
                <w:color w:val="auto"/>
                <w:sz w:val="20"/>
                <w:szCs w:val="20"/>
                <w:u w:val="none"/>
              </w:rPr>
              <w:t>10</w:t>
            </w:r>
            <w:proofErr w:type="spellEnd"/>
          </w:p>
        </w:tc>
        <w:tc>
          <w:tcPr>
            <w:tcW w:w="6943" w:type="dxa"/>
          </w:tcPr>
          <w:p w:rsidR="00737079" w:rsidRPr="00FA3C52" w:rsidRDefault="00737079" w:rsidP="00FA3C52">
            <w:pPr>
              <w:pBdr>
                <w:left w:val="single" w:sz="24" w:space="12" w:color="C0C0C0"/>
              </w:pBdr>
              <w:jc w:val="both"/>
              <w:rPr>
                <w:rFonts w:ascii="Arial" w:hAnsi="Arial" w:cs="Arial"/>
                <w:sz w:val="20"/>
                <w:szCs w:val="20"/>
              </w:rPr>
            </w:pPr>
            <w:r w:rsidRPr="00FA3C52">
              <w:rPr>
                <w:rFonts w:ascii="Arial" w:hAnsi="Arial" w:cs="Arial"/>
                <w:sz w:val="20"/>
                <w:szCs w:val="20"/>
              </w:rPr>
              <w:t>RSEs for persons aged 18–24 years who are fully engaged in employment, education or training at or above Certificate III level, 2008, by SES based on ABS SEIFA IRSD</w:t>
            </w:r>
          </w:p>
        </w:tc>
      </w:tr>
      <w:tr w:rsidR="00737079" w:rsidRPr="00CF3BDE" w:rsidTr="0026369A">
        <w:trPr>
          <w:trHeight w:val="612"/>
        </w:trPr>
        <w:tc>
          <w:tcPr>
            <w:tcW w:w="1877" w:type="dxa"/>
            <w:noWrap/>
          </w:tcPr>
          <w:p w:rsidR="00737079" w:rsidRPr="00FA3C52" w:rsidRDefault="007076BB" w:rsidP="00FA3C52">
            <w:pPr>
              <w:pBdr>
                <w:left w:val="single" w:sz="24" w:space="12" w:color="C0C0C0"/>
              </w:pBdr>
              <w:rPr>
                <w:rFonts w:ascii="Arial" w:hAnsi="Arial" w:cs="Arial"/>
                <w:b/>
                <w:bCs/>
                <w:sz w:val="20"/>
                <w:szCs w:val="20"/>
              </w:rPr>
            </w:pPr>
            <w:hyperlink r:id="rId133" w:anchor="'Table NEA.10.8'!A1" w:history="1">
              <w:r w:rsidR="00737079" w:rsidRPr="00FA3C52">
                <w:rPr>
                  <w:rStyle w:val="Hyperlink"/>
                  <w:rFonts w:ascii="Arial" w:hAnsi="Arial" w:cs="Arial"/>
                  <w:b/>
                  <w:bCs/>
                  <w:color w:val="auto"/>
                  <w:sz w:val="20"/>
                  <w:szCs w:val="20"/>
                  <w:u w:val="none"/>
                </w:rPr>
                <w:t xml:space="preserve">Table </w:t>
              </w:r>
              <w:proofErr w:type="spellStart"/>
              <w:r w:rsidR="00737079" w:rsidRPr="00FA3C52">
                <w:rPr>
                  <w:rStyle w:val="Hyperlink"/>
                  <w:rFonts w:ascii="Arial" w:hAnsi="Arial" w:cs="Arial"/>
                  <w:b/>
                  <w:bCs/>
                  <w:color w:val="auto"/>
                  <w:sz w:val="20"/>
                  <w:szCs w:val="20"/>
                  <w:u w:val="none"/>
                </w:rPr>
                <w:t>NEA.10.</w:t>
              </w:r>
            </w:hyperlink>
            <w:r w:rsidR="00737079" w:rsidRPr="00FA3C52">
              <w:rPr>
                <w:rStyle w:val="Hyperlink"/>
                <w:rFonts w:ascii="Arial" w:hAnsi="Arial" w:cs="Arial"/>
                <w:b/>
                <w:bCs/>
                <w:color w:val="auto"/>
                <w:sz w:val="20"/>
                <w:szCs w:val="20"/>
                <w:u w:val="none"/>
              </w:rPr>
              <w:t>11</w:t>
            </w:r>
            <w:proofErr w:type="spellEnd"/>
          </w:p>
        </w:tc>
        <w:tc>
          <w:tcPr>
            <w:tcW w:w="6943" w:type="dxa"/>
          </w:tcPr>
          <w:p w:rsidR="00737079" w:rsidRPr="00CC4B8B" w:rsidRDefault="00737079" w:rsidP="00737079">
            <w:pPr>
              <w:jc w:val="both"/>
              <w:rPr>
                <w:rFonts w:ascii="Arial" w:hAnsi="Arial" w:cs="Arial"/>
                <w:sz w:val="20"/>
                <w:szCs w:val="20"/>
              </w:rPr>
            </w:pPr>
            <w:r w:rsidRPr="00FA3C52">
              <w:rPr>
                <w:rFonts w:ascii="Arial" w:hAnsi="Arial" w:cs="Arial"/>
                <w:sz w:val="20"/>
                <w:szCs w:val="20"/>
              </w:rPr>
              <w:t>95 per cent confidence intervals for persons aged 18–24 years who are fully engaged in employment, education or training at or above Certificate III level, 2008, by SES based on ABS SEIFA IRSD</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30</w:t>
            </w:r>
            <w:r>
              <w:rPr>
                <w:b w:val="0"/>
              </w:rPr>
              <w:fldChar w:fldCharType="end"/>
            </w:r>
            <w:r>
              <w:tab/>
              <w:t>Comment on data quality</w:t>
            </w:r>
          </w:p>
        </w:tc>
      </w:tr>
      <w:tr w:rsidR="0026369A" w:rsidTr="0026369A">
        <w:trPr>
          <w:cantSplit/>
        </w:trPr>
        <w:tc>
          <w:tcPr>
            <w:tcW w:w="8771" w:type="dxa"/>
            <w:tcBorders>
              <w:top w:val="nil"/>
              <w:left w:val="single" w:sz="4" w:space="0" w:color="auto"/>
              <w:bottom w:val="nil"/>
              <w:right w:val="single" w:sz="4" w:space="0" w:color="auto"/>
            </w:tcBorders>
          </w:tcPr>
          <w:p w:rsidR="007B664B" w:rsidRPr="003B4143" w:rsidRDefault="007B664B" w:rsidP="0082251B">
            <w:pPr>
              <w:pStyle w:val="Box"/>
            </w:pPr>
            <w:r w:rsidRPr="003B4143">
              <w:t>The DQS for this indicator has been prepared by the ABS and is included in its original form in the section in this report titled ‘Data Quality Statements.’ Key points from the DQS are summarised below.</w:t>
            </w:r>
          </w:p>
          <w:p w:rsidR="007B664B" w:rsidRDefault="007B664B" w:rsidP="0082251B">
            <w:pPr>
              <w:pStyle w:val="BoxListBullet"/>
              <w:numPr>
                <w:ilvl w:val="0"/>
                <w:numId w:val="1"/>
              </w:numPr>
            </w:pPr>
            <w:r w:rsidRPr="003B4143">
              <w:t xml:space="preserve">The SEW data collection provides relevant information on the proportion of the </w:t>
            </w:r>
            <w:r w:rsidR="0006175B">
              <w:br/>
            </w:r>
            <w:r w:rsidRPr="003B4143">
              <w:t xml:space="preserve">18–24 year old population who are fully engaged in employment, education and/or training at or above </w:t>
            </w:r>
            <w:proofErr w:type="spellStart"/>
            <w:r w:rsidRPr="003B4143">
              <w:t>AQF</w:t>
            </w:r>
            <w:proofErr w:type="spellEnd"/>
            <w:r w:rsidRPr="003B4143">
              <w:t xml:space="preserve"> Certificate III. Data are available by State and Territory, by socioeconomic status (SES).</w:t>
            </w:r>
          </w:p>
          <w:p w:rsidR="007D1CBB" w:rsidRPr="003B4143" w:rsidRDefault="007D1CBB" w:rsidP="0082251B">
            <w:pPr>
              <w:pStyle w:val="BoxListBullet"/>
              <w:numPr>
                <w:ilvl w:val="0"/>
                <w:numId w:val="1"/>
              </w:numPr>
            </w:pPr>
            <w:r>
              <w:t>Annual data are available from the Survey of Education and Work (SEW) for the general population and by SES. The most recent availab</w:t>
            </w:r>
            <w:r w:rsidR="00CE44B1">
              <w:t>le data are in respect of 2011.</w:t>
            </w:r>
          </w:p>
          <w:p w:rsidR="003B4143" w:rsidRDefault="003B4143" w:rsidP="0082251B">
            <w:pPr>
              <w:pStyle w:val="BoxListBullet"/>
              <w:numPr>
                <w:ilvl w:val="0"/>
                <w:numId w:val="1"/>
              </w:numPr>
            </w:pPr>
            <w:r w:rsidRPr="00F14211">
              <w:t xml:space="preserve">Data by Indigenous status are available every five years from the Census, and every three years on a rotating basis from the NATSISS/NATSIHS </w:t>
            </w:r>
            <w:r w:rsidR="006574E1">
              <w:t>(now AATSIH</w:t>
            </w:r>
            <w:r w:rsidR="00890B23">
              <w:t>S</w:t>
            </w:r>
            <w:r w:rsidR="006574E1">
              <w:t xml:space="preserve">) </w:t>
            </w:r>
            <w:r w:rsidRPr="00F14211">
              <w:t>(Indigenous population, with the annual SEW data providing a non-Indigenous comparator).</w:t>
            </w:r>
            <w:r w:rsidR="007D1CBB">
              <w:t xml:space="preserve"> No new data are available for this report.</w:t>
            </w:r>
          </w:p>
          <w:p w:rsidR="007D1CBB" w:rsidRPr="00F14211" w:rsidRDefault="007D1CBB" w:rsidP="0082251B">
            <w:pPr>
              <w:pStyle w:val="BoxListBullet"/>
              <w:numPr>
                <w:ilvl w:val="0"/>
                <w:numId w:val="1"/>
              </w:numPr>
            </w:pPr>
            <w:r>
              <w:t xml:space="preserve">Prior to 2009, all persons in very remote areas were excluded from the SEW. From 2009 onwards, the SEW has had a slightly wider scope, and excludes only persons in Indigenous communities in very remote areas. This change has only a minor effect on </w:t>
            </w:r>
            <w:r w:rsidRPr="0040191D">
              <w:rPr>
                <w:i/>
              </w:rPr>
              <w:t xml:space="preserve">national </w:t>
            </w:r>
            <w:r>
              <w:t>comparisons over time.</w:t>
            </w:r>
          </w:p>
          <w:p w:rsidR="003B4143" w:rsidRPr="0077174A" w:rsidRDefault="003B4143" w:rsidP="0082251B">
            <w:pPr>
              <w:pStyle w:val="BoxListBullet"/>
              <w:numPr>
                <w:ilvl w:val="0"/>
                <w:numId w:val="1"/>
              </w:numPr>
            </w:pPr>
            <w:r w:rsidRPr="0077174A">
              <w:t xml:space="preserve">The ongoing exclusion of Indigenous communities in very remote areas has only a minor effect on estimates by </w:t>
            </w:r>
            <w:r w:rsidRPr="0040191D">
              <w:rPr>
                <w:i/>
              </w:rPr>
              <w:t>State and Territory</w:t>
            </w:r>
            <w:r w:rsidRPr="0077174A">
              <w:t>, except for the NT, where remote Indigenous communities account for around</w:t>
            </w:r>
            <w:r w:rsidR="00CE44B1">
              <w:t xml:space="preserve"> 15 per cent of the population.</w:t>
            </w:r>
          </w:p>
          <w:p w:rsidR="003B4143" w:rsidRPr="0077174A" w:rsidRDefault="003B4143" w:rsidP="0082251B">
            <w:pPr>
              <w:pStyle w:val="BoxListBullet"/>
              <w:numPr>
                <w:ilvl w:val="0"/>
                <w:numId w:val="1"/>
              </w:numPr>
            </w:pPr>
            <w:r w:rsidRPr="0077174A">
              <w:t>Data for 2010 have been revised due to amendments to the population benchmarks for the 2010 SEW.</w:t>
            </w:r>
            <w:r w:rsidR="007D1CBB">
              <w:t xml:space="preserve"> Revised 2010 data are included in this report to maintain time series.</w:t>
            </w:r>
          </w:p>
          <w:p w:rsidR="003B4143" w:rsidRPr="0077174A" w:rsidRDefault="003B4143" w:rsidP="0082251B">
            <w:pPr>
              <w:pStyle w:val="BoxListBullet"/>
              <w:numPr>
                <w:ilvl w:val="0"/>
                <w:numId w:val="1"/>
              </w:numPr>
            </w:pPr>
            <w:r w:rsidRPr="0077174A">
              <w:t>Detailed explanatory notes are publicly available to assist in interpretation of results.</w:t>
            </w:r>
          </w:p>
          <w:p w:rsidR="003B4143" w:rsidRPr="0077174A" w:rsidRDefault="003B4143" w:rsidP="0082251B">
            <w:pPr>
              <w:pStyle w:val="BoxListBullet"/>
              <w:numPr>
                <w:ilvl w:val="0"/>
                <w:numId w:val="1"/>
              </w:numPr>
            </w:pPr>
            <w:r w:rsidRPr="0077174A">
              <w:t>Additional data from the data source are available.</w:t>
            </w:r>
          </w:p>
          <w:p w:rsidR="003B4143" w:rsidRPr="0077174A" w:rsidRDefault="003B4143" w:rsidP="0082251B">
            <w:pPr>
              <w:pStyle w:val="Box"/>
            </w:pPr>
            <w:r w:rsidRPr="0077174A">
              <w:t>The Steering Committee also notes the following issues:</w:t>
            </w:r>
          </w:p>
          <w:p w:rsidR="006A56AD" w:rsidRDefault="006A56AD" w:rsidP="0082251B">
            <w:pPr>
              <w:pStyle w:val="BoxListBullet"/>
              <w:numPr>
                <w:ilvl w:val="0"/>
                <w:numId w:val="1"/>
              </w:numPr>
            </w:pPr>
            <w:r>
              <w:t>The full sample for the SEW was reinstated in 2010 and generally resulted in lower RSEs</w:t>
            </w:r>
            <w:r w:rsidRPr="0077174A">
              <w:t>.</w:t>
            </w:r>
            <w:r>
              <w:t xml:space="preserve"> However, the size of the RSEs continue to affect the ability to identify year on year movements for this indicator for all jurisdictions.</w:t>
            </w:r>
          </w:p>
          <w:p w:rsidR="006A56AD" w:rsidRPr="0077174A" w:rsidRDefault="006A56AD" w:rsidP="0082251B">
            <w:pPr>
              <w:pStyle w:val="BoxListBullet"/>
              <w:numPr>
                <w:ilvl w:val="0"/>
                <w:numId w:val="1"/>
              </w:numPr>
            </w:pPr>
            <w:r>
              <w:t xml:space="preserve">The ABS investigated the use of ‘pooling’ of SEW results for multiple years to reduce RSEs. However, the size of the RSEs did not reduce enough to improve </w:t>
            </w:r>
            <w:r w:rsidR="006574E1">
              <w:t xml:space="preserve">substantially </w:t>
            </w:r>
            <w:r>
              <w:t>detection of year on year movements.</w:t>
            </w:r>
          </w:p>
          <w:p w:rsidR="003B4143" w:rsidRDefault="006A56AD" w:rsidP="0082251B">
            <w:pPr>
              <w:pStyle w:val="BoxListBullet"/>
              <w:numPr>
                <w:ilvl w:val="0"/>
                <w:numId w:val="1"/>
              </w:numPr>
            </w:pPr>
            <w:r>
              <w:t>Subject to the outcomes of the NEA review, the Steering Committee considers that further investigation of alternative data sources and/or alternative measures is required for reporting against this indicator</w:t>
            </w:r>
            <w:r w:rsidRPr="0077174A">
              <w:t>.</w:t>
            </w:r>
          </w:p>
        </w:tc>
      </w:tr>
      <w:tr w:rsidR="0026369A" w:rsidTr="0026369A">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26369A" w:rsidRDefault="0026369A" w:rsidP="0026369A">
      <w:pPr>
        <w:pStyle w:val="BodyText"/>
      </w:pPr>
    </w:p>
    <w:p w:rsidR="0026369A" w:rsidRDefault="0026369A" w:rsidP="0026369A">
      <w:pPr>
        <w:pStyle w:val="Heading3"/>
        <w:spacing w:before="360" w:after="240"/>
      </w:pPr>
      <w:r>
        <w:br w:type="page"/>
      </w:r>
      <w:bookmarkStart w:id="32" w:name="_Ref322529484"/>
      <w:r>
        <w:lastRenderedPageBreak/>
        <w:t xml:space="preserve">NEA Indicator 11. </w:t>
      </w:r>
      <w:r w:rsidRPr="004050C1">
        <w:t>Percentage of students at or above the national minimum standard in reading, writing and numeracy for years 3, 5, 7, 9</w:t>
      </w:r>
      <w:bookmarkEnd w:id="32"/>
    </w:p>
    <w:p w:rsidR="0026369A" w:rsidRPr="00CD0969" w:rsidRDefault="0026369A" w:rsidP="0026369A">
      <w:pPr>
        <w:pStyle w:val="Heading4"/>
        <w:spacing w:after="240"/>
        <w:rPr>
          <w:i w:val="0"/>
          <w:sz w:val="22"/>
          <w:szCs w:val="22"/>
        </w:rPr>
      </w:pPr>
      <w:r w:rsidRPr="00CD0969">
        <w:rPr>
          <w:i w:val="0"/>
          <w:sz w:val="22"/>
          <w:szCs w:val="22"/>
        </w:rPr>
        <w:t>[This NIRA indicator relates directly to the indicator on NAPLAN achievement in the NEA]</w:t>
      </w:r>
    </w:p>
    <w:tbl>
      <w:tblPr>
        <w:tblW w:w="8789" w:type="dxa"/>
        <w:tblInd w:w="108" w:type="dxa"/>
        <w:tblLook w:val="01E0" w:firstRow="1" w:lastRow="1" w:firstColumn="1" w:lastColumn="1" w:noHBand="0" w:noVBand="0"/>
      </w:tblPr>
      <w:tblGrid>
        <w:gridCol w:w="1985"/>
        <w:gridCol w:w="6804"/>
      </w:tblGrid>
      <w:tr w:rsidR="0026369A" w:rsidRPr="00491EE2" w:rsidTr="00552D69">
        <w:trPr>
          <w:trHeight w:val="2090"/>
        </w:trPr>
        <w:tc>
          <w:tcPr>
            <w:tcW w:w="1985" w:type="dxa"/>
          </w:tcPr>
          <w:p w:rsidR="0026369A" w:rsidRDefault="0026369A" w:rsidP="0026369A">
            <w:pPr>
              <w:pStyle w:val="TableBodyText"/>
              <w:ind w:left="0"/>
              <w:jc w:val="left"/>
            </w:pPr>
            <w:r>
              <w:t>Key amendments from previous cycle:</w:t>
            </w:r>
          </w:p>
          <w:p w:rsidR="0026369A" w:rsidRPr="00FB6E71" w:rsidRDefault="0026369A" w:rsidP="0026369A">
            <w:pPr>
              <w:pStyle w:val="TableBodyText"/>
              <w:ind w:left="34"/>
              <w:jc w:val="left"/>
            </w:pPr>
          </w:p>
        </w:tc>
        <w:tc>
          <w:tcPr>
            <w:tcW w:w="6804" w:type="dxa"/>
          </w:tcPr>
          <w:p w:rsidR="0026369A" w:rsidRDefault="0026369A" w:rsidP="0082251B">
            <w:pPr>
              <w:pStyle w:val="TableBodyText"/>
              <w:ind w:left="0"/>
              <w:jc w:val="left"/>
            </w:pPr>
            <w:r w:rsidRPr="00705C81">
              <w:t>Under the revised NIRA, this PI has two measures. The first is the existing measure in relation to achievement, the second is the measure related to participation (previously reported as a separate NIRA indicator).</w:t>
            </w:r>
          </w:p>
          <w:p w:rsidR="00F911C4" w:rsidRPr="00705C81" w:rsidRDefault="00F911C4" w:rsidP="0082251B">
            <w:pPr>
              <w:pStyle w:val="TableBodyText"/>
              <w:jc w:val="left"/>
            </w:pPr>
            <w:r w:rsidRPr="00CE019A">
              <w:t>From 2011, the NAPLAN writing te</w:t>
            </w:r>
            <w:r w:rsidR="00801652">
              <w:t>s</w:t>
            </w:r>
            <w:r w:rsidRPr="00CE019A">
              <w:t xml:space="preserve">t was assessed on a persuasive </w:t>
            </w:r>
            <w:r w:rsidR="00F2381B" w:rsidRPr="00CE019A">
              <w:t>te</w:t>
            </w:r>
            <w:r w:rsidR="00F2381B">
              <w:t>x</w:t>
            </w:r>
            <w:r w:rsidR="00F2381B" w:rsidRPr="00CE019A">
              <w:t>t</w:t>
            </w:r>
            <w:r w:rsidRPr="00CE019A">
              <w:t xml:space="preserve">, rather than the narrative text used in previous years. Results for NAPLAN writing from 2011 are not comparable with results for </w:t>
            </w:r>
            <w:r w:rsidR="00BE29E2">
              <w:t xml:space="preserve">prior </w:t>
            </w:r>
            <w:r w:rsidRPr="00CE019A">
              <w:t>years</w:t>
            </w:r>
            <w:r>
              <w:t>.</w:t>
            </w:r>
          </w:p>
        </w:tc>
      </w:tr>
      <w:tr w:rsidR="0026369A" w:rsidRPr="00491EE2" w:rsidTr="0026369A">
        <w:trPr>
          <w:trHeight w:val="893"/>
        </w:trPr>
        <w:tc>
          <w:tcPr>
            <w:tcW w:w="1985" w:type="dxa"/>
          </w:tcPr>
          <w:p w:rsidR="0026369A" w:rsidRPr="00491EE2" w:rsidRDefault="0026369A" w:rsidP="0026369A">
            <w:pPr>
              <w:pStyle w:val="TableBodyText"/>
              <w:jc w:val="left"/>
            </w:pPr>
            <w:r>
              <w:t xml:space="preserve">Performance indicator: </w:t>
            </w:r>
          </w:p>
        </w:tc>
        <w:tc>
          <w:tcPr>
            <w:tcW w:w="6804" w:type="dxa"/>
          </w:tcPr>
          <w:p w:rsidR="0026369A" w:rsidRPr="000A6376" w:rsidRDefault="0026369A" w:rsidP="0026369A">
            <w:pPr>
              <w:pStyle w:val="TableBodyText"/>
              <w:jc w:val="left"/>
            </w:pPr>
            <w:r w:rsidRPr="000A6376">
              <w:t>Percentage of students at or above the national minimum standard in reading, writing and numeracy for years 3, 5, 7, 9</w:t>
            </w:r>
          </w:p>
        </w:tc>
      </w:tr>
      <w:tr w:rsidR="0026369A" w:rsidRPr="00491EE2" w:rsidTr="00552D69">
        <w:trPr>
          <w:trHeight w:val="7179"/>
        </w:trPr>
        <w:tc>
          <w:tcPr>
            <w:tcW w:w="1985" w:type="dxa"/>
          </w:tcPr>
          <w:p w:rsidR="0026369A" w:rsidRPr="00491EE2" w:rsidRDefault="0026369A" w:rsidP="0026369A">
            <w:pPr>
              <w:pStyle w:val="TableBodyText"/>
              <w:jc w:val="left"/>
            </w:pPr>
            <w:r w:rsidRPr="00491EE2">
              <w:t xml:space="preserve">Measure: </w:t>
            </w:r>
          </w:p>
        </w:tc>
        <w:tc>
          <w:tcPr>
            <w:tcW w:w="6804" w:type="dxa"/>
          </w:tcPr>
          <w:p w:rsidR="0026369A" w:rsidRPr="00705C81" w:rsidRDefault="0026369A" w:rsidP="0026369A">
            <w:pPr>
              <w:pStyle w:val="TableBodyText"/>
              <w:jc w:val="left"/>
            </w:pPr>
            <w:r w:rsidRPr="00705C81">
              <w:t>There are two measures for this indicator:</w:t>
            </w:r>
          </w:p>
          <w:p w:rsidR="0026369A" w:rsidRPr="00705C81" w:rsidRDefault="0026369A" w:rsidP="0026369A">
            <w:pPr>
              <w:pStyle w:val="TableBodyText"/>
              <w:jc w:val="left"/>
            </w:pPr>
          </w:p>
          <w:p w:rsidR="0026369A" w:rsidRPr="00705C81" w:rsidRDefault="0026369A" w:rsidP="0026369A">
            <w:pPr>
              <w:pStyle w:val="TableBodyText"/>
              <w:jc w:val="left"/>
            </w:pPr>
            <w:r w:rsidRPr="00705C81">
              <w:t xml:space="preserve">Measure 11(a): </w:t>
            </w:r>
            <w:r>
              <w:t>Proportion of students who achieved at or above the national minimum standard (for reading, writing and numeracy, in years 3, 5, 7 and 9)</w:t>
            </w:r>
          </w:p>
          <w:p w:rsidR="0026369A" w:rsidRPr="00705C81" w:rsidRDefault="0026369A" w:rsidP="0026369A">
            <w:pPr>
              <w:pStyle w:val="TableBodyText"/>
              <w:jc w:val="left"/>
            </w:pPr>
          </w:p>
          <w:p w:rsidR="0026369A" w:rsidRPr="00705C81" w:rsidRDefault="0026369A" w:rsidP="0026369A">
            <w:pPr>
              <w:pStyle w:val="TableBodyText"/>
              <w:jc w:val="left"/>
            </w:pPr>
            <w:r w:rsidRPr="00705C81">
              <w:t xml:space="preserve">[Note: NAPLAN reports the percentage of students who achieved at or above the national minimum standard. The complex process by which student scores are arrived at and distributed across the national achievement bands (using the </w:t>
            </w:r>
            <w:proofErr w:type="spellStart"/>
            <w:r w:rsidRPr="00705C81">
              <w:t>Rasch</w:t>
            </w:r>
            <w:proofErr w:type="spellEnd"/>
            <w:r w:rsidRPr="00705C81">
              <w:t xml:space="preserve"> model, a recognised analysis model for educational measurement) are agreed by states, territories and the Commonwealth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26369A" w:rsidRPr="00705C81" w:rsidRDefault="0026369A" w:rsidP="0026369A">
            <w:pPr>
              <w:pStyle w:val="TableBodyText"/>
              <w:jc w:val="left"/>
            </w:pPr>
          </w:p>
          <w:p w:rsidR="0026369A" w:rsidRPr="00705C81" w:rsidRDefault="0026369A" w:rsidP="0026369A">
            <w:pPr>
              <w:pStyle w:val="TableBodyText"/>
              <w:jc w:val="left"/>
            </w:pPr>
            <w:r w:rsidRPr="00705C81">
              <w:t>Measure 11(b): Rates of participation in NAPLAN read</w:t>
            </w:r>
            <w:r>
              <w:t>ing, writing, and numeracy tests —</w:t>
            </w:r>
            <w:r w:rsidRPr="00705C81">
              <w:t xml:space="preserve"> </w:t>
            </w:r>
            <w:r>
              <w:t xml:space="preserve">in </w:t>
            </w:r>
            <w:r w:rsidRPr="00705C81">
              <w:t>years 3, 5, 7, 9</w:t>
            </w:r>
          </w:p>
          <w:p w:rsidR="0026369A" w:rsidRPr="00705C81" w:rsidRDefault="0026369A" w:rsidP="0026369A">
            <w:pPr>
              <w:pStyle w:val="TableBodyText"/>
              <w:jc w:val="left"/>
            </w:pPr>
          </w:p>
          <w:p w:rsidR="0026369A" w:rsidRPr="00705C81" w:rsidRDefault="0026369A" w:rsidP="0026369A">
            <w:pPr>
              <w:pStyle w:val="TableBodyText"/>
              <w:jc w:val="left"/>
            </w:pPr>
            <w:r w:rsidRPr="00705C81">
              <w:t>The measure is defined as:</w:t>
            </w:r>
          </w:p>
          <w:p w:rsidR="0026369A" w:rsidRPr="00705C81" w:rsidRDefault="0026369A" w:rsidP="0026369A">
            <w:pPr>
              <w:pStyle w:val="TableBullet"/>
            </w:pPr>
            <w:r w:rsidRPr="00705C81">
              <w:rPr>
                <w:i/>
              </w:rPr>
              <w:t>numerator</w:t>
            </w:r>
            <w:r w:rsidRPr="00705C81">
              <w:t xml:space="preserve"> — number of assessed and exempt students in years 3, 5, 7 and 9</w:t>
            </w:r>
          </w:p>
          <w:p w:rsidR="0026369A" w:rsidRPr="00705C81" w:rsidRDefault="0026369A" w:rsidP="0026369A">
            <w:pPr>
              <w:pStyle w:val="TableBullet"/>
            </w:pPr>
            <w:r w:rsidRPr="00705C81">
              <w:rPr>
                <w:i/>
              </w:rPr>
              <w:t>denominator</w:t>
            </w:r>
            <w:r w:rsidRPr="00705C81">
              <w:t xml:space="preserve"> — total number of students in years 3, 5, 7 and 9</w:t>
            </w:r>
          </w:p>
          <w:p w:rsidR="0026369A" w:rsidRPr="00705C81" w:rsidRDefault="0026369A" w:rsidP="0026369A">
            <w:pPr>
              <w:pStyle w:val="TableBodyText"/>
              <w:jc w:val="left"/>
              <w:rPr>
                <w:i/>
              </w:rPr>
            </w:pPr>
            <w:r w:rsidRPr="00705C81">
              <w:t xml:space="preserve">and is expressed as a </w:t>
            </w:r>
            <w:r w:rsidRPr="00705C81">
              <w:rPr>
                <w:i/>
              </w:rPr>
              <w:t>rate</w:t>
            </w:r>
          </w:p>
          <w:p w:rsidR="0026369A" w:rsidRDefault="0026369A" w:rsidP="0026369A">
            <w:pPr>
              <w:pStyle w:val="TableBodyText"/>
              <w:jc w:val="left"/>
            </w:pPr>
          </w:p>
          <w:p w:rsidR="0026369A" w:rsidRPr="00705C81" w:rsidRDefault="0026369A" w:rsidP="0026369A">
            <w:pPr>
              <w:pStyle w:val="TableBodyText"/>
              <w:jc w:val="left"/>
            </w:pPr>
            <w:r w:rsidRPr="00705C81">
              <w:t>Numbers also reported separately for exempt, absent and withdrawn students.</w:t>
            </w:r>
          </w:p>
        </w:tc>
      </w:tr>
      <w:tr w:rsidR="0026369A" w:rsidRPr="00491EE2" w:rsidTr="0026369A">
        <w:trPr>
          <w:trHeight w:val="699"/>
        </w:trPr>
        <w:tc>
          <w:tcPr>
            <w:tcW w:w="1985" w:type="dxa"/>
          </w:tcPr>
          <w:p w:rsidR="0026369A" w:rsidRPr="00491EE2" w:rsidRDefault="0026369A" w:rsidP="0026369A">
            <w:pPr>
              <w:pStyle w:val="TableBodyText"/>
              <w:jc w:val="left"/>
            </w:pPr>
            <w:r>
              <w:t>Data source:</w:t>
            </w:r>
          </w:p>
        </w:tc>
        <w:tc>
          <w:tcPr>
            <w:tcW w:w="6804" w:type="dxa"/>
          </w:tcPr>
          <w:p w:rsidR="0026369A" w:rsidRPr="007770DC" w:rsidRDefault="0026369A" w:rsidP="0026369A">
            <w:pPr>
              <w:pStyle w:val="TableBodyText"/>
              <w:jc w:val="left"/>
            </w:pPr>
            <w:r w:rsidRPr="0064313A">
              <w:rPr>
                <w:u w:val="single"/>
              </w:rPr>
              <w:t>National Assessment Program – Literacy and Numeracy</w:t>
            </w:r>
            <w:r>
              <w:t xml:space="preserve"> (NAPLAN). Data are available annually</w:t>
            </w:r>
          </w:p>
          <w:p w:rsidR="0026369A" w:rsidRPr="008815FE" w:rsidRDefault="0026369A" w:rsidP="0026369A">
            <w:pPr>
              <w:pStyle w:val="TableBodyText"/>
              <w:jc w:val="left"/>
            </w:pPr>
          </w:p>
        </w:tc>
      </w:tr>
      <w:tr w:rsidR="0026369A" w:rsidRPr="00491EE2" w:rsidTr="0026369A">
        <w:trPr>
          <w:trHeight w:val="579"/>
        </w:trPr>
        <w:tc>
          <w:tcPr>
            <w:tcW w:w="1985" w:type="dxa"/>
          </w:tcPr>
          <w:p w:rsidR="0026369A" w:rsidRDefault="0026369A" w:rsidP="0026369A">
            <w:pPr>
              <w:pStyle w:val="TableBodyText"/>
              <w:jc w:val="left"/>
            </w:pPr>
            <w:r>
              <w:lastRenderedPageBreak/>
              <w:t>Data provider:</w:t>
            </w:r>
          </w:p>
        </w:tc>
        <w:tc>
          <w:tcPr>
            <w:tcW w:w="6804" w:type="dxa"/>
          </w:tcPr>
          <w:p w:rsidR="0026369A" w:rsidRPr="0093214F" w:rsidRDefault="0026369A" w:rsidP="0026369A">
            <w:pPr>
              <w:pStyle w:val="TableBodyText"/>
              <w:jc w:val="left"/>
            </w:pPr>
            <w:r w:rsidRPr="0093214F">
              <w:t>ACARA</w:t>
            </w:r>
          </w:p>
        </w:tc>
      </w:tr>
      <w:tr w:rsidR="0026369A" w:rsidRPr="00491EE2" w:rsidTr="0026369A">
        <w:trPr>
          <w:trHeight w:val="573"/>
        </w:trPr>
        <w:tc>
          <w:tcPr>
            <w:tcW w:w="1985" w:type="dxa"/>
          </w:tcPr>
          <w:p w:rsidR="0026369A" w:rsidRDefault="0026369A" w:rsidP="0026369A">
            <w:pPr>
              <w:pStyle w:val="TableBodyText"/>
              <w:jc w:val="left"/>
            </w:pPr>
            <w:r>
              <w:t>Data availability:</w:t>
            </w:r>
          </w:p>
        </w:tc>
        <w:tc>
          <w:tcPr>
            <w:tcW w:w="6804" w:type="dxa"/>
          </w:tcPr>
          <w:p w:rsidR="0026369A" w:rsidRPr="00CA06AE" w:rsidRDefault="0026369A" w:rsidP="0026369A">
            <w:pPr>
              <w:pStyle w:val="TableBodyText"/>
              <w:jc w:val="left"/>
            </w:pPr>
            <w:r>
              <w:t>NAPLAN — 2011</w:t>
            </w:r>
          </w:p>
          <w:p w:rsidR="0026369A" w:rsidRDefault="0026369A" w:rsidP="0026369A">
            <w:pPr>
              <w:pStyle w:val="TableBodyText"/>
              <w:jc w:val="left"/>
            </w:pPr>
          </w:p>
        </w:tc>
      </w:tr>
      <w:tr w:rsidR="0026369A" w:rsidRPr="00491EE2" w:rsidTr="0026369A">
        <w:trPr>
          <w:trHeight w:val="879"/>
        </w:trPr>
        <w:tc>
          <w:tcPr>
            <w:tcW w:w="1985" w:type="dxa"/>
          </w:tcPr>
          <w:p w:rsidR="0026369A" w:rsidRDefault="0026369A" w:rsidP="0026369A">
            <w:pPr>
              <w:pStyle w:val="TableBodyText"/>
              <w:jc w:val="left"/>
            </w:pPr>
            <w:r>
              <w:t>Cross tabulations provided:</w:t>
            </w:r>
          </w:p>
        </w:tc>
        <w:tc>
          <w:tcPr>
            <w:tcW w:w="6804" w:type="dxa"/>
          </w:tcPr>
          <w:p w:rsidR="0026369A" w:rsidRDefault="0026369A" w:rsidP="0026369A">
            <w:pPr>
              <w:pStyle w:val="TableBodyText"/>
              <w:jc w:val="left"/>
            </w:pPr>
            <w:r>
              <w:t>For each year level (3, 5, 7 and 9 — reported individually):</w:t>
            </w:r>
          </w:p>
          <w:p w:rsidR="0026369A" w:rsidRDefault="0026369A" w:rsidP="0026369A">
            <w:pPr>
              <w:pStyle w:val="TableBullet"/>
            </w:pPr>
            <w:r>
              <w:t>by learning domain (reading, writing and numeracy — reported individually), State and Territory, by Indigenous status</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9B0D9F">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31</w:t>
            </w:r>
            <w:r>
              <w:rPr>
                <w:b w:val="0"/>
              </w:rPr>
              <w:fldChar w:fldCharType="end"/>
            </w:r>
            <w:r>
              <w:tab/>
              <w:t>Results</w:t>
            </w:r>
            <w:r w:rsidR="009B0D9F">
              <w:t xml:space="preserve"> (measure </w:t>
            </w:r>
            <w:proofErr w:type="spellStart"/>
            <w:r w:rsidR="009B0D9F">
              <w:t>11a</w:t>
            </w:r>
            <w:proofErr w:type="spellEnd"/>
            <w:r w:rsidR="009B0D9F">
              <w:t>)</w:t>
            </w:r>
          </w:p>
        </w:tc>
      </w:tr>
      <w:tr w:rsidR="0026369A" w:rsidTr="009B0D9F">
        <w:trPr>
          <w:cantSplit/>
        </w:trPr>
        <w:tc>
          <w:tcPr>
            <w:tcW w:w="8771" w:type="dxa"/>
            <w:tcBorders>
              <w:top w:val="nil"/>
              <w:left w:val="single" w:sz="4" w:space="0" w:color="auto"/>
              <w:bottom w:val="nil"/>
              <w:right w:val="single" w:sz="4" w:space="0" w:color="auto"/>
            </w:tcBorders>
          </w:tcPr>
          <w:p w:rsidR="009B0D9F" w:rsidRDefault="009B0D9F" w:rsidP="0082251B">
            <w:pPr>
              <w:pStyle w:val="Box"/>
            </w:pPr>
            <w:r>
              <w:t>For this report, new data for this indicator are available for 2011.</w:t>
            </w:r>
          </w:p>
          <w:p w:rsidR="009B0D9F" w:rsidRDefault="009B0D9F" w:rsidP="0082251B">
            <w:pPr>
              <w:pStyle w:val="BoxListBullet"/>
              <w:numPr>
                <w:ilvl w:val="0"/>
                <w:numId w:val="1"/>
              </w:numPr>
            </w:pPr>
            <w:r>
              <w:t xml:space="preserve">Data by State and Territory, by Indigenous status, are presented in tables </w:t>
            </w:r>
            <w:proofErr w:type="spellStart"/>
            <w:r>
              <w:t>NEA.5.26</w:t>
            </w:r>
            <w:proofErr w:type="spellEnd"/>
            <w:r>
              <w:t>–5.37</w:t>
            </w:r>
          </w:p>
          <w:p w:rsidR="009B0D9F" w:rsidRDefault="009B0D9F" w:rsidP="0082251B">
            <w:pPr>
              <w:pStyle w:val="Box"/>
              <w:rPr>
                <w:rStyle w:val="DraftingNote"/>
                <w:b w:val="0"/>
                <w:color w:val="auto"/>
                <w:sz w:val="22"/>
              </w:rPr>
            </w:pPr>
            <w:r>
              <w:t>Data for 2010 are available in the 2010 NEA performance report</w:t>
            </w:r>
            <w:r w:rsidR="00751179">
              <w:t xml:space="preserve"> (specified as NEA indicator 11)</w:t>
            </w:r>
            <w:r>
              <w:t>. Data for 2009 and 2008 are available in the 2009 NEA performance report.</w:t>
            </w:r>
          </w:p>
          <w:p w:rsidR="0026369A" w:rsidRDefault="009B0D9F" w:rsidP="0082251B">
            <w:pPr>
              <w:pStyle w:val="Box"/>
              <w:spacing w:line="240" w:lineRule="auto"/>
            </w:pPr>
            <w:r>
              <w:t>Apparent differences may not be statistically significant</w:t>
            </w:r>
            <w:r w:rsidRPr="009B0D9F">
              <w:t xml:space="preserve"> and relevant confidence intervals may be requested directly from the data provider</w:t>
            </w:r>
            <w:r>
              <w:t xml:space="preserve">. </w:t>
            </w:r>
            <w:r w:rsidRPr="009B0D9F">
              <w:t>Different confidence intervals are required depending on the type of analysis. Confidence intervals for comparing data within years across jurisdictions are different from confidence intervals for comparing data across years within and across jurisdictions.</w:t>
            </w:r>
          </w:p>
        </w:tc>
      </w:tr>
      <w:tr w:rsidR="0026369A" w:rsidTr="009B0D9F">
        <w:trPr>
          <w:cantSplit/>
        </w:trPr>
        <w:tc>
          <w:tcPr>
            <w:tcW w:w="8771" w:type="dxa"/>
            <w:tcBorders>
              <w:top w:val="nil"/>
              <w:left w:val="single" w:sz="4" w:space="0" w:color="auto"/>
              <w:bottom w:val="single" w:sz="4" w:space="0" w:color="auto"/>
              <w:right w:val="single" w:sz="4" w:space="0" w:color="auto"/>
            </w:tcBorders>
          </w:tcPr>
          <w:p w:rsidR="0026369A" w:rsidRDefault="0026369A" w:rsidP="0026369A">
            <w:pPr>
              <w:pStyle w:val="Box"/>
              <w:spacing w:before="0" w:line="120" w:lineRule="exact"/>
            </w:pPr>
          </w:p>
        </w:tc>
      </w:tr>
    </w:tbl>
    <w:p w:rsidR="009B0D9F" w:rsidRPr="00FC4A4C" w:rsidRDefault="009B0D9F" w:rsidP="009B0D9F">
      <w:pPr>
        <w:pStyle w:val="Heading4"/>
        <w:spacing w:after="120"/>
      </w:pPr>
      <w:r>
        <w:t xml:space="preserve">Attachment tables </w:t>
      </w:r>
      <w:r w:rsidR="00F5681E">
        <w:t xml:space="preserve">(measure </w:t>
      </w:r>
      <w:proofErr w:type="spellStart"/>
      <w:r w:rsidR="00F5681E">
        <w:t>11a</w:t>
      </w:r>
      <w:proofErr w:type="spellEnd"/>
      <w:r w:rsidR="00F5681E">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877"/>
        <w:gridCol w:w="6943"/>
      </w:tblGrid>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34" w:anchor="'Table NEA.5.26'!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NEA.5.26</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reading,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35" w:anchor="'Table NEA.5.27'!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NEA.5.27</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writing,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36" w:anchor="'Table NEA.5.28'!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NEA.5.28</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3 students who achieved at or above the national minimum standard for numeracy,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37" w:anchor="'Table NEA.5.29'!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NEA.5.29</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reading,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38" w:anchor="'Table NEA.5.30'!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NEA.5.30</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writing,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39" w:anchor="'Table NEA.5.31'!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NEA.5.31</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5 students who achieved at or above the national minimum standard for numeracy,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40" w:anchor="'Table NEA.5.32'!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NEA.5.32</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reading,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41" w:anchor="'Table NEA.5.33'!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NEA.5.33</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writing,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42" w:anchor="'Table NEA.5.34'!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NEA.5.34</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7 students who achieved at or above the national minimum standard for numeracy,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43" w:anchor="'Table NEA.5.35'!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NEA.5.35</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reading,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44" w:anchor="'Table NEA.5.36'!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NEA.5.36</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writing, by State and Territory, by Indigenous status, 2011 (per cent)  </w:t>
            </w:r>
          </w:p>
        </w:tc>
      </w:tr>
      <w:tr w:rsidR="009B0D9F" w:rsidRPr="002019D0" w:rsidTr="009B0D9F">
        <w:trPr>
          <w:trHeight w:val="612"/>
        </w:trPr>
        <w:tc>
          <w:tcPr>
            <w:tcW w:w="1877" w:type="dxa"/>
            <w:tcBorders>
              <w:top w:val="single" w:sz="6" w:space="0" w:color="auto"/>
              <w:left w:val="single" w:sz="6" w:space="0" w:color="auto"/>
              <w:bottom w:val="single" w:sz="6" w:space="0" w:color="auto"/>
              <w:right w:val="single" w:sz="6" w:space="0" w:color="auto"/>
            </w:tcBorders>
            <w:noWrap/>
          </w:tcPr>
          <w:p w:rsidR="009B0D9F" w:rsidRPr="002019D0" w:rsidRDefault="007076BB" w:rsidP="00F5681E">
            <w:pPr>
              <w:rPr>
                <w:rFonts w:ascii="Arial" w:hAnsi="Arial" w:cs="Arial"/>
                <w:b/>
                <w:bCs/>
                <w:sz w:val="20"/>
                <w:szCs w:val="20"/>
              </w:rPr>
            </w:pPr>
            <w:hyperlink r:id="rId145" w:anchor="'Table NEA.5.37'!A1" w:history="1">
              <w:r w:rsidR="009B0D9F" w:rsidRPr="002019D0">
                <w:rPr>
                  <w:rStyle w:val="Hyperlink"/>
                  <w:rFonts w:ascii="Arial" w:hAnsi="Arial" w:cs="Arial"/>
                  <w:b/>
                  <w:bCs/>
                  <w:color w:val="auto"/>
                  <w:sz w:val="20"/>
                  <w:szCs w:val="20"/>
                  <w:u w:val="none"/>
                </w:rPr>
                <w:t xml:space="preserve">Table </w:t>
              </w:r>
              <w:proofErr w:type="spellStart"/>
              <w:r w:rsidR="009B0D9F" w:rsidRPr="002019D0">
                <w:rPr>
                  <w:rStyle w:val="Hyperlink"/>
                  <w:rFonts w:ascii="Arial" w:hAnsi="Arial" w:cs="Arial"/>
                  <w:b/>
                  <w:bCs/>
                  <w:color w:val="auto"/>
                  <w:sz w:val="20"/>
                  <w:szCs w:val="20"/>
                  <w:u w:val="none"/>
                </w:rPr>
                <w:t>NEA.5.37</w:t>
              </w:r>
              <w:proofErr w:type="spellEnd"/>
            </w:hyperlink>
          </w:p>
        </w:tc>
        <w:tc>
          <w:tcPr>
            <w:tcW w:w="6943" w:type="dxa"/>
            <w:tcBorders>
              <w:top w:val="single" w:sz="6" w:space="0" w:color="auto"/>
              <w:left w:val="single" w:sz="6" w:space="0" w:color="auto"/>
              <w:bottom w:val="single" w:sz="6" w:space="0" w:color="auto"/>
              <w:right w:val="single" w:sz="6" w:space="0" w:color="auto"/>
            </w:tcBorders>
          </w:tcPr>
          <w:p w:rsidR="009B0D9F" w:rsidRPr="002019D0" w:rsidRDefault="009B0D9F" w:rsidP="00F5681E">
            <w:pPr>
              <w:jc w:val="both"/>
              <w:rPr>
                <w:rFonts w:ascii="Arial" w:hAnsi="Arial" w:cs="Arial"/>
                <w:sz w:val="20"/>
                <w:szCs w:val="20"/>
              </w:rPr>
            </w:pPr>
            <w:r w:rsidRPr="002019D0">
              <w:rPr>
                <w:rFonts w:ascii="Arial" w:hAnsi="Arial" w:cs="Arial"/>
                <w:sz w:val="20"/>
                <w:szCs w:val="20"/>
              </w:rPr>
              <w:t xml:space="preserve">Proportion of year 9 students who achieved at or above the national minimum standard for numeracy, by State and Territory, by Indigenous status, 2011 (per cent)  </w:t>
            </w:r>
          </w:p>
        </w:tc>
      </w:tr>
    </w:tbl>
    <w:p w:rsidR="00F5681E" w:rsidRDefault="00F5681E" w:rsidP="00F5681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5681E" w:rsidTr="00F5681E">
        <w:tc>
          <w:tcPr>
            <w:tcW w:w="8771" w:type="dxa"/>
            <w:tcBorders>
              <w:top w:val="single" w:sz="6" w:space="0" w:color="auto"/>
              <w:bottom w:val="nil"/>
            </w:tcBorders>
          </w:tcPr>
          <w:p w:rsidR="00F5681E" w:rsidRDefault="00F5681E" w:rsidP="00F5681E">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32</w:t>
            </w:r>
            <w:r>
              <w:rPr>
                <w:b w:val="0"/>
              </w:rPr>
              <w:fldChar w:fldCharType="end"/>
            </w:r>
            <w:r>
              <w:tab/>
              <w:t xml:space="preserve">Comment on data quality (measure </w:t>
            </w:r>
            <w:proofErr w:type="spellStart"/>
            <w:r>
              <w:t>11a</w:t>
            </w:r>
            <w:proofErr w:type="spellEnd"/>
            <w:r>
              <w:t>)</w:t>
            </w:r>
          </w:p>
        </w:tc>
      </w:tr>
      <w:tr w:rsidR="00F5681E" w:rsidTr="00F5681E">
        <w:trPr>
          <w:cantSplit/>
        </w:trPr>
        <w:tc>
          <w:tcPr>
            <w:tcW w:w="8771" w:type="dxa"/>
            <w:tcBorders>
              <w:top w:val="nil"/>
              <w:left w:val="single" w:sz="4" w:space="0" w:color="auto"/>
              <w:bottom w:val="nil"/>
              <w:right w:val="single" w:sz="4" w:space="0" w:color="auto"/>
            </w:tcBorders>
          </w:tcPr>
          <w:p w:rsidR="00F5681E" w:rsidRDefault="00F5681E" w:rsidP="00F5681E">
            <w:pPr>
              <w:pStyle w:val="Box"/>
            </w:pPr>
            <w:r>
              <w:t>Details are included in the comment on data quality for NEA Indicator 5.</w:t>
            </w:r>
          </w:p>
        </w:tc>
      </w:tr>
      <w:tr w:rsidR="00F5681E" w:rsidTr="00F5681E">
        <w:trPr>
          <w:cantSplit/>
        </w:trPr>
        <w:tc>
          <w:tcPr>
            <w:tcW w:w="8771" w:type="dxa"/>
            <w:tcBorders>
              <w:top w:val="nil"/>
              <w:left w:val="single" w:sz="4" w:space="0" w:color="auto"/>
              <w:bottom w:val="single" w:sz="4" w:space="0" w:color="auto"/>
              <w:right w:val="single" w:sz="4" w:space="0" w:color="auto"/>
            </w:tcBorders>
          </w:tcPr>
          <w:p w:rsidR="00F5681E" w:rsidRDefault="00F5681E" w:rsidP="00F5681E">
            <w:pPr>
              <w:pStyle w:val="Box"/>
              <w:spacing w:before="0" w:line="120" w:lineRule="exact"/>
            </w:pPr>
          </w:p>
        </w:tc>
      </w:tr>
      <w:tr w:rsidR="00F5681E" w:rsidTr="00F5681E">
        <w:tc>
          <w:tcPr>
            <w:tcW w:w="8771" w:type="dxa"/>
            <w:tcBorders>
              <w:top w:val="single" w:sz="4" w:space="0" w:color="auto"/>
              <w:left w:val="nil"/>
              <w:bottom w:val="nil"/>
              <w:right w:val="nil"/>
            </w:tcBorders>
          </w:tcPr>
          <w:p w:rsidR="00F5681E" w:rsidRDefault="00F5681E" w:rsidP="00F5681E">
            <w:pPr>
              <w:pStyle w:val="Box"/>
              <w:keepNext w:val="0"/>
              <w:spacing w:before="60" w:after="60" w:line="80" w:lineRule="exact"/>
              <w:rPr>
                <w:b/>
                <w:color w:val="FF00FF"/>
                <w:sz w:val="14"/>
              </w:rPr>
            </w:pPr>
          </w:p>
        </w:tc>
      </w:tr>
    </w:tbl>
    <w:p w:rsidR="00F5681E" w:rsidRDefault="00F5681E" w:rsidP="00F5681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5681E" w:rsidTr="00F5681E">
        <w:tc>
          <w:tcPr>
            <w:tcW w:w="8771" w:type="dxa"/>
            <w:tcBorders>
              <w:top w:val="single" w:sz="6" w:space="0" w:color="auto"/>
              <w:bottom w:val="nil"/>
            </w:tcBorders>
          </w:tcPr>
          <w:p w:rsidR="00F5681E" w:rsidRDefault="00F5681E" w:rsidP="00F5681E">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33</w:t>
            </w:r>
            <w:r>
              <w:rPr>
                <w:b w:val="0"/>
              </w:rPr>
              <w:fldChar w:fldCharType="end"/>
            </w:r>
            <w:r>
              <w:tab/>
              <w:t xml:space="preserve">Results (measure </w:t>
            </w:r>
            <w:proofErr w:type="spellStart"/>
            <w:r>
              <w:t>11b</w:t>
            </w:r>
            <w:proofErr w:type="spellEnd"/>
            <w:r>
              <w:t>)</w:t>
            </w:r>
          </w:p>
        </w:tc>
      </w:tr>
      <w:tr w:rsidR="00F5681E" w:rsidTr="00F5681E">
        <w:trPr>
          <w:cantSplit/>
        </w:trPr>
        <w:tc>
          <w:tcPr>
            <w:tcW w:w="8771" w:type="dxa"/>
            <w:tcBorders>
              <w:top w:val="nil"/>
              <w:left w:val="single" w:sz="4" w:space="0" w:color="auto"/>
              <w:bottom w:val="nil"/>
              <w:right w:val="single" w:sz="4" w:space="0" w:color="auto"/>
            </w:tcBorders>
          </w:tcPr>
          <w:p w:rsidR="00FA698F" w:rsidRDefault="00FA698F" w:rsidP="0082251B">
            <w:pPr>
              <w:pStyle w:val="Box"/>
            </w:pPr>
            <w:r>
              <w:t>For this report, new data for this indicator are available for 2011.</w:t>
            </w:r>
          </w:p>
          <w:p w:rsidR="00FA698F" w:rsidRDefault="00FA698F" w:rsidP="0082251B">
            <w:pPr>
              <w:pStyle w:val="BoxListBullet"/>
              <w:numPr>
                <w:ilvl w:val="0"/>
                <w:numId w:val="1"/>
              </w:numPr>
            </w:pPr>
            <w:r>
              <w:t xml:space="preserve">Data by State and Territory, by Indigenous status are presented in </w:t>
            </w:r>
            <w:r w:rsidR="003B5315">
              <w:br/>
            </w:r>
            <w:r>
              <w:t xml:space="preserve">tables </w:t>
            </w:r>
            <w:proofErr w:type="spellStart"/>
            <w:r>
              <w:t>NIRA.11</w:t>
            </w:r>
            <w:proofErr w:type="spellEnd"/>
            <w:r>
              <w:t>(b).1–4.</w:t>
            </w:r>
          </w:p>
          <w:p w:rsidR="00FA698F" w:rsidRDefault="00FA698F" w:rsidP="0082251B">
            <w:pPr>
              <w:pStyle w:val="Box"/>
              <w:rPr>
                <w:rStyle w:val="DraftingNote"/>
                <w:b w:val="0"/>
                <w:color w:val="auto"/>
                <w:sz w:val="22"/>
              </w:rPr>
            </w:pPr>
            <w:r>
              <w:t>Data for 2010 are available in the 2010 NEA performance report (</w:t>
            </w:r>
            <w:r w:rsidR="00BE29E2">
              <w:t xml:space="preserve">specified as </w:t>
            </w:r>
            <w:r>
              <w:t>NEA Indicator 1</w:t>
            </w:r>
            <w:r w:rsidR="00751179">
              <w:t>2</w:t>
            </w:r>
            <w:r>
              <w:t>). Data for 2009 and 2008 are available in the 2009 NEA performance report.</w:t>
            </w:r>
          </w:p>
          <w:p w:rsidR="00FA698F" w:rsidRDefault="00FA698F" w:rsidP="0082251B">
            <w:pPr>
              <w:pStyle w:val="Box"/>
            </w:pPr>
            <w:r>
              <w:t>Additional data on the proportion of students exempt, absent and withdrawn are available for 2011.</w:t>
            </w:r>
          </w:p>
          <w:p w:rsidR="00FA698F" w:rsidRDefault="00FA698F" w:rsidP="0082251B">
            <w:pPr>
              <w:pStyle w:val="BoxListBullet"/>
              <w:numPr>
                <w:ilvl w:val="0"/>
                <w:numId w:val="1"/>
              </w:numPr>
            </w:pPr>
            <w:r>
              <w:t xml:space="preserve">Data by State and Territory, by Indigenous status are presented in </w:t>
            </w:r>
            <w:r w:rsidR="003B5315">
              <w:br/>
            </w:r>
            <w:r>
              <w:t xml:space="preserve">tables </w:t>
            </w:r>
            <w:proofErr w:type="spellStart"/>
            <w:r>
              <w:t>NIRA.11</w:t>
            </w:r>
            <w:proofErr w:type="spellEnd"/>
            <w:r>
              <w:t>(b).5–7.</w:t>
            </w:r>
          </w:p>
          <w:p w:rsidR="00F5681E" w:rsidRDefault="00FA698F" w:rsidP="0082251B">
            <w:pPr>
              <w:pStyle w:val="Box"/>
            </w:pPr>
            <w:r>
              <w:t>Data for 2009 and 2010 are available in the 2010 NEA performance report</w:t>
            </w:r>
            <w:r w:rsidR="00751179">
              <w:t>.</w:t>
            </w:r>
          </w:p>
        </w:tc>
      </w:tr>
      <w:tr w:rsidR="00F5681E" w:rsidTr="00F5681E">
        <w:trPr>
          <w:cantSplit/>
        </w:trPr>
        <w:tc>
          <w:tcPr>
            <w:tcW w:w="8771" w:type="dxa"/>
            <w:tcBorders>
              <w:top w:val="nil"/>
              <w:left w:val="single" w:sz="4" w:space="0" w:color="auto"/>
              <w:bottom w:val="single" w:sz="4" w:space="0" w:color="auto"/>
              <w:right w:val="single" w:sz="4" w:space="0" w:color="auto"/>
            </w:tcBorders>
          </w:tcPr>
          <w:p w:rsidR="00F5681E" w:rsidRDefault="00F5681E" w:rsidP="00F5681E">
            <w:pPr>
              <w:pStyle w:val="Box"/>
              <w:spacing w:before="0" w:line="120" w:lineRule="exact"/>
            </w:pPr>
          </w:p>
        </w:tc>
      </w:tr>
    </w:tbl>
    <w:p w:rsidR="0026369A" w:rsidRPr="00FC4A4C" w:rsidRDefault="0026369A" w:rsidP="0026369A">
      <w:pPr>
        <w:pStyle w:val="Heading4"/>
        <w:spacing w:after="120"/>
      </w:pPr>
      <w:r>
        <w:t>Attachment table</w:t>
      </w:r>
      <w:r w:rsidR="000F0C9C">
        <w:t>s</w:t>
      </w:r>
      <w:r w:rsidR="00667874">
        <w:t xml:space="preserve"> </w:t>
      </w:r>
      <w:r w:rsidR="00F5681E">
        <w:t xml:space="preserve">(measure </w:t>
      </w:r>
      <w:proofErr w:type="spellStart"/>
      <w:r w:rsidR="00F5681E">
        <w:t>11b</w:t>
      </w:r>
      <w:proofErr w:type="spellEnd"/>
      <w:r w:rsidR="00F5681E">
        <w:t>)</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985"/>
        <w:gridCol w:w="6835"/>
      </w:tblGrid>
      <w:tr w:rsidR="0026369A" w:rsidRPr="00CF3BDE" w:rsidTr="0026369A">
        <w:trPr>
          <w:trHeight w:val="612"/>
        </w:trPr>
        <w:tc>
          <w:tcPr>
            <w:tcW w:w="1985" w:type="dxa"/>
            <w:noWrap/>
          </w:tcPr>
          <w:p w:rsidR="0026369A" w:rsidRPr="002019D0" w:rsidRDefault="007076BB" w:rsidP="0026369A">
            <w:pPr>
              <w:rPr>
                <w:rFonts w:ascii="Arial" w:hAnsi="Arial" w:cs="Arial"/>
                <w:bCs/>
                <w:sz w:val="20"/>
                <w:szCs w:val="20"/>
              </w:rPr>
            </w:pPr>
            <w:hyperlink r:id="rId146" w:anchor="'Table NIRA.11(b).1'!A1" w:history="1">
              <w:r w:rsidR="0026369A" w:rsidRPr="002019D0">
                <w:rPr>
                  <w:rStyle w:val="Hyperlink"/>
                  <w:rFonts w:ascii="Arial" w:hAnsi="Arial" w:cs="Arial"/>
                  <w:bCs/>
                  <w:color w:val="auto"/>
                  <w:sz w:val="20"/>
                  <w:szCs w:val="20"/>
                  <w:u w:val="none"/>
                </w:rPr>
                <w:t xml:space="preserve">Table </w:t>
              </w:r>
              <w:proofErr w:type="spellStart"/>
              <w:r w:rsidR="0026369A" w:rsidRPr="002019D0">
                <w:rPr>
                  <w:rStyle w:val="Hyperlink"/>
                  <w:rFonts w:ascii="Arial" w:hAnsi="Arial" w:cs="Arial"/>
                  <w:bCs/>
                  <w:color w:val="auto"/>
                  <w:sz w:val="20"/>
                  <w:szCs w:val="20"/>
                  <w:u w:val="none"/>
                </w:rPr>
                <w:t>NIRA.11</w:t>
              </w:r>
              <w:proofErr w:type="spellEnd"/>
              <w:r w:rsidR="0026369A" w:rsidRPr="002019D0">
                <w:rPr>
                  <w:rStyle w:val="Hyperlink"/>
                  <w:rFonts w:ascii="Arial" w:hAnsi="Arial" w:cs="Arial"/>
                  <w:bCs/>
                  <w:color w:val="auto"/>
                  <w:sz w:val="20"/>
                  <w:szCs w:val="20"/>
                  <w:u w:val="none"/>
                </w:rPr>
                <w:t>(b).1</w:t>
              </w:r>
            </w:hyperlink>
          </w:p>
        </w:tc>
        <w:tc>
          <w:tcPr>
            <w:tcW w:w="6835" w:type="dxa"/>
          </w:tcPr>
          <w:p w:rsidR="0026369A" w:rsidRDefault="0026369A" w:rsidP="0026369A">
            <w:pPr>
              <w:jc w:val="both"/>
              <w:rPr>
                <w:rFonts w:ascii="Arial" w:hAnsi="Arial" w:cs="Arial"/>
                <w:sz w:val="20"/>
                <w:szCs w:val="20"/>
              </w:rPr>
            </w:pPr>
            <w:r>
              <w:rPr>
                <w:rFonts w:ascii="Arial" w:hAnsi="Arial" w:cs="Arial"/>
                <w:sz w:val="20"/>
                <w:szCs w:val="20"/>
              </w:rPr>
              <w:t xml:space="preserve">Year 3 student participation in assessment, 2011 (per cent) </w:t>
            </w:r>
          </w:p>
        </w:tc>
      </w:tr>
      <w:tr w:rsidR="0026369A" w:rsidRPr="00CF3BDE" w:rsidTr="0026369A">
        <w:trPr>
          <w:trHeight w:val="612"/>
        </w:trPr>
        <w:tc>
          <w:tcPr>
            <w:tcW w:w="1985" w:type="dxa"/>
            <w:noWrap/>
          </w:tcPr>
          <w:p w:rsidR="0026369A" w:rsidRPr="002019D0" w:rsidRDefault="007076BB" w:rsidP="0026369A">
            <w:pPr>
              <w:rPr>
                <w:rFonts w:ascii="Arial" w:hAnsi="Arial" w:cs="Arial"/>
                <w:bCs/>
                <w:sz w:val="20"/>
                <w:szCs w:val="20"/>
              </w:rPr>
            </w:pPr>
            <w:hyperlink r:id="rId147" w:anchor="'Table NIRA.11(b).2'!A1" w:history="1">
              <w:r w:rsidR="0026369A" w:rsidRPr="002019D0">
                <w:rPr>
                  <w:rStyle w:val="Hyperlink"/>
                  <w:rFonts w:ascii="Arial" w:hAnsi="Arial" w:cs="Arial"/>
                  <w:bCs/>
                  <w:color w:val="auto"/>
                  <w:sz w:val="20"/>
                  <w:szCs w:val="20"/>
                  <w:u w:val="none"/>
                </w:rPr>
                <w:t xml:space="preserve">Table </w:t>
              </w:r>
              <w:proofErr w:type="spellStart"/>
              <w:r w:rsidR="0026369A" w:rsidRPr="002019D0">
                <w:rPr>
                  <w:rStyle w:val="Hyperlink"/>
                  <w:rFonts w:ascii="Arial" w:hAnsi="Arial" w:cs="Arial"/>
                  <w:bCs/>
                  <w:color w:val="auto"/>
                  <w:sz w:val="20"/>
                  <w:szCs w:val="20"/>
                  <w:u w:val="none"/>
                </w:rPr>
                <w:t>NIRA.11</w:t>
              </w:r>
              <w:proofErr w:type="spellEnd"/>
              <w:r w:rsidR="0026369A" w:rsidRPr="002019D0">
                <w:rPr>
                  <w:rStyle w:val="Hyperlink"/>
                  <w:rFonts w:ascii="Arial" w:hAnsi="Arial" w:cs="Arial"/>
                  <w:bCs/>
                  <w:color w:val="auto"/>
                  <w:sz w:val="20"/>
                  <w:szCs w:val="20"/>
                  <w:u w:val="none"/>
                </w:rPr>
                <w:t>(b).2</w:t>
              </w:r>
            </w:hyperlink>
          </w:p>
        </w:tc>
        <w:tc>
          <w:tcPr>
            <w:tcW w:w="6835" w:type="dxa"/>
          </w:tcPr>
          <w:p w:rsidR="0026369A" w:rsidRDefault="0026369A" w:rsidP="0026369A">
            <w:pPr>
              <w:jc w:val="both"/>
              <w:rPr>
                <w:rFonts w:ascii="Arial" w:hAnsi="Arial" w:cs="Arial"/>
                <w:sz w:val="20"/>
                <w:szCs w:val="20"/>
              </w:rPr>
            </w:pPr>
            <w:r>
              <w:rPr>
                <w:rFonts w:ascii="Arial" w:hAnsi="Arial" w:cs="Arial"/>
                <w:sz w:val="20"/>
                <w:szCs w:val="20"/>
              </w:rPr>
              <w:t xml:space="preserve">Year 5 student participation in assessment, 2011 (per cent) </w:t>
            </w:r>
          </w:p>
        </w:tc>
      </w:tr>
      <w:tr w:rsidR="0026369A" w:rsidRPr="00CF3BDE" w:rsidTr="0026369A">
        <w:trPr>
          <w:trHeight w:val="612"/>
        </w:trPr>
        <w:tc>
          <w:tcPr>
            <w:tcW w:w="1985" w:type="dxa"/>
            <w:noWrap/>
          </w:tcPr>
          <w:p w:rsidR="0026369A" w:rsidRPr="002019D0" w:rsidRDefault="007076BB" w:rsidP="0026369A">
            <w:pPr>
              <w:rPr>
                <w:rFonts w:ascii="Arial" w:hAnsi="Arial" w:cs="Arial"/>
                <w:bCs/>
                <w:sz w:val="20"/>
                <w:szCs w:val="20"/>
              </w:rPr>
            </w:pPr>
            <w:hyperlink r:id="rId148" w:anchor="'Table NIRA.11(b).3'!A1" w:history="1">
              <w:r w:rsidR="0026369A" w:rsidRPr="002019D0">
                <w:rPr>
                  <w:rStyle w:val="Hyperlink"/>
                  <w:rFonts w:ascii="Arial" w:hAnsi="Arial" w:cs="Arial"/>
                  <w:bCs/>
                  <w:color w:val="auto"/>
                  <w:sz w:val="20"/>
                  <w:szCs w:val="20"/>
                  <w:u w:val="none"/>
                </w:rPr>
                <w:t xml:space="preserve">Table </w:t>
              </w:r>
              <w:proofErr w:type="spellStart"/>
              <w:r w:rsidR="0026369A" w:rsidRPr="002019D0">
                <w:rPr>
                  <w:rStyle w:val="Hyperlink"/>
                  <w:rFonts w:ascii="Arial" w:hAnsi="Arial" w:cs="Arial"/>
                  <w:bCs/>
                  <w:color w:val="auto"/>
                  <w:sz w:val="20"/>
                  <w:szCs w:val="20"/>
                  <w:u w:val="none"/>
                </w:rPr>
                <w:t>NIRA.11</w:t>
              </w:r>
              <w:proofErr w:type="spellEnd"/>
              <w:r w:rsidR="0026369A" w:rsidRPr="002019D0">
                <w:rPr>
                  <w:rStyle w:val="Hyperlink"/>
                  <w:rFonts w:ascii="Arial" w:hAnsi="Arial" w:cs="Arial"/>
                  <w:bCs/>
                  <w:color w:val="auto"/>
                  <w:sz w:val="20"/>
                  <w:szCs w:val="20"/>
                  <w:u w:val="none"/>
                </w:rPr>
                <w:t>(b).3</w:t>
              </w:r>
            </w:hyperlink>
          </w:p>
        </w:tc>
        <w:tc>
          <w:tcPr>
            <w:tcW w:w="6835" w:type="dxa"/>
          </w:tcPr>
          <w:p w:rsidR="0026369A" w:rsidRDefault="0026369A" w:rsidP="0026369A">
            <w:pPr>
              <w:jc w:val="both"/>
              <w:rPr>
                <w:rFonts w:ascii="Arial" w:hAnsi="Arial" w:cs="Arial"/>
                <w:sz w:val="20"/>
                <w:szCs w:val="20"/>
              </w:rPr>
            </w:pPr>
            <w:r>
              <w:rPr>
                <w:rFonts w:ascii="Arial" w:hAnsi="Arial" w:cs="Arial"/>
                <w:sz w:val="20"/>
                <w:szCs w:val="20"/>
              </w:rPr>
              <w:t xml:space="preserve">Year 7 student participation in assessment, 2011 (per cent) </w:t>
            </w:r>
          </w:p>
        </w:tc>
      </w:tr>
      <w:tr w:rsidR="0026369A" w:rsidRPr="00CF3BDE" w:rsidTr="0026369A">
        <w:trPr>
          <w:trHeight w:val="612"/>
        </w:trPr>
        <w:tc>
          <w:tcPr>
            <w:tcW w:w="1985" w:type="dxa"/>
            <w:noWrap/>
          </w:tcPr>
          <w:p w:rsidR="0026369A" w:rsidRPr="002019D0" w:rsidRDefault="007076BB" w:rsidP="0026369A">
            <w:pPr>
              <w:rPr>
                <w:rFonts w:ascii="Arial" w:hAnsi="Arial" w:cs="Arial"/>
                <w:bCs/>
                <w:sz w:val="20"/>
                <w:szCs w:val="20"/>
              </w:rPr>
            </w:pPr>
            <w:hyperlink r:id="rId149" w:anchor="'Table NIRA.11(b).4'!A1" w:history="1">
              <w:r w:rsidR="0026369A" w:rsidRPr="002019D0">
                <w:rPr>
                  <w:rStyle w:val="Hyperlink"/>
                  <w:rFonts w:ascii="Arial" w:hAnsi="Arial" w:cs="Arial"/>
                  <w:bCs/>
                  <w:color w:val="auto"/>
                  <w:sz w:val="20"/>
                  <w:szCs w:val="20"/>
                  <w:u w:val="none"/>
                </w:rPr>
                <w:t xml:space="preserve">Table </w:t>
              </w:r>
              <w:proofErr w:type="spellStart"/>
              <w:r w:rsidR="0026369A" w:rsidRPr="002019D0">
                <w:rPr>
                  <w:rStyle w:val="Hyperlink"/>
                  <w:rFonts w:ascii="Arial" w:hAnsi="Arial" w:cs="Arial"/>
                  <w:bCs/>
                  <w:color w:val="auto"/>
                  <w:sz w:val="20"/>
                  <w:szCs w:val="20"/>
                  <w:u w:val="none"/>
                </w:rPr>
                <w:t>NIRA.11</w:t>
              </w:r>
              <w:proofErr w:type="spellEnd"/>
              <w:r w:rsidR="0026369A" w:rsidRPr="002019D0">
                <w:rPr>
                  <w:rStyle w:val="Hyperlink"/>
                  <w:rFonts w:ascii="Arial" w:hAnsi="Arial" w:cs="Arial"/>
                  <w:bCs/>
                  <w:color w:val="auto"/>
                  <w:sz w:val="20"/>
                  <w:szCs w:val="20"/>
                  <w:u w:val="none"/>
                </w:rPr>
                <w:t>(b).4</w:t>
              </w:r>
            </w:hyperlink>
          </w:p>
        </w:tc>
        <w:tc>
          <w:tcPr>
            <w:tcW w:w="6835" w:type="dxa"/>
          </w:tcPr>
          <w:p w:rsidR="0026369A" w:rsidRDefault="0026369A" w:rsidP="0026369A">
            <w:pPr>
              <w:jc w:val="both"/>
              <w:rPr>
                <w:rFonts w:ascii="Arial" w:hAnsi="Arial" w:cs="Arial"/>
                <w:sz w:val="20"/>
                <w:szCs w:val="20"/>
              </w:rPr>
            </w:pPr>
            <w:r>
              <w:rPr>
                <w:rFonts w:ascii="Arial" w:hAnsi="Arial" w:cs="Arial"/>
                <w:sz w:val="20"/>
                <w:szCs w:val="20"/>
              </w:rPr>
              <w:t xml:space="preserve">Year 9 student participation in assessment, 2011 (per cent) </w:t>
            </w:r>
          </w:p>
        </w:tc>
      </w:tr>
      <w:tr w:rsidR="0026369A" w:rsidRPr="00CF3BDE" w:rsidTr="0026369A">
        <w:trPr>
          <w:trHeight w:val="612"/>
        </w:trPr>
        <w:tc>
          <w:tcPr>
            <w:tcW w:w="1985" w:type="dxa"/>
            <w:noWrap/>
          </w:tcPr>
          <w:p w:rsidR="0026369A" w:rsidRPr="002019D0" w:rsidRDefault="007076BB" w:rsidP="0026369A">
            <w:pPr>
              <w:rPr>
                <w:rFonts w:ascii="Arial" w:hAnsi="Arial" w:cs="Arial"/>
                <w:bCs/>
                <w:sz w:val="20"/>
                <w:szCs w:val="20"/>
              </w:rPr>
            </w:pPr>
            <w:hyperlink r:id="rId150" w:anchor="'Table NIRA.11(b).5'!A1" w:history="1">
              <w:r w:rsidR="0026369A" w:rsidRPr="002019D0">
                <w:rPr>
                  <w:rStyle w:val="Hyperlink"/>
                  <w:rFonts w:ascii="Arial" w:hAnsi="Arial" w:cs="Arial"/>
                  <w:bCs/>
                  <w:color w:val="auto"/>
                  <w:sz w:val="20"/>
                  <w:szCs w:val="20"/>
                  <w:u w:val="none"/>
                </w:rPr>
                <w:t xml:space="preserve">Table </w:t>
              </w:r>
              <w:proofErr w:type="spellStart"/>
              <w:r w:rsidR="0026369A" w:rsidRPr="002019D0">
                <w:rPr>
                  <w:rStyle w:val="Hyperlink"/>
                  <w:rFonts w:ascii="Arial" w:hAnsi="Arial" w:cs="Arial"/>
                  <w:bCs/>
                  <w:color w:val="auto"/>
                  <w:sz w:val="20"/>
                  <w:szCs w:val="20"/>
                  <w:u w:val="none"/>
                </w:rPr>
                <w:t>NIRA.11</w:t>
              </w:r>
              <w:proofErr w:type="spellEnd"/>
              <w:r w:rsidR="0026369A" w:rsidRPr="002019D0">
                <w:rPr>
                  <w:rStyle w:val="Hyperlink"/>
                  <w:rFonts w:ascii="Arial" w:hAnsi="Arial" w:cs="Arial"/>
                  <w:bCs/>
                  <w:color w:val="auto"/>
                  <w:sz w:val="20"/>
                  <w:szCs w:val="20"/>
                  <w:u w:val="none"/>
                </w:rPr>
                <w:t>(b).5</w:t>
              </w:r>
            </w:hyperlink>
          </w:p>
        </w:tc>
        <w:tc>
          <w:tcPr>
            <w:tcW w:w="6835" w:type="dxa"/>
          </w:tcPr>
          <w:p w:rsidR="0026369A" w:rsidRDefault="0026369A" w:rsidP="0026369A">
            <w:pPr>
              <w:jc w:val="both"/>
              <w:rPr>
                <w:rFonts w:ascii="Arial" w:hAnsi="Arial" w:cs="Arial"/>
                <w:sz w:val="20"/>
                <w:szCs w:val="20"/>
              </w:rPr>
            </w:pPr>
            <w:r>
              <w:rPr>
                <w:rFonts w:ascii="Arial" w:hAnsi="Arial" w:cs="Arial"/>
                <w:sz w:val="20"/>
                <w:szCs w:val="20"/>
              </w:rPr>
              <w:t>Proportion of student exemptions, by Indigenous status, by State and Territory, 2011 (per cent)</w:t>
            </w:r>
          </w:p>
        </w:tc>
      </w:tr>
      <w:tr w:rsidR="0026369A" w:rsidRPr="00CF3BDE" w:rsidTr="0026369A">
        <w:trPr>
          <w:trHeight w:val="612"/>
        </w:trPr>
        <w:tc>
          <w:tcPr>
            <w:tcW w:w="1985" w:type="dxa"/>
            <w:noWrap/>
          </w:tcPr>
          <w:p w:rsidR="0026369A" w:rsidRPr="002019D0" w:rsidRDefault="007076BB" w:rsidP="0026369A">
            <w:pPr>
              <w:rPr>
                <w:rFonts w:ascii="Arial" w:hAnsi="Arial" w:cs="Arial"/>
                <w:bCs/>
                <w:sz w:val="20"/>
                <w:szCs w:val="20"/>
              </w:rPr>
            </w:pPr>
            <w:hyperlink r:id="rId151" w:anchor="'Table NIRA.11(b).6'!A1" w:history="1">
              <w:r w:rsidR="0026369A" w:rsidRPr="002019D0">
                <w:rPr>
                  <w:rStyle w:val="Hyperlink"/>
                  <w:rFonts w:ascii="Arial" w:hAnsi="Arial" w:cs="Arial"/>
                  <w:bCs/>
                  <w:color w:val="auto"/>
                  <w:sz w:val="20"/>
                  <w:szCs w:val="20"/>
                  <w:u w:val="none"/>
                </w:rPr>
                <w:t xml:space="preserve">Table </w:t>
              </w:r>
              <w:proofErr w:type="spellStart"/>
              <w:r w:rsidR="0026369A" w:rsidRPr="002019D0">
                <w:rPr>
                  <w:rStyle w:val="Hyperlink"/>
                  <w:rFonts w:ascii="Arial" w:hAnsi="Arial" w:cs="Arial"/>
                  <w:bCs/>
                  <w:color w:val="auto"/>
                  <w:sz w:val="20"/>
                  <w:szCs w:val="20"/>
                  <w:u w:val="none"/>
                </w:rPr>
                <w:t>NIRA.11</w:t>
              </w:r>
              <w:proofErr w:type="spellEnd"/>
              <w:r w:rsidR="0026369A" w:rsidRPr="002019D0">
                <w:rPr>
                  <w:rStyle w:val="Hyperlink"/>
                  <w:rFonts w:ascii="Arial" w:hAnsi="Arial" w:cs="Arial"/>
                  <w:bCs/>
                  <w:color w:val="auto"/>
                  <w:sz w:val="20"/>
                  <w:szCs w:val="20"/>
                  <w:u w:val="none"/>
                </w:rPr>
                <w:t>(b).6</w:t>
              </w:r>
            </w:hyperlink>
          </w:p>
        </w:tc>
        <w:tc>
          <w:tcPr>
            <w:tcW w:w="6835" w:type="dxa"/>
          </w:tcPr>
          <w:p w:rsidR="0026369A" w:rsidRDefault="0026369A" w:rsidP="0026369A">
            <w:pPr>
              <w:jc w:val="both"/>
              <w:rPr>
                <w:rFonts w:ascii="Arial" w:hAnsi="Arial" w:cs="Arial"/>
                <w:sz w:val="20"/>
                <w:szCs w:val="20"/>
              </w:rPr>
            </w:pPr>
            <w:r>
              <w:rPr>
                <w:rFonts w:ascii="Arial" w:hAnsi="Arial" w:cs="Arial"/>
                <w:sz w:val="20"/>
                <w:szCs w:val="20"/>
              </w:rPr>
              <w:t>Proportion of student absences, by Indigenous status, by State and Territory, 2011 (per cent)</w:t>
            </w:r>
          </w:p>
        </w:tc>
      </w:tr>
      <w:tr w:rsidR="0026369A" w:rsidRPr="00CF3BDE" w:rsidTr="0026369A">
        <w:trPr>
          <w:trHeight w:val="612"/>
        </w:trPr>
        <w:tc>
          <w:tcPr>
            <w:tcW w:w="1985" w:type="dxa"/>
            <w:noWrap/>
          </w:tcPr>
          <w:p w:rsidR="0026369A" w:rsidRPr="002019D0" w:rsidRDefault="007076BB" w:rsidP="0026369A">
            <w:pPr>
              <w:rPr>
                <w:rFonts w:ascii="Arial" w:hAnsi="Arial" w:cs="Arial"/>
                <w:bCs/>
                <w:sz w:val="20"/>
                <w:szCs w:val="20"/>
              </w:rPr>
            </w:pPr>
            <w:hyperlink r:id="rId152" w:anchor="'Table NIRA.11(b).7'!A1" w:history="1">
              <w:r w:rsidR="0026369A" w:rsidRPr="002019D0">
                <w:rPr>
                  <w:rStyle w:val="Hyperlink"/>
                  <w:rFonts w:ascii="Arial" w:hAnsi="Arial" w:cs="Arial"/>
                  <w:bCs/>
                  <w:color w:val="auto"/>
                  <w:sz w:val="20"/>
                  <w:szCs w:val="20"/>
                  <w:u w:val="none"/>
                </w:rPr>
                <w:t xml:space="preserve">Table </w:t>
              </w:r>
              <w:proofErr w:type="spellStart"/>
              <w:r w:rsidR="0026369A" w:rsidRPr="002019D0">
                <w:rPr>
                  <w:rStyle w:val="Hyperlink"/>
                  <w:rFonts w:ascii="Arial" w:hAnsi="Arial" w:cs="Arial"/>
                  <w:bCs/>
                  <w:color w:val="auto"/>
                  <w:sz w:val="20"/>
                  <w:szCs w:val="20"/>
                  <w:u w:val="none"/>
                </w:rPr>
                <w:t>NIRA.11</w:t>
              </w:r>
              <w:proofErr w:type="spellEnd"/>
              <w:r w:rsidR="0026369A" w:rsidRPr="002019D0">
                <w:rPr>
                  <w:rStyle w:val="Hyperlink"/>
                  <w:rFonts w:ascii="Arial" w:hAnsi="Arial" w:cs="Arial"/>
                  <w:bCs/>
                  <w:color w:val="auto"/>
                  <w:sz w:val="20"/>
                  <w:szCs w:val="20"/>
                  <w:u w:val="none"/>
                </w:rPr>
                <w:t>(b).7</w:t>
              </w:r>
            </w:hyperlink>
          </w:p>
        </w:tc>
        <w:tc>
          <w:tcPr>
            <w:tcW w:w="6835" w:type="dxa"/>
          </w:tcPr>
          <w:p w:rsidR="0026369A" w:rsidRDefault="0026369A" w:rsidP="0026369A">
            <w:pPr>
              <w:jc w:val="both"/>
              <w:rPr>
                <w:rFonts w:ascii="Arial" w:hAnsi="Arial" w:cs="Arial"/>
                <w:sz w:val="20"/>
                <w:szCs w:val="20"/>
              </w:rPr>
            </w:pPr>
            <w:r>
              <w:rPr>
                <w:rFonts w:ascii="Arial" w:hAnsi="Arial" w:cs="Arial"/>
                <w:sz w:val="20"/>
                <w:szCs w:val="20"/>
              </w:rPr>
              <w:t>Proportion of student withdrawals, by Indigenous status, by State and Territory, 2011 (per cent)</w:t>
            </w:r>
          </w:p>
        </w:tc>
      </w:tr>
    </w:tbl>
    <w:p w:rsidR="0026369A"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Tr="0026369A">
        <w:tc>
          <w:tcPr>
            <w:tcW w:w="8771" w:type="dxa"/>
            <w:tcBorders>
              <w:top w:val="single" w:sz="6" w:space="0" w:color="auto"/>
              <w:bottom w:val="nil"/>
            </w:tcBorders>
          </w:tcPr>
          <w:p w:rsidR="0026369A" w:rsidRDefault="0026369A" w:rsidP="0026369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34</w:t>
            </w:r>
            <w:r>
              <w:rPr>
                <w:b w:val="0"/>
              </w:rPr>
              <w:fldChar w:fldCharType="end"/>
            </w:r>
            <w:r>
              <w:tab/>
              <w:t>Comment on data quality</w:t>
            </w:r>
            <w:r w:rsidR="00F5681E">
              <w:t xml:space="preserve"> (measure </w:t>
            </w:r>
            <w:proofErr w:type="spellStart"/>
            <w:r w:rsidR="00F5681E">
              <w:t>11b</w:t>
            </w:r>
            <w:proofErr w:type="spellEnd"/>
            <w:r w:rsidR="00F5681E">
              <w:t>)</w:t>
            </w:r>
          </w:p>
        </w:tc>
      </w:tr>
      <w:tr w:rsidR="00CE019A" w:rsidTr="0026369A">
        <w:trPr>
          <w:cantSplit/>
        </w:trPr>
        <w:tc>
          <w:tcPr>
            <w:tcW w:w="8771" w:type="dxa"/>
            <w:tcBorders>
              <w:top w:val="nil"/>
              <w:left w:val="single" w:sz="4" w:space="0" w:color="auto"/>
              <w:bottom w:val="nil"/>
              <w:right w:val="single" w:sz="4" w:space="0" w:color="auto"/>
            </w:tcBorders>
          </w:tcPr>
          <w:p w:rsidR="0030718C" w:rsidRPr="0030718C" w:rsidRDefault="0030718C" w:rsidP="0082251B">
            <w:pPr>
              <w:pStyle w:val="Box"/>
            </w:pPr>
            <w:r w:rsidRPr="0030718C">
              <w:t>The DQS for this indicator has been prepared by ACARA and is included in its original form in the section in this report titled ‘Data Quality Statements.’ Key points from the DQS are summarised below.</w:t>
            </w:r>
          </w:p>
          <w:p w:rsidR="0030718C" w:rsidRPr="0030718C" w:rsidRDefault="0030718C" w:rsidP="00EE3827">
            <w:pPr>
              <w:pStyle w:val="BoxListBullet"/>
              <w:numPr>
                <w:ilvl w:val="0"/>
                <w:numId w:val="1"/>
              </w:numPr>
            </w:pPr>
            <w:r w:rsidRPr="0030718C">
              <w:t xml:space="preserve">The data provide relevant information on the </w:t>
            </w:r>
            <w:r w:rsidR="00890B23">
              <w:t xml:space="preserve">participation of </w:t>
            </w:r>
            <w:r w:rsidRPr="0030718C">
              <w:t>year 3, 5, 7 and 9 students in national testing for the learning domains of reading, writing and numeracy.</w:t>
            </w:r>
          </w:p>
          <w:p w:rsidR="00FA698F" w:rsidRPr="0030718C" w:rsidRDefault="00FA698F" w:rsidP="0082251B">
            <w:pPr>
              <w:pStyle w:val="BoxListBullet"/>
              <w:numPr>
                <w:ilvl w:val="0"/>
                <w:numId w:val="1"/>
              </w:numPr>
            </w:pPr>
            <w:r w:rsidRPr="0030718C">
              <w:t>Data are available by State and Territory, by Indigenous status.</w:t>
            </w:r>
          </w:p>
          <w:p w:rsidR="0030718C" w:rsidRPr="0030718C" w:rsidRDefault="0030718C" w:rsidP="0082251B">
            <w:pPr>
              <w:pStyle w:val="BoxListBullet"/>
              <w:numPr>
                <w:ilvl w:val="0"/>
                <w:numId w:val="1"/>
              </w:numPr>
            </w:pPr>
            <w:r w:rsidRPr="0030718C">
              <w:t xml:space="preserve">Annual data are available. </w:t>
            </w:r>
            <w:r w:rsidR="00790D04">
              <w:t>The most recent available data are for 2011.</w:t>
            </w:r>
          </w:p>
          <w:p w:rsidR="0030718C" w:rsidRPr="0030718C" w:rsidRDefault="0030718C" w:rsidP="0082251B">
            <w:pPr>
              <w:pStyle w:val="BoxListBullet"/>
              <w:numPr>
                <w:ilvl w:val="0"/>
                <w:numId w:val="1"/>
              </w:numPr>
            </w:pPr>
            <w:r w:rsidRPr="0030718C">
              <w:t>Data are available by Indigenous status, by State</w:t>
            </w:r>
            <w:r w:rsidR="00CE44B1">
              <w:t xml:space="preserve"> and Territory.</w:t>
            </w:r>
          </w:p>
          <w:p w:rsidR="0030718C" w:rsidRPr="0030718C" w:rsidRDefault="0030718C" w:rsidP="0082251B">
            <w:pPr>
              <w:pStyle w:val="BoxListBullet"/>
              <w:numPr>
                <w:ilvl w:val="0"/>
                <w:numId w:val="1"/>
              </w:numPr>
            </w:pPr>
            <w:r w:rsidRPr="0030718C">
              <w:t>Students are classified in four ways: assessed, exempt, absent and withdrawn. Exempt students are not assessed and are deemed not to have met the national minimum standard. Absent and withdrawn students are not assessed and are not counted as part of the cohort of assessed students. Data are available on the proportion of students who were exempt, absent and withdrawn.</w:t>
            </w:r>
          </w:p>
          <w:p w:rsidR="0030718C" w:rsidRPr="0030718C" w:rsidRDefault="0030718C" w:rsidP="0082251B">
            <w:pPr>
              <w:pStyle w:val="BoxListBullet"/>
              <w:numPr>
                <w:ilvl w:val="0"/>
                <w:numId w:val="1"/>
              </w:numPr>
            </w:pPr>
            <w:r w:rsidRPr="0030718C">
              <w:t>Data are sourced from NAPLAN (for assessed students) and from student enrolment records (for exempt, absent and withdrawn students)</w:t>
            </w:r>
          </w:p>
          <w:p w:rsidR="0030718C" w:rsidRPr="0030718C" w:rsidRDefault="0030718C" w:rsidP="0082251B">
            <w:pPr>
              <w:pStyle w:val="BoxListBullet"/>
              <w:numPr>
                <w:ilvl w:val="0"/>
                <w:numId w:val="1"/>
              </w:numPr>
            </w:pPr>
            <w:r w:rsidRPr="0030718C">
              <w:t>Data are of acceptable accuracy. Percentages in tables are rounded and may not sum to 100.</w:t>
            </w:r>
          </w:p>
          <w:p w:rsidR="0030718C" w:rsidRPr="0030718C" w:rsidRDefault="0030718C" w:rsidP="0082251B">
            <w:pPr>
              <w:pStyle w:val="BoxListBullet"/>
              <w:numPr>
                <w:ilvl w:val="0"/>
                <w:numId w:val="1"/>
              </w:numPr>
            </w:pPr>
            <w:r w:rsidRPr="0030718C">
              <w:t>Detailed explanatory notes are publicly available to assist in</w:t>
            </w:r>
            <w:r w:rsidR="00CE44B1">
              <w:t xml:space="preserve"> the interpretation of results.</w:t>
            </w:r>
          </w:p>
          <w:p w:rsidR="0030718C" w:rsidRPr="0030718C" w:rsidRDefault="0030718C" w:rsidP="0082251B">
            <w:pPr>
              <w:pStyle w:val="BoxListBullet"/>
              <w:numPr>
                <w:ilvl w:val="0"/>
                <w:numId w:val="1"/>
              </w:numPr>
            </w:pPr>
            <w:r w:rsidRPr="0030718C">
              <w:t>Additional data from the data source are available on-line.</w:t>
            </w:r>
          </w:p>
          <w:p w:rsidR="0030718C" w:rsidRPr="0030718C" w:rsidRDefault="00FA698F" w:rsidP="00C41E1E">
            <w:pPr>
              <w:pStyle w:val="BoxListBullet"/>
            </w:pPr>
            <w:r w:rsidRPr="0030718C">
              <w:t xml:space="preserve">The Steering Committee </w:t>
            </w:r>
            <w:r w:rsidR="00890B23">
              <w:t>has no further issues for noting with this measure.</w:t>
            </w:r>
          </w:p>
        </w:tc>
      </w:tr>
      <w:tr w:rsidR="00CE019A" w:rsidTr="0026369A">
        <w:trPr>
          <w:cantSplit/>
        </w:trPr>
        <w:tc>
          <w:tcPr>
            <w:tcW w:w="8771" w:type="dxa"/>
            <w:tcBorders>
              <w:top w:val="nil"/>
              <w:left w:val="single" w:sz="4" w:space="0" w:color="auto"/>
              <w:bottom w:val="single" w:sz="4" w:space="0" w:color="auto"/>
              <w:right w:val="single" w:sz="4" w:space="0" w:color="auto"/>
            </w:tcBorders>
          </w:tcPr>
          <w:p w:rsidR="00CE019A" w:rsidRDefault="00CE019A" w:rsidP="0026369A">
            <w:pPr>
              <w:pStyle w:val="Box"/>
              <w:spacing w:before="0" w:line="120" w:lineRule="exact"/>
            </w:pPr>
          </w:p>
        </w:tc>
      </w:tr>
    </w:tbl>
    <w:p w:rsidR="0026369A" w:rsidRDefault="0026369A" w:rsidP="0026369A">
      <w:pPr>
        <w:pStyle w:val="Heading3"/>
        <w:spacing w:before="360" w:after="240"/>
      </w:pPr>
      <w:r>
        <w:br w:type="page"/>
      </w:r>
      <w:bookmarkStart w:id="33" w:name="_Ref322529492"/>
      <w:r>
        <w:lastRenderedPageBreak/>
        <w:t xml:space="preserve">NEA </w:t>
      </w:r>
      <w:r w:rsidRPr="008878DC">
        <w:t>Indi</w:t>
      </w:r>
      <w:r>
        <w:t>cator 12</w:t>
      </w:r>
      <w:r w:rsidRPr="008878DC">
        <w:t xml:space="preserve">. </w:t>
      </w:r>
      <w:r>
        <w:t>Attendance rates, Year 1 to Year 10</w:t>
      </w:r>
      <w:bookmarkEnd w:id="33"/>
    </w:p>
    <w:p w:rsidR="0026369A" w:rsidRPr="00CD0969" w:rsidRDefault="003B5315" w:rsidP="0026369A">
      <w:pPr>
        <w:pStyle w:val="Heading4"/>
        <w:spacing w:after="240"/>
        <w:rPr>
          <w:i w:val="0"/>
          <w:sz w:val="22"/>
          <w:szCs w:val="22"/>
        </w:rPr>
      </w:pPr>
      <w:r>
        <w:rPr>
          <w:i w:val="0"/>
          <w:sz w:val="22"/>
          <w:szCs w:val="22"/>
        </w:rPr>
        <w:t>[</w:t>
      </w:r>
      <w:r w:rsidR="0026369A" w:rsidRPr="00CD0969">
        <w:rPr>
          <w:i w:val="0"/>
          <w:sz w:val="22"/>
          <w:szCs w:val="22"/>
        </w:rPr>
        <w:t>This NIRA indicator relates directly to the attendance measure under NEA indicator 2</w:t>
      </w:r>
      <w:r>
        <w:rPr>
          <w:i w:val="0"/>
          <w:sz w:val="22"/>
          <w:szCs w:val="22"/>
        </w:rPr>
        <w:t>]</w:t>
      </w:r>
      <w:r w:rsidR="0026369A" w:rsidRPr="00CD0969">
        <w:rPr>
          <w:i w:val="0"/>
          <w:sz w:val="22"/>
          <w:szCs w:val="22"/>
        </w:rPr>
        <w:t>.</w:t>
      </w:r>
    </w:p>
    <w:tbl>
      <w:tblPr>
        <w:tblW w:w="0" w:type="auto"/>
        <w:tblInd w:w="108" w:type="dxa"/>
        <w:tblLook w:val="01E0" w:firstRow="1" w:lastRow="1" w:firstColumn="1" w:lastColumn="1" w:noHBand="0" w:noVBand="0"/>
      </w:tblPr>
      <w:tblGrid>
        <w:gridCol w:w="1985"/>
        <w:gridCol w:w="6804"/>
      </w:tblGrid>
      <w:tr w:rsidR="0026369A" w:rsidRPr="005E6794" w:rsidTr="0026369A">
        <w:trPr>
          <w:trHeight w:val="682"/>
        </w:trPr>
        <w:tc>
          <w:tcPr>
            <w:tcW w:w="1985" w:type="dxa"/>
          </w:tcPr>
          <w:p w:rsidR="0026369A" w:rsidRPr="00FC49E1" w:rsidRDefault="0026369A" w:rsidP="0026369A">
            <w:pPr>
              <w:pStyle w:val="TableBodyText"/>
              <w:ind w:left="-108"/>
              <w:jc w:val="left"/>
            </w:pPr>
            <w:r>
              <w:t>Key amendments from previous cycle</w:t>
            </w:r>
            <w:r w:rsidRPr="00FC49E1">
              <w:t>:</w:t>
            </w:r>
          </w:p>
          <w:p w:rsidR="0026369A" w:rsidRPr="00FC49E1" w:rsidRDefault="0026369A" w:rsidP="0026369A">
            <w:pPr>
              <w:pStyle w:val="TableBodyText"/>
              <w:ind w:left="34"/>
              <w:jc w:val="left"/>
            </w:pPr>
          </w:p>
        </w:tc>
        <w:tc>
          <w:tcPr>
            <w:tcW w:w="6804" w:type="dxa"/>
          </w:tcPr>
          <w:p w:rsidR="0026369A" w:rsidRPr="00FC49E1" w:rsidRDefault="0026369A" w:rsidP="0026369A">
            <w:pPr>
              <w:pStyle w:val="TableBodyText"/>
              <w:ind w:left="34"/>
              <w:jc w:val="left"/>
            </w:pPr>
            <w:r>
              <w:t>No amendments have been made. Under the revised NIRA this indicator has not changed from the previous version of the NIRA.</w:t>
            </w:r>
          </w:p>
          <w:p w:rsidR="0026369A" w:rsidRPr="00FC49E1" w:rsidRDefault="0026369A" w:rsidP="0026369A">
            <w:pPr>
              <w:pStyle w:val="TableBodyText"/>
              <w:ind w:left="34"/>
              <w:jc w:val="left"/>
            </w:pPr>
          </w:p>
        </w:tc>
      </w:tr>
      <w:tr w:rsidR="0026369A" w:rsidRPr="005E6794" w:rsidTr="0026369A">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Default="0026369A" w:rsidP="0026369A">
            <w:pPr>
              <w:pStyle w:val="TableBodyText"/>
              <w:jc w:val="left"/>
            </w:pPr>
            <w:r>
              <w:t>Attendance rates, Year 1 to Year 10</w:t>
            </w:r>
          </w:p>
          <w:p w:rsidR="0026369A" w:rsidRPr="008941BF" w:rsidRDefault="0026369A" w:rsidP="0026369A">
            <w:pPr>
              <w:pStyle w:val="TableBodyText"/>
              <w:jc w:val="left"/>
            </w:pP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 xml:space="preserve">Measure: </w:t>
            </w:r>
          </w:p>
        </w:tc>
        <w:tc>
          <w:tcPr>
            <w:tcW w:w="6804" w:type="dxa"/>
          </w:tcPr>
          <w:p w:rsidR="0026369A" w:rsidRDefault="0026369A" w:rsidP="0026369A">
            <w:pPr>
              <w:pStyle w:val="TableBodyText"/>
              <w:jc w:val="left"/>
            </w:pPr>
            <w:r>
              <w:t>The measure is defined as follows:</w:t>
            </w:r>
          </w:p>
          <w:p w:rsidR="0026369A" w:rsidRDefault="0026369A" w:rsidP="0026369A">
            <w:pPr>
              <w:pStyle w:val="TableBullet"/>
            </w:pPr>
            <w:r w:rsidRPr="006D167C">
              <w:rPr>
                <w:i/>
              </w:rPr>
              <w:t>numerator</w:t>
            </w:r>
            <w:r w:rsidRPr="006D167C">
              <w:t xml:space="preserve"> </w:t>
            </w:r>
            <w:r>
              <w:t>— aggregate number of actual days in attendance in the collection period, for children in years 1 to 10 (children enrolled full time only), by Indigenous status</w:t>
            </w:r>
          </w:p>
          <w:p w:rsidR="0026369A" w:rsidRDefault="0026369A" w:rsidP="0026369A">
            <w:pPr>
              <w:pStyle w:val="TableBullet"/>
            </w:pPr>
            <w:r w:rsidRPr="006D167C">
              <w:rPr>
                <w:i/>
              </w:rPr>
              <w:t>denominator</w:t>
            </w:r>
            <w:r w:rsidRPr="006D167C">
              <w:t xml:space="preserve"> </w:t>
            </w:r>
            <w:r>
              <w:t>— aggregate number of possible days for attendance in the collection period, for children in years 1 to 10 (children enrolled full time only), by Indigenous status</w:t>
            </w:r>
          </w:p>
          <w:p w:rsidR="0026369A" w:rsidRPr="00B50DA7" w:rsidRDefault="0026369A" w:rsidP="0026369A">
            <w:pPr>
              <w:pStyle w:val="TableBodyText"/>
              <w:jc w:val="left"/>
              <w:rPr>
                <w:i/>
              </w:rPr>
            </w:pPr>
            <w:r>
              <w:t xml:space="preserve">and is expressed as a </w:t>
            </w:r>
            <w:r w:rsidRPr="00E26C46">
              <w:rPr>
                <w:i/>
              </w:rPr>
              <w:t>rate</w:t>
            </w:r>
          </w:p>
          <w:p w:rsidR="0026369A" w:rsidRPr="005E6794"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p>
        </w:tc>
        <w:tc>
          <w:tcPr>
            <w:tcW w:w="6804" w:type="dxa"/>
          </w:tcPr>
          <w:p w:rsidR="0026369A" w:rsidRDefault="0026369A" w:rsidP="0026369A">
            <w:pPr>
              <w:pStyle w:val="TableBodyText"/>
              <w:jc w:val="left"/>
            </w:pPr>
            <w:r w:rsidRPr="005E6794">
              <w:rPr>
                <w:i/>
              </w:rPr>
              <w:t>Numerator</w:t>
            </w:r>
            <w:r>
              <w:rPr>
                <w:i/>
              </w:rPr>
              <w:t xml:space="preserve"> and denominator </w:t>
            </w:r>
            <w:r w:rsidRPr="005E6794">
              <w:t xml:space="preserve">— </w:t>
            </w:r>
            <w:r>
              <w:rPr>
                <w:u w:val="single"/>
              </w:rPr>
              <w:t>National Schools Attendance Collection</w:t>
            </w:r>
            <w:r>
              <w:t xml:space="preserve"> (NSAC) data. Data are available annually</w:t>
            </w:r>
          </w:p>
          <w:p w:rsidR="0026369A" w:rsidRPr="002C3C9C"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t>Data provider:</w:t>
            </w:r>
          </w:p>
        </w:tc>
        <w:tc>
          <w:tcPr>
            <w:tcW w:w="6804" w:type="dxa"/>
          </w:tcPr>
          <w:p w:rsidR="0026369A" w:rsidRDefault="0026369A" w:rsidP="0026369A">
            <w:pPr>
              <w:pStyle w:val="TableBodyText"/>
              <w:jc w:val="left"/>
            </w:pPr>
            <w:r>
              <w:t>ACARA</w:t>
            </w:r>
          </w:p>
          <w:p w:rsidR="0026369A" w:rsidRPr="005E6794" w:rsidRDefault="0026369A" w:rsidP="0026369A">
            <w:pPr>
              <w:pStyle w:val="TableBodyText"/>
              <w:jc w:val="left"/>
            </w:pPr>
          </w:p>
        </w:tc>
      </w:tr>
      <w:tr w:rsidR="0026369A" w:rsidRPr="005E6794" w:rsidTr="0026369A">
        <w:trPr>
          <w:trHeight w:val="646"/>
        </w:trPr>
        <w:tc>
          <w:tcPr>
            <w:tcW w:w="1985" w:type="dxa"/>
          </w:tcPr>
          <w:p w:rsidR="0026369A" w:rsidRPr="005E6794" w:rsidRDefault="0026369A" w:rsidP="0026369A">
            <w:pPr>
              <w:pStyle w:val="TableBodyText"/>
              <w:ind w:left="-113"/>
              <w:jc w:val="left"/>
            </w:pPr>
            <w:r w:rsidRPr="005E6794">
              <w:t>Data availability:</w:t>
            </w:r>
          </w:p>
        </w:tc>
        <w:tc>
          <w:tcPr>
            <w:tcW w:w="6804" w:type="dxa"/>
          </w:tcPr>
          <w:p w:rsidR="0026369A" w:rsidRDefault="0026369A" w:rsidP="0026369A">
            <w:pPr>
              <w:pStyle w:val="TableBodyText"/>
              <w:jc w:val="left"/>
              <w:rPr>
                <w:b/>
              </w:rPr>
            </w:pPr>
            <w:r>
              <w:t>2011</w:t>
            </w:r>
          </w:p>
          <w:p w:rsidR="0026369A" w:rsidRPr="00820E67" w:rsidRDefault="0026369A" w:rsidP="0026369A">
            <w:pPr>
              <w:pStyle w:val="TableBodyText"/>
              <w:jc w:val="left"/>
              <w:rPr>
                <w:i/>
              </w:rPr>
            </w:pP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Pr="006D167C" w:rsidRDefault="0026369A" w:rsidP="0026369A">
            <w:pPr>
              <w:pStyle w:val="TableBullet"/>
              <w:numPr>
                <w:ilvl w:val="0"/>
                <w:numId w:val="0"/>
              </w:numPr>
              <w:ind w:left="6"/>
            </w:pPr>
            <w:r>
              <w:t xml:space="preserve">State and Territory, by </w:t>
            </w:r>
            <w:r w:rsidRPr="006D167C">
              <w:t>school sector, by year level, by</w:t>
            </w:r>
          </w:p>
          <w:p w:rsidR="0026369A" w:rsidRPr="007D01E8" w:rsidRDefault="0026369A" w:rsidP="0026369A">
            <w:pPr>
              <w:pStyle w:val="TableBullet"/>
              <w:spacing w:after="0"/>
            </w:pPr>
            <w:r w:rsidRPr="006D167C">
              <w:t>Indigenous status</w:t>
            </w:r>
          </w:p>
        </w:tc>
      </w:tr>
    </w:tbl>
    <w:p w:rsidR="00375A36" w:rsidRDefault="00375A36" w:rsidP="00375A3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75A36" w:rsidTr="00D822A4">
        <w:tc>
          <w:tcPr>
            <w:tcW w:w="8771" w:type="dxa"/>
            <w:tcBorders>
              <w:top w:val="single" w:sz="6" w:space="0" w:color="auto"/>
              <w:bottom w:val="nil"/>
            </w:tcBorders>
          </w:tcPr>
          <w:p w:rsidR="00375A36" w:rsidRDefault="00375A36" w:rsidP="00375A36">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35</w:t>
            </w:r>
            <w:r>
              <w:rPr>
                <w:b w:val="0"/>
              </w:rPr>
              <w:fldChar w:fldCharType="end"/>
            </w:r>
            <w:r>
              <w:tab/>
              <w:t xml:space="preserve">Results </w:t>
            </w:r>
          </w:p>
        </w:tc>
      </w:tr>
      <w:tr w:rsidR="00375A36" w:rsidTr="00D822A4">
        <w:trPr>
          <w:cantSplit/>
        </w:trPr>
        <w:tc>
          <w:tcPr>
            <w:tcW w:w="8771" w:type="dxa"/>
            <w:tcBorders>
              <w:top w:val="nil"/>
              <w:left w:val="single" w:sz="4" w:space="0" w:color="auto"/>
              <w:bottom w:val="nil"/>
              <w:right w:val="single" w:sz="4" w:space="0" w:color="auto"/>
            </w:tcBorders>
          </w:tcPr>
          <w:p w:rsidR="00375A36" w:rsidRDefault="00375A36" w:rsidP="0082251B">
            <w:pPr>
              <w:pStyle w:val="Box"/>
            </w:pPr>
            <w:r>
              <w:t>For this report, new data for this indicator are available for 2011.</w:t>
            </w:r>
          </w:p>
          <w:p w:rsidR="00375A36" w:rsidRDefault="00375A36" w:rsidP="0082251B">
            <w:pPr>
              <w:pStyle w:val="BoxListBullet"/>
              <w:numPr>
                <w:ilvl w:val="0"/>
                <w:numId w:val="1"/>
              </w:numPr>
            </w:pPr>
            <w:r>
              <w:t xml:space="preserve">Data by State and Territory, by Indigenous status are presented in tables </w:t>
            </w:r>
            <w:r>
              <w:br/>
            </w:r>
            <w:proofErr w:type="spellStart"/>
            <w:r>
              <w:t>NEA.2.2</w:t>
            </w:r>
            <w:proofErr w:type="spellEnd"/>
            <w:r>
              <w:t>–2.4.</w:t>
            </w:r>
          </w:p>
          <w:p w:rsidR="00375A36" w:rsidRDefault="00375A36" w:rsidP="0082251B">
            <w:pPr>
              <w:pStyle w:val="Box"/>
            </w:pPr>
            <w:r>
              <w:t>Data for 2010 are available in an addendum to the 2010 NEA performance report</w:t>
            </w:r>
            <w:r w:rsidR="001D7A5C">
              <w:t xml:space="preserve"> (specified as NEA indicator 14)</w:t>
            </w:r>
            <w:r>
              <w:t xml:space="preserve">. Some data for 2009 and 2008 </w:t>
            </w:r>
            <w:r w:rsidR="001D7A5C">
              <w:t>are</w:t>
            </w:r>
            <w:r>
              <w:t xml:space="preserve"> available in the 2010 NEA performance report. The </w:t>
            </w:r>
            <w:r w:rsidR="001D7A5C">
              <w:t>remaining</w:t>
            </w:r>
            <w:r>
              <w:t xml:space="preserve"> data for </w:t>
            </w:r>
            <w:r w:rsidRPr="000221C9">
              <w:t>2009</w:t>
            </w:r>
            <w:r>
              <w:t xml:space="preserve"> and 2008</w:t>
            </w:r>
            <w:r w:rsidRPr="000221C9">
              <w:t xml:space="preserve">, </w:t>
            </w:r>
            <w:r>
              <w:t xml:space="preserve">and the data for </w:t>
            </w:r>
            <w:r w:rsidRPr="000221C9">
              <w:t>2007 are available in t</w:t>
            </w:r>
            <w:r>
              <w:t>he 2009 NEA performance report.</w:t>
            </w:r>
          </w:p>
        </w:tc>
      </w:tr>
      <w:tr w:rsidR="00375A36" w:rsidTr="00D822A4">
        <w:trPr>
          <w:cantSplit/>
        </w:trPr>
        <w:tc>
          <w:tcPr>
            <w:tcW w:w="8771" w:type="dxa"/>
            <w:tcBorders>
              <w:top w:val="nil"/>
              <w:left w:val="single" w:sz="4" w:space="0" w:color="auto"/>
              <w:bottom w:val="single" w:sz="4" w:space="0" w:color="auto"/>
              <w:right w:val="single" w:sz="4" w:space="0" w:color="auto"/>
            </w:tcBorders>
          </w:tcPr>
          <w:p w:rsidR="00375A36" w:rsidRDefault="00375A36" w:rsidP="00312581">
            <w:pPr>
              <w:pStyle w:val="Box"/>
              <w:keepNext w:val="0"/>
              <w:spacing w:before="0" w:line="120" w:lineRule="exact"/>
            </w:pPr>
          </w:p>
        </w:tc>
      </w:tr>
    </w:tbl>
    <w:p w:rsidR="00375A36" w:rsidRPr="00FC4A4C" w:rsidRDefault="00CE44B1" w:rsidP="00312581">
      <w:pPr>
        <w:pStyle w:val="Heading4"/>
        <w:widowControl w:val="0"/>
        <w:spacing w:after="120"/>
      </w:pPr>
      <w:r>
        <w:t>Attachment tables</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7"/>
        <w:gridCol w:w="6943"/>
      </w:tblGrid>
      <w:tr w:rsidR="00375A36" w:rsidRPr="00CF3BDE" w:rsidTr="00D822A4">
        <w:trPr>
          <w:trHeight w:val="612"/>
        </w:trPr>
        <w:tc>
          <w:tcPr>
            <w:tcW w:w="1877" w:type="dxa"/>
            <w:noWrap/>
          </w:tcPr>
          <w:p w:rsidR="00375A36" w:rsidRPr="00412506" w:rsidRDefault="007076BB" w:rsidP="00D822A4">
            <w:pPr>
              <w:rPr>
                <w:rFonts w:ascii="Arial" w:hAnsi="Arial" w:cs="Arial"/>
                <w:b/>
                <w:bCs/>
                <w:sz w:val="20"/>
                <w:szCs w:val="20"/>
              </w:rPr>
            </w:pPr>
            <w:hyperlink r:id="rId153" w:anchor="'Table NEA.2.3'!A1" w:history="1">
              <w:r w:rsidR="00375A36" w:rsidRPr="00412506">
                <w:rPr>
                  <w:rStyle w:val="Hyperlink"/>
                  <w:rFonts w:ascii="Arial" w:hAnsi="Arial" w:cs="Arial"/>
                  <w:b/>
                  <w:bCs/>
                  <w:color w:val="auto"/>
                  <w:sz w:val="20"/>
                  <w:szCs w:val="20"/>
                  <w:u w:val="none"/>
                </w:rPr>
                <w:t xml:space="preserve">Table </w:t>
              </w:r>
              <w:proofErr w:type="spellStart"/>
              <w:r w:rsidR="00375A36" w:rsidRPr="00412506">
                <w:rPr>
                  <w:rStyle w:val="Hyperlink"/>
                  <w:rFonts w:ascii="Arial" w:hAnsi="Arial" w:cs="Arial"/>
                  <w:b/>
                  <w:bCs/>
                  <w:color w:val="auto"/>
                  <w:sz w:val="20"/>
                  <w:szCs w:val="20"/>
                  <w:u w:val="none"/>
                </w:rPr>
                <w:t>NEA.2.</w:t>
              </w:r>
            </w:hyperlink>
            <w:r w:rsidR="00375A36">
              <w:rPr>
                <w:rStyle w:val="Hyperlink"/>
                <w:rFonts w:ascii="Arial" w:hAnsi="Arial" w:cs="Arial"/>
                <w:b/>
                <w:bCs/>
                <w:color w:val="auto"/>
                <w:sz w:val="20"/>
                <w:szCs w:val="20"/>
                <w:u w:val="none"/>
              </w:rPr>
              <w:t>2</w:t>
            </w:r>
            <w:proofErr w:type="spellEnd"/>
          </w:p>
        </w:tc>
        <w:tc>
          <w:tcPr>
            <w:tcW w:w="6943" w:type="dxa"/>
          </w:tcPr>
          <w:p w:rsidR="00375A36" w:rsidRPr="00412506" w:rsidRDefault="00375A36" w:rsidP="00D822A4">
            <w:pPr>
              <w:jc w:val="both"/>
              <w:rPr>
                <w:rFonts w:ascii="Arial" w:hAnsi="Arial" w:cs="Arial"/>
                <w:sz w:val="20"/>
                <w:szCs w:val="20"/>
              </w:rPr>
            </w:pPr>
            <w:r w:rsidRPr="00412506">
              <w:rPr>
                <w:rFonts w:ascii="Arial" w:hAnsi="Arial" w:cs="Arial"/>
                <w:sz w:val="20"/>
                <w:szCs w:val="20"/>
              </w:rPr>
              <w:t>Student attendance rates, government schools, by Indigenous status, 2011 (per cent)</w:t>
            </w:r>
          </w:p>
        </w:tc>
      </w:tr>
      <w:tr w:rsidR="00375A36" w:rsidRPr="00CF3BDE" w:rsidTr="00D822A4">
        <w:trPr>
          <w:trHeight w:val="612"/>
        </w:trPr>
        <w:tc>
          <w:tcPr>
            <w:tcW w:w="1877" w:type="dxa"/>
            <w:noWrap/>
          </w:tcPr>
          <w:p w:rsidR="00375A36" w:rsidRPr="00412506" w:rsidRDefault="007076BB" w:rsidP="00D822A4">
            <w:pPr>
              <w:rPr>
                <w:rFonts w:ascii="Arial" w:hAnsi="Arial" w:cs="Arial"/>
                <w:b/>
                <w:bCs/>
                <w:sz w:val="20"/>
                <w:szCs w:val="20"/>
              </w:rPr>
            </w:pPr>
            <w:hyperlink r:id="rId154" w:anchor="'Table NEA.2.4'!A1" w:history="1">
              <w:r w:rsidR="00375A36" w:rsidRPr="00412506">
                <w:rPr>
                  <w:rStyle w:val="Hyperlink"/>
                  <w:rFonts w:ascii="Arial" w:hAnsi="Arial" w:cs="Arial"/>
                  <w:b/>
                  <w:bCs/>
                  <w:color w:val="auto"/>
                  <w:sz w:val="20"/>
                  <w:szCs w:val="20"/>
                  <w:u w:val="none"/>
                </w:rPr>
                <w:t xml:space="preserve">Table </w:t>
              </w:r>
              <w:proofErr w:type="spellStart"/>
              <w:r w:rsidR="00375A36" w:rsidRPr="00412506">
                <w:rPr>
                  <w:rStyle w:val="Hyperlink"/>
                  <w:rFonts w:ascii="Arial" w:hAnsi="Arial" w:cs="Arial"/>
                  <w:b/>
                  <w:bCs/>
                  <w:color w:val="auto"/>
                  <w:sz w:val="20"/>
                  <w:szCs w:val="20"/>
                  <w:u w:val="none"/>
                </w:rPr>
                <w:t>NEA.2.</w:t>
              </w:r>
            </w:hyperlink>
            <w:r w:rsidR="00375A36">
              <w:rPr>
                <w:rStyle w:val="Hyperlink"/>
                <w:rFonts w:ascii="Arial" w:hAnsi="Arial" w:cs="Arial"/>
                <w:b/>
                <w:bCs/>
                <w:color w:val="auto"/>
                <w:sz w:val="20"/>
                <w:szCs w:val="20"/>
                <w:u w:val="none"/>
              </w:rPr>
              <w:t>3</w:t>
            </w:r>
            <w:proofErr w:type="spellEnd"/>
          </w:p>
        </w:tc>
        <w:tc>
          <w:tcPr>
            <w:tcW w:w="6943" w:type="dxa"/>
          </w:tcPr>
          <w:p w:rsidR="00375A36" w:rsidRPr="00412506" w:rsidRDefault="00375A36" w:rsidP="00D822A4">
            <w:pPr>
              <w:jc w:val="both"/>
              <w:rPr>
                <w:rFonts w:ascii="Arial" w:hAnsi="Arial" w:cs="Arial"/>
                <w:sz w:val="20"/>
                <w:szCs w:val="20"/>
              </w:rPr>
            </w:pPr>
            <w:r w:rsidRPr="00412506">
              <w:rPr>
                <w:rFonts w:ascii="Arial" w:hAnsi="Arial" w:cs="Arial"/>
                <w:sz w:val="20"/>
                <w:szCs w:val="20"/>
              </w:rPr>
              <w:t>Student attendance rates, independent schools, by Indigenous status, 2011 (per cent)</w:t>
            </w:r>
          </w:p>
        </w:tc>
      </w:tr>
      <w:tr w:rsidR="00375A36" w:rsidRPr="00CF3BDE" w:rsidTr="00D822A4">
        <w:trPr>
          <w:trHeight w:val="612"/>
        </w:trPr>
        <w:tc>
          <w:tcPr>
            <w:tcW w:w="1877" w:type="dxa"/>
            <w:noWrap/>
          </w:tcPr>
          <w:p w:rsidR="00375A36" w:rsidRPr="00412506" w:rsidRDefault="007076BB" w:rsidP="00D822A4">
            <w:pPr>
              <w:rPr>
                <w:rFonts w:ascii="Arial" w:hAnsi="Arial" w:cs="Arial"/>
                <w:b/>
                <w:bCs/>
                <w:sz w:val="20"/>
                <w:szCs w:val="20"/>
              </w:rPr>
            </w:pPr>
            <w:hyperlink r:id="rId155" w:anchor="'Table NEA.2.4'!A1" w:history="1">
              <w:r w:rsidR="00375A36" w:rsidRPr="00412506">
                <w:rPr>
                  <w:rStyle w:val="Hyperlink"/>
                  <w:rFonts w:ascii="Arial" w:hAnsi="Arial" w:cs="Arial"/>
                  <w:b/>
                  <w:bCs/>
                  <w:color w:val="auto"/>
                  <w:sz w:val="20"/>
                  <w:szCs w:val="20"/>
                  <w:u w:val="none"/>
                </w:rPr>
                <w:t xml:space="preserve">Table </w:t>
              </w:r>
              <w:proofErr w:type="spellStart"/>
              <w:r w:rsidR="00375A36" w:rsidRPr="00412506">
                <w:rPr>
                  <w:rStyle w:val="Hyperlink"/>
                  <w:rFonts w:ascii="Arial" w:hAnsi="Arial" w:cs="Arial"/>
                  <w:b/>
                  <w:bCs/>
                  <w:color w:val="auto"/>
                  <w:sz w:val="20"/>
                  <w:szCs w:val="20"/>
                  <w:u w:val="none"/>
                </w:rPr>
                <w:t>NEA.2.</w:t>
              </w:r>
            </w:hyperlink>
            <w:r w:rsidR="00375A36">
              <w:rPr>
                <w:rStyle w:val="Hyperlink"/>
                <w:rFonts w:ascii="Arial" w:hAnsi="Arial" w:cs="Arial"/>
                <w:b/>
                <w:bCs/>
                <w:color w:val="auto"/>
                <w:sz w:val="20"/>
                <w:szCs w:val="20"/>
                <w:u w:val="none"/>
              </w:rPr>
              <w:t>4</w:t>
            </w:r>
            <w:proofErr w:type="spellEnd"/>
          </w:p>
        </w:tc>
        <w:tc>
          <w:tcPr>
            <w:tcW w:w="6943" w:type="dxa"/>
          </w:tcPr>
          <w:p w:rsidR="00375A36" w:rsidRPr="00412506" w:rsidRDefault="00375A36" w:rsidP="00A17808">
            <w:pPr>
              <w:jc w:val="both"/>
              <w:rPr>
                <w:rFonts w:ascii="Arial" w:hAnsi="Arial" w:cs="Arial"/>
                <w:sz w:val="20"/>
                <w:szCs w:val="20"/>
              </w:rPr>
            </w:pPr>
            <w:r w:rsidRPr="00412506">
              <w:rPr>
                <w:rFonts w:ascii="Arial" w:hAnsi="Arial" w:cs="Arial"/>
                <w:sz w:val="20"/>
                <w:szCs w:val="20"/>
              </w:rPr>
              <w:t>Student attendance rates, Catholic schools, by Indigenous status, 2011 (per</w:t>
            </w:r>
            <w:r w:rsidR="00A17808">
              <w:rPr>
                <w:rFonts w:ascii="Arial" w:hAnsi="Arial" w:cs="Arial"/>
                <w:sz w:val="20"/>
                <w:szCs w:val="20"/>
              </w:rPr>
              <w:t> </w:t>
            </w:r>
            <w:r w:rsidRPr="00412506">
              <w:rPr>
                <w:rFonts w:ascii="Arial" w:hAnsi="Arial" w:cs="Arial"/>
                <w:sz w:val="20"/>
                <w:szCs w:val="20"/>
              </w:rPr>
              <w:t>cent)</w:t>
            </w:r>
          </w:p>
        </w:tc>
      </w:tr>
    </w:tbl>
    <w:p w:rsidR="00375A36" w:rsidRDefault="00375A36" w:rsidP="00375A3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75A36" w:rsidTr="00D822A4">
        <w:tc>
          <w:tcPr>
            <w:tcW w:w="8771" w:type="dxa"/>
            <w:tcBorders>
              <w:top w:val="single" w:sz="6" w:space="0" w:color="auto"/>
              <w:bottom w:val="nil"/>
            </w:tcBorders>
          </w:tcPr>
          <w:p w:rsidR="00375A36" w:rsidRDefault="00375A36" w:rsidP="00375A36">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36</w:t>
            </w:r>
            <w:r>
              <w:rPr>
                <w:b w:val="0"/>
              </w:rPr>
              <w:fldChar w:fldCharType="end"/>
            </w:r>
            <w:r>
              <w:tab/>
              <w:t xml:space="preserve">Comment on data quality </w:t>
            </w:r>
          </w:p>
        </w:tc>
      </w:tr>
      <w:tr w:rsidR="00375A36" w:rsidTr="00D822A4">
        <w:trPr>
          <w:cantSplit/>
        </w:trPr>
        <w:tc>
          <w:tcPr>
            <w:tcW w:w="8771" w:type="dxa"/>
            <w:tcBorders>
              <w:top w:val="nil"/>
              <w:left w:val="single" w:sz="4" w:space="0" w:color="auto"/>
              <w:bottom w:val="nil"/>
              <w:right w:val="single" w:sz="4" w:space="0" w:color="auto"/>
            </w:tcBorders>
          </w:tcPr>
          <w:p w:rsidR="00375A36" w:rsidRDefault="00375A36" w:rsidP="00D822A4">
            <w:pPr>
              <w:pStyle w:val="Box"/>
            </w:pPr>
            <w:r>
              <w:t xml:space="preserve">Details are included in the comment on data quality for NEA Indicator 2 (measure </w:t>
            </w:r>
            <w:proofErr w:type="spellStart"/>
            <w:r>
              <w:t>2b</w:t>
            </w:r>
            <w:proofErr w:type="spellEnd"/>
            <w:r>
              <w:t>).</w:t>
            </w:r>
          </w:p>
        </w:tc>
      </w:tr>
      <w:tr w:rsidR="00375A36" w:rsidTr="00D822A4">
        <w:trPr>
          <w:cantSplit/>
        </w:trPr>
        <w:tc>
          <w:tcPr>
            <w:tcW w:w="8771" w:type="dxa"/>
            <w:tcBorders>
              <w:top w:val="nil"/>
              <w:left w:val="single" w:sz="4" w:space="0" w:color="auto"/>
              <w:bottom w:val="single" w:sz="4" w:space="0" w:color="auto"/>
              <w:right w:val="single" w:sz="4" w:space="0" w:color="auto"/>
            </w:tcBorders>
          </w:tcPr>
          <w:p w:rsidR="00375A36" w:rsidRDefault="00375A36" w:rsidP="00D822A4">
            <w:pPr>
              <w:pStyle w:val="Box"/>
              <w:spacing w:before="0" w:line="120" w:lineRule="exact"/>
            </w:pPr>
          </w:p>
        </w:tc>
      </w:tr>
    </w:tbl>
    <w:p w:rsidR="0026369A" w:rsidRDefault="0026369A" w:rsidP="0026369A">
      <w:pPr>
        <w:pStyle w:val="Heading3"/>
        <w:spacing w:before="360" w:after="240"/>
      </w:pPr>
      <w:r>
        <w:br w:type="page"/>
      </w:r>
      <w:bookmarkStart w:id="34" w:name="_Ref322529496"/>
      <w:r>
        <w:lastRenderedPageBreak/>
        <w:t xml:space="preserve">NEA </w:t>
      </w:r>
      <w:r w:rsidRPr="008878DC">
        <w:t>Indi</w:t>
      </w:r>
      <w:r>
        <w:t>cator 13</w:t>
      </w:r>
      <w:r w:rsidRPr="008878DC">
        <w:t>.</w:t>
      </w:r>
      <w:r>
        <w:t xml:space="preserve"> Attainment</w:t>
      </w:r>
      <w:r w:rsidRPr="003520F0">
        <w:t xml:space="preserve"> </w:t>
      </w:r>
      <w:r>
        <w:t xml:space="preserve">of </w:t>
      </w:r>
      <w:r w:rsidRPr="003520F0">
        <w:t>year 12 or</w:t>
      </w:r>
      <w:r>
        <w:t xml:space="preserve"> </w:t>
      </w:r>
      <w:r w:rsidRPr="003520F0">
        <w:t>equivalent</w:t>
      </w:r>
      <w:bookmarkEnd w:id="34"/>
    </w:p>
    <w:p w:rsidR="0026369A" w:rsidRDefault="0026369A" w:rsidP="0026369A">
      <w:pPr>
        <w:pStyle w:val="TableBodyText"/>
      </w:pPr>
    </w:p>
    <w:tbl>
      <w:tblPr>
        <w:tblW w:w="0" w:type="auto"/>
        <w:tblInd w:w="108" w:type="dxa"/>
        <w:tblLook w:val="01E0" w:firstRow="1" w:lastRow="1" w:firstColumn="1" w:lastColumn="1" w:noHBand="0" w:noVBand="0"/>
      </w:tblPr>
      <w:tblGrid>
        <w:gridCol w:w="1985"/>
        <w:gridCol w:w="6804"/>
      </w:tblGrid>
      <w:tr w:rsidR="0026369A" w:rsidRPr="005E6794" w:rsidTr="0082251B">
        <w:trPr>
          <w:trHeight w:val="1408"/>
        </w:trPr>
        <w:tc>
          <w:tcPr>
            <w:tcW w:w="1985" w:type="dxa"/>
          </w:tcPr>
          <w:p w:rsidR="0026369A" w:rsidRPr="00FC49E1" w:rsidRDefault="0026369A" w:rsidP="0026369A">
            <w:pPr>
              <w:pStyle w:val="TableBodyText"/>
              <w:ind w:left="-108"/>
              <w:jc w:val="left"/>
            </w:pPr>
            <w:r>
              <w:t>Key amendments from previous cycle</w:t>
            </w:r>
            <w:r w:rsidRPr="00FC49E1">
              <w:t>:</w:t>
            </w:r>
          </w:p>
          <w:p w:rsidR="0026369A" w:rsidRPr="00FC49E1" w:rsidRDefault="0026369A" w:rsidP="0026369A">
            <w:pPr>
              <w:pStyle w:val="TableBodyText"/>
              <w:ind w:left="34"/>
              <w:jc w:val="left"/>
            </w:pPr>
          </w:p>
        </w:tc>
        <w:tc>
          <w:tcPr>
            <w:tcW w:w="6804" w:type="dxa"/>
          </w:tcPr>
          <w:p w:rsidR="0026369A" w:rsidRPr="00FC49E1" w:rsidRDefault="0026369A" w:rsidP="0026369A">
            <w:pPr>
              <w:pStyle w:val="TableBodyText"/>
              <w:ind w:left="34"/>
              <w:jc w:val="left"/>
            </w:pPr>
            <w:r>
              <w:t>Under the revised NIRA, this PI has two measures. The first is the existing measure on attainment of year 12 or equivalent or above. The second measure is new and is related to year 12 certification. A measure is yet to be developed for Year 12 certification.</w:t>
            </w:r>
          </w:p>
        </w:tc>
      </w:tr>
      <w:tr w:rsidR="0026369A" w:rsidRPr="005E6794" w:rsidTr="0082251B">
        <w:trPr>
          <w:trHeight w:val="682"/>
        </w:trPr>
        <w:tc>
          <w:tcPr>
            <w:tcW w:w="1985" w:type="dxa"/>
          </w:tcPr>
          <w:p w:rsidR="0026369A" w:rsidRDefault="0026369A" w:rsidP="0026369A">
            <w:pPr>
              <w:pStyle w:val="TableBodyText"/>
              <w:ind w:left="-113"/>
              <w:jc w:val="left"/>
            </w:pPr>
            <w:r>
              <w:t>Performance indicator:</w:t>
            </w:r>
          </w:p>
        </w:tc>
        <w:tc>
          <w:tcPr>
            <w:tcW w:w="6804" w:type="dxa"/>
          </w:tcPr>
          <w:p w:rsidR="0026369A" w:rsidRPr="008941BF" w:rsidRDefault="006D1C9D" w:rsidP="0026369A">
            <w:pPr>
              <w:pStyle w:val="TableBodyText"/>
              <w:jc w:val="left"/>
            </w:pPr>
            <w:r>
              <w:t>Attainment of year 12 or equivalent</w:t>
            </w:r>
          </w:p>
        </w:tc>
      </w:tr>
      <w:tr w:rsidR="0026369A" w:rsidRPr="005E6794" w:rsidTr="0026369A">
        <w:trPr>
          <w:trHeight w:val="1709"/>
        </w:trPr>
        <w:tc>
          <w:tcPr>
            <w:tcW w:w="1985" w:type="dxa"/>
          </w:tcPr>
          <w:p w:rsidR="0026369A" w:rsidRPr="005E6794" w:rsidRDefault="0026369A" w:rsidP="0026369A">
            <w:pPr>
              <w:pStyle w:val="TableBodyText"/>
              <w:ind w:left="-113"/>
              <w:jc w:val="left"/>
            </w:pPr>
            <w:r w:rsidRPr="005E6794">
              <w:t xml:space="preserve">Measure: </w:t>
            </w:r>
          </w:p>
        </w:tc>
        <w:tc>
          <w:tcPr>
            <w:tcW w:w="6804" w:type="dxa"/>
          </w:tcPr>
          <w:p w:rsidR="0026369A" w:rsidRDefault="0026369A" w:rsidP="0026369A">
            <w:pPr>
              <w:pStyle w:val="TableBodyText"/>
              <w:jc w:val="left"/>
            </w:pPr>
            <w:r>
              <w:t>There are two measures for this indicator:</w:t>
            </w:r>
          </w:p>
          <w:p w:rsidR="0026369A" w:rsidRDefault="0026369A" w:rsidP="0026369A">
            <w:pPr>
              <w:pStyle w:val="TableBodyText"/>
              <w:jc w:val="left"/>
            </w:pPr>
          </w:p>
          <w:p w:rsidR="0026369A" w:rsidRDefault="0026369A" w:rsidP="0082251B">
            <w:pPr>
              <w:pStyle w:val="TableBodyText"/>
              <w:jc w:val="left"/>
            </w:pPr>
            <w:r w:rsidRPr="00C14AEF">
              <w:t>Measure</w:t>
            </w:r>
            <w:r>
              <w:t xml:space="preserve"> 13(a): </w:t>
            </w:r>
            <w:r w:rsidRPr="00D87AA9">
              <w:t xml:space="preserve">Proportion of the 20–24 year old population having attained at least a </w:t>
            </w:r>
            <w:r>
              <w:t>year</w:t>
            </w:r>
            <w:r w:rsidRPr="00D87AA9">
              <w:t xml:space="preserve"> 12 or e</w:t>
            </w:r>
            <w:r>
              <w:t xml:space="preserve">quivalent or </w:t>
            </w:r>
            <w:proofErr w:type="spellStart"/>
            <w:r>
              <w:t>AQF</w:t>
            </w:r>
            <w:proofErr w:type="spellEnd"/>
            <w:r>
              <w:t xml:space="preserve"> Certificate II level (or above)</w:t>
            </w:r>
            <w:r w:rsidR="006D1C9D">
              <w:t>, by Indigenous status</w:t>
            </w:r>
          </w:p>
          <w:p w:rsidR="0026369A" w:rsidRDefault="0026369A" w:rsidP="0026369A">
            <w:pPr>
              <w:pStyle w:val="TableBodyText"/>
              <w:jc w:val="left"/>
            </w:pPr>
          </w:p>
          <w:p w:rsidR="0026369A" w:rsidRPr="00D87AA9" w:rsidRDefault="0026369A" w:rsidP="0026369A">
            <w:pPr>
              <w:pStyle w:val="TableBodyText"/>
              <w:jc w:val="left"/>
            </w:pPr>
            <w:r w:rsidRPr="00D87AA9">
              <w:t>The measure is defined as:</w:t>
            </w:r>
          </w:p>
          <w:p w:rsidR="0026369A" w:rsidRPr="00D87AA9" w:rsidRDefault="0026369A" w:rsidP="0082251B">
            <w:pPr>
              <w:pStyle w:val="TableBullet"/>
            </w:pPr>
            <w:r>
              <w:rPr>
                <w:i/>
              </w:rPr>
              <w:t>n</w:t>
            </w:r>
            <w:r w:rsidRPr="00D87AA9">
              <w:rPr>
                <w:i/>
              </w:rPr>
              <w:t>umerator</w:t>
            </w:r>
            <w:r w:rsidRPr="00D87AA9">
              <w:t xml:space="preserve"> — </w:t>
            </w:r>
            <w:r w:rsidRPr="005667E9">
              <w:t>people aged 20–24 years who have completed year 12 or equivalent or whose level of highest non-school qualification is at Certificate II or equivalent or above</w:t>
            </w:r>
            <w:r w:rsidR="006D1C9D">
              <w:t>, by Indigenous status</w:t>
            </w:r>
          </w:p>
          <w:p w:rsidR="0026369A" w:rsidRPr="00D87AA9" w:rsidRDefault="0026369A" w:rsidP="0082251B">
            <w:pPr>
              <w:pStyle w:val="TableBullet"/>
            </w:pPr>
            <w:r>
              <w:rPr>
                <w:i/>
              </w:rPr>
              <w:t>d</w:t>
            </w:r>
            <w:r w:rsidRPr="00D87AA9">
              <w:rPr>
                <w:i/>
              </w:rPr>
              <w:t>enominator</w:t>
            </w:r>
            <w:r w:rsidRPr="00D87AA9">
              <w:t xml:space="preserve"> — total population of people aged 20–24 years</w:t>
            </w:r>
            <w:r w:rsidR="006D1C9D">
              <w:t>, by Indigenous status</w:t>
            </w:r>
          </w:p>
          <w:p w:rsidR="0026369A" w:rsidRDefault="0026369A" w:rsidP="0026369A">
            <w:pPr>
              <w:pStyle w:val="TableBodyText"/>
              <w:jc w:val="left"/>
              <w:rPr>
                <w:i/>
              </w:rPr>
            </w:pPr>
            <w:r>
              <w:t xml:space="preserve">and is expressed </w:t>
            </w:r>
            <w:r w:rsidRPr="00B85040">
              <w:t>as a</w:t>
            </w:r>
            <w:r w:rsidRPr="00D87AA9">
              <w:rPr>
                <w:i/>
              </w:rPr>
              <w:t xml:space="preserve"> </w:t>
            </w:r>
            <w:r>
              <w:rPr>
                <w:i/>
              </w:rPr>
              <w:t>percentage</w:t>
            </w:r>
          </w:p>
          <w:p w:rsidR="0026369A" w:rsidRPr="00D87AA9" w:rsidRDefault="0026369A" w:rsidP="0026369A">
            <w:pPr>
              <w:pStyle w:val="TableBodyText"/>
              <w:jc w:val="left"/>
            </w:pPr>
          </w:p>
          <w:p w:rsidR="0026369A" w:rsidRPr="00F01621" w:rsidRDefault="0026369A" w:rsidP="0026369A">
            <w:pPr>
              <w:pStyle w:val="TableBodyText"/>
              <w:jc w:val="left"/>
            </w:pPr>
            <w:r w:rsidRPr="00F01621">
              <w:t>Measure 1</w:t>
            </w:r>
            <w:r>
              <w:t>3</w:t>
            </w:r>
            <w:r w:rsidRPr="00F01621">
              <w:t>(b): Y</w:t>
            </w:r>
            <w:r>
              <w:t>ear 12 certification</w:t>
            </w:r>
          </w:p>
          <w:p w:rsidR="0026369A" w:rsidRDefault="0026369A" w:rsidP="0026369A">
            <w:pPr>
              <w:pStyle w:val="TableBodyText"/>
              <w:jc w:val="left"/>
            </w:pPr>
          </w:p>
          <w:p w:rsidR="0026369A" w:rsidRDefault="0026369A" w:rsidP="0026369A">
            <w:pPr>
              <w:pStyle w:val="TableBodyText"/>
              <w:jc w:val="left"/>
            </w:pPr>
            <w:r>
              <w:t>Measure yet to be developed</w:t>
            </w:r>
          </w:p>
          <w:p w:rsidR="0026369A" w:rsidRPr="005E6794" w:rsidRDefault="0026369A" w:rsidP="0026369A">
            <w:pPr>
              <w:pStyle w:val="TableBodyText"/>
              <w:jc w:val="left"/>
            </w:pPr>
          </w:p>
        </w:tc>
      </w:tr>
      <w:tr w:rsidR="0026369A" w:rsidRPr="005E6794" w:rsidTr="0026369A">
        <w:trPr>
          <w:trHeight w:val="574"/>
        </w:trPr>
        <w:tc>
          <w:tcPr>
            <w:tcW w:w="1985" w:type="dxa"/>
          </w:tcPr>
          <w:p w:rsidR="0026369A" w:rsidRPr="005E6794" w:rsidRDefault="0026369A" w:rsidP="0026369A">
            <w:pPr>
              <w:pStyle w:val="TableBodyText"/>
              <w:ind w:left="-113"/>
              <w:jc w:val="left"/>
            </w:pPr>
            <w:r w:rsidRPr="005E6794">
              <w:t>Data source</w:t>
            </w:r>
            <w:r w:rsidR="00490CD4">
              <w:t>s</w:t>
            </w:r>
            <w:r w:rsidRPr="005E6794">
              <w:t>:</w:t>
            </w:r>
          </w:p>
        </w:tc>
        <w:tc>
          <w:tcPr>
            <w:tcW w:w="6804" w:type="dxa"/>
          </w:tcPr>
          <w:p w:rsidR="0026369A" w:rsidRPr="00F01621" w:rsidRDefault="0026369A" w:rsidP="0026369A">
            <w:pPr>
              <w:pStyle w:val="TableBodyText"/>
              <w:jc w:val="left"/>
            </w:pPr>
            <w:r>
              <w:t>Measure 13</w:t>
            </w:r>
            <w:r w:rsidRPr="00F01621">
              <w:t>(a)</w:t>
            </w:r>
          </w:p>
          <w:p w:rsidR="0026369A" w:rsidRPr="00F01621" w:rsidRDefault="0026369A" w:rsidP="0026369A">
            <w:pPr>
              <w:pStyle w:val="TableBodyText"/>
              <w:jc w:val="left"/>
            </w:pPr>
          </w:p>
          <w:p w:rsidR="0026369A" w:rsidRPr="00F01621" w:rsidRDefault="0026369A" w:rsidP="0026369A">
            <w:pPr>
              <w:pStyle w:val="TableBodyText"/>
              <w:jc w:val="left"/>
            </w:pPr>
            <w:r w:rsidRPr="00F01621">
              <w:t>(Main data collection)</w:t>
            </w:r>
          </w:p>
          <w:p w:rsidR="0026369A" w:rsidRPr="00F01621" w:rsidRDefault="0026369A" w:rsidP="0026369A">
            <w:pPr>
              <w:pStyle w:val="TableBodyText"/>
              <w:jc w:val="left"/>
            </w:pPr>
            <w:r w:rsidRPr="00F01621">
              <w:rPr>
                <w:i/>
              </w:rPr>
              <w:t>Numerator and denominator</w:t>
            </w:r>
            <w:r>
              <w:t xml:space="preserve"> — (Indigenous status) </w:t>
            </w:r>
            <w:r w:rsidRPr="00F01621">
              <w:rPr>
                <w:u w:val="single"/>
              </w:rPr>
              <w:t>Census of Population and Housing</w:t>
            </w:r>
            <w:r w:rsidRPr="00F01621">
              <w:t xml:space="preserve"> (Census). Data are available every 5 years</w:t>
            </w:r>
          </w:p>
          <w:p w:rsidR="0026369A" w:rsidRPr="00F01621" w:rsidRDefault="0026369A" w:rsidP="0026369A">
            <w:pPr>
              <w:pStyle w:val="TableBodyText"/>
              <w:jc w:val="left"/>
            </w:pPr>
          </w:p>
          <w:p w:rsidR="0026369A" w:rsidRPr="00F01621" w:rsidRDefault="0026369A" w:rsidP="0026369A">
            <w:pPr>
              <w:pStyle w:val="TableBodyText"/>
              <w:jc w:val="left"/>
            </w:pPr>
            <w:r w:rsidRPr="00F01621">
              <w:t>(Supplementary data collection)</w:t>
            </w:r>
          </w:p>
          <w:p w:rsidR="0026369A" w:rsidRPr="00F01621" w:rsidRDefault="0026369A" w:rsidP="0026369A">
            <w:pPr>
              <w:pStyle w:val="TableBodyText"/>
              <w:jc w:val="left"/>
            </w:pPr>
            <w:r w:rsidRPr="00F01621">
              <w:rPr>
                <w:i/>
              </w:rPr>
              <w:t>Numerator and denominator</w:t>
            </w:r>
            <w:r>
              <w:t xml:space="preserve"> — (Indigenous) </w:t>
            </w:r>
            <w:r w:rsidRPr="00F01621">
              <w:rPr>
                <w:u w:val="single"/>
              </w:rPr>
              <w:t>National Aboriginal and Torres Strait Islander Social Survey</w:t>
            </w:r>
            <w:r w:rsidRPr="00F01621">
              <w:t xml:space="preserve"> (NATSISS) and </w:t>
            </w:r>
            <w:r w:rsidRPr="00F01621">
              <w:rPr>
                <w:u w:val="single"/>
              </w:rPr>
              <w:t>Australian Aboriginal and Torres Strait Islander Health Survey</w:t>
            </w:r>
            <w:r w:rsidRPr="00F01621">
              <w:t xml:space="preserve"> (AATSIHS). Data are available on a rotating 3-yearly cycle</w:t>
            </w:r>
          </w:p>
          <w:p w:rsidR="0026369A" w:rsidRPr="00F01621" w:rsidRDefault="0026369A" w:rsidP="0026369A">
            <w:pPr>
              <w:pStyle w:val="TableBodyText"/>
              <w:jc w:val="left"/>
            </w:pPr>
            <w:r>
              <w:t xml:space="preserve">(Non-Indigenous) </w:t>
            </w:r>
            <w:r w:rsidRPr="00F01621">
              <w:rPr>
                <w:u w:val="single"/>
              </w:rPr>
              <w:t>Survey of Education and Work (SEW)</w:t>
            </w:r>
            <w:r w:rsidRPr="00F01621">
              <w:t>. Data are available annually</w:t>
            </w:r>
          </w:p>
          <w:p w:rsidR="0026369A" w:rsidRPr="00F01621" w:rsidRDefault="0026369A" w:rsidP="0026369A">
            <w:pPr>
              <w:pStyle w:val="TableBodyText"/>
              <w:jc w:val="left"/>
            </w:pPr>
          </w:p>
          <w:p w:rsidR="0026369A" w:rsidRDefault="0026369A" w:rsidP="0026369A">
            <w:pPr>
              <w:pStyle w:val="TableBodyText"/>
              <w:jc w:val="left"/>
            </w:pPr>
            <w:r>
              <w:t>Measure 13</w:t>
            </w:r>
            <w:r w:rsidRPr="00F01621">
              <w:t>(b)</w:t>
            </w:r>
          </w:p>
          <w:p w:rsidR="0026369A" w:rsidRDefault="0026369A" w:rsidP="0026369A">
            <w:pPr>
              <w:pStyle w:val="TableBodyText"/>
              <w:jc w:val="left"/>
            </w:pPr>
            <w:r>
              <w:t>Measure yet to be developed</w:t>
            </w:r>
          </w:p>
          <w:p w:rsidR="0026369A" w:rsidRPr="00F01621" w:rsidRDefault="0026369A" w:rsidP="0026369A">
            <w:pPr>
              <w:pStyle w:val="TableBodyText"/>
              <w:jc w:val="left"/>
            </w:pPr>
          </w:p>
        </w:tc>
      </w:tr>
      <w:tr w:rsidR="0026369A" w:rsidRPr="005E6794" w:rsidTr="0026369A">
        <w:trPr>
          <w:trHeight w:val="582"/>
        </w:trPr>
        <w:tc>
          <w:tcPr>
            <w:tcW w:w="1985" w:type="dxa"/>
          </w:tcPr>
          <w:p w:rsidR="0026369A" w:rsidRPr="005E6794" w:rsidRDefault="0026369A" w:rsidP="0026369A">
            <w:pPr>
              <w:pStyle w:val="TableBodyText"/>
              <w:ind w:left="-113"/>
              <w:jc w:val="left"/>
            </w:pPr>
            <w:r w:rsidRPr="005E6794">
              <w:t>Data provider:</w:t>
            </w:r>
          </w:p>
        </w:tc>
        <w:tc>
          <w:tcPr>
            <w:tcW w:w="6804" w:type="dxa"/>
          </w:tcPr>
          <w:p w:rsidR="0026369A" w:rsidRDefault="0026369A" w:rsidP="0026369A">
            <w:pPr>
              <w:pStyle w:val="TableBodyText"/>
              <w:jc w:val="left"/>
            </w:pPr>
            <w:r>
              <w:t xml:space="preserve">Measure 13(a): </w:t>
            </w:r>
            <w:r w:rsidRPr="00A226E1">
              <w:t>ABS</w:t>
            </w:r>
          </w:p>
          <w:p w:rsidR="0026369A" w:rsidRDefault="0026369A" w:rsidP="0026369A">
            <w:pPr>
              <w:pStyle w:val="TableBodyText"/>
              <w:jc w:val="left"/>
            </w:pPr>
          </w:p>
          <w:p w:rsidR="0026369A" w:rsidRDefault="0026369A" w:rsidP="0026369A">
            <w:pPr>
              <w:pStyle w:val="TableBodyText"/>
              <w:jc w:val="left"/>
            </w:pPr>
            <w:r>
              <w:t>Measure 13(b): Measure yet to be developed.</w:t>
            </w:r>
          </w:p>
          <w:p w:rsidR="0026369A" w:rsidRPr="00A226E1" w:rsidRDefault="0026369A" w:rsidP="0026369A">
            <w:pPr>
              <w:pStyle w:val="TableBodyText"/>
              <w:jc w:val="left"/>
            </w:pPr>
          </w:p>
        </w:tc>
      </w:tr>
      <w:tr w:rsidR="0026369A" w:rsidRPr="005E6794" w:rsidTr="0026369A">
        <w:trPr>
          <w:trHeight w:val="1031"/>
        </w:trPr>
        <w:tc>
          <w:tcPr>
            <w:tcW w:w="1985" w:type="dxa"/>
          </w:tcPr>
          <w:p w:rsidR="0026369A" w:rsidRPr="005E6794" w:rsidRDefault="0026369A" w:rsidP="0026369A">
            <w:pPr>
              <w:pStyle w:val="TableBodyText"/>
              <w:ind w:left="-113"/>
              <w:jc w:val="left"/>
            </w:pPr>
            <w:r w:rsidRPr="005E6794">
              <w:lastRenderedPageBreak/>
              <w:t>Data availability:</w:t>
            </w:r>
          </w:p>
        </w:tc>
        <w:tc>
          <w:tcPr>
            <w:tcW w:w="6804" w:type="dxa"/>
          </w:tcPr>
          <w:p w:rsidR="0026369A" w:rsidRPr="00A226E1" w:rsidRDefault="0026369A" w:rsidP="0026369A">
            <w:pPr>
              <w:pStyle w:val="TableBodyText"/>
              <w:jc w:val="left"/>
              <w:rPr>
                <w:i/>
              </w:rPr>
            </w:pPr>
            <w:r w:rsidRPr="00D87AA9">
              <w:t xml:space="preserve">Not applicable. [2006 Census data and 2008 NATSISS and 2008 SEW data provided for </w:t>
            </w:r>
            <w:r>
              <w:t xml:space="preserve">measure 13(a) for </w:t>
            </w:r>
            <w:r w:rsidRPr="00D87AA9">
              <w:t xml:space="preserve">the baseline report. There are no new data </w:t>
            </w:r>
            <w:r>
              <w:t xml:space="preserve">available </w:t>
            </w:r>
            <w:r w:rsidRPr="00D87AA9">
              <w:t xml:space="preserve">for this </w:t>
            </w:r>
            <w:r>
              <w:t xml:space="preserve">reporting </w:t>
            </w:r>
            <w:r w:rsidRPr="00D87AA9">
              <w:t>cycle]</w:t>
            </w:r>
          </w:p>
        </w:tc>
      </w:tr>
      <w:tr w:rsidR="0026369A" w:rsidRPr="005E6794" w:rsidTr="0026369A">
        <w:tc>
          <w:tcPr>
            <w:tcW w:w="1985" w:type="dxa"/>
          </w:tcPr>
          <w:p w:rsidR="0026369A" w:rsidRDefault="0026369A" w:rsidP="0026369A">
            <w:pPr>
              <w:pStyle w:val="TableBodyText"/>
              <w:ind w:left="-113"/>
              <w:jc w:val="left"/>
            </w:pPr>
            <w:r w:rsidRPr="005E6794">
              <w:t>Cross tabulations provided:</w:t>
            </w:r>
          </w:p>
          <w:p w:rsidR="0026369A" w:rsidRPr="005E6794" w:rsidRDefault="0026369A" w:rsidP="0026369A">
            <w:pPr>
              <w:pStyle w:val="TableBodyText"/>
              <w:ind w:left="-113"/>
              <w:jc w:val="left"/>
            </w:pPr>
          </w:p>
        </w:tc>
        <w:tc>
          <w:tcPr>
            <w:tcW w:w="6804" w:type="dxa"/>
          </w:tcPr>
          <w:p w:rsidR="0026369A" w:rsidRPr="00A226E1" w:rsidRDefault="0026369A" w:rsidP="0026369A">
            <w:pPr>
              <w:pStyle w:val="TableBodyText"/>
              <w:jc w:val="left"/>
            </w:pPr>
            <w:r w:rsidRPr="00A226E1">
              <w:t>Nil</w:t>
            </w:r>
          </w:p>
        </w:tc>
      </w:tr>
    </w:tbl>
    <w:p w:rsidR="00F13A70" w:rsidRDefault="00F13A70" w:rsidP="00F13A7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13A70" w:rsidTr="00312581">
        <w:tc>
          <w:tcPr>
            <w:tcW w:w="8771" w:type="dxa"/>
            <w:tcBorders>
              <w:top w:val="single" w:sz="6" w:space="0" w:color="auto"/>
              <w:bottom w:val="nil"/>
            </w:tcBorders>
          </w:tcPr>
          <w:p w:rsidR="00F13A70" w:rsidRDefault="00F13A70" w:rsidP="00F13A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936B93">
              <w:rPr>
                <w:b w:val="0"/>
                <w:noProof/>
              </w:rPr>
              <w:t>37</w:t>
            </w:r>
            <w:r>
              <w:rPr>
                <w:b w:val="0"/>
              </w:rPr>
              <w:fldChar w:fldCharType="end"/>
            </w:r>
            <w:r>
              <w:tab/>
              <w:t>Comment on data quality</w:t>
            </w:r>
          </w:p>
        </w:tc>
      </w:tr>
      <w:tr w:rsidR="00F13A70" w:rsidTr="00312581">
        <w:trPr>
          <w:cantSplit/>
        </w:trPr>
        <w:tc>
          <w:tcPr>
            <w:tcW w:w="8771" w:type="dxa"/>
            <w:tcBorders>
              <w:top w:val="nil"/>
              <w:left w:val="single" w:sz="4" w:space="0" w:color="auto"/>
              <w:bottom w:val="nil"/>
              <w:right w:val="single" w:sz="6" w:space="0" w:color="auto"/>
            </w:tcBorders>
          </w:tcPr>
          <w:p w:rsidR="00490CD4" w:rsidRDefault="00490CD4" w:rsidP="0082251B">
            <w:pPr>
              <w:pStyle w:val="Box"/>
            </w:pPr>
            <w:r>
              <w:t>No new data are available for this report for measure 13(a). Data for 2008 are available in the 2009 NEA performance report (r</w:t>
            </w:r>
            <w:r w:rsidR="00712F6B">
              <w:t>eported under NEA indicator 8).</w:t>
            </w:r>
          </w:p>
          <w:p w:rsidR="00312581" w:rsidRDefault="00F13A70" w:rsidP="0082251B">
            <w:pPr>
              <w:pStyle w:val="Box"/>
            </w:pPr>
            <w:r>
              <w:t xml:space="preserve">There are no data of sufficient quality for reporting against measure 13(b) — Year 12 certification. The Schools Data Subgroup (a subgroup of </w:t>
            </w:r>
            <w:r w:rsidR="00D868EC">
              <w:t>the Australian Education, Early Child Development and Youth Affairs Senior Officials Committee</w:t>
            </w:r>
            <w:r>
              <w:t xml:space="preserve">) is currently investigating options for reporting </w:t>
            </w:r>
            <w:r w:rsidR="00490CD4">
              <w:t>on year 12 certification</w:t>
            </w:r>
            <w:r>
              <w:t>.</w:t>
            </w:r>
          </w:p>
        </w:tc>
      </w:tr>
      <w:tr w:rsidR="00F13A70" w:rsidTr="00F13A70">
        <w:trPr>
          <w:cantSplit/>
        </w:trPr>
        <w:tc>
          <w:tcPr>
            <w:tcW w:w="8771" w:type="dxa"/>
            <w:tcBorders>
              <w:top w:val="nil"/>
              <w:left w:val="single" w:sz="4" w:space="0" w:color="auto"/>
              <w:bottom w:val="single" w:sz="4" w:space="0" w:color="auto"/>
              <w:right w:val="single" w:sz="4" w:space="0" w:color="auto"/>
            </w:tcBorders>
          </w:tcPr>
          <w:p w:rsidR="00F13A70" w:rsidRDefault="00F13A70" w:rsidP="00F13A70">
            <w:pPr>
              <w:pStyle w:val="Box"/>
              <w:spacing w:before="0" w:line="120" w:lineRule="exact"/>
            </w:pPr>
          </w:p>
        </w:tc>
      </w:tr>
    </w:tbl>
    <w:p w:rsidR="00D11E31" w:rsidRDefault="00D11E31" w:rsidP="0026369A">
      <w:pPr>
        <w:pStyle w:val="Heading3"/>
        <w:spacing w:before="360" w:after="240"/>
      </w:pPr>
    </w:p>
    <w:p w:rsidR="00D11E31" w:rsidRDefault="00D11E31" w:rsidP="00D11E31">
      <w:pPr>
        <w:rPr>
          <w:rFonts w:ascii="Arial" w:hAnsi="Arial"/>
          <w:szCs w:val="20"/>
        </w:rPr>
      </w:pPr>
      <w:r>
        <w:br w:type="page"/>
      </w:r>
    </w:p>
    <w:p w:rsidR="00D11E31" w:rsidRDefault="00D11E31" w:rsidP="00D11E31">
      <w:pPr>
        <w:pStyle w:val="TableBodyText"/>
        <w:ind w:left="-113"/>
        <w:jc w:val="left"/>
      </w:pPr>
    </w:p>
    <w:p w:rsidR="00EF301F" w:rsidRDefault="00EF301F" w:rsidP="00D11E31">
      <w:pPr>
        <w:pStyle w:val="TableBodyText"/>
        <w:ind w:left="-113"/>
        <w:jc w:val="left"/>
        <w:sectPr w:rsidR="00EF301F" w:rsidSect="003743A5">
          <w:headerReference w:type="even" r:id="rId156"/>
          <w:headerReference w:type="default" r:id="rId157"/>
          <w:footerReference w:type="even" r:id="rId158"/>
          <w:footerReference w:type="default" r:id="rId159"/>
          <w:pgSz w:w="11907" w:h="16840" w:code="9"/>
          <w:pgMar w:top="1985" w:right="1304" w:bottom="1418" w:left="1814" w:header="1701" w:footer="567" w:gutter="0"/>
          <w:pgNumType w:start="1" w:chapSep="period"/>
          <w:cols w:space="720"/>
        </w:sectPr>
      </w:pPr>
    </w:p>
    <w:p w:rsidR="008E2D82" w:rsidRDefault="008E2D82">
      <w:pPr>
        <w:rPr>
          <w:rFonts w:ascii="Arial" w:hAnsi="Arial"/>
          <w:b/>
          <w:sz w:val="32"/>
          <w:szCs w:val="20"/>
        </w:rPr>
      </w:pPr>
      <w:r>
        <w:lastRenderedPageBreak/>
        <w:br w:type="page"/>
      </w:r>
    </w:p>
    <w:p w:rsidR="00D11E31" w:rsidRDefault="00D11E31" w:rsidP="00D11E31">
      <w:pPr>
        <w:pStyle w:val="Heading2"/>
      </w:pPr>
      <w:r>
        <w:lastRenderedPageBreak/>
        <w:t>Data Quality Statements</w:t>
      </w:r>
    </w:p>
    <w:p w:rsidR="00D11E31" w:rsidRDefault="00D11E31" w:rsidP="00D11E31">
      <w:pPr>
        <w:pStyle w:val="BodyText"/>
        <w:jc w:val="left"/>
      </w:pPr>
      <w:r>
        <w:t>This attachment includes copies of all DQSs as provided by the data providers. The Steering Committee has not made any amendments to the content of these DQSs.</w:t>
      </w:r>
    </w:p>
    <w:p w:rsidR="00D11E31" w:rsidRDefault="00FA0638" w:rsidP="00D11E31">
      <w:pPr>
        <w:pStyle w:val="BodyText"/>
        <w:jc w:val="left"/>
      </w:pPr>
      <w:r>
        <w:t xml:space="preserve">Table </w:t>
      </w:r>
      <w:r w:rsidR="002A66B3">
        <w:fldChar w:fldCharType="begin"/>
      </w:r>
      <w:r w:rsidR="002A66B3">
        <w:instrText xml:space="preserve"> LINK Unknown "\\\\MEL_1\\groups\\Monitor\\09 National Agreement Report\\02 NAR Report WIP\\2011 NAR Report - Ed and training\\2011 NAR Second Draft\\NEA\\NEA second draft.docx" "OLE_LINK15" \a \t </w:instrText>
      </w:r>
      <w:r w:rsidR="002A66B3">
        <w:fldChar w:fldCharType="separate"/>
      </w:r>
      <w:r w:rsidR="002A66B3">
        <w:t>11</w:t>
      </w:r>
      <w:r w:rsidR="002A66B3">
        <w:fldChar w:fldCharType="end"/>
      </w:r>
      <w:r w:rsidR="002A66B3">
        <w:t xml:space="preserve"> </w:t>
      </w:r>
      <w:r w:rsidR="00D11E31">
        <w:t>lists each performance target in the NEA and the page re</w:t>
      </w:r>
      <w:r w:rsidR="00712F6B">
        <w:t>ference for the associated DQS.</w:t>
      </w:r>
    </w:p>
    <w:p w:rsidR="00D11E31" w:rsidRDefault="00D11E31" w:rsidP="00D11E31">
      <w:pPr>
        <w:pStyle w:val="BodyText"/>
        <w:jc w:val="left"/>
      </w:pPr>
      <w:r>
        <w:t xml:space="preserve">Table </w:t>
      </w:r>
      <w:r w:rsidR="002A66B3">
        <w:fldChar w:fldCharType="begin"/>
      </w:r>
      <w:r w:rsidR="002A66B3">
        <w:instrText xml:space="preserve"> LINK Unknown "\\\\MEL_1\\groups\\Monitor\\09 National Agreement Report\\02 NAR Report WIP\\2011 NAR Report - Ed and training\\2011 NAR Second Draft\\NEA\\NEA second draft.docx" "OLE_LINK18" \a \t </w:instrText>
      </w:r>
      <w:r w:rsidR="002A66B3">
        <w:fldChar w:fldCharType="separate"/>
      </w:r>
      <w:r w:rsidR="002A66B3">
        <w:t>12</w:t>
      </w:r>
      <w:r w:rsidR="002A66B3">
        <w:fldChar w:fldCharType="end"/>
      </w:r>
      <w:r>
        <w:t xml:space="preserve"> lists each performance indicator in the NEA and the page re</w:t>
      </w:r>
      <w:r w:rsidR="00712F6B">
        <w:t>ference for the associated DQS.</w:t>
      </w:r>
    </w:p>
    <w:p w:rsidR="00D11E31" w:rsidRDefault="00D11E31" w:rsidP="00D11E31">
      <w:pPr>
        <w:pStyle w:val="BodyText"/>
        <w:jc w:val="left"/>
      </w:pPr>
      <w:r>
        <w:t xml:space="preserve">Table </w:t>
      </w:r>
      <w:r w:rsidR="002A66B3">
        <w:fldChar w:fldCharType="begin"/>
      </w:r>
      <w:r w:rsidR="002A66B3">
        <w:instrText xml:space="preserve"> LINK Unknown "\\\\MEL_1\\groups\\Monitor\\09 National Agreement Report\\02 NAR Report WIP\\2011 NAR Report - Ed and training\\2011 NAR Second Draft\\NEA\\NEA second draft.docx" "OLE_LINK20" \a \t </w:instrText>
      </w:r>
      <w:r w:rsidR="002A66B3">
        <w:fldChar w:fldCharType="separate"/>
      </w:r>
      <w:r w:rsidR="002A66B3">
        <w:t>13</w:t>
      </w:r>
      <w:r w:rsidR="002A66B3">
        <w:fldChar w:fldCharType="end"/>
      </w:r>
      <w:r w:rsidR="002A66B3">
        <w:t xml:space="preserve"> </w:t>
      </w:r>
      <w:r>
        <w:t>lists each education and training related performance indicator in the NIRA and the page reference for the associated DQS.</w:t>
      </w:r>
    </w:p>
    <w:p w:rsidR="00D11E31" w:rsidRDefault="00D11E31" w:rsidP="00D11E31">
      <w:pPr>
        <w:pStyle w:val="TableTitle"/>
      </w:pPr>
      <w:r>
        <w:br w:type="page"/>
      </w:r>
      <w:r>
        <w:rPr>
          <w:b w:val="0"/>
        </w:rPr>
        <w:lastRenderedPageBreak/>
        <w:t xml:space="preserve">Table </w:t>
      </w:r>
      <w:bookmarkStart w:id="35" w:name="OLE_LINK15"/>
      <w:r>
        <w:rPr>
          <w:b w:val="0"/>
        </w:rPr>
        <w:fldChar w:fldCharType="begin"/>
      </w:r>
      <w:r>
        <w:rPr>
          <w:b w:val="0"/>
        </w:rPr>
        <w:instrText xml:space="preserve"> SEQ Table \* ARABIC </w:instrText>
      </w:r>
      <w:r>
        <w:rPr>
          <w:b w:val="0"/>
        </w:rPr>
        <w:fldChar w:fldCharType="separate"/>
      </w:r>
      <w:r w:rsidR="00936B93">
        <w:rPr>
          <w:b w:val="0"/>
          <w:noProof/>
        </w:rPr>
        <w:t>11</w:t>
      </w:r>
      <w:r>
        <w:rPr>
          <w:b w:val="0"/>
        </w:rPr>
        <w:fldChar w:fldCharType="end"/>
      </w:r>
      <w:bookmarkEnd w:id="35"/>
      <w:r>
        <w:tab/>
        <w:t>Data Quality Statements for performance targets in the National Education Agreement</w:t>
      </w:r>
      <w:r w:rsidRPr="007B43A2">
        <w:rPr>
          <w:rStyle w:val="NoteLabel"/>
          <w:b/>
        </w:rPr>
        <w:t>a</w:t>
      </w:r>
    </w:p>
    <w:tbl>
      <w:tblPr>
        <w:tblW w:w="5000" w:type="pct"/>
        <w:tblCellMar>
          <w:left w:w="0" w:type="dxa"/>
          <w:right w:w="0" w:type="dxa"/>
        </w:tblCellMar>
        <w:tblLook w:val="0000" w:firstRow="0" w:lastRow="0" w:firstColumn="0" w:lastColumn="0" w:noHBand="0" w:noVBand="0"/>
      </w:tblPr>
      <w:tblGrid>
        <w:gridCol w:w="7655"/>
        <w:gridCol w:w="1134"/>
      </w:tblGrid>
      <w:tr w:rsidR="00D11E31" w:rsidRPr="00CF1FBF" w:rsidTr="003743A5">
        <w:tc>
          <w:tcPr>
            <w:tcW w:w="4355" w:type="pct"/>
            <w:tcBorders>
              <w:top w:val="single" w:sz="6" w:space="0" w:color="auto"/>
              <w:bottom w:val="single" w:sz="6" w:space="0" w:color="auto"/>
            </w:tcBorders>
            <w:shd w:val="clear" w:color="auto" w:fill="auto"/>
          </w:tcPr>
          <w:p w:rsidR="00D11E31" w:rsidRPr="00CF1FBF" w:rsidRDefault="00D11E31" w:rsidP="003743A5">
            <w:pPr>
              <w:pStyle w:val="TableColumnHeading"/>
              <w:jc w:val="left"/>
            </w:pPr>
            <w:r>
              <w:t>Performance target</w:t>
            </w:r>
          </w:p>
        </w:tc>
        <w:tc>
          <w:tcPr>
            <w:tcW w:w="645" w:type="pct"/>
            <w:tcBorders>
              <w:top w:val="single" w:sz="6" w:space="0" w:color="auto"/>
              <w:bottom w:val="single" w:sz="6" w:space="0" w:color="auto"/>
            </w:tcBorders>
            <w:shd w:val="clear" w:color="auto" w:fill="auto"/>
          </w:tcPr>
          <w:p w:rsidR="00D11E31" w:rsidRPr="00E50FFA" w:rsidRDefault="00D11E31" w:rsidP="003743A5">
            <w:pPr>
              <w:pStyle w:val="TableColumnHeading"/>
            </w:pPr>
            <w:r w:rsidRPr="00E50FFA">
              <w:t>Page no. in this report</w:t>
            </w:r>
          </w:p>
        </w:tc>
      </w:tr>
      <w:tr w:rsidR="00D11E31" w:rsidRPr="00CF1FBF" w:rsidTr="003743A5">
        <w:tc>
          <w:tcPr>
            <w:tcW w:w="4355" w:type="pct"/>
          </w:tcPr>
          <w:p w:rsidR="00D11E31" w:rsidRDefault="00F308E9" w:rsidP="003743A5">
            <w:pPr>
              <w:pStyle w:val="TableBodyText"/>
              <w:ind w:left="340" w:hanging="340"/>
              <w:jc w:val="left"/>
            </w:pPr>
            <w:r>
              <w:t>A</w:t>
            </w:r>
            <w:r w:rsidR="00D11E31">
              <w:t xml:space="preserve">. </w:t>
            </w:r>
            <w:r w:rsidR="00D11E31">
              <w:tab/>
              <w:t>Lift the Year 12 or equivalent rate to 90 per cent by 2020</w:t>
            </w:r>
            <w:r w:rsidR="00D11E31" w:rsidRPr="00FD1487">
              <w:t>.</w:t>
            </w:r>
          </w:p>
          <w:p w:rsidR="00D11E31" w:rsidRPr="00FD1487" w:rsidRDefault="00D11E31" w:rsidP="003743A5">
            <w:pPr>
              <w:pStyle w:val="TableBodyText"/>
              <w:jc w:val="left"/>
            </w:pPr>
          </w:p>
        </w:tc>
        <w:tc>
          <w:tcPr>
            <w:tcW w:w="645" w:type="pct"/>
          </w:tcPr>
          <w:p w:rsidR="00D11E31" w:rsidRPr="00E50FFA" w:rsidRDefault="00F308E9" w:rsidP="003743A5">
            <w:pPr>
              <w:pStyle w:val="TableBodyText"/>
            </w:pPr>
            <w:r>
              <w:fldChar w:fldCharType="begin"/>
            </w:r>
            <w:r>
              <w:instrText xml:space="preserve"> PAGEREF _Ref325636587 \h </w:instrText>
            </w:r>
            <w:r>
              <w:fldChar w:fldCharType="separate"/>
            </w:r>
            <w:r w:rsidR="007076BB">
              <w:rPr>
                <w:noProof/>
              </w:rPr>
              <w:t>331</w:t>
            </w:r>
            <w:r>
              <w:fldChar w:fldCharType="end"/>
            </w:r>
            <w:r w:rsidR="003214A4">
              <w:t xml:space="preserve">, </w:t>
            </w:r>
            <w:r w:rsidR="002F22D4">
              <w:t xml:space="preserve">332, </w:t>
            </w:r>
            <w:r w:rsidR="007076BB">
              <w:fldChar w:fldCharType="begin"/>
            </w:r>
            <w:r w:rsidR="007076BB">
              <w:instrText xml:space="preserve"> PAGEREF _Ref328395671 </w:instrText>
            </w:r>
            <w:r w:rsidR="007076BB">
              <w:fldChar w:fldCharType="separate"/>
            </w:r>
            <w:r w:rsidR="007076BB">
              <w:rPr>
                <w:noProof/>
              </w:rPr>
              <w:t>352</w:t>
            </w:r>
            <w:r w:rsidR="007076BB">
              <w:rPr>
                <w:noProof/>
              </w:rPr>
              <w:fldChar w:fldCharType="end"/>
            </w:r>
          </w:p>
        </w:tc>
      </w:tr>
      <w:tr w:rsidR="00D11E31" w:rsidRPr="00CF1FBF" w:rsidTr="003743A5">
        <w:tc>
          <w:tcPr>
            <w:tcW w:w="4355" w:type="pct"/>
          </w:tcPr>
          <w:p w:rsidR="00D11E31" w:rsidRDefault="00F308E9" w:rsidP="003743A5">
            <w:pPr>
              <w:pStyle w:val="TableBodyText"/>
              <w:ind w:left="340" w:hanging="340"/>
              <w:jc w:val="left"/>
            </w:pPr>
            <w:r>
              <w:t>B</w:t>
            </w:r>
            <w:r w:rsidR="00D11E31">
              <w:t xml:space="preserve">. </w:t>
            </w:r>
            <w:r w:rsidR="00D11E31">
              <w:tab/>
              <w:t>Halve the gap for Indigenous students in reading, writing and numeracy within a decade</w:t>
            </w:r>
            <w:r w:rsidR="00D11E31" w:rsidRPr="00FD1487">
              <w:t>.</w:t>
            </w:r>
          </w:p>
          <w:p w:rsidR="00D11E31" w:rsidRPr="00FD1487" w:rsidRDefault="00D11E31" w:rsidP="003743A5">
            <w:pPr>
              <w:pStyle w:val="TableBodyText"/>
              <w:jc w:val="left"/>
            </w:pPr>
          </w:p>
        </w:tc>
        <w:tc>
          <w:tcPr>
            <w:tcW w:w="645" w:type="pct"/>
          </w:tcPr>
          <w:p w:rsidR="00D11E31" w:rsidRPr="00E50FFA" w:rsidRDefault="00F308E9" w:rsidP="003743A5">
            <w:pPr>
              <w:pStyle w:val="TableBodyText"/>
            </w:pPr>
            <w:r>
              <w:fldChar w:fldCharType="begin"/>
            </w:r>
            <w:r>
              <w:instrText xml:space="preserve"> PAGEREF _Ref325636660 \h </w:instrText>
            </w:r>
            <w:r>
              <w:fldChar w:fldCharType="separate"/>
            </w:r>
            <w:r w:rsidR="007076BB">
              <w:rPr>
                <w:noProof/>
              </w:rPr>
              <w:t>339</w:t>
            </w:r>
            <w:r>
              <w:fldChar w:fldCharType="end"/>
            </w:r>
          </w:p>
        </w:tc>
      </w:tr>
      <w:tr w:rsidR="00D11E31" w:rsidRPr="00CF1FBF" w:rsidTr="003743A5">
        <w:tc>
          <w:tcPr>
            <w:tcW w:w="4355" w:type="pct"/>
            <w:tcBorders>
              <w:bottom w:val="single" w:sz="4" w:space="0" w:color="auto"/>
            </w:tcBorders>
          </w:tcPr>
          <w:p w:rsidR="00D11E31" w:rsidRDefault="00F308E9" w:rsidP="003743A5">
            <w:pPr>
              <w:pStyle w:val="TableBodyText"/>
              <w:ind w:left="346" w:hanging="340"/>
              <w:jc w:val="left"/>
            </w:pPr>
            <w:r>
              <w:t>C</w:t>
            </w:r>
            <w:r w:rsidR="00D11E31">
              <w:t>.</w:t>
            </w:r>
            <w:r w:rsidR="00D11E31">
              <w:tab/>
              <w:t>At least halve the gap for Indigenous students in Year 12 or equivalent attainment rates by 2020.</w:t>
            </w:r>
          </w:p>
          <w:p w:rsidR="00D11E31" w:rsidRDefault="00D11E31" w:rsidP="003743A5">
            <w:pPr>
              <w:pStyle w:val="TableBodyText"/>
              <w:jc w:val="left"/>
            </w:pPr>
          </w:p>
        </w:tc>
        <w:tc>
          <w:tcPr>
            <w:tcW w:w="645" w:type="pct"/>
            <w:tcBorders>
              <w:bottom w:val="single" w:sz="4" w:space="0" w:color="auto"/>
            </w:tcBorders>
          </w:tcPr>
          <w:p w:rsidR="00D11E31" w:rsidRPr="00E50FFA" w:rsidRDefault="00D11E31" w:rsidP="003743A5">
            <w:pPr>
              <w:pStyle w:val="TableBodyText"/>
            </w:pPr>
            <w:r>
              <w:t>..</w:t>
            </w:r>
          </w:p>
        </w:tc>
      </w:tr>
    </w:tbl>
    <w:p w:rsidR="00D11E31" w:rsidRDefault="00D11E31" w:rsidP="00D11E31">
      <w:pPr>
        <w:pStyle w:val="Note"/>
      </w:pPr>
      <w:r w:rsidRPr="0011526C">
        <w:rPr>
          <w:rStyle w:val="NoteLabel"/>
        </w:rPr>
        <w:t>a</w:t>
      </w:r>
      <w:r>
        <w:t xml:space="preserve"> The wording of the performance targets presented in this table refer to performance targets in the NEA (COAG </w:t>
      </w:r>
      <w:proofErr w:type="spellStart"/>
      <w:r>
        <w:t>2009d</w:t>
      </w:r>
      <w:proofErr w:type="spellEnd"/>
      <w:r>
        <w:t>). This does not necessarily reflect the measures used</w:t>
      </w:r>
      <w:r w:rsidR="00712F6B">
        <w:t xml:space="preserve"> to report against the targets.</w:t>
      </w:r>
    </w:p>
    <w:p w:rsidR="00D11E31" w:rsidRDefault="00D11E31" w:rsidP="00D11E31">
      <w:pPr>
        <w:pStyle w:val="Note"/>
      </w:pPr>
      <w:r>
        <w:t>.. Not applicable as new data not available for this report.</w:t>
      </w:r>
    </w:p>
    <w:p w:rsidR="00D11E31" w:rsidRPr="0011526C" w:rsidRDefault="00D11E31" w:rsidP="00D11E31">
      <w:pPr>
        <w:pStyle w:val="TableTitle"/>
      </w:pPr>
      <w:r>
        <w:br w:type="page"/>
      </w:r>
      <w:r>
        <w:rPr>
          <w:b w:val="0"/>
        </w:rPr>
        <w:lastRenderedPageBreak/>
        <w:t xml:space="preserve">Table </w:t>
      </w:r>
      <w:bookmarkStart w:id="36" w:name="OLE_LINK18"/>
      <w:r>
        <w:rPr>
          <w:b w:val="0"/>
        </w:rPr>
        <w:fldChar w:fldCharType="begin"/>
      </w:r>
      <w:r>
        <w:rPr>
          <w:b w:val="0"/>
        </w:rPr>
        <w:instrText xml:space="preserve"> SEQ Table \* ARABIC </w:instrText>
      </w:r>
      <w:r>
        <w:rPr>
          <w:b w:val="0"/>
        </w:rPr>
        <w:fldChar w:fldCharType="separate"/>
      </w:r>
      <w:r w:rsidR="00936B93">
        <w:rPr>
          <w:b w:val="0"/>
          <w:noProof/>
        </w:rPr>
        <w:t>12</w:t>
      </w:r>
      <w:r>
        <w:rPr>
          <w:b w:val="0"/>
        </w:rPr>
        <w:fldChar w:fldCharType="end"/>
      </w:r>
      <w:bookmarkEnd w:id="36"/>
      <w:r>
        <w:tab/>
        <w:t xml:space="preserve">Data Quality Statements for performance indicators in the National Education </w:t>
      </w:r>
      <w:r w:rsidRPr="0011526C">
        <w:t>Agreement</w:t>
      </w:r>
      <w:r w:rsidRPr="0011526C">
        <w:rPr>
          <w:rStyle w:val="NoteLabel"/>
        </w:rPr>
        <w:t>a</w:t>
      </w:r>
    </w:p>
    <w:tbl>
      <w:tblPr>
        <w:tblW w:w="5000" w:type="pct"/>
        <w:tblCellMar>
          <w:left w:w="0" w:type="dxa"/>
          <w:right w:w="0" w:type="dxa"/>
        </w:tblCellMar>
        <w:tblLook w:val="0000" w:firstRow="0" w:lastRow="0" w:firstColumn="0" w:lastColumn="0" w:noHBand="0" w:noVBand="0"/>
      </w:tblPr>
      <w:tblGrid>
        <w:gridCol w:w="7655"/>
        <w:gridCol w:w="1134"/>
      </w:tblGrid>
      <w:tr w:rsidR="00D11E31" w:rsidRPr="00CF1FBF" w:rsidTr="003743A5">
        <w:tc>
          <w:tcPr>
            <w:tcW w:w="4355" w:type="pct"/>
            <w:tcBorders>
              <w:top w:val="single" w:sz="6" w:space="0" w:color="auto"/>
              <w:bottom w:val="single" w:sz="6" w:space="0" w:color="auto"/>
            </w:tcBorders>
            <w:shd w:val="clear" w:color="auto" w:fill="auto"/>
          </w:tcPr>
          <w:p w:rsidR="00D11E31" w:rsidRPr="00CF1FBF" w:rsidRDefault="00D11E31" w:rsidP="003743A5">
            <w:pPr>
              <w:pStyle w:val="TableColumnHeading"/>
              <w:jc w:val="left"/>
            </w:pPr>
            <w:r>
              <w:t>Performance indicator</w:t>
            </w:r>
          </w:p>
        </w:tc>
        <w:tc>
          <w:tcPr>
            <w:tcW w:w="645" w:type="pct"/>
            <w:tcBorders>
              <w:top w:val="single" w:sz="6" w:space="0" w:color="auto"/>
              <w:bottom w:val="single" w:sz="6" w:space="0" w:color="auto"/>
            </w:tcBorders>
            <w:shd w:val="clear" w:color="auto" w:fill="auto"/>
          </w:tcPr>
          <w:p w:rsidR="00D11E31" w:rsidRPr="00E50FFA" w:rsidRDefault="00D11E31" w:rsidP="003743A5">
            <w:pPr>
              <w:pStyle w:val="TableColumnHeading"/>
            </w:pPr>
            <w:r w:rsidRPr="00E50FFA">
              <w:t>Page no. in this report</w:t>
            </w:r>
          </w:p>
        </w:tc>
      </w:tr>
      <w:tr w:rsidR="00D11E31" w:rsidRPr="00CF1FBF" w:rsidTr="003743A5">
        <w:tc>
          <w:tcPr>
            <w:tcW w:w="4355" w:type="pct"/>
          </w:tcPr>
          <w:p w:rsidR="00D11E31" w:rsidRDefault="00D11E31" w:rsidP="003743A5">
            <w:pPr>
              <w:pStyle w:val="TableBodyText"/>
              <w:ind w:left="340" w:hanging="340"/>
              <w:jc w:val="left"/>
            </w:pPr>
            <w:r>
              <w:t xml:space="preserve">1. </w:t>
            </w:r>
            <w:r>
              <w:tab/>
            </w:r>
            <w:r w:rsidRPr="00FD1487">
              <w:t xml:space="preserve">The proportion of </w:t>
            </w:r>
            <w:r>
              <w:t>children (1) enrolled in and (2) attending school</w:t>
            </w:r>
            <w:r w:rsidRPr="00FD1487">
              <w:t>.</w:t>
            </w:r>
          </w:p>
          <w:p w:rsidR="00D11E31" w:rsidRPr="00FD1487" w:rsidRDefault="00D11E31" w:rsidP="003743A5">
            <w:pPr>
              <w:pStyle w:val="TableBodyText"/>
              <w:jc w:val="left"/>
            </w:pPr>
          </w:p>
        </w:tc>
        <w:tc>
          <w:tcPr>
            <w:tcW w:w="645" w:type="pct"/>
          </w:tcPr>
          <w:p w:rsidR="00D11E31" w:rsidRPr="00E50FFA" w:rsidRDefault="00F308E9" w:rsidP="003743A5">
            <w:pPr>
              <w:pStyle w:val="TableBodyText"/>
            </w:pPr>
            <w:r>
              <w:fldChar w:fldCharType="begin"/>
            </w:r>
            <w:r>
              <w:instrText xml:space="preserve"> PAGEREF _Ref325636886 \h </w:instrText>
            </w:r>
            <w:r>
              <w:fldChar w:fldCharType="separate"/>
            </w:r>
            <w:r w:rsidR="007076BB">
              <w:rPr>
                <w:noProof/>
              </w:rPr>
              <w:t>333</w:t>
            </w:r>
            <w:r>
              <w:fldChar w:fldCharType="end"/>
            </w:r>
            <w:r>
              <w:t xml:space="preserve">, </w:t>
            </w:r>
            <w:r>
              <w:fldChar w:fldCharType="begin"/>
            </w:r>
            <w:r>
              <w:instrText xml:space="preserve"> PAGEREF _Ref325636660 \h </w:instrText>
            </w:r>
            <w:r>
              <w:fldChar w:fldCharType="separate"/>
            </w:r>
            <w:r w:rsidR="007076BB">
              <w:rPr>
                <w:noProof/>
              </w:rPr>
              <w:t>339</w:t>
            </w:r>
            <w:r>
              <w:fldChar w:fldCharType="end"/>
            </w:r>
          </w:p>
        </w:tc>
      </w:tr>
      <w:tr w:rsidR="00D11E31" w:rsidRPr="00CF1FBF" w:rsidTr="003743A5">
        <w:tc>
          <w:tcPr>
            <w:tcW w:w="4355" w:type="pct"/>
          </w:tcPr>
          <w:p w:rsidR="00D11E31" w:rsidRDefault="00D11E31" w:rsidP="003743A5">
            <w:pPr>
              <w:pStyle w:val="TableBodyText"/>
              <w:ind w:left="340" w:hanging="340"/>
              <w:jc w:val="left"/>
            </w:pPr>
            <w:r>
              <w:t xml:space="preserve">2. </w:t>
            </w:r>
            <w:r>
              <w:tab/>
            </w:r>
            <w:r w:rsidRPr="00FD1487">
              <w:t>The proportion of Indigenous and low SES children (1)</w:t>
            </w:r>
            <w:r>
              <w:t xml:space="preserve"> enrolled in and </w:t>
            </w:r>
            <w:r>
              <w:br/>
              <w:t xml:space="preserve">(2) </w:t>
            </w:r>
            <w:r w:rsidRPr="00FD1487">
              <w:t>attending school.</w:t>
            </w:r>
          </w:p>
          <w:p w:rsidR="00D11E31" w:rsidRPr="00FD1487" w:rsidRDefault="00D11E31" w:rsidP="003743A5">
            <w:pPr>
              <w:pStyle w:val="TableBodyText"/>
              <w:jc w:val="left"/>
            </w:pPr>
          </w:p>
        </w:tc>
        <w:tc>
          <w:tcPr>
            <w:tcW w:w="645" w:type="pct"/>
          </w:tcPr>
          <w:p w:rsidR="00D11E31" w:rsidRPr="00E50FFA" w:rsidRDefault="00F308E9" w:rsidP="003743A5">
            <w:pPr>
              <w:pStyle w:val="TableBodyText"/>
            </w:pPr>
            <w:r>
              <w:fldChar w:fldCharType="begin"/>
            </w:r>
            <w:r>
              <w:instrText xml:space="preserve"> PAGEREF _Ref325636898 \h </w:instrText>
            </w:r>
            <w:r>
              <w:fldChar w:fldCharType="separate"/>
            </w:r>
            <w:r w:rsidR="007076BB">
              <w:rPr>
                <w:noProof/>
              </w:rPr>
              <w:t>336</w:t>
            </w:r>
            <w:r>
              <w:fldChar w:fldCharType="end"/>
            </w:r>
            <w:r>
              <w:t xml:space="preserve">, </w:t>
            </w:r>
            <w:r>
              <w:fldChar w:fldCharType="begin"/>
            </w:r>
            <w:r>
              <w:instrText xml:space="preserve"> PAGEREF _Ref325636660 \h </w:instrText>
            </w:r>
            <w:r>
              <w:fldChar w:fldCharType="separate"/>
            </w:r>
            <w:r w:rsidR="007076BB">
              <w:rPr>
                <w:noProof/>
              </w:rPr>
              <w:t>339</w:t>
            </w:r>
            <w:r>
              <w:fldChar w:fldCharType="end"/>
            </w:r>
          </w:p>
        </w:tc>
      </w:tr>
      <w:tr w:rsidR="00D11E31" w:rsidRPr="00CF1FBF" w:rsidTr="003743A5">
        <w:tc>
          <w:tcPr>
            <w:tcW w:w="4355" w:type="pct"/>
          </w:tcPr>
          <w:p w:rsidR="00D11E31" w:rsidRDefault="0006175B" w:rsidP="003743A5">
            <w:pPr>
              <w:pStyle w:val="TableBodyText"/>
              <w:ind w:left="360" w:hanging="354"/>
              <w:jc w:val="left"/>
            </w:pPr>
            <w:r>
              <w:t xml:space="preserve">3. </w:t>
            </w:r>
            <w:r>
              <w:tab/>
            </w:r>
            <w:r w:rsidR="00D11E31" w:rsidRPr="009C7E67">
              <w:t>The proportion of Indigen</w:t>
            </w:r>
            <w:r w:rsidR="00D11E31">
              <w:t>ous students completing year 10</w:t>
            </w:r>
            <w:r w:rsidR="00D11E31" w:rsidRPr="009E6D98">
              <w:t>.</w:t>
            </w:r>
          </w:p>
          <w:p w:rsidR="00D11E31" w:rsidRDefault="00D11E31" w:rsidP="003743A5">
            <w:pPr>
              <w:pStyle w:val="TableBodyText"/>
              <w:jc w:val="left"/>
            </w:pPr>
          </w:p>
        </w:tc>
        <w:tc>
          <w:tcPr>
            <w:tcW w:w="645" w:type="pct"/>
          </w:tcPr>
          <w:p w:rsidR="00D11E31" w:rsidRPr="00E50FFA" w:rsidRDefault="00F308E9" w:rsidP="00F308E9">
            <w:pPr>
              <w:pStyle w:val="TableBodyText"/>
            </w:pPr>
            <w:r>
              <w:t>..</w:t>
            </w:r>
          </w:p>
        </w:tc>
      </w:tr>
      <w:tr w:rsidR="00D11E31" w:rsidRPr="00CF1FBF" w:rsidTr="003743A5">
        <w:tc>
          <w:tcPr>
            <w:tcW w:w="4355" w:type="pct"/>
          </w:tcPr>
          <w:p w:rsidR="00D11E31" w:rsidRDefault="00D11E31" w:rsidP="003743A5">
            <w:pPr>
              <w:pStyle w:val="TableBodyText"/>
              <w:ind w:left="346" w:hanging="340"/>
              <w:jc w:val="left"/>
            </w:pPr>
            <w:r>
              <w:t>4.</w:t>
            </w:r>
            <w:r>
              <w:tab/>
            </w:r>
            <w:r w:rsidRPr="00AD1ACE">
              <w:t xml:space="preserve">Literacy and numeracy achievement of </w:t>
            </w:r>
            <w:r>
              <w:t>y</w:t>
            </w:r>
            <w:r w:rsidRPr="00AD1ACE">
              <w:t xml:space="preserve">ear 3, 5, 7 and 9 students in </w:t>
            </w:r>
            <w:r w:rsidRPr="00FF4BB3">
              <w:t>national testing</w:t>
            </w:r>
            <w:r>
              <w:t>.</w:t>
            </w:r>
          </w:p>
          <w:p w:rsidR="00D11E31" w:rsidRDefault="00D11E31" w:rsidP="003743A5">
            <w:pPr>
              <w:pStyle w:val="TableBodyText"/>
              <w:jc w:val="left"/>
            </w:pPr>
          </w:p>
        </w:tc>
        <w:tc>
          <w:tcPr>
            <w:tcW w:w="645" w:type="pct"/>
          </w:tcPr>
          <w:p w:rsidR="00D11E31" w:rsidRPr="00E50FFA" w:rsidRDefault="00F308E9" w:rsidP="00F308E9">
            <w:pPr>
              <w:pStyle w:val="TableBodyText"/>
            </w:pPr>
            <w:r>
              <w:fldChar w:fldCharType="begin"/>
            </w:r>
            <w:r>
              <w:instrText xml:space="preserve"> PAGEREF _Ref325636660 \h </w:instrText>
            </w:r>
            <w:r>
              <w:fldChar w:fldCharType="separate"/>
            </w:r>
            <w:r w:rsidR="007076BB">
              <w:rPr>
                <w:noProof/>
              </w:rPr>
              <w:t>339</w:t>
            </w:r>
            <w:r>
              <w:fldChar w:fldCharType="end"/>
            </w:r>
          </w:p>
        </w:tc>
      </w:tr>
      <w:tr w:rsidR="00D11E31" w:rsidRPr="00CF1FBF" w:rsidTr="003743A5">
        <w:tc>
          <w:tcPr>
            <w:tcW w:w="4355" w:type="pct"/>
          </w:tcPr>
          <w:p w:rsidR="00D11E31" w:rsidRDefault="00D11E31" w:rsidP="003743A5">
            <w:pPr>
              <w:pStyle w:val="TableBodyText"/>
              <w:ind w:left="346" w:hanging="340"/>
              <w:jc w:val="left"/>
            </w:pPr>
            <w:r>
              <w:t>5.</w:t>
            </w:r>
            <w:r w:rsidRPr="009E6D98">
              <w:t xml:space="preserve"> </w:t>
            </w:r>
            <w:r>
              <w:tab/>
            </w:r>
            <w:r w:rsidRPr="009E6D98">
              <w:t>Litera</w:t>
            </w:r>
            <w:r>
              <w:t>cy and numeracy achievement of y</w:t>
            </w:r>
            <w:r w:rsidRPr="009E6D98">
              <w:t>ear 3, 5, 7 and 9 Indigenous and low SES students in national testing.</w:t>
            </w:r>
          </w:p>
          <w:p w:rsidR="00D11E31" w:rsidRDefault="00D11E31" w:rsidP="003743A5">
            <w:pPr>
              <w:pStyle w:val="TableBodyText"/>
              <w:jc w:val="left"/>
            </w:pPr>
          </w:p>
        </w:tc>
        <w:tc>
          <w:tcPr>
            <w:tcW w:w="645" w:type="pct"/>
          </w:tcPr>
          <w:p w:rsidR="00D11E31" w:rsidRPr="00E50FFA" w:rsidRDefault="00F308E9" w:rsidP="003743A5">
            <w:pPr>
              <w:pStyle w:val="TableBodyText"/>
            </w:pPr>
            <w:r>
              <w:fldChar w:fldCharType="begin"/>
            </w:r>
            <w:r>
              <w:instrText xml:space="preserve"> PAGEREF _Ref325636660 \h </w:instrText>
            </w:r>
            <w:r>
              <w:fldChar w:fldCharType="separate"/>
            </w:r>
            <w:r w:rsidR="007076BB">
              <w:rPr>
                <w:noProof/>
              </w:rPr>
              <w:t>339</w:t>
            </w:r>
            <w:r>
              <w:fldChar w:fldCharType="end"/>
            </w:r>
          </w:p>
        </w:tc>
      </w:tr>
      <w:tr w:rsidR="00D11E31" w:rsidRPr="00CF1FBF" w:rsidTr="003743A5">
        <w:tc>
          <w:tcPr>
            <w:tcW w:w="4355" w:type="pct"/>
          </w:tcPr>
          <w:p w:rsidR="00D11E31" w:rsidRDefault="00D11E31" w:rsidP="003743A5">
            <w:pPr>
              <w:pStyle w:val="TableBodyText"/>
              <w:ind w:left="346" w:hanging="340"/>
              <w:jc w:val="left"/>
            </w:pPr>
            <w:r>
              <w:t>6.</w:t>
            </w:r>
            <w:r w:rsidRPr="00417FEC">
              <w:t xml:space="preserve"> </w:t>
            </w:r>
            <w:r>
              <w:tab/>
            </w:r>
            <w:r w:rsidRPr="00417FEC">
              <w:t>The proportion of students in the bottom and top levels of performance in international testing (for example</w:t>
            </w:r>
            <w:r>
              <w:t>,</w:t>
            </w:r>
            <w:r w:rsidRPr="00417FEC">
              <w:t xml:space="preserve"> </w:t>
            </w:r>
            <w:r>
              <w:t>Program for International Student Assessment (PISA)</w:t>
            </w:r>
            <w:r w:rsidRPr="00417FEC">
              <w:t xml:space="preserve">, </w:t>
            </w:r>
            <w:r>
              <w:t>Trends in International Mathematics and Science Study (TIMSS)</w:t>
            </w:r>
            <w:r w:rsidRPr="00417FEC">
              <w:t>)</w:t>
            </w:r>
          </w:p>
          <w:p w:rsidR="00D11E31" w:rsidRDefault="00D11E31" w:rsidP="003743A5">
            <w:pPr>
              <w:pStyle w:val="TableBodyText"/>
              <w:jc w:val="left"/>
            </w:pPr>
          </w:p>
        </w:tc>
        <w:tc>
          <w:tcPr>
            <w:tcW w:w="645" w:type="pct"/>
          </w:tcPr>
          <w:p w:rsidR="00D11E31" w:rsidRPr="00E50FFA" w:rsidRDefault="00F308E9" w:rsidP="003743A5">
            <w:pPr>
              <w:pStyle w:val="TableBodyText"/>
            </w:pPr>
            <w:r>
              <w:t>..</w:t>
            </w:r>
          </w:p>
        </w:tc>
      </w:tr>
      <w:tr w:rsidR="00D11E31" w:rsidRPr="00CF1FBF" w:rsidTr="003743A5">
        <w:tc>
          <w:tcPr>
            <w:tcW w:w="4355" w:type="pct"/>
          </w:tcPr>
          <w:p w:rsidR="00D11E31" w:rsidRDefault="00D11E31" w:rsidP="003743A5">
            <w:pPr>
              <w:pStyle w:val="TableBodyText"/>
              <w:ind w:left="346" w:hanging="340"/>
              <w:jc w:val="left"/>
            </w:pPr>
            <w:r>
              <w:t>7.</w:t>
            </w:r>
            <w:r w:rsidRPr="00C47608">
              <w:t xml:space="preserve"> </w:t>
            </w:r>
            <w:r>
              <w:tab/>
            </w:r>
            <w:r w:rsidRPr="00C47608">
              <w:t xml:space="preserve">The proportion of the </w:t>
            </w:r>
            <w:r>
              <w:t>20 to 24</w:t>
            </w:r>
            <w:r w:rsidRPr="00C47608">
              <w:t xml:space="preserve"> year old population having attained at least a year 12 or equivalent </w:t>
            </w:r>
            <w:r>
              <w:t xml:space="preserve">or </w:t>
            </w:r>
            <w:proofErr w:type="spellStart"/>
            <w:r w:rsidRPr="00C47608">
              <w:t>AQF</w:t>
            </w:r>
            <w:proofErr w:type="spellEnd"/>
            <w:r w:rsidRPr="00C47608">
              <w:t xml:space="preserve"> Certificate II</w:t>
            </w:r>
            <w:r>
              <w:t>.</w:t>
            </w:r>
          </w:p>
          <w:p w:rsidR="00D11E31" w:rsidRDefault="00D11E31" w:rsidP="003743A5">
            <w:pPr>
              <w:pStyle w:val="TableBodyText"/>
              <w:jc w:val="left"/>
            </w:pPr>
          </w:p>
        </w:tc>
        <w:tc>
          <w:tcPr>
            <w:tcW w:w="645" w:type="pct"/>
          </w:tcPr>
          <w:p w:rsidR="00D11E31" w:rsidRPr="00E50FFA" w:rsidRDefault="00F308E9" w:rsidP="003743A5">
            <w:pPr>
              <w:pStyle w:val="TableBodyText"/>
            </w:pPr>
            <w:r>
              <w:fldChar w:fldCharType="begin"/>
            </w:r>
            <w:r>
              <w:instrText xml:space="preserve"> PAGEREF _Ref325636956 \h </w:instrText>
            </w:r>
            <w:r>
              <w:fldChar w:fldCharType="separate"/>
            </w:r>
            <w:r w:rsidR="007076BB">
              <w:rPr>
                <w:noProof/>
              </w:rPr>
              <w:t>342</w:t>
            </w:r>
            <w:r>
              <w:fldChar w:fldCharType="end"/>
            </w:r>
            <w:r w:rsidR="003214A4">
              <w:t xml:space="preserve">, </w:t>
            </w:r>
            <w:r w:rsidR="007076BB">
              <w:fldChar w:fldCharType="begin"/>
            </w:r>
            <w:r w:rsidR="007076BB">
              <w:instrText xml:space="preserve"> PAGEREF _Ref328395671 </w:instrText>
            </w:r>
            <w:r w:rsidR="007076BB">
              <w:fldChar w:fldCharType="separate"/>
            </w:r>
            <w:r w:rsidR="007076BB">
              <w:rPr>
                <w:noProof/>
              </w:rPr>
              <w:t>352</w:t>
            </w:r>
            <w:r w:rsidR="007076BB">
              <w:rPr>
                <w:noProof/>
              </w:rPr>
              <w:fldChar w:fldCharType="end"/>
            </w:r>
          </w:p>
        </w:tc>
      </w:tr>
      <w:tr w:rsidR="00D11E31" w:rsidRPr="00CF1FBF" w:rsidTr="003743A5">
        <w:tc>
          <w:tcPr>
            <w:tcW w:w="4355" w:type="pct"/>
          </w:tcPr>
          <w:p w:rsidR="00D11E31" w:rsidRDefault="00D11E31" w:rsidP="003743A5">
            <w:pPr>
              <w:pStyle w:val="TableBodyText"/>
              <w:ind w:left="346" w:hanging="340"/>
              <w:jc w:val="left"/>
            </w:pPr>
            <w:r>
              <w:t>8.</w:t>
            </w:r>
            <w:r w:rsidRPr="001D32FC">
              <w:t xml:space="preserve"> </w:t>
            </w:r>
            <w:r>
              <w:tab/>
            </w:r>
            <w:r w:rsidRPr="001D32FC">
              <w:t xml:space="preserve">The proportion of the </w:t>
            </w:r>
            <w:r>
              <w:t>20 to 24</w:t>
            </w:r>
            <w:r w:rsidRPr="001D32FC">
              <w:t xml:space="preserve"> year old Indigenous and low SES population having attained at least a Year</w:t>
            </w:r>
            <w:r>
              <w:t xml:space="preserve"> 12 Certificate or equivalent or</w:t>
            </w:r>
            <w:r w:rsidRPr="001D32FC">
              <w:t xml:space="preserve"> </w:t>
            </w:r>
            <w:proofErr w:type="spellStart"/>
            <w:r>
              <w:t>AQF</w:t>
            </w:r>
            <w:proofErr w:type="spellEnd"/>
            <w:r>
              <w:t xml:space="preserve"> Certificate II</w:t>
            </w:r>
            <w:r w:rsidRPr="009E6D98">
              <w:t>.</w:t>
            </w:r>
          </w:p>
          <w:p w:rsidR="00D11E31" w:rsidRDefault="00D11E31" w:rsidP="003743A5">
            <w:pPr>
              <w:pStyle w:val="TableBodyText"/>
              <w:jc w:val="left"/>
            </w:pPr>
          </w:p>
        </w:tc>
        <w:tc>
          <w:tcPr>
            <w:tcW w:w="645" w:type="pct"/>
          </w:tcPr>
          <w:p w:rsidR="00D11E31" w:rsidRPr="00E50FFA" w:rsidRDefault="00F308E9" w:rsidP="003743A5">
            <w:pPr>
              <w:pStyle w:val="TableBodyText"/>
            </w:pPr>
            <w:r>
              <w:fldChar w:fldCharType="begin"/>
            </w:r>
            <w:r>
              <w:instrText xml:space="preserve"> PAGEREF _Ref325636961 \h </w:instrText>
            </w:r>
            <w:r>
              <w:fldChar w:fldCharType="separate"/>
            </w:r>
            <w:r w:rsidR="007076BB">
              <w:rPr>
                <w:noProof/>
              </w:rPr>
              <w:t>344</w:t>
            </w:r>
            <w:r>
              <w:fldChar w:fldCharType="end"/>
            </w:r>
            <w:r w:rsidR="003214A4">
              <w:t xml:space="preserve">, </w:t>
            </w:r>
            <w:r w:rsidR="007076BB">
              <w:fldChar w:fldCharType="begin"/>
            </w:r>
            <w:r w:rsidR="007076BB">
              <w:instrText xml:space="preserve"> PAGEREF _Ref328395671 </w:instrText>
            </w:r>
            <w:r w:rsidR="007076BB">
              <w:fldChar w:fldCharType="separate"/>
            </w:r>
            <w:r w:rsidR="007076BB">
              <w:rPr>
                <w:noProof/>
              </w:rPr>
              <w:t>352</w:t>
            </w:r>
            <w:r w:rsidR="007076BB">
              <w:rPr>
                <w:noProof/>
              </w:rPr>
              <w:fldChar w:fldCharType="end"/>
            </w:r>
          </w:p>
        </w:tc>
      </w:tr>
      <w:tr w:rsidR="00D11E31" w:rsidRPr="00CF1FBF" w:rsidTr="003743A5">
        <w:tc>
          <w:tcPr>
            <w:tcW w:w="4355" w:type="pct"/>
          </w:tcPr>
          <w:p w:rsidR="00D11E31" w:rsidRDefault="00D11E31" w:rsidP="003743A5">
            <w:pPr>
              <w:pStyle w:val="TableBodyText"/>
              <w:ind w:left="346" w:hanging="340"/>
              <w:jc w:val="left"/>
            </w:pPr>
            <w:r>
              <w:t>9.</w:t>
            </w:r>
            <w:r w:rsidRPr="001D0758">
              <w:t xml:space="preserve"> </w:t>
            </w:r>
            <w:r>
              <w:tab/>
            </w:r>
            <w:r w:rsidRPr="001D0758">
              <w:t>The proportion of young people participating in post-school education or training six months after school.</w:t>
            </w:r>
          </w:p>
          <w:p w:rsidR="00D11E31" w:rsidRDefault="00D11E31" w:rsidP="003743A5">
            <w:pPr>
              <w:pStyle w:val="TableBodyText"/>
              <w:jc w:val="left"/>
            </w:pPr>
          </w:p>
        </w:tc>
        <w:tc>
          <w:tcPr>
            <w:tcW w:w="645" w:type="pct"/>
          </w:tcPr>
          <w:p w:rsidR="00D11E31" w:rsidRPr="00E50FFA" w:rsidRDefault="00F308E9" w:rsidP="003743A5">
            <w:pPr>
              <w:pStyle w:val="TableBodyText"/>
            </w:pPr>
            <w:r>
              <w:fldChar w:fldCharType="begin"/>
            </w:r>
            <w:r>
              <w:instrText xml:space="preserve"> PAGEREF _Ref325636965 \h </w:instrText>
            </w:r>
            <w:r>
              <w:fldChar w:fldCharType="separate"/>
            </w:r>
            <w:r w:rsidR="007076BB">
              <w:rPr>
                <w:noProof/>
              </w:rPr>
              <w:t>347</w:t>
            </w:r>
            <w:r>
              <w:fldChar w:fldCharType="end"/>
            </w:r>
            <w:r w:rsidR="003214A4">
              <w:t xml:space="preserve">, </w:t>
            </w:r>
            <w:r w:rsidR="007076BB">
              <w:fldChar w:fldCharType="begin"/>
            </w:r>
            <w:r w:rsidR="007076BB">
              <w:instrText xml:space="preserve"> PAGEREF _Ref328395671 </w:instrText>
            </w:r>
            <w:r w:rsidR="007076BB">
              <w:fldChar w:fldCharType="separate"/>
            </w:r>
            <w:r w:rsidR="007076BB">
              <w:rPr>
                <w:noProof/>
              </w:rPr>
              <w:t>352</w:t>
            </w:r>
            <w:r w:rsidR="007076BB">
              <w:rPr>
                <w:noProof/>
              </w:rPr>
              <w:fldChar w:fldCharType="end"/>
            </w:r>
          </w:p>
        </w:tc>
      </w:tr>
      <w:tr w:rsidR="00D11E31" w:rsidRPr="00CF1FBF" w:rsidTr="003743A5">
        <w:tc>
          <w:tcPr>
            <w:tcW w:w="4355" w:type="pct"/>
            <w:tcBorders>
              <w:bottom w:val="single" w:sz="6" w:space="0" w:color="auto"/>
            </w:tcBorders>
            <w:shd w:val="clear" w:color="auto" w:fill="auto"/>
          </w:tcPr>
          <w:p w:rsidR="00D11E31" w:rsidRDefault="00D11E31" w:rsidP="003743A5">
            <w:pPr>
              <w:pStyle w:val="TableBodyText"/>
              <w:ind w:left="346" w:hanging="340"/>
              <w:jc w:val="left"/>
            </w:pPr>
            <w:r>
              <w:t xml:space="preserve">10. </w:t>
            </w:r>
            <w:r w:rsidRPr="009A298F">
              <w:t xml:space="preserve">The proportion of 18 </w:t>
            </w:r>
            <w:r>
              <w:t xml:space="preserve">to 24 year olds engaged in full </w:t>
            </w:r>
            <w:r w:rsidRPr="009A298F">
              <w:t>time employment, education or training at or above Certificate III.</w:t>
            </w:r>
          </w:p>
          <w:p w:rsidR="00D11E31" w:rsidRDefault="00D11E31" w:rsidP="003743A5">
            <w:pPr>
              <w:pStyle w:val="TableBodyText"/>
              <w:jc w:val="left"/>
            </w:pPr>
          </w:p>
        </w:tc>
        <w:tc>
          <w:tcPr>
            <w:tcW w:w="645" w:type="pct"/>
            <w:tcBorders>
              <w:bottom w:val="single" w:sz="6" w:space="0" w:color="auto"/>
            </w:tcBorders>
            <w:shd w:val="clear" w:color="auto" w:fill="auto"/>
          </w:tcPr>
          <w:p w:rsidR="00D11E31" w:rsidRPr="00E50FFA" w:rsidRDefault="00F308E9" w:rsidP="003743A5">
            <w:pPr>
              <w:pStyle w:val="TableBodyText"/>
            </w:pPr>
            <w:r>
              <w:fldChar w:fldCharType="begin"/>
            </w:r>
            <w:r>
              <w:instrText xml:space="preserve"> PAGEREF _Ref325636968 \h </w:instrText>
            </w:r>
            <w:r>
              <w:fldChar w:fldCharType="separate"/>
            </w:r>
            <w:r w:rsidR="007076BB">
              <w:rPr>
                <w:noProof/>
              </w:rPr>
              <w:t>350</w:t>
            </w:r>
            <w:r>
              <w:fldChar w:fldCharType="end"/>
            </w:r>
            <w:r w:rsidR="003214A4">
              <w:t xml:space="preserve">, </w:t>
            </w:r>
            <w:r w:rsidR="007076BB">
              <w:fldChar w:fldCharType="begin"/>
            </w:r>
            <w:r w:rsidR="007076BB">
              <w:instrText xml:space="preserve"> PAGEREF _Ref328395671 </w:instrText>
            </w:r>
            <w:r w:rsidR="007076BB">
              <w:fldChar w:fldCharType="separate"/>
            </w:r>
            <w:r w:rsidR="007076BB">
              <w:rPr>
                <w:noProof/>
              </w:rPr>
              <w:t>352</w:t>
            </w:r>
            <w:r w:rsidR="007076BB">
              <w:rPr>
                <w:noProof/>
              </w:rPr>
              <w:fldChar w:fldCharType="end"/>
            </w:r>
          </w:p>
        </w:tc>
      </w:tr>
    </w:tbl>
    <w:p w:rsidR="00D11E31" w:rsidRDefault="00D11E31" w:rsidP="00D11E31">
      <w:pPr>
        <w:pStyle w:val="Note"/>
      </w:pPr>
      <w:r w:rsidRPr="0011526C">
        <w:rPr>
          <w:rStyle w:val="NoteLabel"/>
        </w:rPr>
        <w:t>a</w:t>
      </w:r>
      <w:r>
        <w:t xml:space="preserve"> The wording of the performance indicators presented in this table refer to performance indicators in the NEA (COAG </w:t>
      </w:r>
      <w:proofErr w:type="spellStart"/>
      <w:r>
        <w:t>2009d</w:t>
      </w:r>
      <w:proofErr w:type="spellEnd"/>
      <w:r>
        <w:t>), incorporating the CRC recommended changes endorsed by COAG in relation to the wording of indicators 7 and 8. This does not necessarily reflect the measures used to report against the indicators.</w:t>
      </w:r>
    </w:p>
    <w:p w:rsidR="00D11E31" w:rsidRPr="00712F6B" w:rsidRDefault="00D11E31" w:rsidP="00712F6B">
      <w:pPr>
        <w:pStyle w:val="Note"/>
        <w:rPr>
          <w:b/>
          <w:i/>
        </w:rPr>
      </w:pPr>
      <w:r>
        <w:t>.. Not applicable as no new data were provided for the attendance component of this indicator for this report.</w:t>
      </w:r>
    </w:p>
    <w:p w:rsidR="00D11E31" w:rsidRDefault="00D11E31" w:rsidP="00D11E31">
      <w:pPr>
        <w:pStyle w:val="TableTitle"/>
      </w:pPr>
      <w:r>
        <w:br w:type="page"/>
      </w:r>
      <w:r>
        <w:rPr>
          <w:b w:val="0"/>
        </w:rPr>
        <w:lastRenderedPageBreak/>
        <w:t xml:space="preserve">Table </w:t>
      </w:r>
      <w:bookmarkStart w:id="37" w:name="OLE_LINK20"/>
      <w:r>
        <w:rPr>
          <w:b w:val="0"/>
        </w:rPr>
        <w:fldChar w:fldCharType="begin"/>
      </w:r>
      <w:r>
        <w:rPr>
          <w:b w:val="0"/>
        </w:rPr>
        <w:instrText xml:space="preserve"> SEQ Table \* ARABIC </w:instrText>
      </w:r>
      <w:r>
        <w:rPr>
          <w:b w:val="0"/>
        </w:rPr>
        <w:fldChar w:fldCharType="separate"/>
      </w:r>
      <w:r w:rsidR="00936B93">
        <w:rPr>
          <w:b w:val="0"/>
          <w:noProof/>
        </w:rPr>
        <w:t>13</w:t>
      </w:r>
      <w:r>
        <w:rPr>
          <w:b w:val="0"/>
        </w:rPr>
        <w:fldChar w:fldCharType="end"/>
      </w:r>
      <w:bookmarkEnd w:id="37"/>
      <w:r>
        <w:tab/>
        <w:t>Data Quality Statements for related performance indicators in the National Indigenous Reform Agreement</w:t>
      </w:r>
      <w:r w:rsidRPr="0011526C">
        <w:rPr>
          <w:rStyle w:val="NoteLabel"/>
        </w:rPr>
        <w:t>a</w:t>
      </w:r>
    </w:p>
    <w:tbl>
      <w:tblPr>
        <w:tblW w:w="5000" w:type="pct"/>
        <w:tblCellMar>
          <w:left w:w="0" w:type="dxa"/>
          <w:right w:w="0" w:type="dxa"/>
        </w:tblCellMar>
        <w:tblLook w:val="0000" w:firstRow="0" w:lastRow="0" w:firstColumn="0" w:lastColumn="0" w:noHBand="0" w:noVBand="0"/>
      </w:tblPr>
      <w:tblGrid>
        <w:gridCol w:w="7513"/>
        <w:gridCol w:w="1276"/>
      </w:tblGrid>
      <w:tr w:rsidR="00D11E31" w:rsidRPr="00CF1FBF" w:rsidTr="003743A5">
        <w:tc>
          <w:tcPr>
            <w:tcW w:w="4274" w:type="pct"/>
            <w:tcBorders>
              <w:top w:val="single" w:sz="6" w:space="0" w:color="auto"/>
              <w:bottom w:val="single" w:sz="6" w:space="0" w:color="auto"/>
            </w:tcBorders>
            <w:shd w:val="clear" w:color="auto" w:fill="auto"/>
          </w:tcPr>
          <w:p w:rsidR="00D11E31" w:rsidRPr="00CF1FBF" w:rsidRDefault="00D11E31" w:rsidP="003743A5">
            <w:pPr>
              <w:pStyle w:val="TableColumnHeading"/>
              <w:jc w:val="left"/>
            </w:pPr>
            <w:r>
              <w:t>Performance indicator</w:t>
            </w:r>
          </w:p>
        </w:tc>
        <w:tc>
          <w:tcPr>
            <w:tcW w:w="726" w:type="pct"/>
            <w:tcBorders>
              <w:top w:val="single" w:sz="6" w:space="0" w:color="auto"/>
              <w:bottom w:val="single" w:sz="6" w:space="0" w:color="auto"/>
            </w:tcBorders>
            <w:shd w:val="clear" w:color="auto" w:fill="auto"/>
          </w:tcPr>
          <w:p w:rsidR="00D11E31" w:rsidRPr="00801559" w:rsidRDefault="00D11E31" w:rsidP="003743A5">
            <w:pPr>
              <w:pStyle w:val="TableColumnHeading"/>
            </w:pPr>
            <w:r w:rsidRPr="00801559">
              <w:t>Page no. in this report</w:t>
            </w:r>
          </w:p>
        </w:tc>
      </w:tr>
      <w:tr w:rsidR="00D11E31" w:rsidRPr="00CF1FBF" w:rsidTr="003743A5">
        <w:tc>
          <w:tcPr>
            <w:tcW w:w="4274" w:type="pct"/>
          </w:tcPr>
          <w:p w:rsidR="00D11E31" w:rsidRDefault="00D11E31" w:rsidP="003743A5">
            <w:pPr>
              <w:pStyle w:val="TableBodyText"/>
              <w:ind w:left="340" w:hanging="340"/>
              <w:jc w:val="left"/>
            </w:pPr>
            <w:r>
              <w:t>1</w:t>
            </w:r>
            <w:r w:rsidRPr="00FD1487">
              <w:t>1</w:t>
            </w:r>
            <w:r>
              <w:t xml:space="preserve">. </w:t>
            </w:r>
            <w:r w:rsidRPr="004050C1">
              <w:t>Percentage of students at or above the national minimum standard in reading, writing and numeracy for years 3, 5, 7, 9</w:t>
            </w:r>
          </w:p>
          <w:p w:rsidR="00D11E31" w:rsidRDefault="00D11E31" w:rsidP="003743A5">
            <w:pPr>
              <w:pStyle w:val="TableBodyText"/>
              <w:ind w:left="284" w:hanging="284"/>
              <w:jc w:val="left"/>
            </w:pPr>
          </w:p>
        </w:tc>
        <w:tc>
          <w:tcPr>
            <w:tcW w:w="726" w:type="pct"/>
          </w:tcPr>
          <w:p w:rsidR="00D11E31" w:rsidRPr="00801559" w:rsidRDefault="00F308E9" w:rsidP="003743A5">
            <w:pPr>
              <w:pStyle w:val="TableBodyText"/>
            </w:pPr>
            <w:r>
              <w:fldChar w:fldCharType="begin"/>
            </w:r>
            <w:r>
              <w:instrText xml:space="preserve"> PAGEREF _Ref325636660 \h </w:instrText>
            </w:r>
            <w:r>
              <w:fldChar w:fldCharType="separate"/>
            </w:r>
            <w:r w:rsidR="007076BB">
              <w:rPr>
                <w:noProof/>
              </w:rPr>
              <w:t>339</w:t>
            </w:r>
            <w:r>
              <w:fldChar w:fldCharType="end"/>
            </w:r>
          </w:p>
        </w:tc>
      </w:tr>
      <w:tr w:rsidR="00D11E31" w:rsidRPr="00CF1FBF" w:rsidTr="003743A5">
        <w:tc>
          <w:tcPr>
            <w:tcW w:w="4274" w:type="pct"/>
          </w:tcPr>
          <w:p w:rsidR="00D11E31" w:rsidRDefault="00D11E31" w:rsidP="003743A5">
            <w:pPr>
              <w:pStyle w:val="TableBodyText"/>
              <w:ind w:left="284" w:hanging="278"/>
              <w:jc w:val="left"/>
            </w:pPr>
            <w:r>
              <w:t>12.</w:t>
            </w:r>
            <w:r w:rsidRPr="00AD1ACE">
              <w:t xml:space="preserve"> </w:t>
            </w:r>
            <w:r>
              <w:t>Attendance rates, Year 1 to Year 10</w:t>
            </w:r>
          </w:p>
          <w:p w:rsidR="00D11E31" w:rsidRDefault="00D11E31" w:rsidP="003743A5">
            <w:pPr>
              <w:pStyle w:val="TableBodyText"/>
              <w:ind w:left="284" w:hanging="278"/>
              <w:jc w:val="left"/>
            </w:pPr>
          </w:p>
        </w:tc>
        <w:tc>
          <w:tcPr>
            <w:tcW w:w="726" w:type="pct"/>
          </w:tcPr>
          <w:p w:rsidR="00D11E31" w:rsidRPr="00801559" w:rsidRDefault="00284976" w:rsidP="003743A5">
            <w:pPr>
              <w:pStyle w:val="TableBodyText"/>
            </w:pPr>
            <w:r>
              <w:fldChar w:fldCharType="begin"/>
            </w:r>
            <w:r>
              <w:instrText xml:space="preserve"> PAGEREF _Ref325636660 \h </w:instrText>
            </w:r>
            <w:r>
              <w:fldChar w:fldCharType="separate"/>
            </w:r>
            <w:r w:rsidR="007076BB">
              <w:rPr>
                <w:noProof/>
              </w:rPr>
              <w:t>339</w:t>
            </w:r>
            <w:r>
              <w:fldChar w:fldCharType="end"/>
            </w:r>
            <w:bookmarkStart w:id="38" w:name="_GoBack"/>
            <w:bookmarkEnd w:id="38"/>
          </w:p>
        </w:tc>
      </w:tr>
      <w:tr w:rsidR="00D11E31" w:rsidRPr="00CF1FBF" w:rsidTr="003743A5">
        <w:tc>
          <w:tcPr>
            <w:tcW w:w="4274" w:type="pct"/>
            <w:tcBorders>
              <w:bottom w:val="single" w:sz="6" w:space="0" w:color="auto"/>
            </w:tcBorders>
          </w:tcPr>
          <w:p w:rsidR="00D11E31" w:rsidRDefault="00D11E31" w:rsidP="003743A5">
            <w:pPr>
              <w:pStyle w:val="TableBodyText"/>
              <w:ind w:left="346" w:hanging="340"/>
              <w:jc w:val="left"/>
            </w:pPr>
            <w:r>
              <w:t>13. Attainment of year 12 or equivalent</w:t>
            </w:r>
          </w:p>
          <w:p w:rsidR="00D11E31" w:rsidRPr="00111DF4" w:rsidRDefault="00D11E31" w:rsidP="003743A5">
            <w:pPr>
              <w:pStyle w:val="TableBodyText"/>
              <w:jc w:val="left"/>
            </w:pPr>
          </w:p>
        </w:tc>
        <w:tc>
          <w:tcPr>
            <w:tcW w:w="726" w:type="pct"/>
            <w:tcBorders>
              <w:bottom w:val="single" w:sz="6" w:space="0" w:color="auto"/>
            </w:tcBorders>
          </w:tcPr>
          <w:p w:rsidR="00D11E31" w:rsidRPr="00801559" w:rsidRDefault="00D11E31" w:rsidP="003743A5">
            <w:pPr>
              <w:pStyle w:val="TableBodyText"/>
            </w:pPr>
            <w:r>
              <w:t>..</w:t>
            </w:r>
          </w:p>
        </w:tc>
      </w:tr>
    </w:tbl>
    <w:p w:rsidR="00D11E31" w:rsidRDefault="00D11E31" w:rsidP="0082251B">
      <w:pPr>
        <w:pStyle w:val="Note"/>
      </w:pPr>
      <w:r w:rsidRPr="0011526C">
        <w:rPr>
          <w:rStyle w:val="NoteLabel"/>
        </w:rPr>
        <w:t>a</w:t>
      </w:r>
      <w:r>
        <w:t xml:space="preserve"> </w:t>
      </w:r>
      <w:r w:rsidRPr="000D0E19">
        <w:t xml:space="preserve">The performance indicators are presented in this table using the direct wording from the </w:t>
      </w:r>
      <w:r>
        <w:t xml:space="preserve">revised </w:t>
      </w:r>
      <w:r w:rsidRPr="000D0E19">
        <w:t>NIRA</w:t>
      </w:r>
      <w:r>
        <w:t xml:space="preserve"> PIF</w:t>
      </w:r>
      <w:r w:rsidRPr="000D0E19">
        <w:t xml:space="preserve"> (</w:t>
      </w:r>
      <w:r w:rsidR="00D252AB">
        <w:t>endorsed by COAG out of session in July 2012</w:t>
      </w:r>
      <w:r w:rsidRPr="000D0E19">
        <w:t>).</w:t>
      </w:r>
    </w:p>
    <w:p w:rsidR="00D11E31" w:rsidRDefault="00D11E31" w:rsidP="00D11E31">
      <w:pPr>
        <w:pStyle w:val="Note"/>
      </w:pPr>
      <w:r>
        <w:t>.. Not applicable as new data not available for this report.</w:t>
      </w:r>
    </w:p>
    <w:p w:rsidR="00D11E31" w:rsidRDefault="00D11E31" w:rsidP="0082251B">
      <w:pPr>
        <w:pStyle w:val="Heading3"/>
        <w:spacing w:before="360" w:after="240"/>
      </w:pPr>
      <w:r>
        <w:br w:type="page"/>
      </w:r>
      <w:bookmarkStart w:id="39" w:name="_Ref325636587"/>
      <w:r>
        <w:lastRenderedPageBreak/>
        <w:t>D</w:t>
      </w:r>
      <w:r w:rsidRPr="00291419">
        <w:t xml:space="preserve">ata </w:t>
      </w:r>
      <w:r w:rsidRPr="00A05316">
        <w:t>Quality</w:t>
      </w:r>
      <w:r>
        <w:t xml:space="preserve"> Statement – Performance Target </w:t>
      </w:r>
      <w:proofErr w:type="spellStart"/>
      <w:r>
        <w:t>a.2</w:t>
      </w:r>
      <w:proofErr w:type="spellEnd"/>
      <w:r>
        <w:t>: Lift the year 12 or equivalent attainment rate to 90 per cent by 2020</w:t>
      </w:r>
      <w:bookmarkEnd w:id="39"/>
    </w:p>
    <w:tbl>
      <w:tblPr>
        <w:tblW w:w="0" w:type="auto"/>
        <w:tblInd w:w="108" w:type="dxa"/>
        <w:tblLayout w:type="fixed"/>
        <w:tblLook w:val="00A0" w:firstRow="1" w:lastRow="0" w:firstColumn="1" w:lastColumn="0" w:noHBand="0" w:noVBand="0"/>
      </w:tblPr>
      <w:tblGrid>
        <w:gridCol w:w="1843"/>
        <w:gridCol w:w="6946"/>
      </w:tblGrid>
      <w:tr w:rsidR="00CB451E" w:rsidRPr="00DD7324" w:rsidTr="0082251B">
        <w:tc>
          <w:tcPr>
            <w:tcW w:w="1843" w:type="dxa"/>
          </w:tcPr>
          <w:p w:rsidR="00CB451E" w:rsidRPr="00CB451E" w:rsidRDefault="00CB451E" w:rsidP="0082251B">
            <w:pPr>
              <w:pStyle w:val="TableBodyText"/>
              <w:jc w:val="left"/>
              <w:rPr>
                <w:b/>
              </w:rPr>
            </w:pPr>
            <w:r w:rsidRPr="00CB451E">
              <w:rPr>
                <w:b/>
              </w:rPr>
              <w:t>Indicator</w:t>
            </w:r>
          </w:p>
        </w:tc>
        <w:tc>
          <w:tcPr>
            <w:tcW w:w="6946" w:type="dxa"/>
          </w:tcPr>
          <w:p w:rsidR="00CB451E" w:rsidRPr="00CB451E" w:rsidRDefault="00CB451E" w:rsidP="00CF0E6E">
            <w:pPr>
              <w:pStyle w:val="TableBodyText"/>
              <w:jc w:val="both"/>
            </w:pPr>
            <w:proofErr w:type="spellStart"/>
            <w:r w:rsidRPr="00CB451E">
              <w:t>NEA</w:t>
            </w:r>
            <w:r w:rsidR="00CF0E6E">
              <w:t>.</w:t>
            </w:r>
            <w:r w:rsidRPr="00CB451E">
              <w:t>a.2</w:t>
            </w:r>
            <w:proofErr w:type="spellEnd"/>
            <w:r w:rsidRPr="00CB451E">
              <w:t xml:space="preserve"> – Lift the Year 12 or equivalent attainment rate to 90 per cent by 2020.</w:t>
            </w:r>
          </w:p>
        </w:tc>
      </w:tr>
      <w:tr w:rsidR="00CB451E" w:rsidRPr="00DD7324" w:rsidTr="0082251B">
        <w:tc>
          <w:tcPr>
            <w:tcW w:w="1843" w:type="dxa"/>
          </w:tcPr>
          <w:p w:rsidR="00CB451E" w:rsidRPr="00CB451E" w:rsidRDefault="00CB451E" w:rsidP="0082251B">
            <w:pPr>
              <w:pStyle w:val="TableBodyText"/>
              <w:jc w:val="left"/>
              <w:rPr>
                <w:b/>
              </w:rPr>
            </w:pPr>
            <w:r w:rsidRPr="00CB451E">
              <w:rPr>
                <w:b/>
              </w:rPr>
              <w:t>Measure</w:t>
            </w:r>
          </w:p>
        </w:tc>
        <w:tc>
          <w:tcPr>
            <w:tcW w:w="6946" w:type="dxa"/>
          </w:tcPr>
          <w:p w:rsidR="00CB451E" w:rsidRPr="00CB451E" w:rsidRDefault="00CB451E" w:rsidP="001D6A1D">
            <w:pPr>
              <w:pStyle w:val="TableBodyText"/>
              <w:jc w:val="both"/>
            </w:pPr>
            <w:r w:rsidRPr="00CB451E">
              <w:t>Persons aged 20</w:t>
            </w:r>
            <w:r w:rsidRPr="009E1362">
              <w:t>–</w:t>
            </w:r>
            <w:r w:rsidRPr="00CB451E">
              <w:t>24 years who have completed Year 12 (or equivalent) or attained a formal qualification at Certificate III level or above.</w:t>
            </w:r>
          </w:p>
          <w:p w:rsidR="00CB451E" w:rsidRPr="00CB451E" w:rsidRDefault="00CB451E" w:rsidP="001D6A1D">
            <w:pPr>
              <w:pStyle w:val="TableBodyText"/>
              <w:jc w:val="both"/>
              <w:rPr>
                <w:u w:val="single"/>
              </w:rPr>
            </w:pPr>
            <w:r w:rsidRPr="00CB451E">
              <w:rPr>
                <w:u w:val="single"/>
              </w:rPr>
              <w:t>Numerator:</w:t>
            </w:r>
          </w:p>
          <w:p w:rsidR="00CB451E" w:rsidRPr="00CB451E" w:rsidRDefault="00CB451E" w:rsidP="001D6A1D">
            <w:pPr>
              <w:pStyle w:val="TableBodyText"/>
              <w:jc w:val="both"/>
            </w:pPr>
            <w:r w:rsidRPr="00CB451E">
              <w:t>Number of persons aged 20</w:t>
            </w:r>
            <w:r w:rsidRPr="009E1362">
              <w:t>–</w:t>
            </w:r>
            <w:r w:rsidRPr="00CB451E">
              <w:t xml:space="preserve">24 years who state they have completed Year 12 or attained a formal qualification at Certificate III or above (excluding Certificate </w:t>
            </w:r>
            <w:proofErr w:type="spellStart"/>
            <w:r w:rsidRPr="00CB451E">
              <w:t>nfd</w:t>
            </w:r>
            <w:proofErr w:type="spellEnd"/>
            <w:r w:rsidRPr="00CB451E">
              <w:t>,).</w:t>
            </w:r>
          </w:p>
          <w:p w:rsidR="00CB451E" w:rsidRPr="00CB451E" w:rsidRDefault="00CB451E" w:rsidP="001D6A1D">
            <w:pPr>
              <w:pStyle w:val="TableBodyText"/>
              <w:jc w:val="both"/>
              <w:rPr>
                <w:u w:val="single"/>
              </w:rPr>
            </w:pPr>
            <w:r w:rsidRPr="00CB451E">
              <w:rPr>
                <w:u w:val="single"/>
              </w:rPr>
              <w:t>Denominator:</w:t>
            </w:r>
          </w:p>
          <w:p w:rsidR="00CB451E" w:rsidRPr="00CB451E" w:rsidRDefault="00CB451E" w:rsidP="001D6A1D">
            <w:pPr>
              <w:pStyle w:val="TableBodyText"/>
              <w:jc w:val="both"/>
            </w:pPr>
            <w:r w:rsidRPr="00CB451E">
              <w:t>Total population of persons aged 20–24 years.</w:t>
            </w:r>
          </w:p>
          <w:p w:rsidR="00CB451E" w:rsidRPr="00CB451E" w:rsidRDefault="00CB451E" w:rsidP="001D6A1D">
            <w:pPr>
              <w:pStyle w:val="TableBodyText"/>
              <w:jc w:val="both"/>
            </w:pPr>
            <w:r w:rsidRPr="00CB451E">
              <w:t>Excludes people whose educational attainment is not stated (o</w:t>
            </w:r>
            <w:r w:rsidR="00712F6B">
              <w:t>nly applicable to Census data).</w:t>
            </w:r>
          </w:p>
          <w:p w:rsidR="00CB451E" w:rsidRPr="00CB451E" w:rsidRDefault="00CB451E" w:rsidP="001D6A1D">
            <w:pPr>
              <w:pStyle w:val="TableBodyText"/>
              <w:jc w:val="both"/>
            </w:pPr>
            <w:r w:rsidRPr="00491F73">
              <w:rPr>
                <w:u w:val="single"/>
              </w:rPr>
              <w:t>Note:</w:t>
            </w:r>
            <w:r w:rsidRPr="00CB451E">
              <w:t xml:space="preserve"> Data from the Survey of Education and Work are provided as supplementary information to Census data to inform this measure.</w:t>
            </w:r>
          </w:p>
        </w:tc>
      </w:tr>
      <w:tr w:rsidR="00CB451E" w:rsidRPr="00DD7324" w:rsidTr="0082251B">
        <w:tc>
          <w:tcPr>
            <w:tcW w:w="1843" w:type="dxa"/>
          </w:tcPr>
          <w:p w:rsidR="00CB451E" w:rsidRPr="00CB451E" w:rsidRDefault="00CB451E" w:rsidP="0082251B">
            <w:pPr>
              <w:pStyle w:val="TableBodyText"/>
              <w:jc w:val="left"/>
              <w:rPr>
                <w:b/>
              </w:rPr>
            </w:pPr>
            <w:r w:rsidRPr="00CB451E">
              <w:rPr>
                <w:b/>
              </w:rPr>
              <w:t>Data Source</w:t>
            </w:r>
          </w:p>
        </w:tc>
        <w:tc>
          <w:tcPr>
            <w:tcW w:w="6946" w:type="dxa"/>
          </w:tcPr>
          <w:p w:rsidR="00CB451E" w:rsidRPr="00CB451E" w:rsidRDefault="00CB451E" w:rsidP="001D6A1D">
            <w:pPr>
              <w:pStyle w:val="TableBodyText"/>
              <w:jc w:val="both"/>
              <w:rPr>
                <w:u w:val="single"/>
              </w:rPr>
            </w:pPr>
            <w:r w:rsidRPr="00CB451E">
              <w:rPr>
                <w:u w:val="single"/>
              </w:rPr>
              <w:t>Numerator and denominator:</w:t>
            </w:r>
          </w:p>
          <w:p w:rsidR="00CB451E" w:rsidRPr="00CB451E" w:rsidRDefault="00CB451E" w:rsidP="001D6A1D">
            <w:pPr>
              <w:pStyle w:val="TableBodyText"/>
              <w:jc w:val="both"/>
            </w:pPr>
            <w:r w:rsidRPr="00CB451E">
              <w:t>ABS Census of Population and Housing (Census). Data are available every five years.</w:t>
            </w:r>
          </w:p>
          <w:p w:rsidR="00CB451E" w:rsidRPr="00CB451E" w:rsidRDefault="00CB451E" w:rsidP="001D6A1D">
            <w:pPr>
              <w:pStyle w:val="TableBodyText"/>
              <w:jc w:val="both"/>
            </w:pPr>
            <w:r w:rsidRPr="00CB451E">
              <w:rPr>
                <w:u w:val="single"/>
              </w:rPr>
              <w:t>Numerator and denominator:</w:t>
            </w:r>
          </w:p>
          <w:p w:rsidR="00CB451E" w:rsidRPr="00CB451E" w:rsidRDefault="00CB451E" w:rsidP="001D6A1D">
            <w:pPr>
              <w:pStyle w:val="TableBodyText"/>
              <w:jc w:val="both"/>
            </w:pPr>
            <w:r w:rsidRPr="00CB451E">
              <w:t>ABS Survey of Education and Work (SEW). Data are available annually.</w:t>
            </w:r>
          </w:p>
          <w:p w:rsidR="00CB451E" w:rsidRPr="00CB451E" w:rsidRDefault="00CB451E" w:rsidP="001D6A1D">
            <w:pPr>
              <w:pStyle w:val="TableBodyText"/>
              <w:jc w:val="both"/>
            </w:pPr>
            <w:r w:rsidRPr="00CB451E">
              <w:t>2011 SEW data are being used for this cycle of indicators.</w:t>
            </w:r>
          </w:p>
        </w:tc>
      </w:tr>
      <w:tr w:rsidR="00CB451E" w:rsidRPr="00DD7324" w:rsidTr="0082251B">
        <w:tc>
          <w:tcPr>
            <w:tcW w:w="1843" w:type="dxa"/>
          </w:tcPr>
          <w:p w:rsidR="00CB451E" w:rsidRPr="00CB451E" w:rsidRDefault="00CB451E" w:rsidP="0082251B">
            <w:pPr>
              <w:pStyle w:val="TableBodyText"/>
              <w:jc w:val="left"/>
              <w:rPr>
                <w:b/>
              </w:rPr>
            </w:pPr>
            <w:r w:rsidRPr="00CB451E">
              <w:rPr>
                <w:b/>
              </w:rPr>
              <w:t>Institutional Environment</w:t>
            </w:r>
          </w:p>
        </w:tc>
        <w:tc>
          <w:tcPr>
            <w:tcW w:w="6946" w:type="dxa"/>
          </w:tcPr>
          <w:p w:rsidR="00CB451E" w:rsidRPr="00CB451E" w:rsidRDefault="00CB451E" w:rsidP="001D6A1D">
            <w:pPr>
              <w:pStyle w:val="TableBodyText"/>
              <w:jc w:val="both"/>
            </w:pPr>
            <w:r w:rsidRPr="00CB451E">
              <w:t>The Census and SEW are collected by the ABS under the Census and Statistics Act 1905.</w:t>
            </w:r>
          </w:p>
          <w:p w:rsidR="00CB451E" w:rsidRPr="00CB451E" w:rsidRDefault="00CB451E" w:rsidP="00432CA5">
            <w:pPr>
              <w:pStyle w:val="TableBodyText"/>
              <w:jc w:val="both"/>
            </w:pPr>
            <w:r w:rsidRPr="00CB451E">
              <w:t xml:space="preserve">For information on the institutional environment of the ABS, including the legislative obligations of the ABS, financing and government arrangements, and mechanisms for scrutiny of ABS operations, see </w:t>
            </w:r>
            <w:hyperlink r:id="rId160" w:history="1">
              <w:r w:rsidRPr="00CB451E">
                <w:t>ABS Institutional Environment</w:t>
              </w:r>
            </w:hyperlink>
            <w:r w:rsidR="00432CA5">
              <w:t xml:space="preserve"> (</w:t>
            </w:r>
            <w:r w:rsidRPr="00CB451E">
              <w:t>www.abs.gov.au/</w:t>
            </w:r>
            <w:proofErr w:type="spellStart"/>
            <w:r w:rsidRPr="00CB451E">
              <w:t>websitedbs</w:t>
            </w:r>
            <w:proofErr w:type="spellEnd"/>
            <w:r w:rsidRPr="00CB451E">
              <w:t>/</w:t>
            </w:r>
            <w:proofErr w:type="spellStart"/>
            <w:r w:rsidRPr="00CB451E">
              <w:t>d3310114.nsf</w:t>
            </w:r>
            <w:proofErr w:type="spellEnd"/>
            <w:r w:rsidRPr="00CB451E">
              <w:t>/</w:t>
            </w:r>
            <w:r w:rsidR="00432CA5">
              <w:t xml:space="preserve"> </w:t>
            </w:r>
            <w:r w:rsidRPr="00CB451E">
              <w:t>4a256353001af3ed4b2562bb00121564/10ca14cb967e5b83ca2573ae00197b65!OpenDocument).</w:t>
            </w:r>
          </w:p>
        </w:tc>
      </w:tr>
      <w:tr w:rsidR="00CB451E" w:rsidRPr="00DD7324" w:rsidTr="0082251B">
        <w:tc>
          <w:tcPr>
            <w:tcW w:w="1843" w:type="dxa"/>
          </w:tcPr>
          <w:p w:rsidR="00CB451E" w:rsidRPr="00CB451E" w:rsidRDefault="00CB451E" w:rsidP="0082251B">
            <w:pPr>
              <w:pStyle w:val="TableBodyText"/>
              <w:jc w:val="left"/>
              <w:rPr>
                <w:b/>
              </w:rPr>
            </w:pPr>
            <w:r w:rsidRPr="00CB451E">
              <w:rPr>
                <w:b/>
              </w:rPr>
              <w:t>Relevance</w:t>
            </w:r>
          </w:p>
        </w:tc>
        <w:tc>
          <w:tcPr>
            <w:tcW w:w="6946" w:type="dxa"/>
          </w:tcPr>
          <w:p w:rsidR="00CB451E" w:rsidRPr="00CB451E" w:rsidRDefault="00CB451E" w:rsidP="001D6A1D">
            <w:pPr>
              <w:pStyle w:val="TableBodyText"/>
              <w:jc w:val="both"/>
            </w:pPr>
            <w:r w:rsidRPr="00CB451E">
              <w:t>SEW data are available by state/territory. The SEW does not collect data from people in Indigenous communities in ver</w:t>
            </w:r>
            <w:r w:rsidR="00712F6B">
              <w:t>y remote areas (see Coherence).</w:t>
            </w:r>
          </w:p>
          <w:p w:rsidR="00CB451E" w:rsidRPr="00CB451E" w:rsidRDefault="00CB451E" w:rsidP="001D6A1D">
            <w:pPr>
              <w:pStyle w:val="TableBodyText"/>
              <w:jc w:val="both"/>
            </w:pPr>
            <w:r w:rsidRPr="00CB451E">
              <w:t xml:space="preserve">The SEW collects information on the highest year of school completed and highest level of non-school qualification. The classification of qualifications used is the </w:t>
            </w:r>
            <w:hyperlink r:id="rId161" w:history="1">
              <w:r w:rsidRPr="00CB451E">
                <w:t>Australian Standard Classification of Education (</w:t>
              </w:r>
              <w:proofErr w:type="spellStart"/>
              <w:r w:rsidRPr="00CB451E">
                <w:t>ASCED</w:t>
              </w:r>
              <w:proofErr w:type="spellEnd"/>
              <w:r w:rsidRPr="00CB451E">
                <w:t xml:space="preserve">) </w:t>
              </w:r>
              <w:r w:rsidR="00934C88">
                <w:br/>
              </w:r>
              <w:r w:rsidR="009605B1">
                <w:t>(Cat. no. </w:t>
              </w:r>
              <w:r w:rsidRPr="00CB451E">
                <w:t>1272.0)</w:t>
              </w:r>
              <w:r w:rsidR="00432CA5">
                <w:t xml:space="preserve"> (</w:t>
              </w:r>
              <w:r w:rsidRPr="00CB451E">
                <w:t>www.abs.gov.au/</w:t>
              </w:r>
              <w:proofErr w:type="spellStart"/>
              <w:r w:rsidRPr="00CB451E">
                <w:t>AUSSTATS</w:t>
              </w:r>
              <w:proofErr w:type="spellEnd"/>
              <w:r w:rsidRPr="00CB451E">
                <w:t>/</w:t>
              </w:r>
              <w:proofErr w:type="spellStart"/>
              <w:r w:rsidRPr="00CB451E">
                <w:t>ABS@.NSF</w:t>
              </w:r>
              <w:proofErr w:type="spellEnd"/>
              <w:r w:rsidRPr="00CB451E">
                <w:t>/0/</w:t>
              </w:r>
              <w:proofErr w:type="spellStart"/>
              <w:r w:rsidRPr="00CB451E">
                <w:t>F501C031B</w:t>
              </w:r>
              <w:proofErr w:type="spellEnd"/>
              <w:r w:rsidR="00934C88">
                <w:t xml:space="preserve"> </w:t>
              </w:r>
              <w:proofErr w:type="spellStart"/>
              <w:r w:rsidRPr="00CB451E">
                <w:t>D9AC9C5CA256AAF001FCA33?opendocument</w:t>
              </w:r>
              <w:proofErr w:type="spellEnd"/>
              <w:r w:rsidRPr="00CB451E">
                <w:t>).</w:t>
              </w:r>
            </w:hyperlink>
          </w:p>
          <w:p w:rsidR="00CB451E" w:rsidRPr="00CB451E" w:rsidRDefault="00CB451E" w:rsidP="001D6A1D">
            <w:pPr>
              <w:pStyle w:val="TableBodyText"/>
              <w:jc w:val="both"/>
            </w:pPr>
            <w:r w:rsidRPr="00CB451E">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CB451E" w:rsidRPr="00DD7324" w:rsidTr="0082251B">
        <w:tc>
          <w:tcPr>
            <w:tcW w:w="1843" w:type="dxa"/>
          </w:tcPr>
          <w:p w:rsidR="00CB451E" w:rsidRPr="00CB451E" w:rsidRDefault="00CB451E" w:rsidP="0082251B">
            <w:pPr>
              <w:pStyle w:val="TableBodyText"/>
              <w:jc w:val="left"/>
              <w:rPr>
                <w:b/>
              </w:rPr>
            </w:pPr>
            <w:r w:rsidRPr="00CB451E">
              <w:rPr>
                <w:b/>
              </w:rPr>
              <w:t>Timeliness</w:t>
            </w:r>
          </w:p>
        </w:tc>
        <w:tc>
          <w:tcPr>
            <w:tcW w:w="6946" w:type="dxa"/>
            <w:tcBorders>
              <w:left w:val="nil"/>
            </w:tcBorders>
          </w:tcPr>
          <w:p w:rsidR="00CB451E" w:rsidRPr="00CB451E" w:rsidRDefault="00CB451E" w:rsidP="001D6A1D">
            <w:pPr>
              <w:pStyle w:val="TableBodyText"/>
              <w:jc w:val="both"/>
            </w:pPr>
            <w:r w:rsidRPr="00CB451E">
              <w:t>The SEW is conducted annually in May as a supplement to the monthly Labour Force Survey (</w:t>
            </w:r>
            <w:proofErr w:type="spellStart"/>
            <w:r w:rsidRPr="00CB451E">
              <w:t>LFS</w:t>
            </w:r>
            <w:proofErr w:type="spellEnd"/>
            <w:r w:rsidRPr="00CB451E">
              <w:t>). Results from the 2011 survey were released in November 2011.</w:t>
            </w:r>
          </w:p>
        </w:tc>
      </w:tr>
      <w:tr w:rsidR="00CB451E" w:rsidRPr="00DD7324" w:rsidTr="0082251B">
        <w:tc>
          <w:tcPr>
            <w:tcW w:w="1843" w:type="dxa"/>
          </w:tcPr>
          <w:p w:rsidR="00CB451E" w:rsidRPr="00CB451E" w:rsidRDefault="00CB451E" w:rsidP="0082251B">
            <w:pPr>
              <w:pStyle w:val="TableBodyText"/>
              <w:jc w:val="left"/>
              <w:rPr>
                <w:b/>
              </w:rPr>
            </w:pPr>
            <w:r w:rsidRPr="00CB451E">
              <w:rPr>
                <w:b/>
              </w:rPr>
              <w:t>Accuracy</w:t>
            </w:r>
          </w:p>
        </w:tc>
        <w:tc>
          <w:tcPr>
            <w:tcW w:w="6946" w:type="dxa"/>
            <w:tcBorders>
              <w:left w:val="nil"/>
            </w:tcBorders>
          </w:tcPr>
          <w:p w:rsidR="00CB451E" w:rsidRPr="00CB451E" w:rsidRDefault="00CB451E" w:rsidP="001D6A1D">
            <w:pPr>
              <w:pStyle w:val="TableBodyText"/>
              <w:jc w:val="both"/>
            </w:pPr>
            <w:r w:rsidRPr="00CB451E">
              <w:t xml:space="preserve">The 2011 SEW response rate </w:t>
            </w:r>
            <w:r w:rsidRPr="0013533B">
              <w:t>was 96</w:t>
            </w:r>
            <w:r w:rsidR="001D6A1D">
              <w:t xml:space="preserve"> </w:t>
            </w:r>
            <w:r w:rsidR="00160697">
              <w:t>per cent</w:t>
            </w:r>
            <w:r w:rsidR="001D6A1D">
              <w:t xml:space="preserve"> which constituted 39 </w:t>
            </w:r>
            <w:r w:rsidRPr="0013533B">
              <w:t>800 completed interviews. The 2011 response rate was consistent with</w:t>
            </w:r>
            <w:r w:rsidRPr="00CB451E">
              <w:t xml:space="preserve"> that in previous years. The data for the SEW are collected from an </w:t>
            </w:r>
            <w:proofErr w:type="spellStart"/>
            <w:r w:rsidRPr="00CB451E">
              <w:t>ARA</w:t>
            </w:r>
            <w:proofErr w:type="spellEnd"/>
            <w:r w:rsidRPr="00CB451E">
              <w:t xml:space="preserve"> (Any Responsible Adult) on behalf of other members of the household and are weighted for non-response.</w:t>
            </w:r>
          </w:p>
          <w:p w:rsidR="00CB451E" w:rsidRPr="00CB451E" w:rsidRDefault="00CB451E" w:rsidP="001D6A1D">
            <w:pPr>
              <w:pStyle w:val="TableBodyText"/>
              <w:jc w:val="both"/>
            </w:pPr>
            <w:r w:rsidRPr="00CB451E">
              <w:lastRenderedPageBreak/>
              <w:t>The data are event data that can be used to measure year to year changes provided that the changes are large enough to account for the Relative Standard Error (</w:t>
            </w:r>
            <w:proofErr w:type="spellStart"/>
            <w:r w:rsidRPr="00CB451E">
              <w:t>RSE</w:t>
            </w:r>
            <w:proofErr w:type="spellEnd"/>
            <w:r w:rsidRPr="00CB451E">
              <w:t xml:space="preserve">) of estimates. The </w:t>
            </w:r>
            <w:proofErr w:type="spellStart"/>
            <w:r w:rsidRPr="00CB451E">
              <w:t>LFS</w:t>
            </w:r>
            <w:proofErr w:type="spellEnd"/>
            <w:r w:rsidRPr="00CB451E">
              <w:t xml:space="preserve"> sample was reduced by 20</w:t>
            </w:r>
            <w:r w:rsidR="00160697">
              <w:t xml:space="preserve"> per cent</w:t>
            </w:r>
            <w:r w:rsidRPr="00CB451E">
              <w:t xml:space="preserve"> in 2009, but the full sample was rein</w:t>
            </w:r>
            <w:r>
              <w:t>s</w:t>
            </w:r>
            <w:r w:rsidRPr="00CB451E">
              <w:t>tated from 2010 onwards.</w:t>
            </w:r>
          </w:p>
          <w:p w:rsidR="00CB451E" w:rsidRPr="00CB451E" w:rsidRDefault="00CB451E" w:rsidP="001D6A1D">
            <w:pPr>
              <w:pStyle w:val="TableBodyText"/>
              <w:jc w:val="both"/>
            </w:pPr>
            <w:r w:rsidRPr="00CB451E">
              <w:t>Data with a relative standard error of between 25</w:t>
            </w:r>
            <w:r w:rsidR="00160697">
              <w:t xml:space="preserve"> per cent</w:t>
            </w:r>
            <w:r w:rsidRPr="00CB451E">
              <w:t xml:space="preserve"> and 50</w:t>
            </w:r>
            <w:r w:rsidR="00160697">
              <w:t xml:space="preserve"> per cent</w:t>
            </w:r>
            <w:r w:rsidRPr="00CB451E">
              <w:t xml:space="preserve"> should be used with caution while data with a relative standard error greater than 50</w:t>
            </w:r>
            <w:r w:rsidR="00160697">
              <w:t xml:space="preserve"> per cent</w:t>
            </w:r>
            <w:r w:rsidRPr="00CB451E">
              <w:t xml:space="preserve"> is considered too unreliable for general use.</w:t>
            </w:r>
          </w:p>
        </w:tc>
      </w:tr>
      <w:tr w:rsidR="00CB451E" w:rsidRPr="00DD7324" w:rsidTr="0082251B">
        <w:tc>
          <w:tcPr>
            <w:tcW w:w="1843" w:type="dxa"/>
          </w:tcPr>
          <w:p w:rsidR="00CB451E" w:rsidRPr="00CB451E" w:rsidRDefault="00CB451E" w:rsidP="0082251B">
            <w:pPr>
              <w:pStyle w:val="TableBodyText"/>
              <w:jc w:val="left"/>
              <w:rPr>
                <w:b/>
              </w:rPr>
            </w:pPr>
            <w:r w:rsidRPr="00CB451E">
              <w:rPr>
                <w:b/>
                <w:bCs/>
              </w:rPr>
              <w:lastRenderedPageBreak/>
              <w:t>Coherence</w:t>
            </w:r>
          </w:p>
          <w:p w:rsidR="00CB451E" w:rsidRPr="00CB451E" w:rsidRDefault="00CB451E" w:rsidP="0082251B">
            <w:pPr>
              <w:pStyle w:val="TableBodyText"/>
              <w:jc w:val="left"/>
              <w:rPr>
                <w:b/>
              </w:rPr>
            </w:pPr>
          </w:p>
        </w:tc>
        <w:tc>
          <w:tcPr>
            <w:tcW w:w="6946" w:type="dxa"/>
          </w:tcPr>
          <w:p w:rsidR="00CB451E" w:rsidRPr="00CB451E" w:rsidRDefault="00CB451E" w:rsidP="001D6A1D">
            <w:pPr>
              <w:pStyle w:val="TableBodyText"/>
              <w:jc w:val="both"/>
            </w:pPr>
            <w:r w:rsidRPr="00CB451E">
              <w:t>Both the numerator and denominator come from the SEW. Measures based on the 2011 SEW are consistent with those supplied for COAG reporting from previous cycles of this survey. Data for 2010 have been revised due to amendments to the populati</w:t>
            </w:r>
            <w:r w:rsidR="00712F6B">
              <w:t>on benchmarks for the 2010 SEW.</w:t>
            </w:r>
          </w:p>
          <w:p w:rsidR="00CB451E" w:rsidRPr="00CB451E" w:rsidRDefault="00CB451E" w:rsidP="00EE3827">
            <w:pPr>
              <w:pStyle w:val="TableBodyText"/>
              <w:jc w:val="both"/>
            </w:pPr>
            <w:r w:rsidRPr="00CB451E">
              <w:t>Prior to 2009, all people in very remote areas were excluded from the SEW. Very remote areas represent about two per cent of the total Australian population and 20</w:t>
            </w:r>
            <w:r w:rsidR="00160697">
              <w:t xml:space="preserve"> per cent</w:t>
            </w:r>
            <w:r w:rsidRPr="00CB451E">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w:t>
            </w:r>
            <w:r w:rsidR="00160697">
              <w:t xml:space="preserve"> per cent</w:t>
            </w:r>
            <w:r w:rsidRPr="00CB451E">
              <w:t xml:space="preserve"> of the population. </w:t>
            </w:r>
            <w:r w:rsidR="00797960">
              <w:t xml:space="preserve">These revisions have a minor impact only </w:t>
            </w:r>
            <w:r w:rsidR="00797960" w:rsidRPr="00797960">
              <w:t>in the NT and minimal impact in the other states/territory on the actual value of the NEA performance indicators based on the SEW.</w:t>
            </w:r>
          </w:p>
          <w:p w:rsidR="00CB451E" w:rsidRPr="00CB451E" w:rsidRDefault="00CB451E" w:rsidP="001D6A1D">
            <w:pPr>
              <w:pStyle w:val="TableBodyText"/>
              <w:jc w:val="both"/>
            </w:pPr>
            <w:r w:rsidRPr="00CB451E">
              <w:t xml:space="preserve">The </w:t>
            </w:r>
            <w:hyperlink r:id="rId162" w:history="1">
              <w:r w:rsidRPr="00CB451E">
                <w:t>Australian Standard Classificati</w:t>
              </w:r>
              <w:r w:rsidR="00934C88">
                <w:t>on of Education (</w:t>
              </w:r>
              <w:proofErr w:type="spellStart"/>
              <w:r w:rsidR="00934C88">
                <w:t>ASCED</w:t>
              </w:r>
              <w:proofErr w:type="spellEnd"/>
              <w:r w:rsidR="00934C88">
                <w:t>) (</w:t>
              </w:r>
              <w:r w:rsidRPr="00CB451E">
                <w:t xml:space="preserve">www.abs.gov.au/AUSSTATS/abs@.nsf/DetailsPage/1272.02001?OpenDocument) </w:t>
              </w:r>
              <w:r w:rsidR="009605B1">
                <w:t>(Cat. no. </w:t>
              </w:r>
              <w:r w:rsidRPr="00CB451E">
                <w:t>1272.0)</w:t>
              </w:r>
            </w:hyperlink>
            <w:r w:rsidRPr="00CB451E">
              <w:t xml:space="preserve"> has been used in all surveys with education items since 2001 and allows the education and training items between different surveys to be compared.</w:t>
            </w:r>
          </w:p>
          <w:p w:rsidR="00CB451E" w:rsidRPr="00CB451E" w:rsidRDefault="00CB451E" w:rsidP="00934C88">
            <w:pPr>
              <w:pStyle w:val="TableBodyText"/>
              <w:jc w:val="both"/>
            </w:pPr>
            <w:r w:rsidRPr="00CB451E">
              <w:t xml:space="preserve">The Census of Population and Housing and the </w:t>
            </w:r>
            <w:hyperlink r:id="rId163" w:history="1">
              <w:r w:rsidRPr="00CB451E">
                <w:t>Surv</w:t>
              </w:r>
              <w:r w:rsidR="00934C88">
                <w:t>ey of Learning and Work (</w:t>
              </w:r>
              <w:r w:rsidRPr="00CB451E">
                <w:t>www.abs.gov.au/</w:t>
              </w:r>
              <w:proofErr w:type="spellStart"/>
              <w:r w:rsidRPr="00CB451E">
                <w:t>ausstat</w:t>
              </w:r>
              <w:r w:rsidR="00934C88">
                <w:t>s</w:t>
              </w:r>
              <w:proofErr w:type="spellEnd"/>
              <w:r w:rsidR="00934C88">
                <w:t>/abs@.</w:t>
              </w:r>
              <w:proofErr w:type="spellStart"/>
              <w:r w:rsidR="00934C88">
                <w:t>nsf</w:t>
              </w:r>
              <w:proofErr w:type="spellEnd"/>
              <w:r w:rsidR="00934C88">
                <w:t xml:space="preserve">/mf/4235.0) </w:t>
              </w:r>
              <w:r w:rsidR="009605B1">
                <w:t>(Cat. no. </w:t>
              </w:r>
              <w:r w:rsidRPr="00CB451E">
                <w:t>4235.0)</w:t>
              </w:r>
            </w:hyperlink>
            <w:r w:rsidRPr="00CB451E">
              <w:t xml:space="preserve"> also provide information on educational attainment.</w:t>
            </w:r>
          </w:p>
        </w:tc>
      </w:tr>
      <w:tr w:rsidR="00CB451E" w:rsidRPr="00DD7324" w:rsidTr="0082251B">
        <w:tc>
          <w:tcPr>
            <w:tcW w:w="1843" w:type="dxa"/>
          </w:tcPr>
          <w:p w:rsidR="00CB451E" w:rsidRPr="00CB451E" w:rsidRDefault="00CB451E" w:rsidP="0082251B">
            <w:pPr>
              <w:pStyle w:val="TableBodyText"/>
              <w:jc w:val="left"/>
              <w:rPr>
                <w:b/>
              </w:rPr>
            </w:pPr>
            <w:r w:rsidRPr="00CB451E">
              <w:rPr>
                <w:b/>
                <w:bCs/>
              </w:rPr>
              <w:t>Interpretability</w:t>
            </w:r>
          </w:p>
          <w:p w:rsidR="00CB451E" w:rsidRPr="00CB451E" w:rsidRDefault="00CB451E" w:rsidP="0082251B">
            <w:pPr>
              <w:pStyle w:val="TableBodyText"/>
              <w:jc w:val="left"/>
              <w:rPr>
                <w:b/>
              </w:rPr>
            </w:pPr>
          </w:p>
        </w:tc>
        <w:tc>
          <w:tcPr>
            <w:tcW w:w="6946" w:type="dxa"/>
          </w:tcPr>
          <w:p w:rsidR="00CB451E" w:rsidRPr="00CB451E" w:rsidRDefault="00CB451E" w:rsidP="001D6A1D">
            <w:pPr>
              <w:pStyle w:val="TableBodyText"/>
              <w:jc w:val="both"/>
            </w:pPr>
            <w:r w:rsidRPr="00CB451E">
              <w:t xml:space="preserve">Information on how to interpret and use the data appropriately is available on the ABS website, see </w:t>
            </w:r>
            <w:hyperlink r:id="rId164" w:history="1">
              <w:r w:rsidRPr="00CB451E">
                <w:t>Explanatory Notes</w:t>
              </w:r>
            </w:hyperlink>
            <w:r w:rsidR="00F70DBA">
              <w:t xml:space="preserve"> </w:t>
            </w:r>
            <w:r w:rsidR="00934C88">
              <w:t>(</w:t>
            </w:r>
            <w:hyperlink r:id="rId165" w:history="1">
              <w:r w:rsidR="00F70DBA" w:rsidRPr="00F70DBA">
                <w:t>www.abs.gov.au/ AUSSTATS/</w:t>
              </w:r>
            </w:hyperlink>
            <w:r w:rsidRPr="00CB451E">
              <w:t xml:space="preserve">abs@.nsf/Lookup/6227.0Explanatory%20Notes1May%202011?OpenDocument) in Education and Work, Australia </w:t>
            </w:r>
            <w:r w:rsidR="009605B1">
              <w:t>(Cat. no. </w:t>
            </w:r>
            <w:r w:rsidRPr="00CB451E">
              <w:t>6227.0).</w:t>
            </w:r>
          </w:p>
          <w:p w:rsidR="00CB451E" w:rsidRPr="00CB451E" w:rsidRDefault="00CB451E" w:rsidP="001D6A1D">
            <w:pPr>
              <w:pStyle w:val="TableBodyText"/>
              <w:jc w:val="both"/>
            </w:pPr>
            <w:r w:rsidRPr="00CB451E">
              <w:t xml:space="preserve">ABS SEIFA indexes are based on data from the Census and measure the socioeconomic status of the area in which a person lives. They do not directly measure the socioeconomic status of individuals or their households. </w:t>
            </w:r>
            <w:r w:rsidRPr="00611F67">
              <w:t>More</w:t>
            </w:r>
            <w:r w:rsidRPr="00CB451E">
              <w:t xml:space="preserve"> information on the SEIFA measure of socioeconomic status can be found on the ABS website: </w:t>
            </w:r>
            <w:hyperlink r:id="rId166" w:history="1">
              <w:r w:rsidRPr="00CB451E">
                <w:t>www.abs.gov.au</w:t>
              </w:r>
            </w:hyperlink>
            <w:r w:rsidRPr="00CB451E">
              <w:t>.</w:t>
            </w:r>
          </w:p>
        </w:tc>
      </w:tr>
      <w:tr w:rsidR="00CB451E" w:rsidRPr="00DD7324" w:rsidTr="0082251B">
        <w:tc>
          <w:tcPr>
            <w:tcW w:w="1843" w:type="dxa"/>
          </w:tcPr>
          <w:p w:rsidR="00CB451E" w:rsidRPr="00CB451E" w:rsidRDefault="00CB451E" w:rsidP="0082251B">
            <w:pPr>
              <w:pStyle w:val="TableBodyText"/>
              <w:jc w:val="left"/>
              <w:rPr>
                <w:b/>
              </w:rPr>
            </w:pPr>
            <w:r w:rsidRPr="00CB451E">
              <w:rPr>
                <w:b/>
                <w:bCs/>
              </w:rPr>
              <w:t>Accessibility</w:t>
            </w:r>
          </w:p>
          <w:p w:rsidR="00CB451E" w:rsidRPr="00CB451E" w:rsidRDefault="00CB451E" w:rsidP="0082251B">
            <w:pPr>
              <w:pStyle w:val="TableBodyText"/>
              <w:jc w:val="left"/>
              <w:rPr>
                <w:b/>
              </w:rPr>
            </w:pPr>
          </w:p>
        </w:tc>
        <w:tc>
          <w:tcPr>
            <w:tcW w:w="6946" w:type="dxa"/>
            <w:tcBorders>
              <w:left w:val="nil"/>
            </w:tcBorders>
          </w:tcPr>
          <w:p w:rsidR="00CB451E" w:rsidRPr="00CB451E" w:rsidRDefault="00CB451E" w:rsidP="00934C88">
            <w:pPr>
              <w:pStyle w:val="TableBodyText"/>
              <w:jc w:val="both"/>
            </w:pPr>
            <w:r w:rsidRPr="00CB451E">
              <w:t xml:space="preserve">The data for the SEW are available via the ABS website in the publication </w:t>
            </w:r>
            <w:hyperlink r:id="rId167" w:history="1">
              <w:r w:rsidRPr="00CB451E">
                <w:t>Education and Work, Australia</w:t>
              </w:r>
              <w:r w:rsidR="00934C88">
                <w:t xml:space="preserve"> (</w:t>
              </w:r>
              <w:r w:rsidRPr="00CB451E">
                <w:t>www.abs.gov.au/</w:t>
              </w:r>
              <w:proofErr w:type="spellStart"/>
              <w:r w:rsidRPr="00CB451E">
                <w:t>AUSSTATS</w:t>
              </w:r>
              <w:proofErr w:type="spellEnd"/>
              <w:r w:rsidRPr="00CB451E">
                <w:t>/</w:t>
              </w:r>
              <w:r w:rsidR="00934C88">
                <w:t xml:space="preserve"> </w:t>
              </w:r>
              <w:r w:rsidRPr="00CB451E">
                <w:t>abs@.nsf/ProductsbyCatalogue/556A439CD3D7E8A8CA257242007B3F32?OpenDocument</w:t>
              </w:r>
              <w:r w:rsidR="008A17C1">
                <w:t>)</w:t>
              </w:r>
              <w:r w:rsidRPr="00CB451E">
                <w:t xml:space="preserve"> </w:t>
              </w:r>
              <w:r w:rsidR="009605B1">
                <w:t>(Cat. no. </w:t>
              </w:r>
              <w:r w:rsidRPr="00CB451E">
                <w:t>6227.0)</w:t>
              </w:r>
            </w:hyperlink>
            <w:r w:rsidRPr="00CB451E">
              <w:t xml:space="preserve">. This measure is also released as part of a SEW detailed education data cube. Additional data are available at cost upon request through the </w:t>
            </w:r>
            <w:hyperlink r:id="rId168" w:history="1">
              <w:r w:rsidRPr="00CB451E">
                <w:t>National Information Referral Service</w:t>
              </w:r>
            </w:hyperlink>
            <w:r w:rsidR="001D6A1D">
              <w:tab/>
            </w:r>
            <w:r w:rsidR="001D6A1D">
              <w:br/>
              <w:t>(</w:t>
            </w:r>
            <w:r w:rsidRPr="00CB451E">
              <w:t>www.abs.gov.au/websitedbs/D3310114.nsf/home/National+Information+and+Referral+Service</w:t>
            </w:r>
            <w:r>
              <w:t xml:space="preserve">) </w:t>
            </w:r>
            <w:r w:rsidRPr="00CB451E">
              <w:t>(</w:t>
            </w:r>
            <w:proofErr w:type="spellStart"/>
            <w:r w:rsidRPr="00CB451E">
              <w:t>NIRS</w:t>
            </w:r>
            <w:proofErr w:type="spellEnd"/>
            <w:r w:rsidRPr="00CB451E">
              <w:t xml:space="preserve">). </w:t>
            </w:r>
            <w:r w:rsidR="00F70DBA">
              <w:t xml:space="preserve">A </w:t>
            </w:r>
            <w:r w:rsidRPr="00CB451E">
              <w:t>Confidentialised Unit Record File (</w:t>
            </w:r>
            <w:proofErr w:type="spellStart"/>
            <w:r w:rsidRPr="00CB451E">
              <w:t>CURF</w:t>
            </w:r>
            <w:proofErr w:type="spellEnd"/>
            <w:r w:rsidRPr="00CB451E">
              <w:t>) has been produced for every second cycle of the SEW since 2001, most recently for 2011.</w:t>
            </w:r>
          </w:p>
        </w:tc>
      </w:tr>
    </w:tbl>
    <w:p w:rsidR="00D11E31" w:rsidRDefault="00D11E31" w:rsidP="0082251B">
      <w:pPr>
        <w:pStyle w:val="BodyText"/>
        <w:jc w:val="left"/>
      </w:pPr>
    </w:p>
    <w:p w:rsidR="00D11E31" w:rsidRDefault="00D11E31" w:rsidP="00C94CC2">
      <w:pPr>
        <w:pStyle w:val="Heading3"/>
        <w:spacing w:before="360" w:after="240"/>
      </w:pPr>
      <w:r>
        <w:br w:type="page"/>
      </w:r>
      <w:bookmarkStart w:id="40" w:name="_Ref325636886"/>
      <w:r>
        <w:lastRenderedPageBreak/>
        <w:t>D</w:t>
      </w:r>
      <w:r w:rsidRPr="00291419">
        <w:t xml:space="preserve">ata </w:t>
      </w:r>
      <w:r w:rsidRPr="00A05316">
        <w:t>Quality</w:t>
      </w:r>
      <w:r>
        <w:t xml:space="preserve"> Statement – Performance Indicator 1 (measure </w:t>
      </w:r>
      <w:proofErr w:type="spellStart"/>
      <w:r>
        <w:t>1a</w:t>
      </w:r>
      <w:proofErr w:type="spellEnd"/>
      <w:r>
        <w:t>): The proportion of children enrolled in school</w:t>
      </w:r>
      <w:bookmarkEnd w:id="40"/>
    </w:p>
    <w:tbl>
      <w:tblPr>
        <w:tblW w:w="8788" w:type="dxa"/>
        <w:tblInd w:w="108" w:type="dxa"/>
        <w:tblLayout w:type="fixed"/>
        <w:tblLook w:val="01E0" w:firstRow="1" w:lastRow="1" w:firstColumn="1" w:lastColumn="1" w:noHBand="0" w:noVBand="0"/>
      </w:tblPr>
      <w:tblGrid>
        <w:gridCol w:w="1843"/>
        <w:gridCol w:w="6945"/>
      </w:tblGrid>
      <w:tr w:rsidR="00D11E31" w:rsidRPr="00F43474" w:rsidTr="00EC05AB">
        <w:tc>
          <w:tcPr>
            <w:tcW w:w="1843" w:type="dxa"/>
            <w:shd w:val="clear" w:color="auto" w:fill="auto"/>
          </w:tcPr>
          <w:p w:rsidR="00D11E31" w:rsidRPr="00D4699B" w:rsidRDefault="00D11E31" w:rsidP="00C94CC2">
            <w:pPr>
              <w:pStyle w:val="TableBodyText"/>
              <w:jc w:val="left"/>
              <w:rPr>
                <w:rFonts w:ascii="DejaVu Serif" w:hAnsi="DejaVu Serif"/>
                <w:b/>
              </w:rPr>
            </w:pPr>
            <w:r w:rsidRPr="00D4699B">
              <w:rPr>
                <w:b/>
              </w:rPr>
              <w:t>Indicator</w:t>
            </w:r>
          </w:p>
        </w:tc>
        <w:tc>
          <w:tcPr>
            <w:tcW w:w="6945" w:type="dxa"/>
            <w:shd w:val="clear" w:color="auto" w:fill="auto"/>
          </w:tcPr>
          <w:p w:rsidR="00D11E31" w:rsidRPr="00C566FA" w:rsidRDefault="00D11E31" w:rsidP="001D6A1D">
            <w:pPr>
              <w:pStyle w:val="TableBodyText"/>
              <w:jc w:val="both"/>
            </w:pPr>
            <w:r>
              <w:t>NEA 1 – The proportion of children (1) enrolled in and (2) attending school.</w:t>
            </w:r>
          </w:p>
        </w:tc>
      </w:tr>
      <w:tr w:rsidR="00D11E31" w:rsidRPr="00F43474" w:rsidTr="00EC05AB">
        <w:tc>
          <w:tcPr>
            <w:tcW w:w="1843" w:type="dxa"/>
            <w:shd w:val="clear" w:color="auto" w:fill="auto"/>
          </w:tcPr>
          <w:p w:rsidR="00D11E31" w:rsidRPr="00D4699B" w:rsidRDefault="00D11E31" w:rsidP="000D601B">
            <w:pPr>
              <w:pStyle w:val="TableBodyText"/>
              <w:jc w:val="left"/>
              <w:rPr>
                <w:rFonts w:ascii="DejaVu Serif" w:hAnsi="DejaVu Serif"/>
                <w:b/>
              </w:rPr>
            </w:pPr>
            <w:r w:rsidRPr="00D4699B">
              <w:rPr>
                <w:b/>
              </w:rPr>
              <w:t xml:space="preserve">Measure </w:t>
            </w:r>
          </w:p>
        </w:tc>
        <w:tc>
          <w:tcPr>
            <w:tcW w:w="6945" w:type="dxa"/>
            <w:shd w:val="clear" w:color="auto" w:fill="auto"/>
          </w:tcPr>
          <w:p w:rsidR="00D11E31" w:rsidRDefault="00D11E31" w:rsidP="001D6A1D">
            <w:pPr>
              <w:pStyle w:val="TableBodyText"/>
              <w:jc w:val="both"/>
            </w:pPr>
            <w:r>
              <w:t>(1) Proportion of children aged 6–15 years enrolled in school.</w:t>
            </w:r>
          </w:p>
          <w:p w:rsidR="00D11E31" w:rsidRPr="00F43474" w:rsidRDefault="00D11E31" w:rsidP="001D6A1D">
            <w:pPr>
              <w:pStyle w:val="TableBodyText"/>
              <w:jc w:val="both"/>
              <w:rPr>
                <w:u w:val="single"/>
              </w:rPr>
            </w:pPr>
            <w:r w:rsidRPr="00F43474">
              <w:rPr>
                <w:u w:val="single"/>
              </w:rPr>
              <w:t>Numerator:</w:t>
            </w:r>
          </w:p>
          <w:p w:rsidR="00D11E31" w:rsidRDefault="00D11E31" w:rsidP="001D6A1D">
            <w:pPr>
              <w:pStyle w:val="TableBodyText"/>
              <w:jc w:val="both"/>
            </w:pPr>
            <w:r>
              <w:t>(1) Number of children aged 6–15 years enrolled in school (</w:t>
            </w:r>
            <w:r w:rsidR="001B1E03">
              <w:t>full time</w:t>
            </w:r>
            <w:r>
              <w:t xml:space="preserve"> and </w:t>
            </w:r>
            <w:r w:rsidR="001B1E03">
              <w:t>part time</w:t>
            </w:r>
            <w:r>
              <w:t xml:space="preserve"> enrolments).</w:t>
            </w:r>
          </w:p>
          <w:p w:rsidR="00D11E31" w:rsidRPr="00F43474" w:rsidRDefault="00D11E31" w:rsidP="001D6A1D">
            <w:pPr>
              <w:pStyle w:val="TableBodyText"/>
              <w:jc w:val="both"/>
              <w:rPr>
                <w:u w:val="single"/>
              </w:rPr>
            </w:pPr>
            <w:r w:rsidRPr="00F43474">
              <w:rPr>
                <w:u w:val="single"/>
              </w:rPr>
              <w:t>Denominator:</w:t>
            </w:r>
          </w:p>
          <w:p w:rsidR="00D11E31" w:rsidRPr="00C566FA" w:rsidRDefault="00D11E31" w:rsidP="001D6A1D">
            <w:pPr>
              <w:pStyle w:val="TableBodyText"/>
              <w:jc w:val="both"/>
            </w:pPr>
            <w:r>
              <w:t>(1) Total population of children aged 6–15 years.</w:t>
            </w:r>
          </w:p>
        </w:tc>
      </w:tr>
      <w:tr w:rsidR="00D11E31" w:rsidRPr="00F43474" w:rsidTr="00EC05AB">
        <w:tc>
          <w:tcPr>
            <w:tcW w:w="1843" w:type="dxa"/>
            <w:shd w:val="clear" w:color="auto" w:fill="auto"/>
          </w:tcPr>
          <w:p w:rsidR="00D11E31" w:rsidRPr="00D4699B" w:rsidRDefault="00D11E31" w:rsidP="000D601B">
            <w:pPr>
              <w:pStyle w:val="TableBodyText"/>
              <w:jc w:val="left"/>
              <w:rPr>
                <w:rFonts w:ascii="DejaVu Serif" w:hAnsi="DejaVu Serif"/>
                <w:b/>
              </w:rPr>
            </w:pPr>
            <w:r w:rsidRPr="00D4699B">
              <w:rPr>
                <w:b/>
              </w:rPr>
              <w:t>Data Source</w:t>
            </w:r>
          </w:p>
        </w:tc>
        <w:tc>
          <w:tcPr>
            <w:tcW w:w="6945" w:type="dxa"/>
            <w:shd w:val="clear" w:color="auto" w:fill="auto"/>
          </w:tcPr>
          <w:p w:rsidR="00D11E31" w:rsidRPr="00F43474" w:rsidRDefault="00D11E31" w:rsidP="001D6A1D">
            <w:pPr>
              <w:pStyle w:val="TableBodyText"/>
              <w:jc w:val="both"/>
              <w:rPr>
                <w:u w:val="single"/>
              </w:rPr>
            </w:pPr>
            <w:r>
              <w:rPr>
                <w:u w:val="single"/>
              </w:rPr>
              <w:t xml:space="preserve">(1) </w:t>
            </w:r>
            <w:r w:rsidRPr="00F43474">
              <w:rPr>
                <w:u w:val="single"/>
              </w:rPr>
              <w:t>Numerator:</w:t>
            </w:r>
          </w:p>
          <w:p w:rsidR="00D11E31" w:rsidRDefault="00D11E31" w:rsidP="001D6A1D">
            <w:pPr>
              <w:pStyle w:val="TableBodyText"/>
              <w:jc w:val="both"/>
            </w:pPr>
            <w:r>
              <w:t>National Schools Statistics Collection (NSSC) data.</w:t>
            </w:r>
          </w:p>
          <w:p w:rsidR="00D11E31" w:rsidRPr="00F43474" w:rsidRDefault="00D11E31" w:rsidP="001D6A1D">
            <w:pPr>
              <w:pStyle w:val="TableBodyText"/>
              <w:jc w:val="both"/>
              <w:rPr>
                <w:u w:val="single"/>
              </w:rPr>
            </w:pPr>
            <w:r w:rsidRPr="00F43474">
              <w:rPr>
                <w:u w:val="single"/>
              </w:rPr>
              <w:t>Denominator:</w:t>
            </w:r>
          </w:p>
          <w:p w:rsidR="00D11E31" w:rsidRPr="00C566FA" w:rsidRDefault="00D11E31" w:rsidP="001D6A1D">
            <w:pPr>
              <w:pStyle w:val="TableBodyText"/>
              <w:jc w:val="both"/>
            </w:pPr>
            <w:r>
              <w:t>ABS Estimated Resident Population (total population). Data are available annually.</w:t>
            </w:r>
          </w:p>
        </w:tc>
      </w:tr>
      <w:tr w:rsidR="00D11E31" w:rsidRPr="00F43474" w:rsidTr="000D601B">
        <w:tc>
          <w:tcPr>
            <w:tcW w:w="1843" w:type="dxa"/>
            <w:shd w:val="clear" w:color="auto" w:fill="auto"/>
          </w:tcPr>
          <w:p w:rsidR="00D11E31" w:rsidRPr="00D4699B" w:rsidRDefault="00D11E31" w:rsidP="000D601B">
            <w:pPr>
              <w:pStyle w:val="TableBodyText"/>
              <w:jc w:val="left"/>
              <w:rPr>
                <w:rFonts w:ascii="DejaVu Serif" w:hAnsi="DejaVu Serif"/>
                <w:b/>
              </w:rPr>
            </w:pPr>
            <w:r w:rsidRPr="00D4699B">
              <w:rPr>
                <w:b/>
              </w:rPr>
              <w:t>Institutional Environment</w:t>
            </w:r>
          </w:p>
        </w:tc>
        <w:tc>
          <w:tcPr>
            <w:tcW w:w="6945" w:type="dxa"/>
            <w:shd w:val="clear" w:color="auto" w:fill="auto"/>
          </w:tcPr>
          <w:p w:rsidR="00286B28" w:rsidRPr="00286B28" w:rsidRDefault="00286B28" w:rsidP="001D6A1D">
            <w:pPr>
              <w:pStyle w:val="TableBodyText"/>
              <w:jc w:val="both"/>
            </w:pPr>
            <w:r w:rsidRPr="00286B28">
              <w:t>Data on government and non-government schools are collected from administrative school enrolment databases and collated by the ABS through the non-finance National Schools Statistics Collection (NSSC). This collection was established through the work of the then Ministerial Council on Education, Employment, Training and Youth Affairs (MCEETYA).</w:t>
            </w:r>
          </w:p>
          <w:p w:rsidR="00D11E31" w:rsidRPr="00DD0992" w:rsidRDefault="00D11E31" w:rsidP="00934C88">
            <w:pPr>
              <w:pStyle w:val="TableBodyText"/>
              <w:jc w:val="both"/>
              <w:rPr>
                <w:color w:val="000000"/>
              </w:rPr>
            </w:pPr>
            <w:r>
              <w:t>For information on the institutional environment of the ABS, including the legislative obligations of the ABS, which cover this collection, please</w:t>
            </w:r>
            <w:r w:rsidRPr="00CD5909">
              <w:t xml:space="preserve"> </w:t>
            </w:r>
            <w:r w:rsidRPr="00F43474">
              <w:rPr>
                <w:color w:val="000000"/>
              </w:rPr>
              <w:t xml:space="preserve">see </w:t>
            </w:r>
            <w:r>
              <w:rPr>
                <w:color w:val="000000"/>
              </w:rPr>
              <w:t>ABS Institutional Environment</w:t>
            </w:r>
            <w:r w:rsidR="00934C88">
              <w:t xml:space="preserve"> </w:t>
            </w:r>
            <w:r>
              <w:rPr>
                <w:color w:val="000000"/>
              </w:rPr>
              <w:t>(</w:t>
            </w:r>
            <w:hyperlink r:id="rId169" w:history="1">
              <w:r w:rsidR="00934C88" w:rsidRPr="00934C88">
                <w:rPr>
                  <w:color w:val="000000"/>
                </w:rPr>
                <w:t>www.abs.gov.au/</w:t>
              </w:r>
              <w:proofErr w:type="spellStart"/>
              <w:r w:rsidR="00934C88" w:rsidRPr="00934C88">
                <w:rPr>
                  <w:color w:val="000000"/>
                </w:rPr>
                <w:t>websitedbs</w:t>
              </w:r>
              <w:proofErr w:type="spellEnd"/>
              <w:r w:rsidR="00934C88" w:rsidRPr="00934C88">
                <w:rPr>
                  <w:color w:val="000000"/>
                </w:rPr>
                <w:t>/</w:t>
              </w:r>
            </w:hyperlink>
            <w:r w:rsidR="00934C88">
              <w:rPr>
                <w:color w:val="000000"/>
              </w:rPr>
              <w:t xml:space="preserve"> </w:t>
            </w:r>
            <w:proofErr w:type="spellStart"/>
            <w:r w:rsidRPr="00DD0992">
              <w:rPr>
                <w:color w:val="000000"/>
              </w:rPr>
              <w:t>d3310114.nsf</w:t>
            </w:r>
            <w:proofErr w:type="spellEnd"/>
            <w:r w:rsidRPr="00DD0992">
              <w:rPr>
                <w:color w:val="000000"/>
              </w:rPr>
              <w:t>/</w:t>
            </w:r>
            <w:proofErr w:type="spellStart"/>
            <w:r w:rsidRPr="00DD0992">
              <w:rPr>
                <w:color w:val="000000"/>
              </w:rPr>
              <w:t>4a256353001af3ed4b2562bb00121564</w:t>
            </w:r>
            <w:proofErr w:type="spellEnd"/>
            <w:r w:rsidRPr="00DD0992">
              <w:rPr>
                <w:color w:val="000000"/>
              </w:rPr>
              <w:t>/</w:t>
            </w:r>
            <w:proofErr w:type="spellStart"/>
            <w:r w:rsidRPr="00DD0992">
              <w:rPr>
                <w:color w:val="000000"/>
              </w:rPr>
              <w:t>10ca14cb967e5b83</w:t>
            </w:r>
            <w:proofErr w:type="spellEnd"/>
            <w:r w:rsidR="00934C88">
              <w:rPr>
                <w:color w:val="000000"/>
              </w:rPr>
              <w:t xml:space="preserve"> </w:t>
            </w:r>
            <w:proofErr w:type="spellStart"/>
            <w:r w:rsidRPr="00DD0992">
              <w:rPr>
                <w:color w:val="000000"/>
              </w:rPr>
              <w:t>ca2573ae00197b65!OpenDocument</w:t>
            </w:r>
            <w:proofErr w:type="spellEnd"/>
            <w:r>
              <w:rPr>
                <w:color w:val="000000"/>
              </w:rPr>
              <w:t>)</w:t>
            </w:r>
          </w:p>
        </w:tc>
      </w:tr>
      <w:tr w:rsidR="00D11E31" w:rsidRPr="00F43474" w:rsidTr="000D601B">
        <w:tc>
          <w:tcPr>
            <w:tcW w:w="1843" w:type="dxa"/>
            <w:shd w:val="clear" w:color="auto" w:fill="auto"/>
          </w:tcPr>
          <w:p w:rsidR="00D11E31" w:rsidRPr="00D4699B" w:rsidRDefault="00D11E31" w:rsidP="000D601B">
            <w:pPr>
              <w:pStyle w:val="TableBodyText"/>
              <w:jc w:val="left"/>
              <w:rPr>
                <w:rFonts w:ascii="DejaVu Serif" w:hAnsi="DejaVu Serif"/>
                <w:b/>
              </w:rPr>
            </w:pPr>
            <w:r w:rsidRPr="00D4699B">
              <w:rPr>
                <w:b/>
              </w:rPr>
              <w:t>Relevance</w:t>
            </w:r>
          </w:p>
        </w:tc>
        <w:tc>
          <w:tcPr>
            <w:tcW w:w="6945" w:type="dxa"/>
            <w:shd w:val="clear" w:color="auto" w:fill="auto"/>
          </w:tcPr>
          <w:p w:rsidR="00286B28" w:rsidRPr="00286B28" w:rsidRDefault="00286B28" w:rsidP="001D6A1D">
            <w:pPr>
              <w:pStyle w:val="TableBodyText"/>
              <w:jc w:val="both"/>
            </w:pPr>
            <w:r w:rsidRPr="00286B28">
              <w:t xml:space="preserve">Students are classified by state/territory, level and year of education, Indigenous status, </w:t>
            </w:r>
            <w:r w:rsidR="001B1E03">
              <w:t>full time</w:t>
            </w:r>
            <w:r w:rsidRPr="00286B28">
              <w:t xml:space="preserve"> or </w:t>
            </w:r>
            <w:r w:rsidR="001B1E03">
              <w:t>part time</w:t>
            </w:r>
            <w:r w:rsidRPr="00286B28">
              <w:t xml:space="preserve"> status, age at 1 July, category of school and sex. Student data are not currently available by socioeconomic status or geography. Data covers all students enrolled at in scope schools.</w:t>
            </w:r>
          </w:p>
          <w:p w:rsidR="00286B28" w:rsidRPr="00286B28" w:rsidRDefault="00286B28" w:rsidP="001D6A1D">
            <w:pPr>
              <w:pStyle w:val="TableBodyText"/>
              <w:jc w:val="both"/>
            </w:pPr>
            <w:r w:rsidRPr="00286B28">
              <w:t>Information on Indigenous status is obtained from school enrolment forms which are generally completed by the primary carer of the child. The NSSC includes people who did not state their Indigenous status in the category Other (previously Non-Indigenous).</w:t>
            </w:r>
          </w:p>
          <w:p w:rsidR="00286B28" w:rsidRPr="00286B28" w:rsidRDefault="00286B28" w:rsidP="001D6A1D">
            <w:pPr>
              <w:pStyle w:val="TableBodyText"/>
              <w:jc w:val="both"/>
            </w:pPr>
            <w:r w:rsidRPr="00286B28">
              <w:t>All data are collected to standard classifications as stated in the NSSC Notes, Instructions and Tabulations Manual for aggregate submissions and the NSSC Data Collection Manual for unit record level submissions.</w:t>
            </w:r>
          </w:p>
          <w:p w:rsidR="00D11E31" w:rsidRPr="00C566FA" w:rsidRDefault="00286B28" w:rsidP="001D6A1D">
            <w:pPr>
              <w:pStyle w:val="TableBodyText"/>
              <w:jc w:val="both"/>
            </w:pPr>
            <w:r w:rsidRPr="00286B28">
              <w:t>Rates are based on school students as a proportion of the estimated resident population.</w:t>
            </w:r>
          </w:p>
        </w:tc>
      </w:tr>
      <w:tr w:rsidR="00286B28" w:rsidRPr="00F43474" w:rsidTr="00EC05AB">
        <w:tc>
          <w:tcPr>
            <w:tcW w:w="1843" w:type="dxa"/>
            <w:shd w:val="clear" w:color="auto" w:fill="auto"/>
          </w:tcPr>
          <w:p w:rsidR="00286B28" w:rsidRPr="00D4699B" w:rsidRDefault="00286B28" w:rsidP="000D601B">
            <w:pPr>
              <w:pStyle w:val="TableBodyText"/>
              <w:jc w:val="left"/>
              <w:rPr>
                <w:rFonts w:ascii="DejaVu Serif" w:hAnsi="DejaVu Serif"/>
                <w:b/>
              </w:rPr>
            </w:pPr>
            <w:r w:rsidRPr="00D4699B">
              <w:rPr>
                <w:b/>
              </w:rPr>
              <w:t>Timeliness</w:t>
            </w:r>
          </w:p>
        </w:tc>
        <w:tc>
          <w:tcPr>
            <w:tcW w:w="6945" w:type="dxa"/>
            <w:shd w:val="clear" w:color="auto" w:fill="auto"/>
          </w:tcPr>
          <w:p w:rsidR="00286B28" w:rsidRPr="00286B28" w:rsidRDefault="00286B28" w:rsidP="001D6A1D">
            <w:pPr>
              <w:pStyle w:val="TableBodyText"/>
              <w:jc w:val="both"/>
            </w:pPr>
            <w:r w:rsidRPr="00286B28">
              <w:t xml:space="preserve">The NSSC is based on the national school census that is conducted annually on the first Friday in August by each state and territory department of education and the non-government education systems. Information is disseminated through the ABS website from late January through to March the following year. </w:t>
            </w:r>
          </w:p>
        </w:tc>
      </w:tr>
      <w:tr w:rsidR="00286B28" w:rsidRPr="00F43474" w:rsidTr="00EC05AB">
        <w:tc>
          <w:tcPr>
            <w:tcW w:w="1843" w:type="dxa"/>
            <w:shd w:val="clear" w:color="auto" w:fill="auto"/>
          </w:tcPr>
          <w:p w:rsidR="00286B28" w:rsidRPr="00D4699B" w:rsidRDefault="00286B28" w:rsidP="000D601B">
            <w:pPr>
              <w:pStyle w:val="TableBodyText"/>
              <w:jc w:val="left"/>
              <w:rPr>
                <w:rFonts w:ascii="DejaVu Serif" w:hAnsi="DejaVu Serif"/>
                <w:b/>
              </w:rPr>
            </w:pPr>
            <w:r w:rsidRPr="00D4699B">
              <w:rPr>
                <w:b/>
              </w:rPr>
              <w:t>Accuracy</w:t>
            </w:r>
          </w:p>
        </w:tc>
        <w:tc>
          <w:tcPr>
            <w:tcW w:w="6945" w:type="dxa"/>
            <w:shd w:val="clear" w:color="auto" w:fill="auto"/>
          </w:tcPr>
          <w:p w:rsidR="00286B28" w:rsidRPr="00286B28" w:rsidRDefault="00286B28" w:rsidP="001D6A1D">
            <w:pPr>
              <w:pStyle w:val="TableBodyText"/>
              <w:jc w:val="both"/>
            </w:pPr>
            <w:r w:rsidRPr="00286B28">
              <w:t>The NSSC is based on enrolment information from education administrative data systems at the time of the school census, collected in accordance with the standards and definitions applying to the collection.</w:t>
            </w:r>
          </w:p>
          <w:p w:rsidR="00286B28" w:rsidRPr="00286B28" w:rsidRDefault="00286B28" w:rsidP="001D6A1D">
            <w:pPr>
              <w:pStyle w:val="TableBodyText"/>
              <w:jc w:val="both"/>
            </w:pPr>
            <w:r w:rsidRPr="00286B28">
              <w:t xml:space="preserve">For government data, each school provides and/or validates the information reflecting their enrolments to the relevant state education department. Each state and territory education department processes the data so that data forwarded to the ABS represents, or can be used to </w:t>
            </w:r>
            <w:r w:rsidRPr="00286B28">
              <w:lastRenderedPageBreak/>
              <w:t>derive, student counts (a count of natural persons within a system of education).</w:t>
            </w:r>
          </w:p>
          <w:p w:rsidR="00286B28" w:rsidRPr="00286B28" w:rsidRDefault="00286B28" w:rsidP="001D6A1D">
            <w:pPr>
              <w:pStyle w:val="TableBodyText"/>
              <w:jc w:val="both"/>
            </w:pPr>
            <w:r w:rsidRPr="00286B28">
              <w:t xml:space="preserve">Non-government data </w:t>
            </w:r>
            <w:r w:rsidR="00140AB8">
              <w:t>are</w:t>
            </w:r>
            <w:r w:rsidRPr="00286B28">
              <w:t xml:space="preserve"> coordinated through the Australian Government Department of Education, Employment and Workplace Relations (DEEWR).</w:t>
            </w:r>
          </w:p>
          <w:p w:rsidR="00286B28" w:rsidRPr="00286B28" w:rsidRDefault="00286B28" w:rsidP="001D6A1D">
            <w:pPr>
              <w:pStyle w:val="TableBodyText"/>
              <w:jc w:val="both"/>
            </w:pPr>
            <w:r w:rsidRPr="00286B28">
              <w:t>The ABS undertakes further validation of all received data prior to publication.</w:t>
            </w:r>
          </w:p>
          <w:p w:rsidR="00286B28" w:rsidRPr="00286B28" w:rsidRDefault="00286B28" w:rsidP="001D6A1D">
            <w:pPr>
              <w:pStyle w:val="TableBodyText"/>
              <w:jc w:val="both"/>
            </w:pPr>
            <w:r w:rsidRPr="00286B28">
              <w:t>Due to the different enrolment systems, the ability to manage multiple records of enrolment for a student may vary among jurisdictions, which may result in over-reporting of school students in some jurisdictions.</w:t>
            </w:r>
          </w:p>
          <w:p w:rsidR="00286B28" w:rsidRPr="00286B28" w:rsidRDefault="00286B28" w:rsidP="001D6A1D">
            <w:pPr>
              <w:pStyle w:val="TableBodyText"/>
              <w:jc w:val="both"/>
            </w:pPr>
            <w:r w:rsidRPr="00286B28">
              <w:t xml:space="preserve">Some small exceptions exist in the interpretation of the standards applying to the collection, and the ability of systems to collect data to the specifications of the collection, that may affect comparisons of school counts, student counts and student </w:t>
            </w:r>
            <w:r w:rsidR="001B1E03">
              <w:t>full time</w:t>
            </w:r>
            <w:r w:rsidRPr="00286B28">
              <w:t xml:space="preserve"> equivalent values. </w:t>
            </w:r>
          </w:p>
        </w:tc>
      </w:tr>
      <w:tr w:rsidR="00286B28" w:rsidRPr="00F43474" w:rsidTr="000D601B">
        <w:tc>
          <w:tcPr>
            <w:tcW w:w="1843" w:type="dxa"/>
            <w:shd w:val="clear" w:color="auto" w:fill="auto"/>
          </w:tcPr>
          <w:p w:rsidR="00286B28" w:rsidRPr="00D4699B" w:rsidRDefault="00286B28" w:rsidP="000D601B">
            <w:pPr>
              <w:pStyle w:val="TableBodyText"/>
              <w:jc w:val="left"/>
              <w:rPr>
                <w:rFonts w:ascii="DejaVu Serif" w:hAnsi="DejaVu Serif"/>
                <w:b/>
              </w:rPr>
            </w:pPr>
            <w:r w:rsidRPr="00D4699B">
              <w:rPr>
                <w:b/>
              </w:rPr>
              <w:lastRenderedPageBreak/>
              <w:t>Coherence</w:t>
            </w:r>
          </w:p>
        </w:tc>
        <w:tc>
          <w:tcPr>
            <w:tcW w:w="6945" w:type="dxa"/>
            <w:shd w:val="clear" w:color="auto" w:fill="auto"/>
          </w:tcPr>
          <w:p w:rsidR="00286B28" w:rsidRPr="00286B28" w:rsidRDefault="00286B28" w:rsidP="001D6A1D">
            <w:pPr>
              <w:pStyle w:val="TableBodyText"/>
              <w:jc w:val="both"/>
            </w:pPr>
            <w:r w:rsidRPr="00286B28">
              <w:t>Rates are based on school students as a proportion of the estimated resident population. Data items are consistent over time, including with information supplied for 2010 COAG reporting, except where not available.</w:t>
            </w:r>
          </w:p>
          <w:p w:rsidR="00286B28" w:rsidRPr="00286B28" w:rsidRDefault="00286B28" w:rsidP="001D6A1D">
            <w:pPr>
              <w:pStyle w:val="TableBodyText"/>
              <w:jc w:val="both"/>
            </w:pPr>
            <w:r w:rsidRPr="00286B28">
              <w:t>NSSC school and student information is a subset of the enrolment information provided by the various education authorities. The application of NSSC business rules may result in counts which differ from those in other datasets originating from the same education authorities. For example, NSSC student counts may not reconcile to enrolment counts available in alternate datasets where multiple enrolments were reported for those students enrolled in more than one school.</w:t>
            </w:r>
          </w:p>
          <w:p w:rsidR="00286B28" w:rsidRPr="00286B28" w:rsidRDefault="00286B28" w:rsidP="001D6A1D">
            <w:pPr>
              <w:pStyle w:val="TableBodyText"/>
              <w:jc w:val="both"/>
            </w:pPr>
            <w:r w:rsidRPr="00286B28">
              <w:t>State and territory governments report on schools, students and staff in their Annual Reports.</w:t>
            </w:r>
          </w:p>
          <w:p w:rsidR="00286B28" w:rsidRPr="00286B28" w:rsidRDefault="00286B28" w:rsidP="001D6A1D">
            <w:pPr>
              <w:pStyle w:val="TableBodyText"/>
              <w:jc w:val="both"/>
            </w:pPr>
            <w:r w:rsidRPr="00286B28">
              <w:t>State and territory governments provide NSSC data to DEEWR for Commonwealth funding purposes.</w:t>
            </w:r>
          </w:p>
          <w:p w:rsidR="00286B28" w:rsidRPr="00286B28" w:rsidRDefault="00286B28" w:rsidP="001D6A1D">
            <w:pPr>
              <w:pStyle w:val="TableBodyText"/>
              <w:jc w:val="both"/>
            </w:pPr>
            <w:r w:rsidRPr="00286B28">
              <w:t>State and territory governments provide school, student and staff data to the Australian Curriculum Assessment &amp; Reporting Authority (ACARA) for school level reporting.</w:t>
            </w:r>
          </w:p>
          <w:p w:rsidR="00286B28" w:rsidRDefault="00286B28" w:rsidP="001D6A1D">
            <w:pPr>
              <w:pStyle w:val="TableBodyText"/>
              <w:jc w:val="both"/>
            </w:pPr>
            <w:r w:rsidRPr="00286B28">
              <w:t xml:space="preserve">NSSC data </w:t>
            </w:r>
            <w:r w:rsidR="00140AB8">
              <w:t>are</w:t>
            </w:r>
            <w:r w:rsidRPr="00286B28">
              <w:t xml:space="preserve"> reported through the National Report on Schooling in Australia, Aboriginal and Torres Strait Islander Education Action Plan, National Education Agreement, National Partnership on Youth Attainment and Transitions and the Report on Government Services.</w:t>
            </w:r>
          </w:p>
          <w:p w:rsidR="00286B28" w:rsidRPr="00286B28" w:rsidRDefault="00286B28" w:rsidP="001D6A1D">
            <w:pPr>
              <w:pStyle w:val="TableBodyText"/>
              <w:jc w:val="both"/>
            </w:pPr>
            <w:r w:rsidRPr="00286B28">
              <w:t xml:space="preserve">DEEWR reports on non-government school, student and staff data collected for the purposes of administering the </w:t>
            </w:r>
            <w:hyperlink r:id="rId170" w:history="1">
              <w:r w:rsidRPr="00286B28">
                <w:t>Schools Assistance Act 2008</w:t>
              </w:r>
            </w:hyperlink>
            <w:r w:rsidR="00432CA5">
              <w:t xml:space="preserve"> </w:t>
            </w:r>
            <w:r w:rsidR="001D6A1D">
              <w:t>(</w:t>
            </w:r>
            <w:proofErr w:type="spellStart"/>
            <w:r w:rsidR="009E4CF4">
              <w:fldChar w:fldCharType="begin"/>
            </w:r>
            <w:r w:rsidR="009E4CF4">
              <w:instrText xml:space="preserve"> HYPERLINK "http://www.deewr.gov.au/Schooling/Programs/Pages/SchoolsAssistance" </w:instrText>
            </w:r>
            <w:r w:rsidR="009E4CF4">
              <w:fldChar w:fldCharType="separate"/>
            </w:r>
            <w:r w:rsidR="00432CA5" w:rsidRPr="00432CA5">
              <w:t>www.deewr.gov.au</w:t>
            </w:r>
            <w:proofErr w:type="spellEnd"/>
            <w:r w:rsidR="00432CA5" w:rsidRPr="00432CA5">
              <w:t>/Schooling/Programs/Pages/</w:t>
            </w:r>
            <w:proofErr w:type="spellStart"/>
            <w:r w:rsidR="00432CA5" w:rsidRPr="00432CA5">
              <w:t>SchoolsAssistance</w:t>
            </w:r>
            <w:proofErr w:type="spellEnd"/>
            <w:r w:rsidR="009E4CF4">
              <w:fldChar w:fldCharType="end"/>
            </w:r>
            <w:r w:rsidR="00432CA5">
              <w:t xml:space="preserve"> </w:t>
            </w:r>
            <w:proofErr w:type="spellStart"/>
            <w:r w:rsidR="001D6A1D">
              <w:t>Act2008.aspx</w:t>
            </w:r>
            <w:proofErr w:type="spellEnd"/>
            <w:r w:rsidR="001D6A1D">
              <w:t>).</w:t>
            </w:r>
          </w:p>
          <w:p w:rsidR="00286B28" w:rsidRDefault="00286B28" w:rsidP="001D6A1D">
            <w:pPr>
              <w:pStyle w:val="TableBodyText"/>
              <w:jc w:val="both"/>
            </w:pPr>
            <w:r w:rsidRPr="00286B28">
              <w:t>Students to teaching staff ratios include staff with class contact but who are not teachers as well as staff who do not have a permanent class of students but are teachers (e.g. specialist teachers such as foreign language teachers). These figures are a financial indicator and are not indicative of class sizes.</w:t>
            </w:r>
          </w:p>
          <w:p w:rsidR="00286B28" w:rsidRDefault="00286B28" w:rsidP="001D6A1D">
            <w:pPr>
              <w:pStyle w:val="TableBodyText"/>
              <w:jc w:val="both"/>
            </w:pPr>
            <w:r w:rsidRPr="00286B28">
              <w:t xml:space="preserve">The five-yearly </w:t>
            </w:r>
            <w:hyperlink r:id="rId171" w:anchor="from-banner=LN" w:history="1">
              <w:r w:rsidRPr="00286B28">
                <w:t>Census</w:t>
              </w:r>
            </w:hyperlink>
            <w:r w:rsidRPr="00286B28">
              <w:t xml:space="preserve"> of Population and Housing (</w:t>
            </w:r>
            <w:hyperlink r:id="rId172" w:anchor="from-banner=LN" w:history="1">
              <w:r w:rsidRPr="00286B28">
                <w:t>www.abs.gov.au/websitedbs/censushome.nsf/home/data?opendocument#from-banner=LN</w:t>
              </w:r>
            </w:hyperlink>
            <w:r w:rsidRPr="00286B28">
              <w:t>) includes information on children attending school and the occupation of Australians (including teachers).</w:t>
            </w:r>
          </w:p>
          <w:p w:rsidR="00286B28" w:rsidRPr="00286B28" w:rsidRDefault="00286B28" w:rsidP="001D6A1D">
            <w:pPr>
              <w:pStyle w:val="TableBodyText"/>
              <w:jc w:val="both"/>
            </w:pPr>
            <w:r w:rsidRPr="00286B28">
              <w:t xml:space="preserve">The ABS Estimated Resident Population (ERP) series is used in the calculation of some measures of secondary engagement in this publication. It is used as a denominator to calculate students as a proportion of the population. The ERP is an estimate of the population of Australia, based on data from the most recent published ABS Census of Population and Housing, and is updated annually using information on births, deaths and internal migration provided by state and federal </w:t>
            </w:r>
            <w:r w:rsidRPr="00286B28">
              <w:lastRenderedPageBreak/>
              <w:t xml:space="preserve">government departments. See ABS </w:t>
            </w:r>
            <w:hyperlink r:id="rId173" w:history="1">
              <w:r w:rsidRPr="00286B28">
                <w:t>Population by Age and Sex, Australian States and Territories</w:t>
              </w:r>
            </w:hyperlink>
            <w:r w:rsidR="00F70DBA">
              <w:t xml:space="preserve"> (</w:t>
            </w:r>
            <w:r w:rsidRPr="00286B28">
              <w:t>www.abs.gov.au/</w:t>
            </w:r>
            <w:proofErr w:type="spellStart"/>
            <w:r w:rsidRPr="00286B28">
              <w:t>ausstats</w:t>
            </w:r>
            <w:proofErr w:type="spellEnd"/>
            <w:r w:rsidRPr="00286B28">
              <w:t>/</w:t>
            </w:r>
            <w:r w:rsidR="00F70DBA">
              <w:t xml:space="preserve"> </w:t>
            </w:r>
            <w:r w:rsidRPr="00286B28">
              <w:t>abs@.</w:t>
            </w:r>
            <w:proofErr w:type="spellStart"/>
            <w:r w:rsidRPr="00286B28">
              <w:t>nsf</w:t>
            </w:r>
            <w:proofErr w:type="spellEnd"/>
            <w:r w:rsidRPr="00286B28">
              <w:t>/mf/3201.0</w:t>
            </w:r>
            <w:r w:rsidR="008A17C1">
              <w:t>)</w:t>
            </w:r>
            <w:r w:rsidRPr="00286B28">
              <w:t xml:space="preserve"> </w:t>
            </w:r>
            <w:r w:rsidR="009605B1">
              <w:t>(Cat. no. </w:t>
            </w:r>
            <w:r w:rsidRPr="00286B28">
              <w:t>3201.0) for further details.</w:t>
            </w:r>
          </w:p>
          <w:p w:rsidR="00286B28" w:rsidRPr="00286B28" w:rsidRDefault="00286B28" w:rsidP="001D6A1D">
            <w:pPr>
              <w:pStyle w:val="TableBodyText"/>
              <w:jc w:val="both"/>
            </w:pPr>
            <w:r w:rsidRPr="00286B28">
              <w:t>Estimates may differ from those released in previous editions of this publication due to scheduled revisions of the estimated resident population. These differences are likely to be very small.</w:t>
            </w:r>
          </w:p>
        </w:tc>
      </w:tr>
      <w:tr w:rsidR="00286B28" w:rsidRPr="00F43474" w:rsidTr="000D601B">
        <w:tc>
          <w:tcPr>
            <w:tcW w:w="1843" w:type="dxa"/>
            <w:shd w:val="clear" w:color="auto" w:fill="auto"/>
          </w:tcPr>
          <w:p w:rsidR="00286B28" w:rsidRPr="00D4699B" w:rsidRDefault="00286B28" w:rsidP="000D601B">
            <w:pPr>
              <w:pStyle w:val="TableBodyText"/>
              <w:jc w:val="left"/>
              <w:rPr>
                <w:rFonts w:ascii="DejaVu Serif" w:hAnsi="DejaVu Serif"/>
                <w:b/>
              </w:rPr>
            </w:pPr>
            <w:r w:rsidRPr="00D4699B">
              <w:rPr>
                <w:b/>
              </w:rPr>
              <w:lastRenderedPageBreak/>
              <w:t>Interpretability</w:t>
            </w:r>
          </w:p>
        </w:tc>
        <w:tc>
          <w:tcPr>
            <w:tcW w:w="6945" w:type="dxa"/>
            <w:shd w:val="clear" w:color="auto" w:fill="auto"/>
          </w:tcPr>
          <w:p w:rsidR="00286B28" w:rsidRPr="00286B28" w:rsidRDefault="007076BB" w:rsidP="00432CA5">
            <w:pPr>
              <w:pStyle w:val="TableBodyText"/>
              <w:jc w:val="both"/>
            </w:pPr>
            <w:hyperlink r:id="rId174" w:history="1">
              <w:r w:rsidR="00286B28" w:rsidRPr="00286B28">
                <w:t>Schools Australia</w:t>
              </w:r>
            </w:hyperlink>
            <w:r w:rsidR="00286B28" w:rsidRPr="00286B28">
              <w:t xml:space="preserve"> (www.abs.gov.au/</w:t>
            </w:r>
            <w:proofErr w:type="spellStart"/>
            <w:r w:rsidR="00286B28" w:rsidRPr="00286B28">
              <w:t>ausstats</w:t>
            </w:r>
            <w:proofErr w:type="spellEnd"/>
            <w:r w:rsidR="00286B28" w:rsidRPr="00286B28">
              <w:t>/abs@.</w:t>
            </w:r>
            <w:proofErr w:type="spellStart"/>
            <w:r w:rsidR="00286B28" w:rsidRPr="00286B28">
              <w:t>nsf</w:t>
            </w:r>
            <w:proofErr w:type="spellEnd"/>
            <w:r w:rsidR="00286B28" w:rsidRPr="00286B28">
              <w:t>/mf/4221.0</w:t>
            </w:r>
            <w:r w:rsidR="008A17C1">
              <w:t>)</w:t>
            </w:r>
            <w:r w:rsidR="00F70DBA">
              <w:t xml:space="preserve"> </w:t>
            </w:r>
            <w:r w:rsidR="009605B1">
              <w:t>(Cat. no. </w:t>
            </w:r>
            <w:r w:rsidR="00286B28" w:rsidRPr="00286B28">
              <w:t>4221.0) includes explanatory notes and a glossary, both of which are available on the ABS website.</w:t>
            </w:r>
          </w:p>
        </w:tc>
      </w:tr>
      <w:tr w:rsidR="00286B28" w:rsidRPr="00F43474" w:rsidTr="00EC05AB">
        <w:tc>
          <w:tcPr>
            <w:tcW w:w="1843" w:type="dxa"/>
            <w:shd w:val="clear" w:color="auto" w:fill="auto"/>
          </w:tcPr>
          <w:p w:rsidR="00286B28" w:rsidRPr="00D4699B" w:rsidRDefault="00286B28" w:rsidP="000D601B">
            <w:pPr>
              <w:pStyle w:val="TableBodyText"/>
              <w:jc w:val="left"/>
              <w:rPr>
                <w:rFonts w:ascii="DejaVu Serif" w:hAnsi="DejaVu Serif"/>
                <w:b/>
              </w:rPr>
            </w:pPr>
            <w:r w:rsidRPr="00D4699B">
              <w:rPr>
                <w:b/>
              </w:rPr>
              <w:t>Accessibility</w:t>
            </w:r>
          </w:p>
        </w:tc>
        <w:tc>
          <w:tcPr>
            <w:tcW w:w="6945" w:type="dxa"/>
            <w:shd w:val="clear" w:color="auto" w:fill="auto"/>
          </w:tcPr>
          <w:p w:rsidR="00286B28" w:rsidRPr="00286B28" w:rsidRDefault="00286B28" w:rsidP="001D6A1D">
            <w:pPr>
              <w:pStyle w:val="TableBodyText"/>
              <w:jc w:val="both"/>
            </w:pPr>
            <w:r w:rsidRPr="00286B28">
              <w:t xml:space="preserve">Predominantly national level information is published in </w:t>
            </w:r>
            <w:hyperlink r:id="rId175" w:history="1">
              <w:r w:rsidRPr="00286B28">
                <w:t>Schools Australia</w:t>
              </w:r>
            </w:hyperlink>
            <w:r w:rsidR="00432CA5">
              <w:t xml:space="preserve"> (</w:t>
            </w:r>
            <w:r w:rsidRPr="00286B28">
              <w:t>www.abs.gov.au/</w:t>
            </w:r>
            <w:proofErr w:type="spellStart"/>
            <w:r w:rsidRPr="00286B28">
              <w:t>ausstats</w:t>
            </w:r>
            <w:proofErr w:type="spellEnd"/>
            <w:r w:rsidRPr="00286B28">
              <w:t>/abs@.</w:t>
            </w:r>
            <w:proofErr w:type="spellStart"/>
            <w:r w:rsidRPr="00286B28">
              <w:t>nsf</w:t>
            </w:r>
            <w:proofErr w:type="spellEnd"/>
            <w:r w:rsidRPr="00286B28">
              <w:t>/mf/4221.0</w:t>
            </w:r>
            <w:r w:rsidR="008A17C1">
              <w:t>)</w:t>
            </w:r>
            <w:r w:rsidRPr="00286B28">
              <w:t xml:space="preserve"> </w:t>
            </w:r>
            <w:r w:rsidR="009605B1">
              <w:t>(Cat. no. </w:t>
            </w:r>
            <w:r w:rsidRPr="00286B28">
              <w:t>4221.0) on the ABS website. A range of time series data cubes, with a focus on state/territory level information, is also available on the ABS website.</w:t>
            </w:r>
          </w:p>
        </w:tc>
      </w:tr>
    </w:tbl>
    <w:p w:rsidR="00D11E31" w:rsidRDefault="00D11E31" w:rsidP="000D601B">
      <w:pPr>
        <w:pStyle w:val="Heading3"/>
        <w:spacing w:before="360" w:after="240"/>
      </w:pPr>
      <w:r>
        <w:br w:type="page"/>
      </w:r>
      <w:bookmarkStart w:id="41" w:name="_Ref325636898"/>
      <w:r>
        <w:lastRenderedPageBreak/>
        <w:t>D</w:t>
      </w:r>
      <w:r w:rsidRPr="00291419">
        <w:t xml:space="preserve">ata </w:t>
      </w:r>
      <w:r w:rsidRPr="00A05316">
        <w:t>Quality</w:t>
      </w:r>
      <w:r>
        <w:t xml:space="preserve"> Statement – Performance Indicator 2 (measure </w:t>
      </w:r>
      <w:proofErr w:type="spellStart"/>
      <w:r>
        <w:t>2a</w:t>
      </w:r>
      <w:proofErr w:type="spellEnd"/>
      <w:r>
        <w:t>): The proportion of Indigenous and low SES children enrolled in school</w:t>
      </w:r>
      <w:bookmarkEnd w:id="41"/>
    </w:p>
    <w:tbl>
      <w:tblPr>
        <w:tblW w:w="8788" w:type="dxa"/>
        <w:tblInd w:w="108" w:type="dxa"/>
        <w:tblBorders>
          <w:left w:val="single" w:sz="4" w:space="0" w:color="auto"/>
        </w:tblBorders>
        <w:tblLayout w:type="fixed"/>
        <w:tblLook w:val="01E0" w:firstRow="1" w:lastRow="1" w:firstColumn="1" w:lastColumn="1" w:noHBand="0" w:noVBand="0"/>
      </w:tblPr>
      <w:tblGrid>
        <w:gridCol w:w="1843"/>
        <w:gridCol w:w="6945"/>
      </w:tblGrid>
      <w:tr w:rsidR="00842CA1" w:rsidRPr="007A7B92" w:rsidTr="00EC05AB">
        <w:tc>
          <w:tcPr>
            <w:tcW w:w="1843" w:type="dxa"/>
            <w:tcBorders>
              <w:left w:val="nil"/>
            </w:tcBorders>
            <w:shd w:val="clear" w:color="auto" w:fill="auto"/>
          </w:tcPr>
          <w:p w:rsidR="00842CA1" w:rsidRPr="00D4699B" w:rsidRDefault="00842CA1" w:rsidP="000D601B">
            <w:pPr>
              <w:pStyle w:val="TableBodyText"/>
              <w:jc w:val="left"/>
              <w:rPr>
                <w:rFonts w:ascii="DejaVu Serif" w:hAnsi="DejaVu Serif"/>
                <w:b/>
              </w:rPr>
            </w:pPr>
            <w:r w:rsidRPr="00D4699B">
              <w:rPr>
                <w:b/>
              </w:rPr>
              <w:t>Indicator</w:t>
            </w:r>
          </w:p>
        </w:tc>
        <w:tc>
          <w:tcPr>
            <w:tcW w:w="6945" w:type="dxa"/>
          </w:tcPr>
          <w:p w:rsidR="00842CA1" w:rsidRPr="00CB451E" w:rsidRDefault="00842CA1" w:rsidP="00432CA5">
            <w:pPr>
              <w:pStyle w:val="TableBodyText"/>
              <w:jc w:val="both"/>
            </w:pPr>
            <w:r w:rsidRPr="00CB451E">
              <w:t>NEA 2 – The proportion of children (1) enrolled in and (2) attending school.</w:t>
            </w:r>
          </w:p>
        </w:tc>
      </w:tr>
      <w:tr w:rsidR="00842CA1" w:rsidRPr="007A7B92" w:rsidTr="00EC05AB">
        <w:tc>
          <w:tcPr>
            <w:tcW w:w="1843" w:type="dxa"/>
            <w:tcBorders>
              <w:left w:val="nil"/>
            </w:tcBorders>
            <w:shd w:val="clear" w:color="auto" w:fill="auto"/>
          </w:tcPr>
          <w:p w:rsidR="00842CA1" w:rsidRPr="00D4699B" w:rsidRDefault="00842CA1" w:rsidP="000D601B">
            <w:pPr>
              <w:pStyle w:val="TableBodyText"/>
              <w:jc w:val="left"/>
              <w:rPr>
                <w:rFonts w:ascii="DejaVu Serif" w:hAnsi="DejaVu Serif"/>
                <w:b/>
              </w:rPr>
            </w:pPr>
            <w:r w:rsidRPr="00D4699B">
              <w:rPr>
                <w:b/>
              </w:rPr>
              <w:t xml:space="preserve">Measure </w:t>
            </w:r>
          </w:p>
        </w:tc>
        <w:tc>
          <w:tcPr>
            <w:tcW w:w="6945" w:type="dxa"/>
          </w:tcPr>
          <w:p w:rsidR="00842CA1" w:rsidRPr="00CB451E" w:rsidRDefault="00842CA1" w:rsidP="00432CA5">
            <w:pPr>
              <w:pStyle w:val="TableBodyText"/>
              <w:jc w:val="both"/>
            </w:pPr>
            <w:r w:rsidRPr="00CB451E">
              <w:t>(1) Proportion of children aged 6–15 years enrolled in school.</w:t>
            </w:r>
          </w:p>
          <w:p w:rsidR="00842CA1" w:rsidRPr="00CB451E" w:rsidRDefault="00842CA1" w:rsidP="00432CA5">
            <w:pPr>
              <w:pStyle w:val="TableBodyText"/>
              <w:jc w:val="both"/>
              <w:rPr>
                <w:u w:val="single"/>
              </w:rPr>
            </w:pPr>
            <w:r w:rsidRPr="00CB451E">
              <w:rPr>
                <w:u w:val="single"/>
              </w:rPr>
              <w:t>Numerator:</w:t>
            </w:r>
          </w:p>
          <w:p w:rsidR="00842CA1" w:rsidRPr="00CB451E" w:rsidRDefault="00842CA1" w:rsidP="00432CA5">
            <w:pPr>
              <w:pStyle w:val="TableBodyText"/>
              <w:jc w:val="both"/>
            </w:pPr>
            <w:r w:rsidRPr="00CB451E">
              <w:t>(1) Number of children aged 6–15 years enrolled in school (</w:t>
            </w:r>
            <w:r w:rsidR="001B1E03">
              <w:t>full time</w:t>
            </w:r>
            <w:r w:rsidRPr="00CB451E">
              <w:t xml:space="preserve"> and </w:t>
            </w:r>
            <w:r w:rsidR="001B1E03">
              <w:t>part time</w:t>
            </w:r>
            <w:r w:rsidRPr="00CB451E">
              <w:t xml:space="preserve"> enrol</w:t>
            </w:r>
            <w:r w:rsidR="00CB451E">
              <w:t>m</w:t>
            </w:r>
            <w:r w:rsidRPr="00CB451E">
              <w:t>ents).</w:t>
            </w:r>
          </w:p>
          <w:p w:rsidR="00842CA1" w:rsidRPr="00CB451E" w:rsidRDefault="00842CA1" w:rsidP="00432CA5">
            <w:pPr>
              <w:pStyle w:val="TableBodyText"/>
              <w:jc w:val="both"/>
              <w:rPr>
                <w:u w:val="single"/>
              </w:rPr>
            </w:pPr>
            <w:r w:rsidRPr="00CB451E">
              <w:rPr>
                <w:u w:val="single"/>
              </w:rPr>
              <w:t>Denominator:</w:t>
            </w:r>
          </w:p>
          <w:p w:rsidR="00842CA1" w:rsidRPr="00CB451E" w:rsidRDefault="00842CA1" w:rsidP="00432CA5">
            <w:pPr>
              <w:pStyle w:val="TableBodyText"/>
              <w:jc w:val="both"/>
            </w:pPr>
            <w:r w:rsidRPr="00CB451E">
              <w:t>(1) Total population of children aged 6–15 years.</w:t>
            </w:r>
          </w:p>
        </w:tc>
      </w:tr>
      <w:tr w:rsidR="00842CA1" w:rsidRPr="007A7B92" w:rsidTr="00EC05AB">
        <w:tc>
          <w:tcPr>
            <w:tcW w:w="1843" w:type="dxa"/>
            <w:tcBorders>
              <w:left w:val="nil"/>
              <w:right w:val="nil"/>
            </w:tcBorders>
            <w:shd w:val="clear" w:color="auto" w:fill="auto"/>
          </w:tcPr>
          <w:p w:rsidR="00842CA1" w:rsidRPr="00D4699B" w:rsidRDefault="00842CA1" w:rsidP="000D601B">
            <w:pPr>
              <w:pStyle w:val="TableBodyText"/>
              <w:jc w:val="left"/>
              <w:rPr>
                <w:rFonts w:ascii="DejaVu Serif" w:hAnsi="DejaVu Serif"/>
                <w:b/>
              </w:rPr>
            </w:pPr>
            <w:r w:rsidRPr="00D4699B">
              <w:rPr>
                <w:b/>
              </w:rPr>
              <w:t>Data Source</w:t>
            </w:r>
          </w:p>
        </w:tc>
        <w:tc>
          <w:tcPr>
            <w:tcW w:w="6945" w:type="dxa"/>
            <w:tcBorders>
              <w:left w:val="nil"/>
              <w:right w:val="nil"/>
            </w:tcBorders>
          </w:tcPr>
          <w:p w:rsidR="00842CA1" w:rsidRPr="00CB451E" w:rsidRDefault="00842CA1" w:rsidP="00EE3827">
            <w:pPr>
              <w:pStyle w:val="TableBodyText"/>
              <w:jc w:val="both"/>
            </w:pPr>
            <w:r w:rsidRPr="00CB451E">
              <w:rPr>
                <w:u w:val="single"/>
              </w:rPr>
              <w:t>Numerator:</w:t>
            </w:r>
          </w:p>
          <w:p w:rsidR="00842CA1" w:rsidRPr="00CB451E" w:rsidRDefault="00842CA1" w:rsidP="00EE3827">
            <w:pPr>
              <w:pStyle w:val="TableBodyText"/>
              <w:jc w:val="both"/>
            </w:pPr>
            <w:r w:rsidRPr="00CB451E">
              <w:t>National Schools Statistics Collection (NSSC) data.</w:t>
            </w:r>
          </w:p>
          <w:p w:rsidR="00842CA1" w:rsidRPr="00CB451E" w:rsidRDefault="00842CA1" w:rsidP="00EE3827">
            <w:pPr>
              <w:pStyle w:val="TableBodyText"/>
              <w:jc w:val="both"/>
              <w:rPr>
                <w:u w:val="single"/>
              </w:rPr>
            </w:pPr>
            <w:r w:rsidRPr="00CB451E">
              <w:rPr>
                <w:u w:val="single"/>
              </w:rPr>
              <w:t>Denominator:</w:t>
            </w:r>
          </w:p>
          <w:p w:rsidR="00842CA1" w:rsidRPr="00CB451E" w:rsidRDefault="00842CA1" w:rsidP="00EE3827">
            <w:pPr>
              <w:pStyle w:val="TableBodyText"/>
              <w:jc w:val="both"/>
            </w:pPr>
            <w:r w:rsidRPr="00CB451E">
              <w:t>ABS Estimated Resident Population (total population). Data are available annually</w:t>
            </w:r>
            <w:r w:rsidRPr="000B3CFD">
              <w:t>.</w:t>
            </w:r>
            <w:r w:rsidR="000B3CFD" w:rsidRPr="000B3CFD">
              <w:t xml:space="preserve"> </w:t>
            </w:r>
            <w:r w:rsidR="000B3CFD">
              <w:t xml:space="preserve">ABS </w:t>
            </w:r>
            <w:r w:rsidR="000B3CFD" w:rsidRPr="000B3CFD">
              <w:t>Experimental estimates and projections, Aboriginal and Torres Strait Islander Australians</w:t>
            </w:r>
            <w:r w:rsidR="000B3CFD">
              <w:t xml:space="preserve"> 1991</w:t>
            </w:r>
            <w:r w:rsidR="000B3CFD">
              <w:softHyphen/>
              <w:t>–2021</w:t>
            </w:r>
            <w:r w:rsidR="000B3CFD" w:rsidRPr="000B3CFD">
              <w:t xml:space="preserve"> </w:t>
            </w:r>
            <w:r w:rsidR="000B3CFD">
              <w:t>(Indigenous).</w:t>
            </w:r>
          </w:p>
        </w:tc>
      </w:tr>
      <w:tr w:rsidR="00842CA1" w:rsidRPr="007A7B92" w:rsidTr="00EC05AB">
        <w:tc>
          <w:tcPr>
            <w:tcW w:w="1843" w:type="dxa"/>
            <w:tcBorders>
              <w:left w:val="nil"/>
              <w:right w:val="nil"/>
            </w:tcBorders>
            <w:shd w:val="clear" w:color="auto" w:fill="auto"/>
          </w:tcPr>
          <w:p w:rsidR="00842CA1" w:rsidRPr="00D4699B" w:rsidRDefault="00842CA1" w:rsidP="000D601B">
            <w:pPr>
              <w:pStyle w:val="TableBodyText"/>
              <w:jc w:val="left"/>
              <w:rPr>
                <w:rFonts w:ascii="DejaVu Serif" w:hAnsi="DejaVu Serif"/>
                <w:b/>
              </w:rPr>
            </w:pPr>
            <w:r w:rsidRPr="00D4699B">
              <w:rPr>
                <w:b/>
              </w:rPr>
              <w:t>Institutional Environment</w:t>
            </w:r>
          </w:p>
        </w:tc>
        <w:tc>
          <w:tcPr>
            <w:tcW w:w="6945" w:type="dxa"/>
            <w:tcBorders>
              <w:left w:val="nil"/>
              <w:right w:val="nil"/>
            </w:tcBorders>
          </w:tcPr>
          <w:p w:rsidR="00842CA1" w:rsidRPr="00CB451E" w:rsidRDefault="00842CA1" w:rsidP="00432CA5">
            <w:pPr>
              <w:pStyle w:val="TableBodyText"/>
              <w:jc w:val="both"/>
            </w:pPr>
            <w:r w:rsidRPr="00CB451E">
              <w:t>Data on government and non-government schools are collected from administrative school enrolment databases and collated by the ABS through the non-finance National Schools Statistics Collection (NSSC). This collection was established through the work of the then Ministerial Council on Education, Employment, Training and Youth Affairs (MCEETYA).</w:t>
            </w:r>
          </w:p>
          <w:p w:rsidR="00842CA1" w:rsidRPr="00CB451E" w:rsidRDefault="00842CA1" w:rsidP="00934C88">
            <w:pPr>
              <w:pStyle w:val="TableBodyText"/>
              <w:jc w:val="both"/>
            </w:pPr>
            <w:r w:rsidRPr="00CB451E">
              <w:t xml:space="preserve">For information on the institutional environment of the ABS, including the legislative obligations of the ABS, which cover this collection, please see </w:t>
            </w:r>
            <w:hyperlink r:id="rId176" w:history="1">
              <w:r w:rsidRPr="00CB451E">
                <w:t>ABS Institutional Environment</w:t>
              </w:r>
              <w:r w:rsidR="00934C88">
                <w:t xml:space="preserve"> (</w:t>
              </w:r>
              <w:r w:rsidRPr="00CB451E">
                <w:t>www.abs.gov.au/</w:t>
              </w:r>
              <w:proofErr w:type="spellStart"/>
              <w:r w:rsidRPr="00CB451E">
                <w:t>websitedbs</w:t>
              </w:r>
              <w:proofErr w:type="spellEnd"/>
              <w:r w:rsidRPr="00CB451E">
                <w:t>/</w:t>
              </w:r>
              <w:r w:rsidR="00934C88">
                <w:t xml:space="preserve"> </w:t>
              </w:r>
              <w:r w:rsidRPr="00CB451E">
                <w:t>d3310114.nsf/4a256353001af3ed4b2562bb00121564/10ca14cb967e5b83ca2573ae00197b65!OpenDocument).</w:t>
              </w:r>
            </w:hyperlink>
          </w:p>
        </w:tc>
      </w:tr>
      <w:tr w:rsidR="00842CA1" w:rsidRPr="007A7B92" w:rsidTr="00EC05AB">
        <w:tc>
          <w:tcPr>
            <w:tcW w:w="1843" w:type="dxa"/>
            <w:tcBorders>
              <w:left w:val="nil"/>
            </w:tcBorders>
            <w:shd w:val="clear" w:color="auto" w:fill="auto"/>
          </w:tcPr>
          <w:p w:rsidR="00842CA1" w:rsidRPr="00D4699B" w:rsidRDefault="00842CA1" w:rsidP="000D601B">
            <w:pPr>
              <w:pStyle w:val="TableBodyText"/>
              <w:jc w:val="left"/>
              <w:rPr>
                <w:rFonts w:ascii="DejaVu Serif" w:hAnsi="DejaVu Serif"/>
                <w:b/>
              </w:rPr>
            </w:pPr>
            <w:r w:rsidRPr="00D4699B">
              <w:rPr>
                <w:b/>
              </w:rPr>
              <w:t>Relevance</w:t>
            </w:r>
          </w:p>
        </w:tc>
        <w:tc>
          <w:tcPr>
            <w:tcW w:w="6945" w:type="dxa"/>
          </w:tcPr>
          <w:p w:rsidR="00842CA1" w:rsidRPr="00CB451E" w:rsidRDefault="00842CA1" w:rsidP="00432CA5">
            <w:pPr>
              <w:pStyle w:val="TableBodyText"/>
              <w:jc w:val="both"/>
            </w:pPr>
            <w:r w:rsidRPr="00CB451E">
              <w:t xml:space="preserve">Students are classified by state/territory, level and year of education, Indigenous status, </w:t>
            </w:r>
            <w:r w:rsidR="001B1E03">
              <w:t>full time</w:t>
            </w:r>
            <w:r w:rsidRPr="00CB451E">
              <w:t xml:space="preserve"> or </w:t>
            </w:r>
            <w:r w:rsidR="001B1E03">
              <w:t>part time</w:t>
            </w:r>
            <w:r w:rsidRPr="00CB451E">
              <w:t xml:space="preserve"> status, age at 1 July, category of school and sex. Student data are not currently available by socioeconomic status or geography. Data covers all students enrolled at in scope schools.</w:t>
            </w:r>
            <w:r w:rsidR="00712F6B">
              <w:t xml:space="preserve"> </w:t>
            </w:r>
            <w:r w:rsidRPr="00CB451E">
              <w:t>Information on Indigenous status is obtained from school enrolment forms which are generally completed by the primary carer of the child. The NSSC includes people who did not state their Indigenous status in the category Other (previously Non-Indigenous).</w:t>
            </w:r>
          </w:p>
          <w:p w:rsidR="00842CA1" w:rsidRPr="00CB451E" w:rsidRDefault="00842CA1" w:rsidP="00432CA5">
            <w:pPr>
              <w:pStyle w:val="TableBodyText"/>
              <w:jc w:val="both"/>
            </w:pPr>
            <w:r w:rsidRPr="00CB451E">
              <w:t>All data are collected to standard classifications as stated in the NSSC Notes, Instructions and Tabulations Manual for aggregate submissions and the NSSC Data Collection Manual for unit record level submissions.</w:t>
            </w:r>
          </w:p>
          <w:p w:rsidR="00842CA1" w:rsidRPr="00CB451E" w:rsidRDefault="00842CA1" w:rsidP="00432CA5">
            <w:pPr>
              <w:pStyle w:val="TableBodyText"/>
              <w:jc w:val="both"/>
            </w:pPr>
            <w:r w:rsidRPr="00CB451E">
              <w:t>Rates are based on school students as a proportion of the estimated resident population.</w:t>
            </w:r>
          </w:p>
        </w:tc>
      </w:tr>
      <w:tr w:rsidR="00842CA1" w:rsidRPr="007A7B92" w:rsidTr="00EC05AB">
        <w:tc>
          <w:tcPr>
            <w:tcW w:w="1843" w:type="dxa"/>
            <w:tcBorders>
              <w:left w:val="nil"/>
            </w:tcBorders>
            <w:shd w:val="clear" w:color="auto" w:fill="auto"/>
          </w:tcPr>
          <w:p w:rsidR="00842CA1" w:rsidRPr="00D4699B" w:rsidRDefault="00842CA1" w:rsidP="000D601B">
            <w:pPr>
              <w:pStyle w:val="TableBodyText"/>
              <w:jc w:val="left"/>
              <w:rPr>
                <w:rFonts w:ascii="DejaVu Serif" w:hAnsi="DejaVu Serif"/>
                <w:b/>
              </w:rPr>
            </w:pPr>
            <w:r w:rsidRPr="00D4699B">
              <w:rPr>
                <w:b/>
              </w:rPr>
              <w:t>Timeliness</w:t>
            </w:r>
          </w:p>
        </w:tc>
        <w:tc>
          <w:tcPr>
            <w:tcW w:w="6945" w:type="dxa"/>
          </w:tcPr>
          <w:p w:rsidR="00842CA1" w:rsidRPr="00CB451E" w:rsidRDefault="00842CA1" w:rsidP="00432CA5">
            <w:pPr>
              <w:pStyle w:val="TableBodyText"/>
              <w:jc w:val="both"/>
            </w:pPr>
            <w:r w:rsidRPr="00CB451E">
              <w:t xml:space="preserve">The NSSC is based on the national school census that is conducted annually on the first Friday in August by each state and territory department of education and the non-government education systems. Information is disseminated through the ABS website from late January through to March the following year. </w:t>
            </w:r>
          </w:p>
        </w:tc>
      </w:tr>
      <w:tr w:rsidR="00842CA1" w:rsidRPr="007A7B92" w:rsidTr="00EC05AB">
        <w:tc>
          <w:tcPr>
            <w:tcW w:w="1843" w:type="dxa"/>
            <w:tcBorders>
              <w:left w:val="nil"/>
            </w:tcBorders>
            <w:shd w:val="clear" w:color="auto" w:fill="auto"/>
          </w:tcPr>
          <w:p w:rsidR="00842CA1" w:rsidRPr="00D4699B" w:rsidRDefault="00842CA1" w:rsidP="000D601B">
            <w:pPr>
              <w:pStyle w:val="TableBodyText"/>
              <w:jc w:val="left"/>
              <w:rPr>
                <w:rFonts w:ascii="DejaVu Serif" w:hAnsi="DejaVu Serif"/>
                <w:b/>
              </w:rPr>
            </w:pPr>
            <w:r w:rsidRPr="00D4699B">
              <w:rPr>
                <w:b/>
              </w:rPr>
              <w:t>Accuracy</w:t>
            </w:r>
          </w:p>
        </w:tc>
        <w:tc>
          <w:tcPr>
            <w:tcW w:w="6945" w:type="dxa"/>
          </w:tcPr>
          <w:p w:rsidR="00842CA1" w:rsidRPr="00CB451E" w:rsidRDefault="00842CA1" w:rsidP="00432CA5">
            <w:pPr>
              <w:pStyle w:val="TableBodyText"/>
              <w:jc w:val="both"/>
            </w:pPr>
            <w:r w:rsidRPr="00CB451E">
              <w:t>The NSSC is based on enrolment information from education administrative data systems at the time of the school census, collected in accordance with the standards and definitions applying to the collection.</w:t>
            </w:r>
          </w:p>
          <w:p w:rsidR="00842CA1" w:rsidRPr="00CB451E" w:rsidRDefault="00842CA1" w:rsidP="00432CA5">
            <w:pPr>
              <w:pStyle w:val="TableBodyText"/>
              <w:jc w:val="both"/>
            </w:pPr>
            <w:r w:rsidRPr="00CB451E">
              <w:t xml:space="preserve">For government data, each school provides and/or validates the information reflecting their enrolments to the relevant state education department. Each state and territory education department processes the </w:t>
            </w:r>
            <w:r w:rsidRPr="00CB451E">
              <w:lastRenderedPageBreak/>
              <w:t>data so that data forwarded to the ABS represents, or can be used to derive, student counts (a count of natural persons within a system of education).</w:t>
            </w:r>
          </w:p>
          <w:p w:rsidR="00842CA1" w:rsidRPr="00CB451E" w:rsidRDefault="00842CA1" w:rsidP="00432CA5">
            <w:pPr>
              <w:pStyle w:val="TableBodyText"/>
              <w:jc w:val="both"/>
            </w:pPr>
            <w:r w:rsidRPr="00CB451E">
              <w:t xml:space="preserve">Non-government data </w:t>
            </w:r>
            <w:r w:rsidR="00140AB8">
              <w:t>are</w:t>
            </w:r>
            <w:r w:rsidRPr="00CB451E">
              <w:t xml:space="preserve"> coordinated through the Australian Government Department of Education, Employment and Workplace Relations (DEEWR). </w:t>
            </w:r>
          </w:p>
          <w:p w:rsidR="00842CA1" w:rsidRPr="00CB451E" w:rsidRDefault="00842CA1" w:rsidP="00432CA5">
            <w:pPr>
              <w:pStyle w:val="TableBodyText"/>
              <w:jc w:val="both"/>
            </w:pPr>
            <w:r w:rsidRPr="00CB451E">
              <w:t>The ABS undertakes further validation of all received data prior to publication.</w:t>
            </w:r>
          </w:p>
          <w:p w:rsidR="00842CA1" w:rsidRPr="00CB451E" w:rsidRDefault="00842CA1" w:rsidP="00432CA5">
            <w:pPr>
              <w:pStyle w:val="TableBodyText"/>
              <w:jc w:val="both"/>
            </w:pPr>
            <w:r w:rsidRPr="00CB451E">
              <w:t>Due to the different enrolment systems, the ability to manage multiple records of enrolment for a student may vary among jurisdictions, which may result in over-reporting of school students in some jurisdictions.</w:t>
            </w:r>
          </w:p>
          <w:p w:rsidR="00842CA1" w:rsidRPr="00CB451E" w:rsidRDefault="00842CA1" w:rsidP="00432CA5">
            <w:pPr>
              <w:pStyle w:val="TableBodyText"/>
              <w:jc w:val="both"/>
            </w:pPr>
            <w:r w:rsidRPr="00CB451E">
              <w:t xml:space="preserve">Some small exceptions exist in the interpretation of the standards applying to the collection, and the ability of systems to collect data to the specifications of the collection, that may affect comparisons of school counts, student counts and student </w:t>
            </w:r>
            <w:r w:rsidR="001B1E03">
              <w:t>full time</w:t>
            </w:r>
            <w:r w:rsidRPr="00CB451E">
              <w:t xml:space="preserve"> equivalent values. </w:t>
            </w:r>
          </w:p>
        </w:tc>
      </w:tr>
      <w:tr w:rsidR="00842CA1" w:rsidRPr="007A7B92" w:rsidTr="00EC05AB">
        <w:tc>
          <w:tcPr>
            <w:tcW w:w="1843" w:type="dxa"/>
            <w:tcBorders>
              <w:left w:val="nil"/>
            </w:tcBorders>
            <w:shd w:val="clear" w:color="auto" w:fill="auto"/>
          </w:tcPr>
          <w:p w:rsidR="00842CA1" w:rsidRPr="00D4699B" w:rsidRDefault="00842CA1" w:rsidP="000D601B">
            <w:pPr>
              <w:pStyle w:val="TableBodyText"/>
              <w:jc w:val="left"/>
              <w:rPr>
                <w:rFonts w:ascii="DejaVu Serif" w:hAnsi="DejaVu Serif"/>
                <w:b/>
              </w:rPr>
            </w:pPr>
            <w:r w:rsidRPr="00D4699B">
              <w:rPr>
                <w:b/>
              </w:rPr>
              <w:lastRenderedPageBreak/>
              <w:t>Coherence</w:t>
            </w:r>
          </w:p>
        </w:tc>
        <w:tc>
          <w:tcPr>
            <w:tcW w:w="6945" w:type="dxa"/>
          </w:tcPr>
          <w:p w:rsidR="00842CA1" w:rsidRPr="00CB451E" w:rsidRDefault="00842CA1" w:rsidP="00432CA5">
            <w:pPr>
              <w:pStyle w:val="TableBodyText"/>
              <w:jc w:val="both"/>
            </w:pPr>
            <w:r w:rsidRPr="00CB451E">
              <w:t>Rates are based on school students as a proportion of the estimated resident population. Note that for 2011, school participation rates have not been published by Indigenous status due to concerns with the quality of the data. Specifically, the rates for most states and territories exceed 100</w:t>
            </w:r>
            <w:r w:rsidR="00160697">
              <w:t xml:space="preserve"> per cent</w:t>
            </w:r>
            <w:r w:rsidRPr="00CB451E">
              <w:t>, primarily as a result of modal differences in the data sources. The denominator is sourced from the Estimated Resident Population series, itself drawn from the Population Census, while the numerator is sourced from the NSSC. ABS is working to provide a substitute measure. Data items are consistent over time, including with information supplied for 2010 COAG reporting, except where not available.</w:t>
            </w:r>
          </w:p>
          <w:p w:rsidR="00842CA1" w:rsidRPr="00CB451E" w:rsidRDefault="00842CA1" w:rsidP="00432CA5">
            <w:pPr>
              <w:pStyle w:val="TableBodyText"/>
              <w:jc w:val="both"/>
            </w:pPr>
            <w:r w:rsidRPr="00CB451E">
              <w:t>NSSC school and student information is a subset of the enrolment information provided by the various education authorities. The application of NSSC business rules may result in counts which differ from those in other datasets originating from the same education authorities. For example, NSSC student counts may not reconcile to enrolment counts available in alternate datasets where multiple enrolments were reported for those students enrolled in more than one school.</w:t>
            </w:r>
          </w:p>
          <w:p w:rsidR="00842CA1" w:rsidRPr="00CB451E" w:rsidRDefault="00842CA1" w:rsidP="00432CA5">
            <w:pPr>
              <w:pStyle w:val="TableBodyText"/>
              <w:jc w:val="both"/>
            </w:pPr>
            <w:r w:rsidRPr="00CB451E">
              <w:t>State and territory governments report on schools, students and staff in their Annual Reports.</w:t>
            </w:r>
          </w:p>
          <w:p w:rsidR="00842CA1" w:rsidRPr="00CB451E" w:rsidRDefault="00842CA1" w:rsidP="00432CA5">
            <w:pPr>
              <w:pStyle w:val="TableBodyText"/>
              <w:jc w:val="both"/>
            </w:pPr>
            <w:r w:rsidRPr="00CB451E">
              <w:t>State and territory governments provide NSSC data to DEEWR for Commonwealth funding purposes.</w:t>
            </w:r>
          </w:p>
          <w:p w:rsidR="00842CA1" w:rsidRPr="00CB451E" w:rsidRDefault="00842CA1" w:rsidP="00432CA5">
            <w:pPr>
              <w:pStyle w:val="TableBodyText"/>
              <w:jc w:val="both"/>
            </w:pPr>
            <w:r w:rsidRPr="00CB451E">
              <w:t>State and territory governments provide school, student and staff data to the Australian Curriculum Assessment &amp; Reporting Authority (ACARA) for school level reporting.</w:t>
            </w:r>
          </w:p>
          <w:p w:rsidR="00842CA1" w:rsidRPr="00CB451E" w:rsidRDefault="00842CA1" w:rsidP="00432CA5">
            <w:pPr>
              <w:pStyle w:val="TableBodyText"/>
              <w:jc w:val="both"/>
            </w:pPr>
            <w:r w:rsidRPr="00CB451E">
              <w:t xml:space="preserve">NSSC data </w:t>
            </w:r>
            <w:r w:rsidR="00140AB8">
              <w:t>are</w:t>
            </w:r>
            <w:r w:rsidRPr="00CB451E">
              <w:t xml:space="preserve"> reported through the National Report on Schooling in Australia, Aboriginal and Torres Strait Islander Education Action Plan, National Education Agreement, National Partnership on Youth Attainment and Transitions and the Report on Government Services.</w:t>
            </w:r>
            <w:r w:rsidRPr="00CB451E">
              <w:br/>
              <w:t xml:space="preserve">DEEWR reports on non-government school, student and staff data collected for the purposes of administering the </w:t>
            </w:r>
            <w:hyperlink r:id="rId177" w:history="1">
              <w:r w:rsidRPr="00CB451E">
                <w:t>Schools Assistance Act 2008</w:t>
              </w:r>
            </w:hyperlink>
            <w:r w:rsidR="00CB451E" w:rsidRPr="00CB451E">
              <w:t xml:space="preserve"> (</w:t>
            </w:r>
            <w:proofErr w:type="spellStart"/>
            <w:r w:rsidR="009E4CF4">
              <w:fldChar w:fldCharType="begin"/>
            </w:r>
            <w:r w:rsidR="009E4CF4">
              <w:instrText xml:space="preserve"> HYPERLINK "http://www.deewr.gov.au/Schooling/Programs/Pages/SchoolsAssistance" </w:instrText>
            </w:r>
            <w:r w:rsidR="009E4CF4">
              <w:fldChar w:fldCharType="separate"/>
            </w:r>
            <w:r w:rsidR="00432CA5" w:rsidRPr="00432CA5">
              <w:t>www.deewr.gov.au</w:t>
            </w:r>
            <w:proofErr w:type="spellEnd"/>
            <w:r w:rsidR="00432CA5" w:rsidRPr="00432CA5">
              <w:t>/Schooling/Programs/Pages/</w:t>
            </w:r>
            <w:proofErr w:type="spellStart"/>
            <w:r w:rsidR="00432CA5" w:rsidRPr="00432CA5">
              <w:t>SchoolsAssistance</w:t>
            </w:r>
            <w:proofErr w:type="spellEnd"/>
            <w:r w:rsidR="009E4CF4">
              <w:fldChar w:fldCharType="end"/>
            </w:r>
            <w:r w:rsidR="00432CA5">
              <w:t xml:space="preserve"> </w:t>
            </w:r>
            <w:proofErr w:type="spellStart"/>
            <w:r w:rsidR="00CB451E" w:rsidRPr="00CB451E">
              <w:t>Act2008.aspx</w:t>
            </w:r>
            <w:proofErr w:type="spellEnd"/>
            <w:r w:rsidR="00CB451E" w:rsidRPr="00CB451E">
              <w:t>)</w:t>
            </w:r>
            <w:r w:rsidR="00712F6B">
              <w:t>.</w:t>
            </w:r>
          </w:p>
          <w:p w:rsidR="00432CA5" w:rsidRDefault="00842CA1" w:rsidP="00432CA5">
            <w:pPr>
              <w:pStyle w:val="TableBodyText"/>
              <w:jc w:val="both"/>
            </w:pPr>
            <w:r w:rsidRPr="00CB451E">
              <w:t>Students to teaching staff ratios include staff with class contact but who are not teachers as well as staff who do not have a permanent class of students but are teachers (e.g. specialist teachers such as foreign language teachers). These figures are a financial indicator and are not indicative of class sizes.</w:t>
            </w:r>
          </w:p>
          <w:p w:rsidR="00432CA5" w:rsidRDefault="00842CA1" w:rsidP="00432CA5">
            <w:pPr>
              <w:pStyle w:val="TableBodyText"/>
              <w:jc w:val="both"/>
            </w:pPr>
            <w:r w:rsidRPr="00CB451E">
              <w:t xml:space="preserve">The five-yearly </w:t>
            </w:r>
            <w:hyperlink r:id="rId178" w:anchor="from-banner=LN" w:history="1">
              <w:r w:rsidRPr="00CB451E">
                <w:t>Census</w:t>
              </w:r>
            </w:hyperlink>
            <w:r w:rsidRPr="00CB451E">
              <w:t xml:space="preserve"> of Population and Housing </w:t>
            </w:r>
            <w:r w:rsidR="00CB451E" w:rsidRPr="00CB451E">
              <w:t>(</w:t>
            </w:r>
            <w:hyperlink r:id="rId179" w:anchor="from-banner=LN" w:history="1">
              <w:r w:rsidR="00CB451E" w:rsidRPr="00CB451E">
                <w:t>www.abs.gov.au/</w:t>
              </w:r>
              <w:r w:rsidR="00F70DBA">
                <w:t xml:space="preserve"> </w:t>
              </w:r>
              <w:proofErr w:type="spellStart"/>
              <w:r w:rsidR="00CB451E" w:rsidRPr="00CB451E">
                <w:t>websitedbs</w:t>
              </w:r>
              <w:proofErr w:type="spellEnd"/>
              <w:r w:rsidR="00CB451E" w:rsidRPr="00CB451E">
                <w:t>/</w:t>
              </w:r>
              <w:proofErr w:type="spellStart"/>
              <w:r w:rsidR="00CB451E" w:rsidRPr="00CB451E">
                <w:t>censushome.nsf</w:t>
              </w:r>
              <w:proofErr w:type="spellEnd"/>
              <w:r w:rsidR="00CB451E" w:rsidRPr="00CB451E">
                <w:t>/home/</w:t>
              </w:r>
              <w:proofErr w:type="spellStart"/>
              <w:r w:rsidR="00CB451E" w:rsidRPr="00CB451E">
                <w:t>data?opendocument#from-banner</w:t>
              </w:r>
              <w:proofErr w:type="spellEnd"/>
              <w:r w:rsidR="00CB451E" w:rsidRPr="00CB451E">
                <w:t>=LN</w:t>
              </w:r>
            </w:hyperlink>
            <w:r w:rsidR="00CB451E" w:rsidRPr="00CB451E">
              <w:t xml:space="preserve">) </w:t>
            </w:r>
            <w:r w:rsidRPr="00CB451E">
              <w:t xml:space="preserve">includes information on children attending school and the occupation of </w:t>
            </w:r>
            <w:r w:rsidRPr="00CB451E">
              <w:lastRenderedPageBreak/>
              <w:t>Australians (including teachers).</w:t>
            </w:r>
          </w:p>
          <w:p w:rsidR="00842CA1" w:rsidRPr="00CB451E" w:rsidRDefault="00842CA1" w:rsidP="00432CA5">
            <w:pPr>
              <w:pStyle w:val="TableBodyText"/>
              <w:jc w:val="both"/>
            </w:pPr>
            <w:r w:rsidRPr="00CB451E">
              <w:t xml:space="preserve">The ABS Estimated Resident Population (ERP) series is used in the calculation of some measures of secondary engagement in this publication. It is used as a denominator to calculate students as a proportion of the population. The ERP is an estimate of the population of Australia, based on data from the most recent published ABS Census of Population and Housing, and is updated annually using information on births, deaths and internal migration provided by state and federal government departments. See ABS </w:t>
            </w:r>
            <w:hyperlink r:id="rId180" w:history="1">
              <w:r w:rsidRPr="00CB451E">
                <w:t>Population by Age and Sex, Australian States and Territories</w:t>
              </w:r>
            </w:hyperlink>
            <w:r w:rsidRPr="00CB451E">
              <w:t xml:space="preserve"> </w:t>
            </w:r>
            <w:r w:rsidR="00CB451E" w:rsidRPr="00CB451E">
              <w:t>(</w:t>
            </w:r>
            <w:hyperlink r:id="rId181" w:history="1">
              <w:r w:rsidR="00432CA5" w:rsidRPr="00432CA5">
                <w:t>www.abs.gov.au/</w:t>
              </w:r>
              <w:proofErr w:type="spellStart"/>
              <w:r w:rsidR="00432CA5" w:rsidRPr="00432CA5">
                <w:t>ausstats</w:t>
              </w:r>
              <w:proofErr w:type="spellEnd"/>
              <w:r w:rsidR="00432CA5" w:rsidRPr="00432CA5">
                <w:t>/</w:t>
              </w:r>
            </w:hyperlink>
            <w:r w:rsidR="00432CA5">
              <w:t xml:space="preserve"> </w:t>
            </w:r>
            <w:r w:rsidR="00CB451E" w:rsidRPr="00CB451E">
              <w:t>abs@.</w:t>
            </w:r>
            <w:proofErr w:type="spellStart"/>
            <w:r w:rsidR="00CB451E" w:rsidRPr="00CB451E">
              <w:t>nsf</w:t>
            </w:r>
            <w:proofErr w:type="spellEnd"/>
            <w:r w:rsidR="00CB451E" w:rsidRPr="00CB451E">
              <w:t>/mf/3201.0</w:t>
            </w:r>
            <w:r w:rsidR="008A17C1">
              <w:t>)</w:t>
            </w:r>
            <w:r w:rsidR="00CB451E" w:rsidRPr="00CB451E">
              <w:t xml:space="preserve"> </w:t>
            </w:r>
            <w:r w:rsidR="009605B1">
              <w:t>(Cat. no. </w:t>
            </w:r>
            <w:r w:rsidRPr="00CB451E">
              <w:t>3201.0) for further details.</w:t>
            </w:r>
          </w:p>
          <w:p w:rsidR="00842CA1" w:rsidRPr="00CB451E" w:rsidRDefault="00842CA1" w:rsidP="00432CA5">
            <w:pPr>
              <w:pStyle w:val="TableBodyText"/>
              <w:jc w:val="both"/>
            </w:pPr>
            <w:r w:rsidRPr="00CB451E">
              <w:t>Estimates may differ from those released in previous editions of this publication due to scheduled revisions of the estimated resident population. These differences are likely to be very small.</w:t>
            </w:r>
          </w:p>
        </w:tc>
      </w:tr>
      <w:tr w:rsidR="00842CA1" w:rsidRPr="007A7B92" w:rsidTr="00EC05AB">
        <w:tc>
          <w:tcPr>
            <w:tcW w:w="1843" w:type="dxa"/>
            <w:tcBorders>
              <w:left w:val="nil"/>
            </w:tcBorders>
            <w:shd w:val="clear" w:color="auto" w:fill="auto"/>
          </w:tcPr>
          <w:p w:rsidR="00842CA1" w:rsidRPr="00D4699B" w:rsidRDefault="00842CA1" w:rsidP="000D601B">
            <w:pPr>
              <w:pStyle w:val="TableBodyText"/>
              <w:jc w:val="left"/>
              <w:rPr>
                <w:rFonts w:ascii="DejaVu Serif" w:hAnsi="DejaVu Serif"/>
                <w:b/>
              </w:rPr>
            </w:pPr>
            <w:r w:rsidRPr="00D4699B">
              <w:rPr>
                <w:b/>
              </w:rPr>
              <w:lastRenderedPageBreak/>
              <w:t>Interpretability</w:t>
            </w:r>
          </w:p>
        </w:tc>
        <w:tc>
          <w:tcPr>
            <w:tcW w:w="6945" w:type="dxa"/>
          </w:tcPr>
          <w:p w:rsidR="00842CA1" w:rsidRPr="00CB451E" w:rsidRDefault="007076BB" w:rsidP="00432CA5">
            <w:pPr>
              <w:pStyle w:val="TableBodyText"/>
              <w:jc w:val="both"/>
            </w:pPr>
            <w:hyperlink r:id="rId182" w:history="1">
              <w:r w:rsidR="00842CA1" w:rsidRPr="00CB451E">
                <w:t>Schools, Australia</w:t>
              </w:r>
            </w:hyperlink>
            <w:r w:rsidR="00842CA1" w:rsidRPr="00CB451E">
              <w:t xml:space="preserve"> </w:t>
            </w:r>
            <w:r w:rsidR="00934C88">
              <w:t>(</w:t>
            </w:r>
            <w:r w:rsidR="00CB451E" w:rsidRPr="00CB451E">
              <w:t>www.abs.gov.au/</w:t>
            </w:r>
            <w:proofErr w:type="spellStart"/>
            <w:r w:rsidR="00CB451E" w:rsidRPr="00CB451E">
              <w:t>ausstats</w:t>
            </w:r>
            <w:proofErr w:type="spellEnd"/>
            <w:r w:rsidR="00CB451E" w:rsidRPr="00CB451E">
              <w:t>/abs@.</w:t>
            </w:r>
            <w:proofErr w:type="spellStart"/>
            <w:r w:rsidR="00CB451E" w:rsidRPr="00CB451E">
              <w:t>nsf</w:t>
            </w:r>
            <w:proofErr w:type="spellEnd"/>
            <w:r w:rsidR="00CB451E" w:rsidRPr="00CB451E">
              <w:t xml:space="preserve">/mf/4221.0) </w:t>
            </w:r>
            <w:r w:rsidR="009605B1">
              <w:t>(Cat. no. </w:t>
            </w:r>
            <w:r w:rsidR="00842CA1" w:rsidRPr="00CB451E">
              <w:t>4221.0) includes explanatory notes and a glossary, both of which are available on the ABS website.</w:t>
            </w:r>
          </w:p>
          <w:p w:rsidR="00842CA1" w:rsidRPr="00CB451E" w:rsidRDefault="00842CA1" w:rsidP="00432CA5">
            <w:pPr>
              <w:pStyle w:val="TableBodyText"/>
              <w:jc w:val="both"/>
            </w:pPr>
            <w:r w:rsidRPr="00CB451E">
              <w:t>Socioeconomic status is not yet available in the NSSC.</w:t>
            </w:r>
          </w:p>
        </w:tc>
      </w:tr>
      <w:tr w:rsidR="00842CA1" w:rsidRPr="007A7B92" w:rsidTr="00EC05AB">
        <w:tc>
          <w:tcPr>
            <w:tcW w:w="1843" w:type="dxa"/>
            <w:tcBorders>
              <w:left w:val="nil"/>
            </w:tcBorders>
            <w:shd w:val="clear" w:color="auto" w:fill="auto"/>
          </w:tcPr>
          <w:p w:rsidR="00842CA1" w:rsidRPr="00D4699B" w:rsidRDefault="00842CA1" w:rsidP="000D601B">
            <w:pPr>
              <w:pStyle w:val="TableBodyText"/>
              <w:jc w:val="left"/>
              <w:rPr>
                <w:rFonts w:ascii="DejaVu Serif" w:hAnsi="DejaVu Serif"/>
                <w:b/>
              </w:rPr>
            </w:pPr>
            <w:r w:rsidRPr="00D4699B">
              <w:rPr>
                <w:b/>
              </w:rPr>
              <w:t>Accessibility</w:t>
            </w:r>
          </w:p>
        </w:tc>
        <w:tc>
          <w:tcPr>
            <w:tcW w:w="6945" w:type="dxa"/>
          </w:tcPr>
          <w:p w:rsidR="00842CA1" w:rsidRPr="00CB451E" w:rsidRDefault="00842CA1" w:rsidP="00432CA5">
            <w:pPr>
              <w:pStyle w:val="TableBodyText"/>
              <w:jc w:val="both"/>
            </w:pPr>
            <w:r w:rsidRPr="00CB451E">
              <w:t xml:space="preserve">Predominantly national level information is published in </w:t>
            </w:r>
            <w:hyperlink r:id="rId183" w:history="1">
              <w:r w:rsidRPr="00CB451E">
                <w:t>Schools Australia</w:t>
              </w:r>
            </w:hyperlink>
            <w:r w:rsidRPr="00CB451E">
              <w:t xml:space="preserve"> </w:t>
            </w:r>
            <w:r w:rsidR="00CB451E" w:rsidRPr="00CB451E">
              <w:t>(</w:t>
            </w:r>
            <w:hyperlink r:id="rId184" w:history="1">
              <w:r w:rsidR="00CB451E" w:rsidRPr="00CB451E">
                <w:t>www.abs.gov.au/</w:t>
              </w:r>
              <w:proofErr w:type="spellStart"/>
              <w:r w:rsidR="00CB451E" w:rsidRPr="00CB451E">
                <w:t>ausstats</w:t>
              </w:r>
              <w:proofErr w:type="spellEnd"/>
              <w:r w:rsidR="00CB451E" w:rsidRPr="00CB451E">
                <w:t>/abs@.</w:t>
              </w:r>
              <w:proofErr w:type="spellStart"/>
              <w:r w:rsidR="00CB451E" w:rsidRPr="00CB451E">
                <w:t>nsf</w:t>
              </w:r>
              <w:proofErr w:type="spellEnd"/>
              <w:r w:rsidR="00CB451E" w:rsidRPr="00CB451E">
                <w:t>/mf/4221.0</w:t>
              </w:r>
            </w:hyperlink>
            <w:r w:rsidR="00CB451E" w:rsidRPr="00CB451E">
              <w:t xml:space="preserve">) </w:t>
            </w:r>
            <w:r w:rsidR="009605B1">
              <w:t>(Cat. no. </w:t>
            </w:r>
            <w:r w:rsidRPr="00CB451E">
              <w:t>4221.0) on the ABS website. A range of time series data cubes, with a focus on state/territory level information, is also available on the ABS website.</w:t>
            </w:r>
          </w:p>
        </w:tc>
      </w:tr>
    </w:tbl>
    <w:p w:rsidR="00A3340C" w:rsidRDefault="002C02DE" w:rsidP="0013533B">
      <w:pPr>
        <w:pStyle w:val="Heading3"/>
        <w:pBdr>
          <w:right w:val="single" w:sz="6" w:space="1" w:color="auto"/>
        </w:pBdr>
        <w:spacing w:before="360" w:after="240"/>
      </w:pPr>
      <w:r>
        <w:br w:type="page"/>
      </w:r>
    </w:p>
    <w:p w:rsidR="00D11E31" w:rsidRDefault="00D11E31" w:rsidP="000D601B">
      <w:pPr>
        <w:pStyle w:val="Heading3"/>
        <w:spacing w:before="360" w:after="240"/>
      </w:pPr>
      <w:bookmarkStart w:id="42" w:name="_Ref325636660"/>
      <w:r>
        <w:lastRenderedPageBreak/>
        <w:t>D</w:t>
      </w:r>
      <w:r w:rsidRPr="00291419">
        <w:t xml:space="preserve">ata </w:t>
      </w:r>
      <w:r w:rsidRPr="00A05316">
        <w:t>Quality</w:t>
      </w:r>
      <w:r>
        <w:t xml:space="preserve"> Statement – </w:t>
      </w:r>
      <w:r w:rsidR="00CF0E6E">
        <w:t xml:space="preserve">Performance Target b, </w:t>
      </w:r>
      <w:r>
        <w:t xml:space="preserve">Performance Indicators </w:t>
      </w:r>
      <w:r w:rsidR="002C02DE">
        <w:t xml:space="preserve">1, 2, </w:t>
      </w:r>
      <w:r>
        <w:t>4, 5</w:t>
      </w:r>
      <w:r w:rsidR="00CF0E6E">
        <w:t>, 11 and 12</w:t>
      </w:r>
      <w:r>
        <w:t>: Literacy and numeracy achievement of Year 3, 5, 7 and 9 (general population, and Indigenous and low SES) students in national testing, and percentage of students at or above the national minimum standard in reading, writing and numeracy for Year 3, 5, 7 and 9</w:t>
      </w:r>
      <w:bookmarkEnd w:id="42"/>
    </w:p>
    <w:tbl>
      <w:tblPr>
        <w:tblW w:w="0" w:type="auto"/>
        <w:tblInd w:w="108" w:type="dxa"/>
        <w:tblLook w:val="01E0" w:firstRow="1" w:lastRow="1" w:firstColumn="1" w:lastColumn="1" w:noHBand="0" w:noVBand="0"/>
      </w:tblPr>
      <w:tblGrid>
        <w:gridCol w:w="1843"/>
        <w:gridCol w:w="6945"/>
      </w:tblGrid>
      <w:tr w:rsidR="00D11E31" w:rsidRPr="008B4E76" w:rsidTr="00EC05AB">
        <w:tc>
          <w:tcPr>
            <w:tcW w:w="1843" w:type="dxa"/>
          </w:tcPr>
          <w:p w:rsidR="00D11E31" w:rsidRPr="005962EA" w:rsidRDefault="00D11E31" w:rsidP="000D601B">
            <w:pPr>
              <w:pStyle w:val="TableBodyText"/>
              <w:jc w:val="left"/>
              <w:rPr>
                <w:rFonts w:ascii="DejaVu Serif" w:hAnsi="DejaVu Serif"/>
                <w:b/>
              </w:rPr>
            </w:pPr>
            <w:r w:rsidRPr="005962EA">
              <w:rPr>
                <w:b/>
              </w:rPr>
              <w:t>Indicator</w:t>
            </w:r>
          </w:p>
        </w:tc>
        <w:tc>
          <w:tcPr>
            <w:tcW w:w="6945" w:type="dxa"/>
          </w:tcPr>
          <w:p w:rsidR="00CF0E6E" w:rsidRDefault="00CF0E6E" w:rsidP="00432CA5">
            <w:pPr>
              <w:pStyle w:val="TableBodyText"/>
              <w:jc w:val="both"/>
            </w:pPr>
            <w:proofErr w:type="spellStart"/>
            <w:r>
              <w:t>NEA.b</w:t>
            </w:r>
            <w:proofErr w:type="spellEnd"/>
            <w:r>
              <w:t>: Halve the gap for Indigenous students in reading, writing and numeracy within a decade</w:t>
            </w:r>
          </w:p>
          <w:p w:rsidR="007B33CA" w:rsidRDefault="00B04F7F" w:rsidP="00432CA5">
            <w:pPr>
              <w:pStyle w:val="TableBodyText"/>
              <w:jc w:val="both"/>
            </w:pPr>
            <w:r>
              <w:t>NEA</w:t>
            </w:r>
            <w:r w:rsidR="007B33CA">
              <w:t xml:space="preserve"> 1: </w:t>
            </w:r>
            <w:r w:rsidR="007B33CA" w:rsidRPr="00A162AD">
              <w:t>The proportion of children enrolled in and attending school</w:t>
            </w:r>
          </w:p>
          <w:p w:rsidR="007B33CA" w:rsidRDefault="00B04F7F" w:rsidP="00432CA5">
            <w:pPr>
              <w:pStyle w:val="TableBodyText"/>
              <w:jc w:val="both"/>
            </w:pPr>
            <w:r>
              <w:t xml:space="preserve">NEA </w:t>
            </w:r>
            <w:r w:rsidR="007B33CA">
              <w:t xml:space="preserve">2: </w:t>
            </w:r>
            <w:r w:rsidR="007B33CA" w:rsidRPr="00BD31F7">
              <w:t>The proportion of Indigenous and low SES children enrolled in and attending school</w:t>
            </w:r>
          </w:p>
          <w:p w:rsidR="00A3340C" w:rsidRDefault="00B04F7F" w:rsidP="00432CA5">
            <w:pPr>
              <w:pStyle w:val="TableBodyText"/>
              <w:jc w:val="both"/>
            </w:pPr>
            <w:r>
              <w:t xml:space="preserve">NEA </w:t>
            </w:r>
            <w:r w:rsidR="00A3340C">
              <w:t>4: Literacy and numeracy achievement of Year 3, 5, 7 and 9 students in national testing</w:t>
            </w:r>
          </w:p>
          <w:p w:rsidR="00CF0E6E" w:rsidRDefault="00B04F7F" w:rsidP="00432CA5">
            <w:pPr>
              <w:pStyle w:val="TableBodyText"/>
              <w:jc w:val="both"/>
            </w:pPr>
            <w:r>
              <w:t xml:space="preserve">NEA </w:t>
            </w:r>
            <w:r w:rsidR="00D11E31">
              <w:t>5: Literacy and numeracy achievement of Year 3, 5, 7 and 9 Indigenous and low SE</w:t>
            </w:r>
            <w:r w:rsidR="00A3340C">
              <w:t>S students in national testing</w:t>
            </w:r>
          </w:p>
          <w:p w:rsidR="00CF0E6E" w:rsidRDefault="00CF0E6E" w:rsidP="00432CA5">
            <w:pPr>
              <w:pStyle w:val="TableBodyText"/>
              <w:jc w:val="both"/>
            </w:pPr>
            <w:r>
              <w:t>NEA 11: Percentage of students at or above the national minimum standard in reading, writing and numeracy for years 3, 5, 7, 9</w:t>
            </w:r>
          </w:p>
          <w:p w:rsidR="00CF0E6E" w:rsidRPr="00A3340C" w:rsidRDefault="00CF0E6E" w:rsidP="00432CA5">
            <w:pPr>
              <w:pStyle w:val="TableBodyText"/>
              <w:jc w:val="both"/>
            </w:pPr>
            <w:r>
              <w:t>NEA 12: Attendance rates, Year 1 to Year 10</w:t>
            </w:r>
          </w:p>
        </w:tc>
      </w:tr>
      <w:tr w:rsidR="00A724A6" w:rsidRPr="008B4E76" w:rsidTr="00EC05AB">
        <w:tc>
          <w:tcPr>
            <w:tcW w:w="1843" w:type="dxa"/>
          </w:tcPr>
          <w:p w:rsidR="00A724A6" w:rsidRPr="005962EA" w:rsidRDefault="00A724A6" w:rsidP="000D601B">
            <w:pPr>
              <w:pStyle w:val="TableBodyText"/>
              <w:jc w:val="left"/>
              <w:rPr>
                <w:rFonts w:ascii="DejaVu Serif" w:hAnsi="DejaVu Serif"/>
                <w:b/>
              </w:rPr>
            </w:pPr>
            <w:r w:rsidRPr="005962EA">
              <w:rPr>
                <w:b/>
              </w:rPr>
              <w:t>Measure</w:t>
            </w:r>
          </w:p>
        </w:tc>
        <w:tc>
          <w:tcPr>
            <w:tcW w:w="6945" w:type="dxa"/>
          </w:tcPr>
          <w:p w:rsidR="00A724A6" w:rsidRPr="00073EB6" w:rsidRDefault="00A724A6" w:rsidP="00432CA5">
            <w:pPr>
              <w:pStyle w:val="TableBodyText"/>
              <w:jc w:val="both"/>
            </w:pPr>
            <w:r w:rsidRPr="00073EB6">
              <w:t>For data item, technical definition of data item</w:t>
            </w:r>
          </w:p>
          <w:p w:rsidR="00A724A6" w:rsidRDefault="00A724A6" w:rsidP="00432CA5">
            <w:pPr>
              <w:pStyle w:val="TableBodyText"/>
              <w:jc w:val="both"/>
            </w:pPr>
            <w:r w:rsidRPr="00073EB6">
              <w:t>For rate or proportion, separately identifying:</w:t>
            </w:r>
          </w:p>
          <w:p w:rsidR="00A724A6" w:rsidRPr="00073EB6" w:rsidRDefault="00A724A6" w:rsidP="00432CA5">
            <w:pPr>
              <w:pStyle w:val="TableBodyText"/>
              <w:jc w:val="both"/>
            </w:pPr>
            <w:r>
              <w:t>NEA 1 &amp; 2</w:t>
            </w:r>
            <w:r w:rsidR="00CF0E6E">
              <w:t xml:space="preserve"> (also relates to NEA 12)</w:t>
            </w:r>
          </w:p>
          <w:p w:rsidR="00A724A6" w:rsidRPr="00073EB6" w:rsidRDefault="00A724A6" w:rsidP="00432CA5">
            <w:pPr>
              <w:pStyle w:val="TableBodyText"/>
              <w:jc w:val="both"/>
            </w:pPr>
            <w:r w:rsidRPr="00073EB6">
              <w:t xml:space="preserve">1. numerator </w:t>
            </w:r>
            <w:r>
              <w:t>–</w:t>
            </w:r>
            <w:r w:rsidRPr="00073EB6">
              <w:t xml:space="preserve"> </w:t>
            </w:r>
            <w:r>
              <w:t>t</w:t>
            </w:r>
            <w:r w:rsidRPr="00E060EF">
              <w:t xml:space="preserve">he number of actual </w:t>
            </w:r>
            <w:r w:rsidR="001B1E03">
              <w:t>full time</w:t>
            </w:r>
            <w:r w:rsidRPr="00E060EF">
              <w:t xml:space="preserve"> equivalent student-days attended by </w:t>
            </w:r>
            <w:r w:rsidR="001B1E03">
              <w:t>full time</w:t>
            </w:r>
            <w:r w:rsidRPr="00E060EF">
              <w:t xml:space="preserve"> students at the indicated year level</w:t>
            </w:r>
            <w:r>
              <w:t>, by State and Territory, by Sex/Indigenous Status</w:t>
            </w:r>
          </w:p>
          <w:p w:rsidR="00A724A6" w:rsidRPr="00073EB6" w:rsidRDefault="00A724A6" w:rsidP="00432CA5">
            <w:pPr>
              <w:pStyle w:val="TableBodyText"/>
              <w:jc w:val="both"/>
            </w:pPr>
            <w:r w:rsidRPr="00073EB6">
              <w:t>2. deno</w:t>
            </w:r>
            <w:r>
              <w:t>minator – t</w:t>
            </w:r>
            <w:r w:rsidR="0006175B">
              <w:t>he number of</w:t>
            </w:r>
            <w:r w:rsidRPr="00E060EF">
              <w:t xml:space="preserve"> possible student-days attended </w:t>
            </w:r>
            <w:r w:rsidR="001B1E03">
              <w:t>full time</w:t>
            </w:r>
            <w:r w:rsidRPr="00E060EF">
              <w:t xml:space="preserve"> students at the indicated year level</w:t>
            </w:r>
            <w:r>
              <w:t>, by State and Territory, by Sex/Indigenous Status</w:t>
            </w:r>
          </w:p>
          <w:p w:rsidR="00A724A6" w:rsidRDefault="00A724A6" w:rsidP="00432CA5">
            <w:pPr>
              <w:pStyle w:val="TableBodyText"/>
              <w:jc w:val="both"/>
            </w:pPr>
            <w:r w:rsidRPr="00073EB6">
              <w:t xml:space="preserve">3. </w:t>
            </w:r>
            <w:r>
              <w:t>The student attendance rate (%) (the rate</w:t>
            </w:r>
            <w:r w:rsidRPr="00E060EF">
              <w:t xml:space="preserve">= </w:t>
            </w:r>
            <w:r>
              <w:t>numerator</w:t>
            </w:r>
            <w:r w:rsidRPr="00E060EF">
              <w:t xml:space="preserve"> divides by </w:t>
            </w:r>
            <w:r>
              <w:t>denominator</w:t>
            </w:r>
            <w:r w:rsidRPr="00E060EF">
              <w:t xml:space="preserve"> * 100</w:t>
            </w:r>
            <w:r>
              <w:t>), by State and Territory, by Sex/Indigenous Status</w:t>
            </w:r>
          </w:p>
          <w:p w:rsidR="00A724A6" w:rsidRPr="00A724A6" w:rsidRDefault="00A724A6" w:rsidP="00432CA5">
            <w:pPr>
              <w:pStyle w:val="TableBodyText"/>
              <w:jc w:val="both"/>
            </w:pPr>
            <w:r w:rsidRPr="00A724A6">
              <w:t xml:space="preserve">Notes: the Vic student attendance data </w:t>
            </w:r>
            <w:r w:rsidR="00140AB8">
              <w:t>are</w:t>
            </w:r>
            <w:r w:rsidRPr="00A724A6">
              <w:t xml:space="preserve"> to be regarded as preliminary only as the Victorian Department of Education and Early Childhood Development has not yet fully finalised the return of the 2011 absence data from schools. Once it has finalised its data, there may be slight changes in the values.</w:t>
            </w:r>
          </w:p>
          <w:p w:rsidR="00A724A6" w:rsidRPr="00073EB6" w:rsidRDefault="00A724A6" w:rsidP="00432CA5">
            <w:pPr>
              <w:pStyle w:val="TableBodyText"/>
              <w:jc w:val="both"/>
            </w:pPr>
            <w:r>
              <w:t>NEA 4 (</w:t>
            </w:r>
            <w:proofErr w:type="spellStart"/>
            <w:r w:rsidRPr="005A29D7">
              <w:t>NEA.4.1</w:t>
            </w:r>
            <w:r>
              <w:t>3</w:t>
            </w:r>
            <w:proofErr w:type="spellEnd"/>
            <w:r w:rsidRPr="005A29D7">
              <w:t>–4.2</w:t>
            </w:r>
            <w:r>
              <w:t>4)</w:t>
            </w:r>
          </w:p>
          <w:p w:rsidR="00A724A6" w:rsidRPr="00A724A6" w:rsidRDefault="00A724A6" w:rsidP="00432CA5">
            <w:pPr>
              <w:pStyle w:val="TableBodyText"/>
              <w:jc w:val="both"/>
            </w:pPr>
            <w:r w:rsidRPr="00A724A6">
              <w:t>2011 NAPLAN Mean Scale Scores: 2011 “mean scale scores” in reading/writing/numeracy for Years 3, 5, 7 and 9, by State and Territory, by geolocation</w:t>
            </w:r>
          </w:p>
          <w:p w:rsidR="00A724A6" w:rsidRPr="00073EB6" w:rsidRDefault="00A724A6" w:rsidP="00432CA5">
            <w:pPr>
              <w:pStyle w:val="TableBodyText"/>
              <w:jc w:val="both"/>
            </w:pPr>
            <w:r>
              <w:t>NEA 5 (</w:t>
            </w:r>
            <w:proofErr w:type="spellStart"/>
            <w:r w:rsidRPr="005A29D7">
              <w:t>NEA.</w:t>
            </w:r>
            <w:r>
              <w:t>5</w:t>
            </w:r>
            <w:r w:rsidRPr="005A29D7">
              <w:t>.1</w:t>
            </w:r>
            <w:proofErr w:type="spellEnd"/>
            <w:r w:rsidRPr="005A29D7">
              <w:t>–</w:t>
            </w:r>
            <w:r>
              <w:t>5</w:t>
            </w:r>
            <w:r w:rsidRPr="005A29D7">
              <w:t>.</w:t>
            </w:r>
            <w:r>
              <w:t>1</w:t>
            </w:r>
            <w:r w:rsidRPr="005A29D7">
              <w:t>2</w:t>
            </w:r>
            <w:r>
              <w:t>)</w:t>
            </w:r>
            <w:r w:rsidR="00CF0E6E">
              <w:t xml:space="preserve"> (also relates to </w:t>
            </w:r>
            <w:proofErr w:type="spellStart"/>
            <w:r w:rsidR="00CF0E6E">
              <w:t>NEA.b</w:t>
            </w:r>
            <w:proofErr w:type="spellEnd"/>
            <w:r w:rsidR="00CF0E6E">
              <w:t xml:space="preserve"> and NEA 11)</w:t>
            </w:r>
          </w:p>
          <w:p w:rsidR="00A724A6" w:rsidRPr="00073EB6" w:rsidRDefault="00A724A6" w:rsidP="00432CA5">
            <w:pPr>
              <w:pStyle w:val="TableBodyText"/>
              <w:jc w:val="both"/>
            </w:pPr>
            <w:r w:rsidRPr="00073EB6">
              <w:t xml:space="preserve">1. numerator </w:t>
            </w:r>
            <w:r>
              <w:t>–</w:t>
            </w:r>
            <w:r w:rsidRPr="00073EB6">
              <w:t xml:space="preserve"> </w:t>
            </w:r>
            <w:r>
              <w:t>count of students who achieved</w:t>
            </w:r>
            <w:r w:rsidRPr="00A973DD">
              <w:t xml:space="preserve"> at or above the national minimum standard</w:t>
            </w:r>
            <w:r>
              <w:t>, by State and Territory, by parental education and parental occupation</w:t>
            </w:r>
          </w:p>
          <w:p w:rsidR="00A724A6" w:rsidRPr="00073EB6" w:rsidRDefault="00A724A6" w:rsidP="00432CA5">
            <w:pPr>
              <w:pStyle w:val="TableBodyText"/>
              <w:jc w:val="both"/>
            </w:pPr>
            <w:r w:rsidRPr="00073EB6">
              <w:t>2. deno</w:t>
            </w:r>
            <w:r>
              <w:t>minator – total count of student</w:t>
            </w:r>
            <w:r w:rsidR="00C97A49">
              <w:t>s</w:t>
            </w:r>
            <w:r>
              <w:t xml:space="preserve"> who were assessed, absent, withdrawn and exempt under NAPLAN 2011, by State and Territory, by parental education and parental occupation</w:t>
            </w:r>
          </w:p>
          <w:p w:rsidR="00A724A6" w:rsidRDefault="00A724A6" w:rsidP="00432CA5">
            <w:pPr>
              <w:pStyle w:val="TableBodyText"/>
              <w:jc w:val="both"/>
            </w:pPr>
            <w:r w:rsidRPr="00073EB6">
              <w:t xml:space="preserve">3. </w:t>
            </w:r>
            <w:r w:rsidRPr="00A973DD">
              <w:t>Proportion of students who achieved at or above the national minimum standard</w:t>
            </w:r>
            <w:r>
              <w:t>, by State and Territory, by parental education and parental occupation</w:t>
            </w:r>
          </w:p>
          <w:p w:rsidR="00A724A6" w:rsidRPr="00073EB6" w:rsidRDefault="00A724A6" w:rsidP="00432CA5">
            <w:pPr>
              <w:pStyle w:val="TableBodyText"/>
              <w:jc w:val="both"/>
            </w:pPr>
            <w:r>
              <w:t>NEA 5 (</w:t>
            </w:r>
            <w:proofErr w:type="spellStart"/>
            <w:r w:rsidRPr="005A29D7">
              <w:t>NEA.</w:t>
            </w:r>
            <w:r>
              <w:t>5</w:t>
            </w:r>
            <w:r w:rsidRPr="005A29D7">
              <w:t>.1</w:t>
            </w:r>
            <w:r>
              <w:t>3</w:t>
            </w:r>
            <w:proofErr w:type="spellEnd"/>
            <w:r w:rsidRPr="005A29D7">
              <w:t>–</w:t>
            </w:r>
            <w:r>
              <w:t>5</w:t>
            </w:r>
            <w:r w:rsidRPr="005A29D7">
              <w:t>.2</w:t>
            </w:r>
            <w:r>
              <w:t>4)</w:t>
            </w:r>
          </w:p>
          <w:p w:rsidR="00A724A6" w:rsidRPr="00A724A6" w:rsidRDefault="00A724A6" w:rsidP="00432CA5">
            <w:pPr>
              <w:pStyle w:val="TableBodyText"/>
              <w:jc w:val="both"/>
            </w:pPr>
            <w:r w:rsidRPr="00A724A6">
              <w:t xml:space="preserve">2011 NAPLAN Mean Scale Scores: 2011 “mean scale scores” in </w:t>
            </w:r>
            <w:r w:rsidRPr="00A724A6">
              <w:lastRenderedPageBreak/>
              <w:t>reading/writing/numeracy for Years 3, 5, 7 and 9, by State and Territory, by parental education and parental occupation</w:t>
            </w:r>
          </w:p>
          <w:p w:rsidR="00A724A6" w:rsidRPr="00073EB6" w:rsidRDefault="00A724A6" w:rsidP="00432CA5">
            <w:pPr>
              <w:pStyle w:val="TableBodyText"/>
              <w:jc w:val="both"/>
            </w:pPr>
            <w:r>
              <w:t>NEA 5 (</w:t>
            </w:r>
            <w:proofErr w:type="spellStart"/>
            <w:r w:rsidRPr="005A29D7">
              <w:t>NEA.</w:t>
            </w:r>
            <w:r>
              <w:t>5</w:t>
            </w:r>
            <w:r w:rsidRPr="005A29D7">
              <w:t>.2</w:t>
            </w:r>
            <w:r>
              <w:t>5</w:t>
            </w:r>
            <w:proofErr w:type="spellEnd"/>
            <w:r>
              <w:t>)</w:t>
            </w:r>
          </w:p>
          <w:p w:rsidR="00A724A6" w:rsidRPr="00073EB6" w:rsidRDefault="00A724A6" w:rsidP="00432CA5">
            <w:pPr>
              <w:pStyle w:val="TableBodyText"/>
              <w:jc w:val="both"/>
            </w:pPr>
            <w:r w:rsidRPr="00073EB6">
              <w:t xml:space="preserve">1. numerator </w:t>
            </w:r>
            <w:r>
              <w:t>–</w:t>
            </w:r>
            <w:r w:rsidRPr="00073EB6">
              <w:t xml:space="preserve"> </w:t>
            </w:r>
            <w:r>
              <w:t>count of students with parental education and parental occupation “not stated”, by State and Territory, by learning domain</w:t>
            </w:r>
          </w:p>
          <w:p w:rsidR="00A724A6" w:rsidRPr="00073EB6" w:rsidRDefault="00A724A6" w:rsidP="00432CA5">
            <w:pPr>
              <w:pStyle w:val="TableBodyText"/>
              <w:jc w:val="both"/>
            </w:pPr>
            <w:r w:rsidRPr="00073EB6">
              <w:t>2. deno</w:t>
            </w:r>
            <w:r>
              <w:t>minator – total count of student with parental education and parental occupation was either “stated” or “not stated” under NAPLAN 2011, by State and Territory, by learning domain</w:t>
            </w:r>
          </w:p>
          <w:p w:rsidR="00A724A6" w:rsidRDefault="00A724A6" w:rsidP="00432CA5">
            <w:pPr>
              <w:pStyle w:val="TableBodyText"/>
              <w:jc w:val="both"/>
            </w:pPr>
            <w:r w:rsidRPr="00073EB6">
              <w:t xml:space="preserve">3. </w:t>
            </w:r>
            <w:r w:rsidRPr="00A973DD">
              <w:t xml:space="preserve">Proportion of students </w:t>
            </w:r>
            <w:r>
              <w:t>with</w:t>
            </w:r>
            <w:r w:rsidRPr="00A973DD">
              <w:t xml:space="preserve"> </w:t>
            </w:r>
            <w:r>
              <w:t>parental education and parental occupation not stated, by State and Territory, by learning domain</w:t>
            </w:r>
          </w:p>
          <w:p w:rsidR="00A724A6" w:rsidRPr="00073EB6" w:rsidRDefault="00A724A6" w:rsidP="00432CA5">
            <w:pPr>
              <w:pStyle w:val="TableBodyText"/>
              <w:jc w:val="both"/>
            </w:pPr>
            <w:r>
              <w:t>NEA 5 (</w:t>
            </w:r>
            <w:proofErr w:type="spellStart"/>
            <w:r w:rsidRPr="005A29D7">
              <w:t>NEA.</w:t>
            </w:r>
            <w:r>
              <w:t>5</w:t>
            </w:r>
            <w:r w:rsidRPr="005A29D7">
              <w:t>.</w:t>
            </w:r>
            <w:r>
              <w:t>26</w:t>
            </w:r>
            <w:proofErr w:type="spellEnd"/>
            <w:r w:rsidRPr="005A29D7">
              <w:t>–</w:t>
            </w:r>
            <w:r>
              <w:t>5</w:t>
            </w:r>
            <w:r w:rsidRPr="005A29D7">
              <w:t>.</w:t>
            </w:r>
            <w:r>
              <w:t>37)</w:t>
            </w:r>
          </w:p>
          <w:p w:rsidR="00A724A6" w:rsidRPr="00073EB6" w:rsidRDefault="00A724A6" w:rsidP="00432CA5">
            <w:pPr>
              <w:pStyle w:val="TableBodyText"/>
              <w:jc w:val="both"/>
            </w:pPr>
            <w:r w:rsidRPr="00073EB6">
              <w:t xml:space="preserve">1. numerator </w:t>
            </w:r>
            <w:r>
              <w:t>–</w:t>
            </w:r>
            <w:r w:rsidRPr="00073EB6">
              <w:t xml:space="preserve"> </w:t>
            </w:r>
            <w:r>
              <w:t>count of students who achieved</w:t>
            </w:r>
            <w:r w:rsidRPr="00A973DD">
              <w:t xml:space="preserve"> at or above the national minimum standard</w:t>
            </w:r>
            <w:r>
              <w:t>, by State and Territory, by Indigenous Status</w:t>
            </w:r>
          </w:p>
          <w:p w:rsidR="00A724A6" w:rsidRPr="00073EB6" w:rsidRDefault="00A724A6" w:rsidP="00432CA5">
            <w:pPr>
              <w:pStyle w:val="TableBodyText"/>
              <w:jc w:val="both"/>
            </w:pPr>
            <w:r w:rsidRPr="00073EB6">
              <w:t>2. deno</w:t>
            </w:r>
            <w:r>
              <w:t>minator – total count of student who were assessed, absent, withdrawn and exempt under NAPLAN 2011, by State and Territory, by Indigenous Status</w:t>
            </w:r>
          </w:p>
          <w:p w:rsidR="00A724A6" w:rsidRDefault="00A724A6" w:rsidP="00432CA5">
            <w:pPr>
              <w:pStyle w:val="TableBodyText"/>
              <w:jc w:val="both"/>
            </w:pPr>
            <w:r w:rsidRPr="00073EB6">
              <w:t xml:space="preserve">3. </w:t>
            </w:r>
            <w:r w:rsidRPr="00A973DD">
              <w:t>Proportion of students who achieved at or above the national minimum standard</w:t>
            </w:r>
            <w:r>
              <w:t>, by State and Territory, by Indigenous Status</w:t>
            </w:r>
          </w:p>
          <w:p w:rsidR="00A724A6" w:rsidRPr="00073EB6" w:rsidRDefault="00A724A6" w:rsidP="00432CA5">
            <w:pPr>
              <w:pStyle w:val="TableBodyText"/>
              <w:jc w:val="both"/>
            </w:pPr>
            <w:r>
              <w:t>NEA 5 (</w:t>
            </w:r>
            <w:proofErr w:type="spellStart"/>
            <w:r w:rsidRPr="005A29D7">
              <w:t>NEA.</w:t>
            </w:r>
            <w:r>
              <w:t>5</w:t>
            </w:r>
            <w:r w:rsidRPr="005A29D7">
              <w:t>.</w:t>
            </w:r>
            <w:r>
              <w:t>38</w:t>
            </w:r>
            <w:proofErr w:type="spellEnd"/>
            <w:r w:rsidRPr="005A29D7">
              <w:t>–</w:t>
            </w:r>
            <w:r>
              <w:t>5</w:t>
            </w:r>
            <w:r w:rsidRPr="005A29D7">
              <w:t>.</w:t>
            </w:r>
            <w:r>
              <w:t>49)</w:t>
            </w:r>
          </w:p>
          <w:p w:rsidR="00A724A6" w:rsidRPr="00073EB6" w:rsidRDefault="00A724A6" w:rsidP="00432CA5">
            <w:pPr>
              <w:pStyle w:val="TableBodyText"/>
              <w:jc w:val="both"/>
            </w:pPr>
            <w:r w:rsidRPr="00A724A6">
              <w:t>2011 NAPLAN Mean Scale Scores: 2011 “mean scale scores” in reading/writing/numeracy for Years 3, 5, 7 and 9, by State and Territory, by indigenous status</w:t>
            </w:r>
          </w:p>
        </w:tc>
      </w:tr>
      <w:tr w:rsidR="00A724A6" w:rsidRPr="008B4E76" w:rsidTr="000D601B">
        <w:tc>
          <w:tcPr>
            <w:tcW w:w="1843" w:type="dxa"/>
          </w:tcPr>
          <w:p w:rsidR="00A724A6" w:rsidRPr="005962EA" w:rsidRDefault="00A724A6" w:rsidP="000D601B">
            <w:pPr>
              <w:pStyle w:val="TableBodyText"/>
              <w:jc w:val="left"/>
              <w:rPr>
                <w:rFonts w:ascii="DejaVu Serif" w:hAnsi="DejaVu Serif"/>
                <w:b/>
              </w:rPr>
            </w:pPr>
            <w:r w:rsidRPr="005962EA">
              <w:rPr>
                <w:b/>
              </w:rPr>
              <w:lastRenderedPageBreak/>
              <w:t>Data source</w:t>
            </w:r>
          </w:p>
        </w:tc>
        <w:tc>
          <w:tcPr>
            <w:tcW w:w="6945" w:type="dxa"/>
          </w:tcPr>
          <w:p w:rsidR="00A724A6" w:rsidRPr="00073EB6" w:rsidRDefault="00A724A6" w:rsidP="00432CA5">
            <w:pPr>
              <w:pStyle w:val="TableBodyText"/>
              <w:jc w:val="both"/>
            </w:pPr>
            <w:r w:rsidRPr="00073EB6">
              <w:t xml:space="preserve">Specify for each data item (for rate or proportion specify if different for numerator and denominator) including relevant catalogue number if available – </w:t>
            </w:r>
            <w:r>
              <w:t>2011 NAPLAN &amp; 2011 ACARA student attendance data (unpublished)</w:t>
            </w:r>
          </w:p>
        </w:tc>
      </w:tr>
      <w:tr w:rsidR="00A724A6" w:rsidRPr="008B4E76" w:rsidTr="000D601B">
        <w:tblPrEx>
          <w:tblLook w:val="00A0" w:firstRow="1" w:lastRow="0" w:firstColumn="1" w:lastColumn="0" w:noHBand="0" w:noVBand="0"/>
        </w:tblPrEx>
        <w:tc>
          <w:tcPr>
            <w:tcW w:w="1843" w:type="dxa"/>
          </w:tcPr>
          <w:p w:rsidR="00A724A6" w:rsidRPr="005962EA" w:rsidRDefault="00A724A6" w:rsidP="000D601B">
            <w:pPr>
              <w:pStyle w:val="TableBodyText"/>
              <w:jc w:val="left"/>
              <w:rPr>
                <w:rFonts w:ascii="DejaVu Serif" w:hAnsi="DejaVu Serif"/>
                <w:b/>
              </w:rPr>
            </w:pPr>
            <w:r w:rsidRPr="005962EA">
              <w:rPr>
                <w:b/>
              </w:rPr>
              <w:t>Institutional Environment</w:t>
            </w:r>
          </w:p>
        </w:tc>
        <w:tc>
          <w:tcPr>
            <w:tcW w:w="6945" w:type="dxa"/>
          </w:tcPr>
          <w:p w:rsidR="00A724A6" w:rsidRPr="00A724A6" w:rsidRDefault="00A724A6" w:rsidP="00432CA5">
            <w:pPr>
              <w:pStyle w:val="TableBodyText"/>
              <w:jc w:val="both"/>
            </w:pPr>
            <w:r w:rsidRPr="00A724A6">
              <w:t>Data Collector(s): Individual schools send this data under a set of protocols to the Test Administration Authorities for the states and territories</w:t>
            </w:r>
          </w:p>
          <w:p w:rsidR="00A724A6" w:rsidRPr="00A724A6" w:rsidRDefault="00A724A6" w:rsidP="00432CA5">
            <w:pPr>
              <w:pStyle w:val="TableBodyText"/>
              <w:jc w:val="both"/>
            </w:pPr>
            <w:r w:rsidRPr="00A724A6">
              <w:t>Collection authority: ACARA Act</w:t>
            </w:r>
          </w:p>
          <w:p w:rsidR="00A724A6" w:rsidRPr="00A724A6" w:rsidRDefault="00A724A6" w:rsidP="00432CA5">
            <w:pPr>
              <w:jc w:val="both"/>
              <w:rPr>
                <w:rFonts w:ascii="Arial" w:hAnsi="Arial"/>
                <w:sz w:val="20"/>
                <w:szCs w:val="20"/>
              </w:rPr>
            </w:pPr>
            <w:r w:rsidRPr="00A724A6">
              <w:rPr>
                <w:rFonts w:ascii="Arial" w:hAnsi="Arial"/>
                <w:sz w:val="20"/>
                <w:szCs w:val="20"/>
              </w:rPr>
              <w:t>Data Compiler(s): ACER &amp; Department of Education in each State and Territory</w:t>
            </w:r>
          </w:p>
        </w:tc>
      </w:tr>
      <w:tr w:rsidR="00A724A6" w:rsidRPr="008B4E76" w:rsidTr="00EC05AB">
        <w:tblPrEx>
          <w:tblLook w:val="00A0" w:firstRow="1" w:lastRow="0" w:firstColumn="1" w:lastColumn="0" w:noHBand="0" w:noVBand="0"/>
        </w:tblPrEx>
        <w:tc>
          <w:tcPr>
            <w:tcW w:w="1843" w:type="dxa"/>
          </w:tcPr>
          <w:p w:rsidR="00A724A6" w:rsidRPr="005962EA" w:rsidRDefault="00A724A6" w:rsidP="000D601B">
            <w:pPr>
              <w:pStyle w:val="TableBodyText"/>
              <w:jc w:val="left"/>
              <w:rPr>
                <w:b/>
              </w:rPr>
            </w:pPr>
            <w:r w:rsidRPr="005962EA">
              <w:rPr>
                <w:b/>
              </w:rPr>
              <w:t>Relevance</w:t>
            </w:r>
          </w:p>
        </w:tc>
        <w:tc>
          <w:tcPr>
            <w:tcW w:w="6945" w:type="dxa"/>
          </w:tcPr>
          <w:p w:rsidR="00A724A6" w:rsidRPr="00A724A6" w:rsidRDefault="00A724A6" w:rsidP="00432CA5">
            <w:pPr>
              <w:pStyle w:val="TableBodyText"/>
              <w:jc w:val="both"/>
            </w:pPr>
            <w:r w:rsidRPr="00A724A6">
              <w:t xml:space="preserve">Level of Geography: Data </w:t>
            </w:r>
            <w:r w:rsidR="00140AB8">
              <w:t>are</w:t>
            </w:r>
            <w:r w:rsidRPr="00A724A6">
              <w:t xml:space="preserve"> available by National, State and Territory, and geo-location levels</w:t>
            </w:r>
          </w:p>
          <w:p w:rsidR="00A724A6" w:rsidRPr="00A724A6" w:rsidRDefault="00A724A6" w:rsidP="00432CA5">
            <w:pPr>
              <w:pStyle w:val="TableBodyText"/>
              <w:jc w:val="both"/>
            </w:pPr>
            <w:r w:rsidRPr="00A724A6">
              <w:t>Data Completeness: Yes</w:t>
            </w:r>
          </w:p>
          <w:p w:rsidR="00A724A6" w:rsidRPr="00A724A6" w:rsidRDefault="00A724A6" w:rsidP="00432CA5">
            <w:pPr>
              <w:pStyle w:val="TableBodyText"/>
              <w:jc w:val="both"/>
            </w:pPr>
            <w:r w:rsidRPr="00A724A6">
              <w:t xml:space="preserve">Indigenous Statistics: All data </w:t>
            </w:r>
            <w:r w:rsidR="00140AB8">
              <w:t>are</w:t>
            </w:r>
            <w:r w:rsidRPr="00A724A6">
              <w:t xml:space="preserve"> available by Indigenous status by State and Territory</w:t>
            </w:r>
          </w:p>
          <w:p w:rsidR="00A724A6" w:rsidRPr="00A724A6" w:rsidRDefault="00712F6B" w:rsidP="00432CA5">
            <w:pPr>
              <w:pStyle w:val="TableBodyText"/>
              <w:jc w:val="both"/>
            </w:pPr>
            <w:r>
              <w:t>Numerator/Denominator Source:</w:t>
            </w:r>
          </w:p>
          <w:p w:rsidR="00A724A6" w:rsidRPr="00A724A6" w:rsidRDefault="00A724A6" w:rsidP="00432CA5">
            <w:pPr>
              <w:pStyle w:val="TableBodyText"/>
              <w:jc w:val="both"/>
            </w:pPr>
            <w:r w:rsidRPr="00A724A6">
              <w:t>For Education indicators, are all types of schools, universities, technical colleges/</w:t>
            </w:r>
            <w:proofErr w:type="spellStart"/>
            <w:r w:rsidRPr="00A724A6">
              <w:t>TAFEs</w:t>
            </w:r>
            <w:proofErr w:type="spellEnd"/>
            <w:r w:rsidRPr="00A724A6">
              <w:t xml:space="preserve"> and correspondence schools included? Schools that sit NAPLAN tests</w:t>
            </w:r>
          </w:p>
          <w:p w:rsidR="00A724A6" w:rsidRPr="00A724A6" w:rsidRDefault="00A724A6" w:rsidP="00432CA5">
            <w:pPr>
              <w:jc w:val="both"/>
              <w:rPr>
                <w:rFonts w:ascii="Arial" w:hAnsi="Arial"/>
                <w:sz w:val="20"/>
                <w:szCs w:val="20"/>
              </w:rPr>
            </w:pPr>
            <w:r w:rsidRPr="00A724A6">
              <w:rPr>
                <w:rFonts w:ascii="Arial" w:hAnsi="Arial"/>
                <w:sz w:val="20"/>
                <w:szCs w:val="20"/>
              </w:rPr>
              <w:t>Have standard classifications been used? If not, why not? Yes</w:t>
            </w:r>
          </w:p>
        </w:tc>
      </w:tr>
      <w:tr w:rsidR="00A724A6" w:rsidRPr="008B4E76" w:rsidTr="00EC05AB">
        <w:tblPrEx>
          <w:tblLook w:val="00A0" w:firstRow="1" w:lastRow="0" w:firstColumn="1" w:lastColumn="0" w:noHBand="0" w:noVBand="0"/>
        </w:tblPrEx>
        <w:tc>
          <w:tcPr>
            <w:tcW w:w="1843" w:type="dxa"/>
          </w:tcPr>
          <w:p w:rsidR="00A724A6" w:rsidRPr="005962EA" w:rsidRDefault="00A724A6" w:rsidP="000D601B">
            <w:pPr>
              <w:pStyle w:val="TableBodyText"/>
              <w:jc w:val="left"/>
              <w:rPr>
                <w:rFonts w:ascii="DejaVu Serif" w:hAnsi="DejaVu Serif"/>
                <w:b/>
              </w:rPr>
            </w:pPr>
            <w:r w:rsidRPr="005962EA">
              <w:rPr>
                <w:b/>
              </w:rPr>
              <w:t>Timeliness</w:t>
            </w:r>
          </w:p>
        </w:tc>
        <w:tc>
          <w:tcPr>
            <w:tcW w:w="6945" w:type="dxa"/>
          </w:tcPr>
          <w:p w:rsidR="00A724A6" w:rsidRPr="00A724A6" w:rsidRDefault="00A724A6" w:rsidP="00432CA5">
            <w:pPr>
              <w:pStyle w:val="TableBodyText"/>
              <w:jc w:val="both"/>
            </w:pPr>
            <w:r w:rsidRPr="00A724A6">
              <w:t>Collection interval/s: The NAPLAN tests are conducted annually.</w:t>
            </w:r>
          </w:p>
          <w:p w:rsidR="00A724A6" w:rsidRPr="00A724A6" w:rsidRDefault="00A724A6" w:rsidP="00432CA5">
            <w:pPr>
              <w:pStyle w:val="TableBodyText"/>
              <w:jc w:val="both"/>
            </w:pPr>
            <w:r w:rsidRPr="00A724A6">
              <w:t>The</w:t>
            </w:r>
            <w:r w:rsidR="00712F6B">
              <w:t xml:space="preserve"> reference period is 12 months.</w:t>
            </w:r>
          </w:p>
          <w:p w:rsidR="00A724A6" w:rsidRPr="00A724A6" w:rsidRDefault="00A724A6" w:rsidP="00432CA5">
            <w:pPr>
              <w:pStyle w:val="TableBodyText"/>
              <w:jc w:val="both"/>
            </w:pPr>
            <w:r w:rsidRPr="00A724A6">
              <w:t>Data available: The National Report: Achievement in Reading, Writing, Language Conventions and Numeracy 2011 which will be released by Education Ministers on 16 December 2011</w:t>
            </w:r>
          </w:p>
        </w:tc>
      </w:tr>
      <w:tr w:rsidR="00A724A6" w:rsidRPr="008B4E76" w:rsidTr="00EC05AB">
        <w:tblPrEx>
          <w:tblLook w:val="00A0" w:firstRow="1" w:lastRow="0" w:firstColumn="1" w:lastColumn="0" w:noHBand="0" w:noVBand="0"/>
        </w:tblPrEx>
        <w:tc>
          <w:tcPr>
            <w:tcW w:w="1843" w:type="dxa"/>
          </w:tcPr>
          <w:p w:rsidR="00A724A6" w:rsidRPr="005962EA" w:rsidRDefault="00A724A6" w:rsidP="000D601B">
            <w:pPr>
              <w:pStyle w:val="TableBodyText"/>
              <w:jc w:val="left"/>
              <w:rPr>
                <w:rFonts w:ascii="DejaVu Serif" w:hAnsi="DejaVu Serif"/>
                <w:b/>
              </w:rPr>
            </w:pPr>
            <w:r w:rsidRPr="005962EA">
              <w:rPr>
                <w:b/>
              </w:rPr>
              <w:t>Accuracy</w:t>
            </w:r>
          </w:p>
        </w:tc>
        <w:tc>
          <w:tcPr>
            <w:tcW w:w="6945" w:type="dxa"/>
          </w:tcPr>
          <w:p w:rsidR="00A724A6" w:rsidRPr="00A724A6" w:rsidRDefault="00A724A6" w:rsidP="00432CA5">
            <w:pPr>
              <w:pStyle w:val="TableBodyText"/>
              <w:jc w:val="both"/>
            </w:pPr>
            <w:r w:rsidRPr="00A724A6">
              <w:t>Method of Collection: Method of Collection: By Test Administration Authorities and provided to ACER, who provide to ACARA</w:t>
            </w:r>
          </w:p>
          <w:p w:rsidR="00A724A6" w:rsidRPr="00A724A6" w:rsidRDefault="00A724A6" w:rsidP="00432CA5">
            <w:pPr>
              <w:pStyle w:val="TableBodyText"/>
              <w:jc w:val="both"/>
            </w:pPr>
            <w:r w:rsidRPr="00A724A6">
              <w:t>Data Adjustments: Raw NAPLAN scores are converted to scaled scores</w:t>
            </w:r>
          </w:p>
          <w:p w:rsidR="00A724A6" w:rsidRPr="00A724A6" w:rsidRDefault="00A724A6" w:rsidP="00432CA5">
            <w:pPr>
              <w:pStyle w:val="TableBodyText"/>
              <w:jc w:val="both"/>
            </w:pPr>
            <w:r w:rsidRPr="00A724A6">
              <w:t>Sample/Collection size: The collection size is a census of NAPLAN participating years (3,5,7,9)</w:t>
            </w:r>
          </w:p>
          <w:p w:rsidR="00A724A6" w:rsidRPr="00A724A6" w:rsidRDefault="00A724A6" w:rsidP="00432CA5">
            <w:pPr>
              <w:pStyle w:val="TableBodyText"/>
              <w:jc w:val="both"/>
            </w:pPr>
            <w:r w:rsidRPr="00A724A6">
              <w:t xml:space="preserve">Relevant confidence intervals should be considered when interpreting </w:t>
            </w:r>
            <w:r w:rsidRPr="00A724A6">
              <w:lastRenderedPageBreak/>
              <w:t>these data. Confidence intervals are available on request.</w:t>
            </w:r>
          </w:p>
          <w:p w:rsidR="00A724A6" w:rsidRPr="00A724A6" w:rsidRDefault="00A724A6" w:rsidP="00432CA5">
            <w:pPr>
              <w:pStyle w:val="TableBodyText"/>
              <w:jc w:val="both"/>
            </w:pPr>
            <w:r w:rsidRPr="00A724A6">
              <w:t>Is the data being used attitudinal or data? Data</w:t>
            </w:r>
          </w:p>
          <w:p w:rsidR="00A724A6" w:rsidRPr="00A724A6" w:rsidRDefault="00A724A6" w:rsidP="00432CA5">
            <w:pPr>
              <w:jc w:val="both"/>
              <w:rPr>
                <w:rFonts w:ascii="Arial" w:hAnsi="Arial"/>
                <w:sz w:val="20"/>
                <w:szCs w:val="20"/>
              </w:rPr>
            </w:pPr>
            <w:r w:rsidRPr="00A724A6">
              <w:rPr>
                <w:rFonts w:ascii="Arial" w:hAnsi="Arial"/>
                <w:sz w:val="20"/>
                <w:szCs w:val="20"/>
              </w:rPr>
              <w:t>The abbreviation ‘</w:t>
            </w:r>
            <w:proofErr w:type="spellStart"/>
            <w:r w:rsidRPr="00A724A6">
              <w:rPr>
                <w:rFonts w:ascii="Arial" w:hAnsi="Arial"/>
                <w:sz w:val="20"/>
                <w:szCs w:val="20"/>
              </w:rPr>
              <w:t>np</w:t>
            </w:r>
            <w:proofErr w:type="spellEnd"/>
            <w:r w:rsidRPr="00A724A6">
              <w:rPr>
                <w:rFonts w:ascii="Arial" w:hAnsi="Arial"/>
                <w:sz w:val="20"/>
                <w:szCs w:val="20"/>
              </w:rPr>
              <w:t>’ indicates data not published as there were no students tested or the number of students tested was less than 30.</w:t>
            </w:r>
          </w:p>
          <w:p w:rsidR="00A724A6" w:rsidRPr="00A724A6" w:rsidRDefault="00A724A6" w:rsidP="00432CA5">
            <w:pPr>
              <w:autoSpaceDE w:val="0"/>
              <w:autoSpaceDN w:val="0"/>
              <w:adjustRightInd w:val="0"/>
              <w:jc w:val="both"/>
              <w:rPr>
                <w:rFonts w:ascii="Arial" w:hAnsi="Arial"/>
                <w:sz w:val="20"/>
                <w:szCs w:val="20"/>
              </w:rPr>
            </w:pPr>
            <w:r w:rsidRPr="00A724A6">
              <w:rPr>
                <w:rFonts w:ascii="Arial" w:hAnsi="Arial" w:hint="eastAsia"/>
                <w:sz w:val="20"/>
                <w:szCs w:val="20"/>
              </w:rPr>
              <w:t>‘</w:t>
            </w:r>
            <w:r w:rsidRPr="00A724A6">
              <w:rPr>
                <w:rFonts w:ascii="Arial" w:hAnsi="Arial"/>
                <w:sz w:val="20"/>
                <w:szCs w:val="20"/>
              </w:rPr>
              <w:t>–</w:t>
            </w:r>
            <w:r w:rsidRPr="00A724A6">
              <w:rPr>
                <w:rFonts w:ascii="Arial" w:hAnsi="Arial" w:hint="eastAsia"/>
                <w:sz w:val="20"/>
                <w:szCs w:val="20"/>
              </w:rPr>
              <w:t>’</w:t>
            </w:r>
            <w:r w:rsidRPr="00A724A6">
              <w:rPr>
                <w:rFonts w:ascii="Arial" w:hAnsi="Arial"/>
                <w:sz w:val="20"/>
                <w:szCs w:val="20"/>
              </w:rPr>
              <w:t xml:space="preserve"> indicates that the geo-location code does not apply within this State/Territory or for this year level.</w:t>
            </w:r>
          </w:p>
        </w:tc>
      </w:tr>
      <w:tr w:rsidR="00A724A6" w:rsidRPr="008B4E76" w:rsidTr="00EC05AB">
        <w:tblPrEx>
          <w:tblLook w:val="00A0" w:firstRow="1" w:lastRow="0" w:firstColumn="1" w:lastColumn="0" w:noHBand="0" w:noVBand="0"/>
        </w:tblPrEx>
        <w:tc>
          <w:tcPr>
            <w:tcW w:w="1843" w:type="dxa"/>
          </w:tcPr>
          <w:p w:rsidR="00A724A6" w:rsidRPr="005962EA" w:rsidRDefault="00A724A6" w:rsidP="000D601B">
            <w:pPr>
              <w:pStyle w:val="TableBodyText"/>
              <w:jc w:val="left"/>
              <w:rPr>
                <w:rFonts w:ascii="DejaVu Serif" w:hAnsi="DejaVu Serif"/>
                <w:b/>
              </w:rPr>
            </w:pPr>
            <w:r w:rsidRPr="005962EA">
              <w:rPr>
                <w:b/>
              </w:rPr>
              <w:lastRenderedPageBreak/>
              <w:t>Coherence</w:t>
            </w:r>
          </w:p>
        </w:tc>
        <w:tc>
          <w:tcPr>
            <w:tcW w:w="6945" w:type="dxa"/>
          </w:tcPr>
          <w:p w:rsidR="00A724A6" w:rsidRPr="00A724A6" w:rsidRDefault="00A724A6" w:rsidP="00432CA5">
            <w:pPr>
              <w:pStyle w:val="TableBodyText"/>
              <w:jc w:val="both"/>
            </w:pPr>
            <w:r w:rsidRPr="00A724A6">
              <w:t>Consistency over time: NAPLAN results are collected in a consistent manner annually.</w:t>
            </w:r>
          </w:p>
          <w:p w:rsidR="00A724A6" w:rsidRPr="00A724A6" w:rsidRDefault="00A724A6" w:rsidP="00432CA5">
            <w:pPr>
              <w:pStyle w:val="TableBodyText"/>
              <w:jc w:val="both"/>
            </w:pPr>
            <w:r w:rsidRPr="00A724A6">
              <w:t>PI 1 &amp; 2 — The numerator and denominator are compiled from individual source file from Department of Education from each State and Territory [ACARA student attendance data (unpublished)]</w:t>
            </w:r>
          </w:p>
          <w:p w:rsidR="00A724A6" w:rsidRPr="00A724A6" w:rsidRDefault="00A724A6" w:rsidP="00432CA5">
            <w:pPr>
              <w:pStyle w:val="TableBodyText"/>
              <w:jc w:val="both"/>
            </w:pPr>
            <w:r w:rsidRPr="00A724A6">
              <w:t>PI 4 &amp; 5 — The numerator and denominator are compiled from a single source, with the exception of aggregated data for the mean scale scores provided by ACER</w:t>
            </w:r>
          </w:p>
          <w:p w:rsidR="00A724A6" w:rsidRPr="00A724A6" w:rsidRDefault="00A724A6" w:rsidP="00432CA5">
            <w:pPr>
              <w:pStyle w:val="TableBodyText"/>
              <w:jc w:val="both"/>
            </w:pPr>
            <w:r w:rsidRPr="00A724A6">
              <w:t>PI 4 &amp; 5 — From 2011, the NAPLAN writing test was assessed on a persuasive text, rather than the narrative text used in previous years. Results from the two texts are not directly comparable, which has resulted in a break in series for NAPLAN writing in 2011. Data from the 2011 NAPLAN for achievement in writing should not be compared with previous years.</w:t>
            </w:r>
          </w:p>
          <w:p w:rsidR="00A724A6" w:rsidRPr="00A724A6" w:rsidRDefault="00A724A6" w:rsidP="00432CA5">
            <w:pPr>
              <w:pStyle w:val="TableBodyText"/>
              <w:jc w:val="both"/>
            </w:pPr>
            <w:r w:rsidRPr="00A724A6">
              <w:t>Jurisdiction estimate calculation: Yes</w:t>
            </w:r>
          </w:p>
          <w:p w:rsidR="00A724A6" w:rsidRPr="00A724A6" w:rsidRDefault="00A724A6" w:rsidP="00432CA5">
            <w:pPr>
              <w:pStyle w:val="TableBodyText"/>
              <w:jc w:val="both"/>
            </w:pPr>
            <w:r w:rsidRPr="00A724A6">
              <w:t>Jurisdiction/Australia estimate calculation: Yes</w:t>
            </w:r>
          </w:p>
          <w:p w:rsidR="00A724A6" w:rsidRPr="00A724A6" w:rsidRDefault="00A724A6" w:rsidP="00432CA5">
            <w:pPr>
              <w:jc w:val="both"/>
              <w:rPr>
                <w:rFonts w:ascii="Arial" w:hAnsi="Arial"/>
                <w:sz w:val="20"/>
                <w:szCs w:val="20"/>
              </w:rPr>
            </w:pPr>
            <w:r w:rsidRPr="00A724A6">
              <w:rPr>
                <w:rFonts w:ascii="Arial" w:hAnsi="Arial"/>
                <w:sz w:val="20"/>
                <w:szCs w:val="20"/>
              </w:rPr>
              <w:t>Collections across populations: Yes</w:t>
            </w:r>
          </w:p>
        </w:tc>
      </w:tr>
      <w:tr w:rsidR="00A724A6" w:rsidRPr="008B4E76" w:rsidTr="00EC05AB">
        <w:tblPrEx>
          <w:tblLook w:val="00A0" w:firstRow="1" w:lastRow="0" w:firstColumn="1" w:lastColumn="0" w:noHBand="0" w:noVBand="0"/>
        </w:tblPrEx>
        <w:tc>
          <w:tcPr>
            <w:tcW w:w="1843" w:type="dxa"/>
          </w:tcPr>
          <w:p w:rsidR="00A724A6" w:rsidRPr="005962EA" w:rsidRDefault="00A724A6" w:rsidP="000D601B">
            <w:pPr>
              <w:pStyle w:val="TableBodyText"/>
              <w:jc w:val="left"/>
              <w:rPr>
                <w:rFonts w:ascii="DejaVu Serif" w:hAnsi="DejaVu Serif"/>
                <w:b/>
              </w:rPr>
            </w:pPr>
            <w:r w:rsidRPr="005962EA">
              <w:rPr>
                <w:b/>
              </w:rPr>
              <w:t>Interpretability</w:t>
            </w:r>
          </w:p>
        </w:tc>
        <w:tc>
          <w:tcPr>
            <w:tcW w:w="6945" w:type="dxa"/>
          </w:tcPr>
          <w:p w:rsidR="00A724A6" w:rsidRPr="00A724A6" w:rsidRDefault="00A724A6" w:rsidP="00432CA5">
            <w:pPr>
              <w:pStyle w:val="TableBodyText"/>
              <w:jc w:val="both"/>
            </w:pPr>
            <w:r w:rsidRPr="00A724A6">
              <w:t>Context: Yes, this is within the context of the NAPLAN testing and reporting environment</w:t>
            </w:r>
          </w:p>
          <w:p w:rsidR="00A724A6" w:rsidRPr="00A724A6" w:rsidRDefault="00A724A6" w:rsidP="00432CA5">
            <w:pPr>
              <w:pStyle w:val="TableBodyText"/>
              <w:jc w:val="both"/>
            </w:pPr>
            <w:r w:rsidRPr="00A724A6">
              <w:t>Other Supporting information: FAQ's on (</w:t>
            </w:r>
            <w:proofErr w:type="spellStart"/>
            <w:r w:rsidRPr="00A724A6">
              <w:t>www.naplan.edu.au</w:t>
            </w:r>
            <w:proofErr w:type="spellEnd"/>
            <w:r w:rsidRPr="00A724A6">
              <w:t>)</w:t>
            </w:r>
          </w:p>
          <w:p w:rsidR="00A724A6" w:rsidRPr="00A724A6" w:rsidRDefault="00A724A6" w:rsidP="00432CA5">
            <w:pPr>
              <w:pStyle w:val="TableBodyText"/>
              <w:jc w:val="both"/>
            </w:pPr>
            <w:r w:rsidRPr="00A724A6">
              <w:t>Socioeconomic status derivation: NA</w:t>
            </w:r>
          </w:p>
          <w:p w:rsidR="00A724A6" w:rsidRPr="00A724A6" w:rsidRDefault="00A724A6" w:rsidP="00432CA5">
            <w:pPr>
              <w:jc w:val="both"/>
              <w:rPr>
                <w:rFonts w:ascii="Arial" w:hAnsi="Arial"/>
                <w:sz w:val="20"/>
                <w:szCs w:val="20"/>
              </w:rPr>
            </w:pPr>
            <w:r w:rsidRPr="00A724A6">
              <w:rPr>
                <w:rFonts w:ascii="Arial" w:hAnsi="Arial"/>
                <w:sz w:val="20"/>
                <w:szCs w:val="20"/>
              </w:rPr>
              <w:t>Socioeconomic status quintiles derivation: NA</w:t>
            </w:r>
          </w:p>
        </w:tc>
      </w:tr>
      <w:tr w:rsidR="00A724A6" w:rsidRPr="008B4E76" w:rsidTr="00EC05AB">
        <w:tblPrEx>
          <w:tblLook w:val="00A0" w:firstRow="1" w:lastRow="0" w:firstColumn="1" w:lastColumn="0" w:noHBand="0" w:noVBand="0"/>
        </w:tblPrEx>
        <w:tc>
          <w:tcPr>
            <w:tcW w:w="1843" w:type="dxa"/>
          </w:tcPr>
          <w:p w:rsidR="00A724A6" w:rsidRPr="005962EA" w:rsidRDefault="00A724A6" w:rsidP="000D601B">
            <w:pPr>
              <w:pStyle w:val="TableBodyText"/>
              <w:jc w:val="left"/>
              <w:rPr>
                <w:rFonts w:ascii="DejaVu Serif" w:hAnsi="DejaVu Serif"/>
                <w:b/>
              </w:rPr>
            </w:pPr>
            <w:r w:rsidRPr="005962EA">
              <w:rPr>
                <w:b/>
              </w:rPr>
              <w:t>Accessibility</w:t>
            </w:r>
          </w:p>
        </w:tc>
        <w:tc>
          <w:tcPr>
            <w:tcW w:w="6945" w:type="dxa"/>
          </w:tcPr>
          <w:p w:rsidR="00A724A6" w:rsidRPr="00A724A6" w:rsidRDefault="00A724A6" w:rsidP="00432CA5">
            <w:pPr>
              <w:pStyle w:val="TableBodyText"/>
              <w:jc w:val="both"/>
            </w:pPr>
            <w:r w:rsidRPr="00A724A6">
              <w:t>Data publicly available. (</w:t>
            </w:r>
            <w:proofErr w:type="spellStart"/>
            <w:r w:rsidRPr="00A724A6">
              <w:t>www.naplan.edu.au</w:t>
            </w:r>
            <w:proofErr w:type="spellEnd"/>
            <w:r w:rsidRPr="00A724A6">
              <w:t>)</w:t>
            </w:r>
          </w:p>
          <w:p w:rsidR="00A724A6" w:rsidRPr="00A724A6" w:rsidRDefault="00A724A6" w:rsidP="00432CA5">
            <w:pPr>
              <w:pStyle w:val="TableBodyText"/>
              <w:jc w:val="both"/>
            </w:pPr>
            <w:r w:rsidRPr="00A724A6">
              <w:t xml:space="preserve">Data </w:t>
            </w:r>
            <w:r w:rsidR="00140AB8">
              <w:t>are</w:t>
            </w:r>
            <w:r w:rsidRPr="00A724A6">
              <w:t xml:space="preserve"> not available prior to public access</w:t>
            </w:r>
          </w:p>
          <w:p w:rsidR="00A724A6" w:rsidRPr="00A724A6" w:rsidRDefault="00A724A6" w:rsidP="00432CA5">
            <w:pPr>
              <w:pStyle w:val="TableBodyText"/>
              <w:jc w:val="both"/>
            </w:pPr>
            <w:r w:rsidRPr="00A724A6">
              <w:t xml:space="preserve">Supplementary data </w:t>
            </w:r>
            <w:r w:rsidR="00140AB8">
              <w:t>are</w:t>
            </w:r>
            <w:r w:rsidRPr="00A724A6">
              <w:t xml:space="preserve"> not available</w:t>
            </w:r>
          </w:p>
          <w:p w:rsidR="00A724A6" w:rsidRPr="00A724A6" w:rsidRDefault="00A724A6" w:rsidP="00432CA5">
            <w:pPr>
              <w:pStyle w:val="TableBodyText"/>
              <w:jc w:val="both"/>
            </w:pPr>
            <w:r w:rsidRPr="00A724A6">
              <w:t xml:space="preserve">The data </w:t>
            </w:r>
            <w:r w:rsidR="00140AB8">
              <w:t>are</w:t>
            </w:r>
            <w:r w:rsidRPr="00A724A6">
              <w:t xml:space="preserve"> available in PDF format at (</w:t>
            </w:r>
            <w:proofErr w:type="spellStart"/>
            <w:r w:rsidRPr="00A724A6">
              <w:t>www.naplan.edu.au</w:t>
            </w:r>
            <w:proofErr w:type="spellEnd"/>
            <w:r w:rsidRPr="00A724A6">
              <w:t>).</w:t>
            </w:r>
          </w:p>
        </w:tc>
      </w:tr>
    </w:tbl>
    <w:p w:rsidR="00D11E31" w:rsidRDefault="00D11E31" w:rsidP="000D601B">
      <w:pPr>
        <w:pStyle w:val="TableBodyText"/>
        <w:jc w:val="left"/>
      </w:pPr>
    </w:p>
    <w:p w:rsidR="00D11E31" w:rsidRDefault="00D11E31" w:rsidP="000D601B">
      <w:pPr>
        <w:pStyle w:val="Heading3"/>
        <w:spacing w:before="360" w:after="240"/>
      </w:pPr>
      <w:r>
        <w:br w:type="page"/>
      </w:r>
      <w:bookmarkStart w:id="43" w:name="_Ref325636956"/>
      <w:r>
        <w:lastRenderedPageBreak/>
        <w:t>D</w:t>
      </w:r>
      <w:r w:rsidRPr="00291419">
        <w:t xml:space="preserve">ata </w:t>
      </w:r>
      <w:r w:rsidRPr="00A05316">
        <w:t>Quality</w:t>
      </w:r>
      <w:r>
        <w:t xml:space="preserve"> Statement – Performance Indica</w:t>
      </w:r>
      <w:r w:rsidR="0000595E">
        <w:t>tor 7: The proportion of the 20–</w:t>
      </w:r>
      <w:r>
        <w:t xml:space="preserve">24 year old population having attained at least a Year 12 or equivalent or </w:t>
      </w:r>
      <w:proofErr w:type="spellStart"/>
      <w:r>
        <w:t>AQF</w:t>
      </w:r>
      <w:proofErr w:type="spellEnd"/>
      <w:r>
        <w:t xml:space="preserve"> Certificate II or above</w:t>
      </w:r>
      <w:bookmarkEnd w:id="43"/>
    </w:p>
    <w:tbl>
      <w:tblPr>
        <w:tblW w:w="8788" w:type="dxa"/>
        <w:tblInd w:w="108" w:type="dxa"/>
        <w:tblLayout w:type="fixed"/>
        <w:tblLook w:val="01E0" w:firstRow="1" w:lastRow="1" w:firstColumn="1" w:lastColumn="1" w:noHBand="0" w:noVBand="0"/>
      </w:tblPr>
      <w:tblGrid>
        <w:gridCol w:w="1843"/>
        <w:gridCol w:w="6945"/>
      </w:tblGrid>
      <w:tr w:rsidR="00D11E31" w:rsidRPr="008B4E76" w:rsidTr="00EC05AB">
        <w:tc>
          <w:tcPr>
            <w:tcW w:w="1843" w:type="dxa"/>
          </w:tcPr>
          <w:p w:rsidR="00D11E31" w:rsidRPr="005962EA" w:rsidRDefault="00D11E31" w:rsidP="000D601B">
            <w:pPr>
              <w:pStyle w:val="TableBodyText"/>
              <w:jc w:val="left"/>
              <w:rPr>
                <w:rFonts w:ascii="DejaVu Serif" w:hAnsi="DejaVu Serif"/>
                <w:b/>
              </w:rPr>
            </w:pPr>
            <w:r w:rsidRPr="005962EA">
              <w:rPr>
                <w:b/>
              </w:rPr>
              <w:t>Indicator</w:t>
            </w:r>
          </w:p>
        </w:tc>
        <w:tc>
          <w:tcPr>
            <w:tcW w:w="6945" w:type="dxa"/>
          </w:tcPr>
          <w:p w:rsidR="00D11E31" w:rsidRPr="008B4E76" w:rsidRDefault="00D11E31" w:rsidP="00432CA5">
            <w:pPr>
              <w:pStyle w:val="TableBodyText"/>
              <w:jc w:val="both"/>
            </w:pPr>
            <w:r w:rsidRPr="00B5656B">
              <w:t xml:space="preserve">NEA 7 – The Proportion of the 20–24 year old population having attained at least a Year 12 or equivalent or </w:t>
            </w:r>
            <w:proofErr w:type="spellStart"/>
            <w:r w:rsidRPr="00B5656B">
              <w:t>AQF</w:t>
            </w:r>
            <w:proofErr w:type="spellEnd"/>
            <w:r w:rsidRPr="00B5656B">
              <w:t xml:space="preserve"> Certificate II or above</w:t>
            </w:r>
          </w:p>
        </w:tc>
      </w:tr>
      <w:tr w:rsidR="0000595E" w:rsidRPr="008B4E76" w:rsidTr="00EC05AB">
        <w:tc>
          <w:tcPr>
            <w:tcW w:w="1843" w:type="dxa"/>
          </w:tcPr>
          <w:p w:rsidR="0000595E" w:rsidRPr="005962EA" w:rsidRDefault="0000595E" w:rsidP="000D601B">
            <w:pPr>
              <w:pStyle w:val="TableBodyText"/>
              <w:jc w:val="left"/>
              <w:rPr>
                <w:rFonts w:ascii="DejaVu Serif" w:hAnsi="DejaVu Serif"/>
                <w:b/>
              </w:rPr>
            </w:pPr>
            <w:r w:rsidRPr="005962EA">
              <w:rPr>
                <w:b/>
              </w:rPr>
              <w:t>Measure</w:t>
            </w:r>
          </w:p>
        </w:tc>
        <w:tc>
          <w:tcPr>
            <w:tcW w:w="6945" w:type="dxa"/>
          </w:tcPr>
          <w:p w:rsidR="0000595E" w:rsidRPr="0000595E" w:rsidRDefault="0000595E" w:rsidP="00432CA5">
            <w:pPr>
              <w:pStyle w:val="TableBodyText"/>
              <w:jc w:val="both"/>
            </w:pPr>
            <w:r w:rsidRPr="0000595E">
              <w:t>Persons aged 20–24 years who have completed Year 12 (or equivalent) or attained a formal qualification at Certificate II level or above.</w:t>
            </w:r>
          </w:p>
          <w:p w:rsidR="0000595E" w:rsidRPr="0000595E" w:rsidRDefault="0000595E" w:rsidP="00432CA5">
            <w:pPr>
              <w:pStyle w:val="TableBodyText"/>
              <w:jc w:val="both"/>
              <w:rPr>
                <w:u w:val="single"/>
              </w:rPr>
            </w:pPr>
            <w:r w:rsidRPr="0000595E">
              <w:rPr>
                <w:u w:val="single"/>
              </w:rPr>
              <w:t>Numerator:</w:t>
            </w:r>
          </w:p>
          <w:p w:rsidR="0000595E" w:rsidRPr="0000595E" w:rsidRDefault="0000595E" w:rsidP="00432CA5">
            <w:pPr>
              <w:pStyle w:val="TableBodyText"/>
              <w:jc w:val="both"/>
            </w:pPr>
            <w:r w:rsidRPr="0000595E">
              <w:t xml:space="preserve">Number of persons aged 20–24 year olds who state they have completed Year 12 or attained a formal qualification at Certificate II or above (excludes Certificate </w:t>
            </w:r>
            <w:proofErr w:type="spellStart"/>
            <w:r w:rsidRPr="0000595E">
              <w:t>nfd</w:t>
            </w:r>
            <w:proofErr w:type="spellEnd"/>
            <w:r w:rsidRPr="0000595E">
              <w:t xml:space="preserve">, and Certificate I/II </w:t>
            </w:r>
            <w:proofErr w:type="spellStart"/>
            <w:r w:rsidRPr="0000595E">
              <w:t>nfd</w:t>
            </w:r>
            <w:proofErr w:type="spellEnd"/>
            <w:r w:rsidRPr="0000595E">
              <w:t>).</w:t>
            </w:r>
          </w:p>
          <w:p w:rsidR="0000595E" w:rsidRPr="0000595E" w:rsidRDefault="0000595E" w:rsidP="00432CA5">
            <w:pPr>
              <w:pStyle w:val="TableBodyText"/>
              <w:jc w:val="both"/>
              <w:rPr>
                <w:u w:val="single"/>
              </w:rPr>
            </w:pPr>
            <w:r w:rsidRPr="0000595E">
              <w:rPr>
                <w:u w:val="single"/>
              </w:rPr>
              <w:t>Denominator:</w:t>
            </w:r>
          </w:p>
          <w:p w:rsidR="0000595E" w:rsidRPr="0000595E" w:rsidRDefault="0000595E" w:rsidP="00432CA5">
            <w:pPr>
              <w:pStyle w:val="TableBodyText"/>
              <w:jc w:val="both"/>
            </w:pPr>
            <w:r w:rsidRPr="0000595E">
              <w:t>Total population of persons aged 20–24 years.</w:t>
            </w:r>
          </w:p>
          <w:p w:rsidR="0000595E" w:rsidRPr="0000595E" w:rsidRDefault="0000595E" w:rsidP="00432CA5">
            <w:pPr>
              <w:pStyle w:val="TableBodyText"/>
              <w:jc w:val="both"/>
            </w:pPr>
            <w:r w:rsidRPr="0000595E">
              <w:t>Excludes people whose educational attainment is not stated (only applicable to Census dat</w:t>
            </w:r>
            <w:r w:rsidR="00712F6B">
              <w:t>a).</w:t>
            </w:r>
          </w:p>
          <w:p w:rsidR="0000595E" w:rsidRPr="0000595E" w:rsidRDefault="0000595E" w:rsidP="00432CA5">
            <w:pPr>
              <w:pStyle w:val="TableBodyText"/>
              <w:jc w:val="both"/>
            </w:pPr>
            <w:r w:rsidRPr="0000595E">
              <w:t>Note: Data from the Survey of Education and Work are provided as supplementary information to Census data to inform this measure.</w:t>
            </w:r>
          </w:p>
        </w:tc>
      </w:tr>
      <w:tr w:rsidR="0000595E" w:rsidRPr="008B4E76" w:rsidTr="000D601B">
        <w:tc>
          <w:tcPr>
            <w:tcW w:w="1843" w:type="dxa"/>
          </w:tcPr>
          <w:p w:rsidR="0000595E" w:rsidRPr="005962EA" w:rsidRDefault="0000595E" w:rsidP="000D601B">
            <w:pPr>
              <w:pStyle w:val="TableBodyText"/>
              <w:jc w:val="left"/>
              <w:rPr>
                <w:rFonts w:ascii="DejaVu Serif" w:hAnsi="DejaVu Serif"/>
                <w:b/>
              </w:rPr>
            </w:pPr>
            <w:r w:rsidRPr="005962EA">
              <w:rPr>
                <w:b/>
              </w:rPr>
              <w:t>Data source</w:t>
            </w:r>
          </w:p>
        </w:tc>
        <w:tc>
          <w:tcPr>
            <w:tcW w:w="6945" w:type="dxa"/>
          </w:tcPr>
          <w:p w:rsidR="0000595E" w:rsidRPr="0000595E" w:rsidRDefault="0000595E" w:rsidP="00432CA5">
            <w:pPr>
              <w:pStyle w:val="TableBodyText"/>
              <w:jc w:val="both"/>
              <w:rPr>
                <w:u w:val="single"/>
              </w:rPr>
            </w:pPr>
            <w:r w:rsidRPr="0000595E">
              <w:rPr>
                <w:u w:val="single"/>
              </w:rPr>
              <w:t>Numerator and denominator:</w:t>
            </w:r>
          </w:p>
          <w:p w:rsidR="0000595E" w:rsidRPr="0000595E" w:rsidRDefault="0000595E" w:rsidP="00432CA5">
            <w:pPr>
              <w:pStyle w:val="TableBodyText"/>
              <w:jc w:val="both"/>
            </w:pPr>
            <w:r w:rsidRPr="0000595E">
              <w:t>ABS Census of Population and Housing (Census). Data are available every five years.</w:t>
            </w:r>
          </w:p>
          <w:p w:rsidR="0000595E" w:rsidRPr="0000595E" w:rsidRDefault="0000595E" w:rsidP="00432CA5">
            <w:pPr>
              <w:pStyle w:val="TableBodyText"/>
              <w:jc w:val="both"/>
              <w:rPr>
                <w:u w:val="single"/>
              </w:rPr>
            </w:pPr>
            <w:r w:rsidRPr="0000595E">
              <w:rPr>
                <w:u w:val="single"/>
              </w:rPr>
              <w:t>Numerator and denominator:</w:t>
            </w:r>
          </w:p>
          <w:p w:rsidR="0000595E" w:rsidRPr="0000595E" w:rsidRDefault="0000595E" w:rsidP="00432CA5">
            <w:pPr>
              <w:pStyle w:val="TableBodyText"/>
              <w:jc w:val="both"/>
            </w:pPr>
            <w:r w:rsidRPr="0000595E">
              <w:t>ABS Survey of Education and Work (SEW). Data are available annually.</w:t>
            </w:r>
          </w:p>
          <w:p w:rsidR="0000595E" w:rsidRPr="0000595E" w:rsidRDefault="0000595E" w:rsidP="00432CA5">
            <w:pPr>
              <w:pStyle w:val="TableBodyText"/>
              <w:jc w:val="both"/>
            </w:pPr>
            <w:r w:rsidRPr="0000595E">
              <w:t>2011 SEW data are being used for this cycle of indicators.</w:t>
            </w:r>
          </w:p>
        </w:tc>
      </w:tr>
      <w:tr w:rsidR="0000595E" w:rsidRPr="00434D2C" w:rsidTr="000D601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Institutional Environment</w:t>
            </w:r>
          </w:p>
        </w:tc>
        <w:tc>
          <w:tcPr>
            <w:tcW w:w="6945" w:type="dxa"/>
            <w:tcBorders>
              <w:left w:val="nil"/>
            </w:tcBorders>
          </w:tcPr>
          <w:p w:rsidR="0000595E" w:rsidRPr="0000595E" w:rsidRDefault="0000595E" w:rsidP="00432CA5">
            <w:pPr>
              <w:pStyle w:val="TableBodyText"/>
              <w:jc w:val="both"/>
            </w:pPr>
            <w:r w:rsidRPr="0000595E">
              <w:t>The Census and SEW are collected by the ABS under the Census and Statistics Act 1905.</w:t>
            </w:r>
          </w:p>
          <w:p w:rsidR="0000595E" w:rsidRPr="0000595E" w:rsidRDefault="0000595E" w:rsidP="00432CA5">
            <w:pPr>
              <w:pStyle w:val="TableBodyText"/>
              <w:jc w:val="both"/>
            </w:pPr>
            <w:r w:rsidRPr="0000595E">
              <w:t xml:space="preserve">For information on the institutional environment of the ABS, including the legislative obligations of the ABS, financing and government arrangements, and mechanisms for scrutiny of ABS operations, see </w:t>
            </w:r>
            <w:hyperlink r:id="rId185" w:history="1">
              <w:r w:rsidRPr="0000595E">
                <w:t>ABS Institutional Environment</w:t>
              </w:r>
            </w:hyperlink>
            <w:r w:rsidR="00934C88">
              <w:t xml:space="preserve"> </w:t>
            </w:r>
            <w:r>
              <w:t>(</w:t>
            </w:r>
            <w:r w:rsidRPr="0000595E">
              <w:t>www.abs.gov.au/</w:t>
            </w:r>
            <w:proofErr w:type="spellStart"/>
            <w:r w:rsidRPr="0000595E">
              <w:t>websitedbs</w:t>
            </w:r>
            <w:proofErr w:type="spellEnd"/>
            <w:r w:rsidRPr="0000595E">
              <w:t>/</w:t>
            </w:r>
            <w:proofErr w:type="spellStart"/>
            <w:r w:rsidRPr="0000595E">
              <w:t>d3310114.nsf</w:t>
            </w:r>
            <w:proofErr w:type="spellEnd"/>
            <w:r w:rsidRPr="0000595E">
              <w:t>/</w:t>
            </w:r>
            <w:r w:rsidR="00F70DBA">
              <w:t xml:space="preserve"> </w:t>
            </w:r>
            <w:r w:rsidRPr="0000595E">
              <w:t>4a256353001af3ed4b2562bb00121564/10ca14cb967e5b83ca2573ae00197b65!OpenDocument</w:t>
            </w:r>
            <w:r>
              <w:t>)</w:t>
            </w:r>
            <w:r w:rsidRPr="0000595E">
              <w:t>.</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b/>
              </w:rPr>
            </w:pPr>
            <w:r w:rsidRPr="005962EA">
              <w:rPr>
                <w:b/>
              </w:rPr>
              <w:t>Relevance</w:t>
            </w:r>
          </w:p>
        </w:tc>
        <w:tc>
          <w:tcPr>
            <w:tcW w:w="6945" w:type="dxa"/>
          </w:tcPr>
          <w:p w:rsidR="0000595E" w:rsidRPr="0000595E" w:rsidRDefault="0000595E" w:rsidP="00432CA5">
            <w:pPr>
              <w:pStyle w:val="TableBodyText"/>
              <w:jc w:val="both"/>
            </w:pPr>
            <w:r w:rsidRPr="0000595E">
              <w:t>SEW data are available by state/territory. The SEW does not collect data from people in Indigenous communities in ver</w:t>
            </w:r>
            <w:r w:rsidR="00712F6B">
              <w:t>y remote areas (see Coherence).</w:t>
            </w:r>
          </w:p>
          <w:p w:rsidR="0000595E" w:rsidRPr="0000595E" w:rsidRDefault="0000595E" w:rsidP="00432CA5">
            <w:pPr>
              <w:pStyle w:val="TableBodyText"/>
              <w:jc w:val="both"/>
            </w:pPr>
            <w:r w:rsidRPr="0000595E">
              <w:t xml:space="preserve">The SEW collects information on the highest year of school completed and highest level of non-school qualification. The classification of qualifications used is the </w:t>
            </w:r>
            <w:hyperlink r:id="rId186" w:history="1">
              <w:r w:rsidRPr="0000595E">
                <w:t>Australian Standard Classification of Education (</w:t>
              </w:r>
              <w:proofErr w:type="spellStart"/>
              <w:r w:rsidRPr="0000595E">
                <w:t>ASCED</w:t>
              </w:r>
              <w:proofErr w:type="spellEnd"/>
              <w:r w:rsidRPr="0000595E">
                <w:t>)</w:t>
              </w:r>
              <w:r w:rsidR="00934C88">
                <w:t xml:space="preserve"> (</w:t>
              </w:r>
              <w:r w:rsidRPr="0000595E">
                <w:t xml:space="preserve">www.abs.gov.au/AUSSTATS/ABS@.NSF/0/F501C031BD9AC9C5CA256AAF001FCA33?opendocument) </w:t>
              </w:r>
              <w:r w:rsidR="009605B1">
                <w:t>(Cat. no. </w:t>
              </w:r>
              <w:r w:rsidRPr="0000595E">
                <w:t>1272.0).</w:t>
              </w:r>
            </w:hyperlink>
          </w:p>
          <w:p w:rsidR="0000595E" w:rsidRPr="0000595E" w:rsidRDefault="0000595E" w:rsidP="00432CA5">
            <w:pPr>
              <w:pStyle w:val="TableBodyText"/>
              <w:jc w:val="both"/>
            </w:pPr>
            <w:r w:rsidRPr="0000595E">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Timeliness</w:t>
            </w:r>
          </w:p>
        </w:tc>
        <w:tc>
          <w:tcPr>
            <w:tcW w:w="6945" w:type="dxa"/>
          </w:tcPr>
          <w:p w:rsidR="0000595E" w:rsidRPr="0000595E" w:rsidRDefault="0000595E" w:rsidP="00432CA5">
            <w:pPr>
              <w:pStyle w:val="TableBodyText"/>
              <w:jc w:val="both"/>
            </w:pPr>
            <w:r w:rsidRPr="0000595E">
              <w:t>The SEW is conducted annually in May as a supplement to the monthly Labour Force Survey (</w:t>
            </w:r>
            <w:proofErr w:type="spellStart"/>
            <w:r w:rsidRPr="0000595E">
              <w:t>LFS</w:t>
            </w:r>
            <w:proofErr w:type="spellEnd"/>
            <w:r w:rsidRPr="0000595E">
              <w:t>). Results from the 2011 survey were released in November 2011.</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Accuracy</w:t>
            </w:r>
          </w:p>
        </w:tc>
        <w:tc>
          <w:tcPr>
            <w:tcW w:w="6945" w:type="dxa"/>
          </w:tcPr>
          <w:p w:rsidR="0000595E" w:rsidRPr="0000595E" w:rsidRDefault="0000595E" w:rsidP="00432CA5">
            <w:pPr>
              <w:pStyle w:val="TableBodyText"/>
              <w:jc w:val="both"/>
            </w:pPr>
            <w:r w:rsidRPr="0000595E">
              <w:t>The 2011 SEW response rate was 96</w:t>
            </w:r>
            <w:r w:rsidR="00160697">
              <w:t xml:space="preserve"> per cent</w:t>
            </w:r>
            <w:r w:rsidRPr="0000595E">
              <w:t xml:space="preserve"> which constituted 39</w:t>
            </w:r>
            <w:r w:rsidR="00F70DBA">
              <w:t> </w:t>
            </w:r>
            <w:r w:rsidRPr="0000595E">
              <w:t xml:space="preserve">800 completed interviews. The 2011 response rate was consistent with that in previous years. The data for the SEW are collected from an </w:t>
            </w:r>
            <w:proofErr w:type="spellStart"/>
            <w:r w:rsidRPr="0000595E">
              <w:t>ARA</w:t>
            </w:r>
            <w:proofErr w:type="spellEnd"/>
            <w:r w:rsidRPr="0000595E">
              <w:t xml:space="preserve"> (Any Responsible Adult) on behalf of other members of the household and are </w:t>
            </w:r>
            <w:r w:rsidRPr="0000595E">
              <w:lastRenderedPageBreak/>
              <w:t>weighted for non-response.</w:t>
            </w:r>
          </w:p>
          <w:p w:rsidR="0000595E" w:rsidRPr="0000595E" w:rsidRDefault="0000595E" w:rsidP="00432CA5">
            <w:pPr>
              <w:pStyle w:val="TableBodyText"/>
              <w:jc w:val="both"/>
            </w:pPr>
            <w:r w:rsidRPr="0000595E">
              <w:t>The data are event data that can be used to measure year to year changes provided that the changes are large enough to account for the Relative Standard Error (</w:t>
            </w:r>
            <w:proofErr w:type="spellStart"/>
            <w:r w:rsidRPr="0000595E">
              <w:t>RSE</w:t>
            </w:r>
            <w:proofErr w:type="spellEnd"/>
            <w:r w:rsidRPr="0000595E">
              <w:t xml:space="preserve">) of estimates. The </w:t>
            </w:r>
            <w:proofErr w:type="spellStart"/>
            <w:r w:rsidRPr="0000595E">
              <w:t>LFS</w:t>
            </w:r>
            <w:proofErr w:type="spellEnd"/>
            <w:r w:rsidRPr="0000595E">
              <w:t xml:space="preserve"> sample was reduced by 20</w:t>
            </w:r>
            <w:r w:rsidR="00160697">
              <w:t xml:space="preserve"> per cent</w:t>
            </w:r>
            <w:r w:rsidRPr="0000595E">
              <w:t xml:space="preserve"> in 2009, but the full sample was reinstated from 2010 onwards.</w:t>
            </w:r>
          </w:p>
          <w:p w:rsidR="0000595E" w:rsidRPr="0000595E" w:rsidRDefault="0000595E" w:rsidP="00432CA5">
            <w:pPr>
              <w:pStyle w:val="TableBodyText"/>
              <w:jc w:val="both"/>
            </w:pPr>
            <w:r w:rsidRPr="0000595E">
              <w:t>Data with a relative standard error of between 25</w:t>
            </w:r>
            <w:r w:rsidR="00160697">
              <w:t xml:space="preserve"> per cent</w:t>
            </w:r>
            <w:r w:rsidRPr="0000595E">
              <w:t xml:space="preserve"> and 50</w:t>
            </w:r>
            <w:r w:rsidR="00160697">
              <w:t xml:space="preserve"> per cent</w:t>
            </w:r>
            <w:r w:rsidRPr="0000595E">
              <w:t xml:space="preserve"> should be used with caution while data with a relative standard error greater than 50</w:t>
            </w:r>
            <w:r w:rsidR="00160697">
              <w:t xml:space="preserve"> per cent</w:t>
            </w:r>
            <w:r w:rsidRPr="0000595E">
              <w:t xml:space="preserve"> is considered too unreliable for general use.</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lastRenderedPageBreak/>
              <w:t>Coherence</w:t>
            </w:r>
          </w:p>
        </w:tc>
        <w:tc>
          <w:tcPr>
            <w:tcW w:w="6945" w:type="dxa"/>
          </w:tcPr>
          <w:p w:rsidR="0000595E" w:rsidRPr="0000595E" w:rsidRDefault="0000595E" w:rsidP="00432CA5">
            <w:pPr>
              <w:pStyle w:val="TableBodyText"/>
              <w:jc w:val="both"/>
            </w:pPr>
            <w:r w:rsidRPr="0000595E">
              <w:t>Both the numerator and denominator come from the SEW. Measures based on the 2011 SEW are consistent with those supplied for COAG reporting from previous cycles of this survey. Data for 2010 have been revised due to amendments to the populati</w:t>
            </w:r>
            <w:r w:rsidR="00712F6B">
              <w:t>on benchmarks for the 2010 SEW.</w:t>
            </w:r>
          </w:p>
          <w:p w:rsidR="0000595E" w:rsidRPr="0000595E" w:rsidRDefault="0000595E" w:rsidP="00EE3827">
            <w:pPr>
              <w:pStyle w:val="TableBodyText"/>
              <w:jc w:val="both"/>
            </w:pPr>
            <w:r w:rsidRPr="0000595E">
              <w:t>Prior to 2009, all people in very remote areas were excluded from the SEW. Very remote areas represent about two per cent of the total Australian population and 20</w:t>
            </w:r>
            <w:r w:rsidR="00160697">
              <w:t xml:space="preserve"> per cent</w:t>
            </w:r>
            <w:r w:rsidRPr="0000595E">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w:t>
            </w:r>
            <w:r w:rsidR="00160697">
              <w:t xml:space="preserve"> per cent</w:t>
            </w:r>
            <w:r w:rsidRPr="0000595E">
              <w:t xml:space="preserve"> of the population. </w:t>
            </w:r>
            <w:r w:rsidR="007E7D77">
              <w:t xml:space="preserve">These revisions have a minor impact only </w:t>
            </w:r>
            <w:r w:rsidR="007E7D77" w:rsidRPr="00797960">
              <w:t>in the NT and minimal impact in the other states/territory on the actual value of the NEA performance indicators based on the SEW.</w:t>
            </w:r>
          </w:p>
          <w:p w:rsidR="0000595E" w:rsidRPr="0000595E" w:rsidRDefault="0000595E" w:rsidP="00432CA5">
            <w:pPr>
              <w:pStyle w:val="TableBodyText"/>
              <w:jc w:val="both"/>
            </w:pPr>
            <w:r w:rsidRPr="0000595E">
              <w:t xml:space="preserve">The </w:t>
            </w:r>
            <w:hyperlink r:id="rId187" w:history="1">
              <w:r w:rsidRPr="0000595E">
                <w:t>Australian Standard Classificati</w:t>
              </w:r>
              <w:r w:rsidR="00934C88">
                <w:t>on of Education (</w:t>
              </w:r>
              <w:proofErr w:type="spellStart"/>
              <w:r w:rsidR="00934C88">
                <w:t>ASCED</w:t>
              </w:r>
              <w:proofErr w:type="spellEnd"/>
              <w:r w:rsidR="00934C88">
                <w:t>) (</w:t>
              </w:r>
              <w:r w:rsidRPr="0000595E">
                <w:t>www.abs.gov.au/AUSSTATS/abs@.nsf/DetailsPage/1272.02001?OpenDocument</w:t>
              </w:r>
              <w:r w:rsidR="008A17C1">
                <w:t>)</w:t>
              </w:r>
              <w:r w:rsidRPr="0000595E">
                <w:t xml:space="preserve"> </w:t>
              </w:r>
              <w:r w:rsidR="009605B1">
                <w:t>(Cat. no. </w:t>
              </w:r>
              <w:r w:rsidRPr="0000595E">
                <w:t>1272.0)</w:t>
              </w:r>
            </w:hyperlink>
            <w:r w:rsidRPr="0000595E">
              <w:t xml:space="preserve"> has been used in all surveys with education items since 2001 and allows the education and training items between different surveys to be compared.</w:t>
            </w:r>
          </w:p>
          <w:p w:rsidR="0000595E" w:rsidRPr="0000595E" w:rsidRDefault="0000595E" w:rsidP="00432CA5">
            <w:pPr>
              <w:pStyle w:val="TableBodyText"/>
              <w:jc w:val="both"/>
            </w:pPr>
            <w:r w:rsidRPr="0000595E">
              <w:t xml:space="preserve">The Census of Population and Housing and the </w:t>
            </w:r>
            <w:hyperlink r:id="rId188" w:history="1">
              <w:r w:rsidRPr="0000595E">
                <w:t>Surv</w:t>
              </w:r>
              <w:r w:rsidR="00934C88">
                <w:t>ey of Learning and Work (</w:t>
              </w:r>
              <w:r w:rsidRPr="0000595E">
                <w:t>www.abs.gov.au/</w:t>
              </w:r>
              <w:proofErr w:type="spellStart"/>
              <w:r w:rsidRPr="0000595E">
                <w:t>ausstats</w:t>
              </w:r>
              <w:proofErr w:type="spellEnd"/>
              <w:r w:rsidRPr="0000595E">
                <w:t>/abs@.</w:t>
              </w:r>
              <w:proofErr w:type="spellStart"/>
              <w:r w:rsidRPr="0000595E">
                <w:t>nsf</w:t>
              </w:r>
              <w:proofErr w:type="spellEnd"/>
              <w:r w:rsidRPr="0000595E">
                <w:t>/mf/4235.0</w:t>
              </w:r>
              <w:r w:rsidR="008A17C1">
                <w:t>)</w:t>
              </w:r>
              <w:r w:rsidRPr="0000595E">
                <w:t xml:space="preserve"> </w:t>
              </w:r>
              <w:r w:rsidR="009605B1">
                <w:t>(Cat. no. </w:t>
              </w:r>
              <w:r w:rsidRPr="0000595E">
                <w:t>4235.0)</w:t>
              </w:r>
            </w:hyperlink>
            <w:r w:rsidRPr="0000595E">
              <w:t xml:space="preserve"> also provide information on educational attainment.</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Interpretability</w:t>
            </w:r>
          </w:p>
        </w:tc>
        <w:tc>
          <w:tcPr>
            <w:tcW w:w="6945" w:type="dxa"/>
          </w:tcPr>
          <w:p w:rsidR="0000595E" w:rsidRPr="0000595E" w:rsidRDefault="0000595E" w:rsidP="00432CA5">
            <w:pPr>
              <w:pStyle w:val="TableBodyText"/>
              <w:jc w:val="both"/>
            </w:pPr>
            <w:r w:rsidRPr="0000595E">
              <w:t xml:space="preserve">Information on how to interpret and use the data appropriately is available on the ABS website, see </w:t>
            </w:r>
            <w:hyperlink r:id="rId189" w:history="1">
              <w:r w:rsidRPr="0000595E">
                <w:t>Explanatory Notes</w:t>
              </w:r>
            </w:hyperlink>
            <w:r w:rsidR="00432CA5">
              <w:t xml:space="preserve"> </w:t>
            </w:r>
            <w:r>
              <w:t>(</w:t>
            </w:r>
            <w:hyperlink r:id="rId190" w:history="1">
              <w:r w:rsidRPr="0000595E">
                <w:t>www.abs.gov.au/</w:t>
              </w:r>
              <w:r w:rsidR="00432CA5">
                <w:t xml:space="preserve"> </w:t>
              </w:r>
              <w:r w:rsidRPr="0000595E">
                <w:t>AUSSTATS/abs@.nsf/Lookup/6227.0Explanatory%20Notes1May%202011?OpenDocument</w:t>
              </w:r>
            </w:hyperlink>
            <w:r>
              <w:t xml:space="preserve">) </w:t>
            </w:r>
            <w:r w:rsidRPr="0000595E">
              <w:t xml:space="preserve">in Education and Work, Australia </w:t>
            </w:r>
            <w:r w:rsidR="009605B1">
              <w:t>(Cat. no. </w:t>
            </w:r>
            <w:r w:rsidRPr="0000595E">
              <w:t>6227.0).</w:t>
            </w:r>
          </w:p>
          <w:p w:rsidR="0000595E" w:rsidRPr="0000595E" w:rsidRDefault="0000595E" w:rsidP="00432CA5">
            <w:pPr>
              <w:pStyle w:val="TableBodyText"/>
              <w:jc w:val="both"/>
            </w:pPr>
            <w:r w:rsidRPr="0000595E">
              <w:t xml:space="preserve">ABS SEIFA indexes are based on data from the Census and measure the socioeconomic status of the area in which a person lives. They do not directly measure the socioeconomic status of individuals or their households. </w:t>
            </w:r>
            <w:r w:rsidRPr="00611F67">
              <w:t>More</w:t>
            </w:r>
            <w:r w:rsidRPr="0000595E">
              <w:t xml:space="preserve"> information on the SEIFA measure of socioeconomic status can be found on the ABS website: </w:t>
            </w:r>
            <w:hyperlink r:id="rId191" w:history="1">
              <w:r w:rsidRPr="0000595E">
                <w:t>www.abs.gov.au</w:t>
              </w:r>
            </w:hyperlink>
            <w:r w:rsidRPr="0000595E">
              <w:t>.</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Accessibility</w:t>
            </w:r>
          </w:p>
        </w:tc>
        <w:tc>
          <w:tcPr>
            <w:tcW w:w="6945" w:type="dxa"/>
          </w:tcPr>
          <w:p w:rsidR="0000595E" w:rsidRPr="0000595E" w:rsidRDefault="0000595E" w:rsidP="00934C88">
            <w:pPr>
              <w:pStyle w:val="TableBodyText"/>
              <w:jc w:val="both"/>
            </w:pPr>
            <w:r w:rsidRPr="0000595E">
              <w:t xml:space="preserve">The data for the SEW are available via the ABS website in the publication </w:t>
            </w:r>
            <w:hyperlink r:id="rId192" w:history="1">
              <w:r w:rsidRPr="0000595E">
                <w:t>Educat</w:t>
              </w:r>
              <w:r w:rsidR="00934C88">
                <w:t>ion and Work, Australia (</w:t>
              </w:r>
              <w:r w:rsidRPr="0000595E">
                <w:t>www.abs.gov.au/</w:t>
              </w:r>
              <w:proofErr w:type="spellStart"/>
              <w:r w:rsidRPr="0000595E">
                <w:t>AUSSTATS</w:t>
              </w:r>
              <w:proofErr w:type="spellEnd"/>
              <w:r w:rsidRPr="0000595E">
                <w:t>/abs@.</w:t>
              </w:r>
              <w:proofErr w:type="spellStart"/>
              <w:r w:rsidRPr="0000595E">
                <w:t>nsf</w:t>
              </w:r>
              <w:proofErr w:type="spellEnd"/>
              <w:r w:rsidRPr="0000595E">
                <w:t>/</w:t>
              </w:r>
              <w:r w:rsidR="00934C88">
                <w:t xml:space="preserve"> </w:t>
              </w:r>
              <w:r w:rsidRPr="0000595E">
                <w:t xml:space="preserve">ProductsbyCatalogue/556A439CD3D7E8A8CA257242007B3F32?OpenDocument) </w:t>
              </w:r>
              <w:r w:rsidR="009605B1">
                <w:t>(Cat. no. </w:t>
              </w:r>
              <w:r w:rsidRPr="0000595E">
                <w:t>6227.0)</w:t>
              </w:r>
            </w:hyperlink>
            <w:r w:rsidRPr="0000595E">
              <w:t xml:space="preserve">. This measure is also released as part of a SEW detailed education data cube. Additional data are available at cost upon request through the </w:t>
            </w:r>
            <w:hyperlink r:id="rId193" w:history="1">
              <w:r w:rsidRPr="0000595E">
                <w:t>National Information Referral Service</w:t>
              </w:r>
            </w:hyperlink>
            <w:r w:rsidRPr="0000595E">
              <w:t xml:space="preserve"> (</w:t>
            </w:r>
            <w:proofErr w:type="spellStart"/>
            <w:r w:rsidRPr="0000595E">
              <w:t>NIRS</w:t>
            </w:r>
            <w:proofErr w:type="spellEnd"/>
            <w:r w:rsidRPr="0000595E">
              <w:t>)</w:t>
            </w:r>
            <w:r>
              <w:t xml:space="preserve"> (</w:t>
            </w:r>
            <w:r w:rsidRPr="0000595E">
              <w:t>www.abs.gov.au/websitedbs/D3310114.nsf/home/National+Information+and+Referral+Service</w:t>
            </w:r>
            <w:r>
              <w:t>)</w:t>
            </w:r>
            <w:r w:rsidRPr="0000595E">
              <w:t xml:space="preserve">. </w:t>
            </w:r>
            <w:r w:rsidR="00F70DBA">
              <w:t xml:space="preserve">A </w:t>
            </w:r>
            <w:r w:rsidRPr="0000595E">
              <w:t>Confidentialised Unit Record File (</w:t>
            </w:r>
            <w:proofErr w:type="spellStart"/>
            <w:r w:rsidRPr="0000595E">
              <w:t>CURF</w:t>
            </w:r>
            <w:proofErr w:type="spellEnd"/>
            <w:r w:rsidRPr="0000595E">
              <w:t>) has been produced for every second cycle of the SEW since 2001, most recently for 2011.</w:t>
            </w:r>
          </w:p>
        </w:tc>
      </w:tr>
    </w:tbl>
    <w:p w:rsidR="00D11E31" w:rsidRDefault="00D11E31" w:rsidP="000D601B">
      <w:pPr>
        <w:pStyle w:val="BodyText"/>
        <w:jc w:val="left"/>
      </w:pPr>
    </w:p>
    <w:p w:rsidR="00D11E31" w:rsidRDefault="00D11E31" w:rsidP="000D601B">
      <w:pPr>
        <w:pStyle w:val="Heading3"/>
        <w:spacing w:before="360" w:after="240"/>
      </w:pPr>
      <w:r>
        <w:br w:type="page"/>
      </w:r>
      <w:bookmarkStart w:id="44" w:name="_Ref325636961"/>
      <w:r>
        <w:lastRenderedPageBreak/>
        <w:t>D</w:t>
      </w:r>
      <w:r w:rsidRPr="00291419">
        <w:t xml:space="preserve">ata </w:t>
      </w:r>
      <w:r w:rsidRPr="00A05316">
        <w:t>Quality</w:t>
      </w:r>
      <w:r>
        <w:t xml:space="preserve"> Statement – Performance Indicator 8: The proportion of the 20—24 year old Indigenous and low SES population having attained at least a Year 12 or equivalent or </w:t>
      </w:r>
      <w:proofErr w:type="spellStart"/>
      <w:r>
        <w:t>AQF</w:t>
      </w:r>
      <w:proofErr w:type="spellEnd"/>
      <w:r>
        <w:t xml:space="preserve"> Certificate II or above</w:t>
      </w:r>
      <w:bookmarkEnd w:id="44"/>
    </w:p>
    <w:tbl>
      <w:tblPr>
        <w:tblW w:w="8788" w:type="dxa"/>
        <w:tblInd w:w="108" w:type="dxa"/>
        <w:tblLayout w:type="fixed"/>
        <w:tblLook w:val="01E0" w:firstRow="1" w:lastRow="1" w:firstColumn="1" w:lastColumn="1" w:noHBand="0" w:noVBand="0"/>
      </w:tblPr>
      <w:tblGrid>
        <w:gridCol w:w="1843"/>
        <w:gridCol w:w="6945"/>
      </w:tblGrid>
      <w:tr w:rsidR="0000595E" w:rsidRPr="008B4E76" w:rsidTr="000D601B">
        <w:tc>
          <w:tcPr>
            <w:tcW w:w="1843" w:type="dxa"/>
          </w:tcPr>
          <w:p w:rsidR="0000595E" w:rsidRPr="005962EA" w:rsidRDefault="0000595E" w:rsidP="000D601B">
            <w:pPr>
              <w:pStyle w:val="TableBodyText"/>
              <w:jc w:val="left"/>
              <w:rPr>
                <w:rFonts w:ascii="DejaVu Serif" w:hAnsi="DejaVu Serif"/>
                <w:b/>
              </w:rPr>
            </w:pPr>
            <w:r w:rsidRPr="005962EA">
              <w:rPr>
                <w:b/>
              </w:rPr>
              <w:t>Indicator</w:t>
            </w:r>
          </w:p>
        </w:tc>
        <w:tc>
          <w:tcPr>
            <w:tcW w:w="6945" w:type="dxa"/>
            <w:tcBorders>
              <w:left w:val="nil"/>
            </w:tcBorders>
          </w:tcPr>
          <w:p w:rsidR="0000595E" w:rsidRPr="0000595E" w:rsidRDefault="0000595E" w:rsidP="00432CA5">
            <w:pPr>
              <w:pStyle w:val="TableBodyText"/>
              <w:jc w:val="both"/>
            </w:pPr>
            <w:r w:rsidRPr="0000595E">
              <w:t xml:space="preserve">NEA 8 – The proportion of the 20–24 year old Indigenous and low SES population having attained at least a year 12 or equivalent or </w:t>
            </w:r>
            <w:proofErr w:type="spellStart"/>
            <w:r w:rsidRPr="0000595E">
              <w:t>AQF</w:t>
            </w:r>
            <w:proofErr w:type="spellEnd"/>
            <w:r w:rsidRPr="0000595E">
              <w:t xml:space="preserve"> Certificate II and above. (Data are available for SES but not Indigenous status in the current round of reporting.)</w:t>
            </w:r>
          </w:p>
        </w:tc>
      </w:tr>
      <w:tr w:rsidR="0000595E" w:rsidRPr="008B4E76" w:rsidTr="00EC05AB">
        <w:tc>
          <w:tcPr>
            <w:tcW w:w="1843" w:type="dxa"/>
          </w:tcPr>
          <w:p w:rsidR="0000595E" w:rsidRPr="005962EA" w:rsidRDefault="0000595E" w:rsidP="000D601B">
            <w:pPr>
              <w:pStyle w:val="TableBodyText"/>
              <w:jc w:val="left"/>
              <w:rPr>
                <w:rFonts w:ascii="DejaVu Serif" w:hAnsi="DejaVu Serif"/>
                <w:b/>
              </w:rPr>
            </w:pPr>
            <w:r w:rsidRPr="005962EA">
              <w:rPr>
                <w:b/>
              </w:rPr>
              <w:t>Measure</w:t>
            </w:r>
          </w:p>
        </w:tc>
        <w:tc>
          <w:tcPr>
            <w:tcW w:w="6945" w:type="dxa"/>
          </w:tcPr>
          <w:p w:rsidR="0000595E" w:rsidRPr="0000595E" w:rsidRDefault="0000595E" w:rsidP="00432CA5">
            <w:pPr>
              <w:pStyle w:val="TableBodyText"/>
              <w:jc w:val="both"/>
            </w:pPr>
            <w:r w:rsidRPr="0000595E">
              <w:t>Persons aged 20–24 years who have completed Year 12 (or equivalent) or attained a formal qualification at Certificate II level or above, by SES.</w:t>
            </w:r>
          </w:p>
          <w:p w:rsidR="0000595E" w:rsidRPr="004A311B" w:rsidRDefault="0000595E" w:rsidP="00432CA5">
            <w:pPr>
              <w:pStyle w:val="TableBodyText"/>
              <w:jc w:val="both"/>
              <w:rPr>
                <w:u w:val="single"/>
              </w:rPr>
            </w:pPr>
            <w:r w:rsidRPr="004A311B">
              <w:rPr>
                <w:u w:val="single"/>
              </w:rPr>
              <w:t>Numerator:</w:t>
            </w:r>
          </w:p>
          <w:p w:rsidR="0000595E" w:rsidRPr="0000595E" w:rsidRDefault="0000595E" w:rsidP="00432CA5">
            <w:pPr>
              <w:pStyle w:val="TableBodyText"/>
              <w:jc w:val="both"/>
            </w:pPr>
            <w:r w:rsidRPr="0000595E">
              <w:t xml:space="preserve">Number of persons aged 20–24 years who state they have completed Year 12 or attained a formal qualification at Certificate II level or above (excluding Certificate </w:t>
            </w:r>
            <w:proofErr w:type="spellStart"/>
            <w:r w:rsidRPr="0000595E">
              <w:t>nfd</w:t>
            </w:r>
            <w:proofErr w:type="spellEnd"/>
            <w:r w:rsidRPr="0000595E">
              <w:t xml:space="preserve"> and Certificate I/II </w:t>
            </w:r>
            <w:proofErr w:type="spellStart"/>
            <w:r w:rsidRPr="0000595E">
              <w:t>nfd</w:t>
            </w:r>
            <w:proofErr w:type="spellEnd"/>
            <w:r w:rsidRPr="0000595E">
              <w:t>), by SES.</w:t>
            </w:r>
          </w:p>
          <w:p w:rsidR="0000595E" w:rsidRPr="004A311B" w:rsidRDefault="0000595E" w:rsidP="00432CA5">
            <w:pPr>
              <w:pStyle w:val="TableBodyText"/>
              <w:jc w:val="both"/>
              <w:rPr>
                <w:u w:val="single"/>
              </w:rPr>
            </w:pPr>
            <w:r w:rsidRPr="004A311B">
              <w:rPr>
                <w:u w:val="single"/>
              </w:rPr>
              <w:t>Denominator:</w:t>
            </w:r>
          </w:p>
          <w:p w:rsidR="0000595E" w:rsidRPr="0000595E" w:rsidRDefault="0000595E" w:rsidP="00432CA5">
            <w:pPr>
              <w:pStyle w:val="TableBodyText"/>
              <w:jc w:val="both"/>
            </w:pPr>
            <w:r w:rsidRPr="0000595E">
              <w:t>Total population of persons aged 20–24 years, by SES.</w:t>
            </w:r>
          </w:p>
          <w:p w:rsidR="0000595E" w:rsidRPr="0000595E" w:rsidRDefault="0000595E" w:rsidP="00432CA5">
            <w:pPr>
              <w:pStyle w:val="TableBodyText"/>
              <w:jc w:val="both"/>
            </w:pPr>
            <w:r w:rsidRPr="0000595E">
              <w:t>Excludes people whose educational attainment is not stated (o</w:t>
            </w:r>
            <w:r w:rsidR="00712F6B">
              <w:t>nly applicable to Census data).</w:t>
            </w:r>
          </w:p>
          <w:p w:rsidR="0000595E" w:rsidRPr="0000595E" w:rsidRDefault="0000595E" w:rsidP="00432CA5">
            <w:pPr>
              <w:pStyle w:val="TableBodyText"/>
              <w:jc w:val="both"/>
            </w:pPr>
            <w:r w:rsidRPr="004A311B">
              <w:rPr>
                <w:u w:val="single"/>
              </w:rPr>
              <w:t>Note:</w:t>
            </w:r>
            <w:r w:rsidRPr="0000595E">
              <w:t xml:space="preserve"> Data from the Survey of Education and Work are provided as supplementary information to Census data to inform this measure.</w:t>
            </w:r>
          </w:p>
        </w:tc>
      </w:tr>
      <w:tr w:rsidR="0000595E" w:rsidRPr="008B4E76" w:rsidTr="00EC05AB">
        <w:tc>
          <w:tcPr>
            <w:tcW w:w="1843" w:type="dxa"/>
          </w:tcPr>
          <w:p w:rsidR="0000595E" w:rsidRPr="005962EA" w:rsidRDefault="0000595E" w:rsidP="000D601B">
            <w:pPr>
              <w:pStyle w:val="TableBodyText"/>
              <w:jc w:val="left"/>
              <w:rPr>
                <w:rFonts w:ascii="DejaVu Serif" w:hAnsi="DejaVu Serif"/>
                <w:b/>
              </w:rPr>
            </w:pPr>
            <w:r w:rsidRPr="005962EA">
              <w:rPr>
                <w:b/>
              </w:rPr>
              <w:t>Data source</w:t>
            </w:r>
          </w:p>
        </w:tc>
        <w:tc>
          <w:tcPr>
            <w:tcW w:w="6945" w:type="dxa"/>
          </w:tcPr>
          <w:p w:rsidR="0000595E" w:rsidRPr="004A311B" w:rsidRDefault="0000595E" w:rsidP="00432CA5">
            <w:pPr>
              <w:pStyle w:val="TableBodyText"/>
              <w:jc w:val="both"/>
              <w:rPr>
                <w:u w:val="single"/>
              </w:rPr>
            </w:pPr>
            <w:r w:rsidRPr="004A311B">
              <w:rPr>
                <w:u w:val="single"/>
              </w:rPr>
              <w:t>Numerator and denominator:</w:t>
            </w:r>
          </w:p>
          <w:p w:rsidR="0000595E" w:rsidRPr="0000595E" w:rsidRDefault="0000595E" w:rsidP="00432CA5">
            <w:pPr>
              <w:pStyle w:val="TableBodyText"/>
              <w:jc w:val="both"/>
            </w:pPr>
            <w:r w:rsidRPr="0000595E">
              <w:t>ABS Census of Population and Housing (Census). Data are available every five years.</w:t>
            </w:r>
          </w:p>
          <w:p w:rsidR="0000595E" w:rsidRPr="004A311B" w:rsidRDefault="0000595E" w:rsidP="00432CA5">
            <w:pPr>
              <w:pStyle w:val="TableBodyText"/>
              <w:jc w:val="both"/>
              <w:rPr>
                <w:u w:val="single"/>
              </w:rPr>
            </w:pPr>
            <w:r w:rsidRPr="004A311B">
              <w:rPr>
                <w:u w:val="single"/>
              </w:rPr>
              <w:t>Numerator and denominator:</w:t>
            </w:r>
          </w:p>
          <w:p w:rsidR="0000595E" w:rsidRPr="0000595E" w:rsidRDefault="0000595E" w:rsidP="00432CA5">
            <w:pPr>
              <w:pStyle w:val="TableBodyText"/>
              <w:jc w:val="both"/>
            </w:pPr>
            <w:r w:rsidRPr="0000595E">
              <w:t>ABS Survey of Education and Work (SEW). Data are available by SES annually.</w:t>
            </w:r>
          </w:p>
          <w:p w:rsidR="0000595E" w:rsidRPr="0000595E" w:rsidRDefault="0000595E" w:rsidP="00432CA5">
            <w:pPr>
              <w:pStyle w:val="TableBodyText"/>
              <w:jc w:val="both"/>
            </w:pPr>
            <w:r w:rsidRPr="0000595E">
              <w:t>2011 SEW data are being used for this cycle of indicators</w:t>
            </w:r>
            <w:r w:rsidR="0037778D">
              <w:t xml:space="preserve"> for SES reporting</w:t>
            </w:r>
            <w:r w:rsidRPr="0000595E">
              <w:t>.</w:t>
            </w:r>
          </w:p>
        </w:tc>
      </w:tr>
      <w:tr w:rsidR="0000595E" w:rsidRPr="008B4E76" w:rsidTr="000D601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Institutional Environment</w:t>
            </w:r>
          </w:p>
        </w:tc>
        <w:tc>
          <w:tcPr>
            <w:tcW w:w="6945" w:type="dxa"/>
          </w:tcPr>
          <w:p w:rsidR="0000595E" w:rsidRPr="0000595E" w:rsidRDefault="0000595E" w:rsidP="00432CA5">
            <w:pPr>
              <w:pStyle w:val="TableBodyText"/>
              <w:jc w:val="both"/>
            </w:pPr>
            <w:r w:rsidRPr="0000595E">
              <w:t>The Census and SEW are collected by the ABS under the Census and Statistics Act 1905.</w:t>
            </w:r>
          </w:p>
          <w:p w:rsidR="0000595E" w:rsidRPr="0000595E" w:rsidRDefault="0000595E" w:rsidP="00432CA5">
            <w:pPr>
              <w:pStyle w:val="TableBodyText"/>
              <w:jc w:val="both"/>
            </w:pPr>
            <w:r w:rsidRPr="0000595E">
              <w:t xml:space="preserve">For information on the institutional environment of the ABS, including the legislative obligations of the ABS, financing and government arrangements, and mechanisms for scrutiny of ABS operations, see </w:t>
            </w:r>
            <w:hyperlink r:id="rId194" w:history="1">
              <w:r w:rsidRPr="0000595E">
                <w:t>ABS Institutional Environment</w:t>
              </w:r>
            </w:hyperlink>
            <w:r w:rsidR="00432CA5">
              <w:t xml:space="preserve"> </w:t>
            </w:r>
            <w:r>
              <w:t>(</w:t>
            </w:r>
            <w:hyperlink r:id="rId195" w:history="1">
              <w:r w:rsidR="00432CA5" w:rsidRPr="00432CA5">
                <w:t>www.abs.gov.au/</w:t>
              </w:r>
              <w:proofErr w:type="spellStart"/>
              <w:r w:rsidR="00432CA5" w:rsidRPr="00432CA5">
                <w:t>websitedbs</w:t>
              </w:r>
              <w:proofErr w:type="spellEnd"/>
              <w:r w:rsidR="00432CA5" w:rsidRPr="00432CA5">
                <w:t>/</w:t>
              </w:r>
              <w:proofErr w:type="spellStart"/>
              <w:r w:rsidR="00432CA5" w:rsidRPr="00432CA5">
                <w:t>d3310114.nsf</w:t>
              </w:r>
              <w:proofErr w:type="spellEnd"/>
              <w:r w:rsidR="00432CA5" w:rsidRPr="00432CA5">
                <w:t>/</w:t>
              </w:r>
            </w:hyperlink>
            <w:r w:rsidR="00432CA5">
              <w:t xml:space="preserve"> </w:t>
            </w:r>
            <w:r w:rsidRPr="0000595E">
              <w:t>4a256353001af3ed4b2562bb00121564/10ca14cb967e5b83ca2573ae00197b65!OpenDocument</w:t>
            </w:r>
            <w:r>
              <w:t>)</w:t>
            </w:r>
            <w:r w:rsidRPr="0000595E">
              <w:t>.</w:t>
            </w:r>
          </w:p>
        </w:tc>
      </w:tr>
      <w:tr w:rsidR="0000595E" w:rsidRPr="008B4E76" w:rsidTr="000D601B">
        <w:tblPrEx>
          <w:tblLook w:val="00A0" w:firstRow="1" w:lastRow="0" w:firstColumn="1" w:lastColumn="0" w:noHBand="0" w:noVBand="0"/>
        </w:tblPrEx>
        <w:tc>
          <w:tcPr>
            <w:tcW w:w="1843" w:type="dxa"/>
          </w:tcPr>
          <w:p w:rsidR="0000595E" w:rsidRPr="005962EA" w:rsidRDefault="0000595E" w:rsidP="000D601B">
            <w:pPr>
              <w:pStyle w:val="TableBodyText"/>
              <w:jc w:val="left"/>
              <w:rPr>
                <w:b/>
              </w:rPr>
            </w:pPr>
            <w:r w:rsidRPr="005962EA">
              <w:rPr>
                <w:b/>
              </w:rPr>
              <w:t>Relevance</w:t>
            </w:r>
          </w:p>
        </w:tc>
        <w:tc>
          <w:tcPr>
            <w:tcW w:w="6945" w:type="dxa"/>
            <w:tcBorders>
              <w:left w:val="nil"/>
            </w:tcBorders>
          </w:tcPr>
          <w:p w:rsidR="0000595E" w:rsidRPr="0000595E" w:rsidRDefault="0000595E" w:rsidP="00432CA5">
            <w:pPr>
              <w:pStyle w:val="TableBodyText"/>
              <w:jc w:val="both"/>
            </w:pPr>
            <w:r w:rsidRPr="0000595E">
              <w:t xml:space="preserve">SEW data are available by state/territory. The SEW does not collect data from Indigenous communities in very remote areas (see Coherence). </w:t>
            </w:r>
          </w:p>
          <w:p w:rsidR="0000595E" w:rsidRPr="0000595E" w:rsidRDefault="0000595E" w:rsidP="00432CA5">
            <w:pPr>
              <w:pStyle w:val="TableBodyText"/>
              <w:jc w:val="both"/>
            </w:pPr>
            <w:r w:rsidRPr="0000595E">
              <w:t xml:space="preserve">The SEW collects information on the highest year of school completed and highest level of non-school qualification. The classification of qualifications used is the </w:t>
            </w:r>
            <w:hyperlink r:id="rId196" w:history="1">
              <w:r w:rsidRPr="004A311B">
                <w:t>Australian Standard Classificati</w:t>
              </w:r>
              <w:r w:rsidR="00934C88">
                <w:t>on of Education (</w:t>
              </w:r>
              <w:proofErr w:type="spellStart"/>
              <w:r w:rsidR="00934C88">
                <w:t>ASCED</w:t>
              </w:r>
              <w:proofErr w:type="spellEnd"/>
              <w:r w:rsidR="00934C88">
                <w:t>) (</w:t>
              </w:r>
              <w:r w:rsidRPr="004A311B">
                <w:t xml:space="preserve">www.abs.gov.au/AUSSTATS/ABS@.NSF/0/F501C031BD9AC9C5CA256AAF001FCA33?opendocument) </w:t>
              </w:r>
              <w:r w:rsidR="009605B1">
                <w:t>(Cat. no. </w:t>
              </w:r>
              <w:r w:rsidRPr="004A311B">
                <w:t>1272.0)</w:t>
              </w:r>
            </w:hyperlink>
            <w:r w:rsidRPr="0000595E">
              <w:t>.</w:t>
            </w:r>
          </w:p>
          <w:p w:rsidR="0000595E" w:rsidRPr="0000595E" w:rsidRDefault="0000595E" w:rsidP="00432CA5">
            <w:pPr>
              <w:pStyle w:val="TableBodyText"/>
              <w:jc w:val="both"/>
            </w:pPr>
            <w:r w:rsidRPr="0000595E">
              <w:t xml:space="preserve">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w:t>
            </w:r>
            <w:r w:rsidR="004A311B">
              <w:t>interview.</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Timeliness</w:t>
            </w:r>
          </w:p>
        </w:tc>
        <w:tc>
          <w:tcPr>
            <w:tcW w:w="6945" w:type="dxa"/>
          </w:tcPr>
          <w:p w:rsidR="0000595E" w:rsidRPr="0000595E" w:rsidRDefault="0000595E" w:rsidP="00432CA5">
            <w:pPr>
              <w:pStyle w:val="TableBodyText"/>
              <w:jc w:val="both"/>
            </w:pPr>
            <w:r w:rsidRPr="0000595E">
              <w:t>The SEW is conducted annually in May as a supplement to the monthly Labour Force Survey (</w:t>
            </w:r>
            <w:proofErr w:type="spellStart"/>
            <w:r w:rsidRPr="0000595E">
              <w:t>LFS</w:t>
            </w:r>
            <w:proofErr w:type="spellEnd"/>
            <w:r w:rsidRPr="0000595E">
              <w:t xml:space="preserve">). Results from the 2011 survey were released in November 2011. </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lastRenderedPageBreak/>
              <w:t>Accuracy</w:t>
            </w:r>
          </w:p>
        </w:tc>
        <w:tc>
          <w:tcPr>
            <w:tcW w:w="6945" w:type="dxa"/>
          </w:tcPr>
          <w:p w:rsidR="0000595E" w:rsidRPr="0000595E" w:rsidRDefault="0000595E" w:rsidP="00432CA5">
            <w:pPr>
              <w:pStyle w:val="TableBodyText"/>
              <w:jc w:val="both"/>
            </w:pPr>
            <w:r w:rsidRPr="0000595E">
              <w:t>The 2011 SEW response rate was 96</w:t>
            </w:r>
            <w:r w:rsidR="00160697">
              <w:t xml:space="preserve"> per cent</w:t>
            </w:r>
            <w:r w:rsidR="00432CA5">
              <w:t xml:space="preserve"> which constituted 39 </w:t>
            </w:r>
            <w:r w:rsidRPr="0000595E">
              <w:t>800 completed interviews. The 2011 response rate was consistent with that in previous years.</w:t>
            </w:r>
          </w:p>
          <w:p w:rsidR="0000595E" w:rsidRPr="0000595E" w:rsidRDefault="0000595E" w:rsidP="00432CA5">
            <w:pPr>
              <w:pStyle w:val="TableBodyText"/>
              <w:jc w:val="both"/>
            </w:pPr>
            <w:r w:rsidRPr="0000595E">
              <w:t xml:space="preserve">The data for the SEW are collected from an </w:t>
            </w:r>
            <w:proofErr w:type="spellStart"/>
            <w:r w:rsidRPr="0000595E">
              <w:t>ARA</w:t>
            </w:r>
            <w:proofErr w:type="spellEnd"/>
            <w:r w:rsidRPr="0000595E">
              <w:t xml:space="preserve"> (Any Responsible Adult) on behalf of other members of the hou</w:t>
            </w:r>
            <w:r w:rsidR="001B1E03">
              <w:t>sehold and are weighted for non</w:t>
            </w:r>
            <w:r w:rsidR="001B1E03">
              <w:noBreakHyphen/>
            </w:r>
            <w:r w:rsidRPr="0000595E">
              <w:t>response.</w:t>
            </w:r>
          </w:p>
          <w:p w:rsidR="0000595E" w:rsidRPr="0000595E" w:rsidRDefault="0000595E" w:rsidP="00432CA5">
            <w:pPr>
              <w:pStyle w:val="TableBodyText"/>
              <w:jc w:val="both"/>
            </w:pPr>
            <w:r w:rsidRPr="0000595E">
              <w:t>The data are event data that can be used to measure year to year changes provided that the changes are large enough to be detected in the context of the Relative Standard Error (</w:t>
            </w:r>
            <w:proofErr w:type="spellStart"/>
            <w:r w:rsidRPr="0000595E">
              <w:t>RSE</w:t>
            </w:r>
            <w:proofErr w:type="spellEnd"/>
            <w:r w:rsidRPr="0000595E">
              <w:t xml:space="preserve">) of estimates. The </w:t>
            </w:r>
            <w:proofErr w:type="spellStart"/>
            <w:r w:rsidRPr="0000595E">
              <w:t>LFS</w:t>
            </w:r>
            <w:proofErr w:type="spellEnd"/>
            <w:r w:rsidRPr="0000595E">
              <w:t xml:space="preserve"> sample was reduced by 20</w:t>
            </w:r>
            <w:r w:rsidR="00160697">
              <w:t xml:space="preserve"> per cent</w:t>
            </w:r>
            <w:r w:rsidRPr="0000595E">
              <w:t xml:space="preserve"> in 2009, but the full sample was reinstated from 2010 onwards.</w:t>
            </w:r>
          </w:p>
          <w:p w:rsidR="0000595E" w:rsidRPr="0000595E" w:rsidRDefault="0000595E" w:rsidP="00432CA5">
            <w:pPr>
              <w:pStyle w:val="TableBodyText"/>
              <w:jc w:val="both"/>
            </w:pPr>
            <w:r w:rsidRPr="0000595E">
              <w:t>Data with a relative standard error of between 25</w:t>
            </w:r>
            <w:r w:rsidR="00160697">
              <w:t xml:space="preserve"> per cent</w:t>
            </w:r>
            <w:r w:rsidRPr="0000595E">
              <w:t xml:space="preserve"> and 50</w:t>
            </w:r>
            <w:r w:rsidR="00160697">
              <w:t xml:space="preserve"> per cent</w:t>
            </w:r>
            <w:r w:rsidRPr="0000595E">
              <w:t xml:space="preserve"> should be used with caution while data with a relative standard error greater than 50</w:t>
            </w:r>
            <w:r w:rsidR="00160697">
              <w:t xml:space="preserve"> per cent</w:t>
            </w:r>
            <w:r w:rsidRPr="0000595E">
              <w:t xml:space="preserve"> is considered too unreliable for general use.</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Coherence</w:t>
            </w:r>
          </w:p>
        </w:tc>
        <w:tc>
          <w:tcPr>
            <w:tcW w:w="6945" w:type="dxa"/>
          </w:tcPr>
          <w:p w:rsidR="0000595E" w:rsidRPr="0000595E" w:rsidRDefault="0000595E" w:rsidP="00432CA5">
            <w:pPr>
              <w:pStyle w:val="TableBodyText"/>
              <w:jc w:val="both"/>
            </w:pPr>
            <w:r w:rsidRPr="0000595E">
              <w:t>Both the numerator and denominator come from the SEW. Measures based on the 2011 SEW are consistent with those supplied for COAG reporting from previous cycles of this survey. Data for 2010 have been revised due to amendments to the populati</w:t>
            </w:r>
            <w:r w:rsidR="00712F6B">
              <w:t>on benchmarks for the 2010 SEW.</w:t>
            </w:r>
          </w:p>
          <w:p w:rsidR="0000595E" w:rsidRPr="0000595E" w:rsidRDefault="0000595E" w:rsidP="00EE3827">
            <w:pPr>
              <w:pStyle w:val="TableBodyText"/>
              <w:jc w:val="both"/>
            </w:pPr>
            <w:r w:rsidRPr="0000595E">
              <w:t>Prior to 2009, all people in very remote areas were excluded from the SEW. Very remote areas represent about two per cent of the total Australian population and 20</w:t>
            </w:r>
            <w:r w:rsidR="00160697">
              <w:t xml:space="preserve"> per cent</w:t>
            </w:r>
            <w:r w:rsidRPr="0000595E">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w:t>
            </w:r>
            <w:r w:rsidR="00160697">
              <w:t xml:space="preserve"> per cent</w:t>
            </w:r>
            <w:r w:rsidRPr="0000595E">
              <w:t xml:space="preserve"> of the population. </w:t>
            </w:r>
            <w:r w:rsidR="007E7D77">
              <w:t xml:space="preserve">These revisions have a minor impact only </w:t>
            </w:r>
            <w:r w:rsidR="007E7D77" w:rsidRPr="00797960">
              <w:t>in the NT and minimal impact in the other states/territory on the actual value of the NEA performance indicators based on the SEW.</w:t>
            </w:r>
          </w:p>
          <w:p w:rsidR="0000595E" w:rsidRPr="0000595E" w:rsidRDefault="0000595E" w:rsidP="00432CA5">
            <w:pPr>
              <w:pStyle w:val="TableBodyText"/>
              <w:jc w:val="both"/>
            </w:pPr>
            <w:r w:rsidRPr="0000595E">
              <w:t xml:space="preserve">The </w:t>
            </w:r>
            <w:hyperlink r:id="rId197" w:history="1">
              <w:r w:rsidR="004A311B" w:rsidRPr="004A311B">
                <w:t>Australian Standard Classificati</w:t>
              </w:r>
              <w:r w:rsidR="00934C88">
                <w:t>on of Education (</w:t>
              </w:r>
              <w:proofErr w:type="spellStart"/>
              <w:r w:rsidR="00934C88">
                <w:t>ASCED</w:t>
              </w:r>
              <w:proofErr w:type="spellEnd"/>
              <w:r w:rsidR="00934C88">
                <w:t>) (</w:t>
              </w:r>
              <w:r w:rsidR="004A311B" w:rsidRPr="004A311B">
                <w:t xml:space="preserve">www.abs.gov.au/AUSSTATS/ABS@.NSF/0/F501C031BD9AC9C5CA256AAF001FCA33?opendocument) </w:t>
              </w:r>
              <w:r w:rsidR="009605B1">
                <w:t>(Cat. no. </w:t>
              </w:r>
              <w:r w:rsidR="004A311B" w:rsidRPr="004A311B">
                <w:t>1272.0)</w:t>
              </w:r>
            </w:hyperlink>
            <w:r w:rsidRPr="0000595E">
              <w:t xml:space="preserve"> has been used in all surveys with education items since 2001 and allows the education and training items between different surveys to be compared.</w:t>
            </w:r>
          </w:p>
          <w:p w:rsidR="0000595E" w:rsidRPr="0000595E" w:rsidRDefault="0000595E" w:rsidP="00432CA5">
            <w:pPr>
              <w:pStyle w:val="TableBodyText"/>
              <w:jc w:val="both"/>
            </w:pPr>
            <w:r w:rsidRPr="0000595E">
              <w:t>The SEIFA measure used for the indicator is the Index of Relative Social Disadvantage (IRSD) applied at the Census Collection District (CD). SEIFA measures based on the 2006 Census have been used in all NEA indicators sourced from SEW since 2008.</w:t>
            </w:r>
          </w:p>
          <w:p w:rsidR="0000595E" w:rsidRPr="0000595E" w:rsidRDefault="0000595E" w:rsidP="00432CA5">
            <w:pPr>
              <w:pStyle w:val="TableBodyText"/>
              <w:jc w:val="both"/>
            </w:pPr>
            <w:r w:rsidRPr="0000595E">
              <w:t xml:space="preserve">The Census of Population and Housing and the Survey of Learning and Work </w:t>
            </w:r>
            <w:r w:rsidR="009605B1">
              <w:t>(Cat. no. </w:t>
            </w:r>
            <w:r w:rsidRPr="0000595E">
              <w:t>4235.0) also provide information on educational attainment.</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Interpretability</w:t>
            </w:r>
          </w:p>
        </w:tc>
        <w:tc>
          <w:tcPr>
            <w:tcW w:w="6945" w:type="dxa"/>
          </w:tcPr>
          <w:p w:rsidR="0000595E" w:rsidRPr="0000595E" w:rsidRDefault="0000595E" w:rsidP="00432CA5">
            <w:pPr>
              <w:pStyle w:val="TableBodyText"/>
              <w:jc w:val="both"/>
            </w:pPr>
            <w:r w:rsidRPr="0000595E">
              <w:t xml:space="preserve">Information on how to interpret and use the data appropriately is available on the ABS website; see </w:t>
            </w:r>
            <w:hyperlink r:id="rId198" w:history="1">
              <w:r w:rsidRPr="0000595E">
                <w:t>Explanatory Notes</w:t>
              </w:r>
            </w:hyperlink>
            <w:r w:rsidRPr="0000595E">
              <w:t xml:space="preserve"> </w:t>
            </w:r>
            <w:r w:rsidR="004A311B">
              <w:t>(</w:t>
            </w:r>
            <w:hyperlink r:id="rId199" w:history="1">
              <w:r w:rsidR="004A311B" w:rsidRPr="004A311B">
                <w:t>www.abs.gov.au/</w:t>
              </w:r>
              <w:r w:rsidR="00432CA5">
                <w:t xml:space="preserve"> </w:t>
              </w:r>
              <w:r w:rsidR="004A311B" w:rsidRPr="004A311B">
                <w:t>AUSSTATS/abs@.nsf/Lookup/6227.0Explanatory%20Notes1May%202011?OpenDocument</w:t>
              </w:r>
            </w:hyperlink>
            <w:r w:rsidR="004A311B">
              <w:t xml:space="preserve">) </w:t>
            </w:r>
            <w:r w:rsidRPr="0000595E">
              <w:t xml:space="preserve">in Education and Work, Australia </w:t>
            </w:r>
            <w:r w:rsidR="009605B1">
              <w:t>(Cat. no. </w:t>
            </w:r>
            <w:r w:rsidRPr="0000595E">
              <w:t>6227.0).</w:t>
            </w:r>
          </w:p>
          <w:p w:rsidR="0000595E" w:rsidRPr="0000595E" w:rsidRDefault="0000595E" w:rsidP="00432CA5">
            <w:pPr>
              <w:pStyle w:val="TableBodyText"/>
              <w:jc w:val="both"/>
            </w:pPr>
            <w:r w:rsidRPr="0000595E">
              <w:t xml:space="preserve">ABS SEIFA indexes are based on data from the Census and measure the socioeconomic status of the area in which a person lives. They do not directly measure the socioeconomic status of individuals or their households. More information on the SEIFA measure of socioeconomic status can be found on the ABS website: </w:t>
            </w:r>
            <w:hyperlink r:id="rId200" w:history="1">
              <w:r w:rsidRPr="0000595E">
                <w:t>www.abs.gov.au</w:t>
              </w:r>
            </w:hyperlink>
            <w:r w:rsidRPr="0000595E">
              <w:t>.</w:t>
            </w:r>
          </w:p>
        </w:tc>
      </w:tr>
      <w:tr w:rsidR="0000595E" w:rsidRPr="008B4E76" w:rsidTr="00EC05AB">
        <w:tblPrEx>
          <w:tblLook w:val="00A0" w:firstRow="1" w:lastRow="0" w:firstColumn="1" w:lastColumn="0" w:noHBand="0" w:noVBand="0"/>
        </w:tblPrEx>
        <w:tc>
          <w:tcPr>
            <w:tcW w:w="1843" w:type="dxa"/>
          </w:tcPr>
          <w:p w:rsidR="0000595E" w:rsidRPr="005962EA" w:rsidRDefault="0000595E" w:rsidP="000D601B">
            <w:pPr>
              <w:pStyle w:val="TableBodyText"/>
              <w:jc w:val="left"/>
              <w:rPr>
                <w:rFonts w:ascii="DejaVu Serif" w:hAnsi="DejaVu Serif"/>
                <w:b/>
              </w:rPr>
            </w:pPr>
            <w:r w:rsidRPr="005962EA">
              <w:rPr>
                <w:b/>
              </w:rPr>
              <w:t>Accessibility</w:t>
            </w:r>
          </w:p>
        </w:tc>
        <w:tc>
          <w:tcPr>
            <w:tcW w:w="6945" w:type="dxa"/>
          </w:tcPr>
          <w:p w:rsidR="0000595E" w:rsidRPr="0000595E" w:rsidRDefault="0000595E" w:rsidP="00432CA5">
            <w:pPr>
              <w:pStyle w:val="TableBodyText"/>
              <w:jc w:val="both"/>
            </w:pPr>
            <w:r w:rsidRPr="0000595E">
              <w:t xml:space="preserve">The data for the SEW are available via the ABS website in the publication </w:t>
            </w:r>
            <w:hyperlink r:id="rId201" w:history="1">
              <w:r w:rsidR="004A311B" w:rsidRPr="004A311B">
                <w:t>Education and Work, Austral</w:t>
              </w:r>
              <w:r w:rsidR="00934C88">
                <w:t>ia (</w:t>
              </w:r>
              <w:r w:rsidR="004A311B" w:rsidRPr="004A311B">
                <w:t>www.abs.gov.au/</w:t>
              </w:r>
              <w:proofErr w:type="spellStart"/>
              <w:r w:rsidR="004A311B" w:rsidRPr="004A311B">
                <w:t>AUSSTATS</w:t>
              </w:r>
              <w:proofErr w:type="spellEnd"/>
              <w:r w:rsidR="004A311B" w:rsidRPr="004A311B">
                <w:t>/</w:t>
              </w:r>
              <w:r w:rsidR="00432CA5">
                <w:t xml:space="preserve"> </w:t>
              </w:r>
              <w:r w:rsidR="004A311B" w:rsidRPr="004A311B">
                <w:t xml:space="preserve">abs@.nsf/ProductsbyCatalogue/556A439CD3D7E8A8CA257242007B3F32?OpenDocument) </w:t>
              </w:r>
              <w:r w:rsidR="009605B1">
                <w:t>(Cat. no. </w:t>
              </w:r>
              <w:r w:rsidR="004A311B" w:rsidRPr="004A311B">
                <w:t>6227.0)</w:t>
              </w:r>
            </w:hyperlink>
            <w:r w:rsidRPr="0000595E">
              <w:t>. This measure is also released as part of a SEW detailed education data cube.</w:t>
            </w:r>
          </w:p>
          <w:p w:rsidR="0000595E" w:rsidRPr="0000595E" w:rsidRDefault="0000595E" w:rsidP="00432CA5">
            <w:pPr>
              <w:pStyle w:val="TableBodyText"/>
              <w:jc w:val="both"/>
            </w:pPr>
            <w:r w:rsidRPr="0000595E">
              <w:lastRenderedPageBreak/>
              <w:t xml:space="preserve">Additional data are available at cost upon request through the </w:t>
            </w:r>
            <w:hyperlink r:id="rId202" w:history="1">
              <w:r w:rsidRPr="0000595E">
                <w:t>National Information Referral Service</w:t>
              </w:r>
            </w:hyperlink>
            <w:r w:rsidRPr="0000595E">
              <w:t xml:space="preserve"> (</w:t>
            </w:r>
            <w:proofErr w:type="spellStart"/>
            <w:r w:rsidRPr="0000595E">
              <w:t>NIRS</w:t>
            </w:r>
            <w:proofErr w:type="spellEnd"/>
            <w:r w:rsidRPr="0000595E">
              <w:t>)</w:t>
            </w:r>
            <w:r w:rsidR="004A311B">
              <w:t xml:space="preserve"> (</w:t>
            </w:r>
            <w:hyperlink r:id="rId203" w:history="1">
              <w:r w:rsidR="00432CA5" w:rsidRPr="00432CA5">
                <w:t>www.abs.gov.au/</w:t>
              </w:r>
              <w:proofErr w:type="spellStart"/>
              <w:r w:rsidR="00432CA5" w:rsidRPr="00432CA5">
                <w:t>websitedbs</w:t>
              </w:r>
              <w:proofErr w:type="spellEnd"/>
              <w:r w:rsidR="00432CA5" w:rsidRPr="00432CA5">
                <w:t>/</w:t>
              </w:r>
            </w:hyperlink>
            <w:r w:rsidR="00432CA5">
              <w:t xml:space="preserve"> </w:t>
            </w:r>
            <w:proofErr w:type="spellStart"/>
            <w:r w:rsidR="004A311B" w:rsidRPr="004A311B">
              <w:t>D3310114.nsf</w:t>
            </w:r>
            <w:proofErr w:type="spellEnd"/>
            <w:r w:rsidR="004A311B" w:rsidRPr="004A311B">
              <w:t>/home/</w:t>
            </w:r>
            <w:proofErr w:type="spellStart"/>
            <w:r w:rsidR="004A311B" w:rsidRPr="004A311B">
              <w:t>National+Information+and+Referral+Service</w:t>
            </w:r>
            <w:proofErr w:type="spellEnd"/>
            <w:r w:rsidR="004A311B">
              <w:t>)</w:t>
            </w:r>
            <w:r w:rsidRPr="0000595E">
              <w:t xml:space="preserve">. </w:t>
            </w:r>
            <w:r w:rsidR="00712F6B">
              <w:br/>
            </w:r>
            <w:r w:rsidRPr="0000595E">
              <w:t>A Confidentialised Unit Record Files (</w:t>
            </w:r>
            <w:proofErr w:type="spellStart"/>
            <w:r w:rsidRPr="0000595E">
              <w:t>CURF</w:t>
            </w:r>
            <w:proofErr w:type="spellEnd"/>
            <w:r w:rsidRPr="0000595E">
              <w:t>) has been produced for every second cycle of the SEW since 2001, most recently 2011.</w:t>
            </w:r>
          </w:p>
        </w:tc>
      </w:tr>
    </w:tbl>
    <w:p w:rsidR="00D11E31" w:rsidRDefault="00D11E31" w:rsidP="000D601B">
      <w:pPr>
        <w:pStyle w:val="Heading3"/>
        <w:spacing w:before="360" w:after="240"/>
      </w:pPr>
      <w:r>
        <w:lastRenderedPageBreak/>
        <w:br w:type="page"/>
      </w:r>
      <w:bookmarkStart w:id="45" w:name="_Ref325636965"/>
      <w:r>
        <w:lastRenderedPageBreak/>
        <w:t>D</w:t>
      </w:r>
      <w:r w:rsidRPr="00291419">
        <w:t xml:space="preserve">ata </w:t>
      </w:r>
      <w:r w:rsidRPr="00A05316">
        <w:t>Quality</w:t>
      </w:r>
      <w:r>
        <w:t xml:space="preserve"> Statement – Performance Indicator 9: The proportion of young people participating in post school education or training six months after school</w:t>
      </w:r>
      <w:bookmarkEnd w:id="45"/>
    </w:p>
    <w:tbl>
      <w:tblPr>
        <w:tblW w:w="8788" w:type="dxa"/>
        <w:tblInd w:w="108" w:type="dxa"/>
        <w:tblLayout w:type="fixed"/>
        <w:tblLook w:val="00A0" w:firstRow="1" w:lastRow="0" w:firstColumn="1" w:lastColumn="0" w:noHBand="0" w:noVBand="0"/>
      </w:tblPr>
      <w:tblGrid>
        <w:gridCol w:w="1843"/>
        <w:gridCol w:w="6945"/>
      </w:tblGrid>
      <w:tr w:rsidR="00A76B56" w:rsidRPr="00880298" w:rsidTr="00EC05AB">
        <w:tc>
          <w:tcPr>
            <w:tcW w:w="1843" w:type="dxa"/>
          </w:tcPr>
          <w:p w:rsidR="00A76B56" w:rsidRPr="001D6C46" w:rsidRDefault="00A76B56" w:rsidP="000D601B">
            <w:pPr>
              <w:pStyle w:val="TableBodyText"/>
              <w:jc w:val="left"/>
              <w:rPr>
                <w:b/>
              </w:rPr>
            </w:pPr>
            <w:r w:rsidRPr="001D6C46">
              <w:rPr>
                <w:b/>
              </w:rPr>
              <w:t>Indicator</w:t>
            </w:r>
          </w:p>
        </w:tc>
        <w:tc>
          <w:tcPr>
            <w:tcW w:w="6945" w:type="dxa"/>
          </w:tcPr>
          <w:p w:rsidR="00A76B56" w:rsidRPr="00A76B56" w:rsidRDefault="00A76B56" w:rsidP="00432CA5">
            <w:pPr>
              <w:pStyle w:val="TableBodyText"/>
              <w:jc w:val="both"/>
            </w:pPr>
            <w:r w:rsidRPr="00A76B56">
              <w:t>NEA 9 – The proportion of young people participating in post-school education or training six months after school.</w:t>
            </w:r>
          </w:p>
        </w:tc>
      </w:tr>
      <w:tr w:rsidR="00A76B56" w:rsidRPr="00880298" w:rsidTr="00EC05AB">
        <w:tc>
          <w:tcPr>
            <w:tcW w:w="1843" w:type="dxa"/>
          </w:tcPr>
          <w:p w:rsidR="00A76B56" w:rsidRPr="001D6C46" w:rsidRDefault="00A76B56" w:rsidP="000D601B">
            <w:pPr>
              <w:pStyle w:val="TableBodyText"/>
              <w:jc w:val="left"/>
              <w:rPr>
                <w:b/>
              </w:rPr>
            </w:pPr>
            <w:r w:rsidRPr="001D6C46">
              <w:rPr>
                <w:b/>
              </w:rPr>
              <w:t>Measure</w:t>
            </w:r>
          </w:p>
        </w:tc>
        <w:tc>
          <w:tcPr>
            <w:tcW w:w="6945" w:type="dxa"/>
          </w:tcPr>
          <w:p w:rsidR="00A76B56" w:rsidRPr="00A76B56" w:rsidRDefault="00A76B56" w:rsidP="00432CA5">
            <w:pPr>
              <w:pStyle w:val="TableBodyText"/>
              <w:jc w:val="both"/>
            </w:pPr>
            <w:r w:rsidRPr="00A76B56">
              <w:t>Young people (school leavers aged 15–19 years), by level of schooling completed and engagement in post-school education, training and/or employment.</w:t>
            </w:r>
          </w:p>
          <w:p w:rsidR="00A76B56" w:rsidRPr="00A76B56" w:rsidRDefault="00A76B56" w:rsidP="00432CA5">
            <w:pPr>
              <w:pStyle w:val="TableBodyText"/>
              <w:jc w:val="both"/>
              <w:rPr>
                <w:u w:val="single"/>
              </w:rPr>
            </w:pPr>
            <w:r w:rsidRPr="00A76B56">
              <w:rPr>
                <w:u w:val="single"/>
              </w:rPr>
              <w:t>Numerator:</w:t>
            </w:r>
          </w:p>
          <w:p w:rsidR="00A76B56" w:rsidRPr="00A76B56" w:rsidRDefault="00A76B56" w:rsidP="00432CA5">
            <w:pPr>
              <w:pStyle w:val="TableBodyText"/>
              <w:jc w:val="both"/>
            </w:pPr>
            <w:r w:rsidRPr="00A76B56">
              <w:t xml:space="preserve">Number of persons aged 15–19 years </w:t>
            </w:r>
            <w:r w:rsidR="00F70DBA">
              <w:t>who have left school, are fully</w:t>
            </w:r>
            <w:r w:rsidR="00107DB7">
              <w:t xml:space="preserve"> </w:t>
            </w:r>
            <w:r w:rsidRPr="00A76B56">
              <w:t>engaged in employment, education and/or training, by highest level of schooling completed.</w:t>
            </w:r>
          </w:p>
          <w:p w:rsidR="00A76B56" w:rsidRPr="00A76B56" w:rsidRDefault="00A76B56" w:rsidP="00432CA5">
            <w:pPr>
              <w:pStyle w:val="TableBodyText"/>
              <w:jc w:val="both"/>
              <w:rPr>
                <w:u w:val="single"/>
              </w:rPr>
            </w:pPr>
            <w:r w:rsidRPr="00A76B56">
              <w:rPr>
                <w:u w:val="single"/>
              </w:rPr>
              <w:t>Denominator:</w:t>
            </w:r>
          </w:p>
          <w:p w:rsidR="00A76B56" w:rsidRPr="00A76B56" w:rsidRDefault="00A76B56" w:rsidP="00432CA5">
            <w:pPr>
              <w:pStyle w:val="TableBodyText"/>
              <w:jc w:val="both"/>
            </w:pPr>
            <w:r w:rsidRPr="00A76B56">
              <w:t>Number of persons aged 15–19 years who have left school, by highest level of schooling completed.</w:t>
            </w:r>
          </w:p>
          <w:p w:rsidR="00A76B56" w:rsidRPr="00A76B56" w:rsidRDefault="00A76B56" w:rsidP="00432CA5">
            <w:pPr>
              <w:pStyle w:val="TableBodyText"/>
              <w:jc w:val="both"/>
            </w:pPr>
            <w:r w:rsidRPr="00A76B56">
              <w:t>Fully</w:t>
            </w:r>
            <w:r w:rsidR="00107DB7">
              <w:t xml:space="preserve"> </w:t>
            </w:r>
            <w:r w:rsidRPr="00A76B56">
              <w:t xml:space="preserve">engaged is defined as </w:t>
            </w:r>
            <w:r w:rsidR="001B1E03">
              <w:t>full time</w:t>
            </w:r>
            <w:r w:rsidRPr="00A76B56">
              <w:t xml:space="preserve"> employment, </w:t>
            </w:r>
            <w:r w:rsidR="001B1E03">
              <w:t>full time</w:t>
            </w:r>
            <w:r w:rsidRPr="00A76B56">
              <w:t xml:space="preserve"> education or training, or a mixture of </w:t>
            </w:r>
            <w:r w:rsidR="001B1E03">
              <w:t>part time</w:t>
            </w:r>
            <w:r w:rsidRPr="00A76B56">
              <w:t>/</w:t>
            </w:r>
            <w:r w:rsidR="001B1E03">
              <w:t>full time</w:t>
            </w:r>
            <w:r w:rsidR="00432CA5">
              <w:t xml:space="preserve"> employment and </w:t>
            </w:r>
            <w:r w:rsidR="001B1E03">
              <w:t>part time</w:t>
            </w:r>
            <w:r w:rsidR="00432CA5">
              <w:t>/</w:t>
            </w:r>
            <w:r w:rsidR="001B1E03">
              <w:t>full time</w:t>
            </w:r>
            <w:r w:rsidRPr="00A76B56">
              <w:t xml:space="preserve"> education or training.</w:t>
            </w:r>
          </w:p>
          <w:p w:rsidR="00A76B56" w:rsidRPr="00A76B56" w:rsidRDefault="00A76B56" w:rsidP="00432CA5">
            <w:pPr>
              <w:pStyle w:val="TableBodyText"/>
              <w:jc w:val="both"/>
            </w:pPr>
            <w:r w:rsidRPr="00A76B56">
              <w:t>Excludes people whose highest level of schooling completed is not stated (o</w:t>
            </w:r>
            <w:r w:rsidR="00712F6B">
              <w:t>nly applicable to Census data).</w:t>
            </w:r>
          </w:p>
          <w:p w:rsidR="00A76B56" w:rsidRPr="00A76B56" w:rsidRDefault="00A76B56" w:rsidP="00432CA5">
            <w:pPr>
              <w:pStyle w:val="TableBodyText"/>
              <w:jc w:val="both"/>
            </w:pPr>
            <w:r w:rsidRPr="00A76B56">
              <w:rPr>
                <w:u w:val="single"/>
              </w:rPr>
              <w:t>Note:</w:t>
            </w:r>
            <w:r w:rsidRPr="00A76B56">
              <w:t xml:space="preserve"> Data from the Survey of Education and Work are provided as supplementary information to Census data to inform this measure.</w:t>
            </w:r>
          </w:p>
        </w:tc>
      </w:tr>
      <w:tr w:rsidR="00A76B56" w:rsidRPr="00880298" w:rsidTr="00EC05AB">
        <w:tc>
          <w:tcPr>
            <w:tcW w:w="1843" w:type="dxa"/>
          </w:tcPr>
          <w:p w:rsidR="00A76B56" w:rsidRPr="001D6C46" w:rsidRDefault="00A76B56" w:rsidP="000D601B">
            <w:pPr>
              <w:pStyle w:val="TableBodyText"/>
              <w:jc w:val="left"/>
              <w:rPr>
                <w:b/>
              </w:rPr>
            </w:pPr>
            <w:r w:rsidRPr="001D6C46">
              <w:rPr>
                <w:b/>
              </w:rPr>
              <w:t>Data Source</w:t>
            </w:r>
          </w:p>
        </w:tc>
        <w:tc>
          <w:tcPr>
            <w:tcW w:w="6945" w:type="dxa"/>
          </w:tcPr>
          <w:p w:rsidR="00A76B56" w:rsidRPr="00A76B56" w:rsidRDefault="00A76B56" w:rsidP="00432CA5">
            <w:pPr>
              <w:pStyle w:val="TableBodyText"/>
              <w:jc w:val="both"/>
              <w:rPr>
                <w:u w:val="single"/>
              </w:rPr>
            </w:pPr>
            <w:r w:rsidRPr="00A76B56">
              <w:rPr>
                <w:u w:val="single"/>
              </w:rPr>
              <w:t>Numerator and denominator:</w:t>
            </w:r>
          </w:p>
          <w:p w:rsidR="00A76B56" w:rsidRPr="00A76B56" w:rsidRDefault="00A76B56" w:rsidP="00432CA5">
            <w:pPr>
              <w:pStyle w:val="TableBodyText"/>
              <w:jc w:val="both"/>
            </w:pPr>
            <w:r w:rsidRPr="00A76B56">
              <w:t>ABS Census of Population and Housing (Census). Data are available every five years.</w:t>
            </w:r>
          </w:p>
          <w:p w:rsidR="00A76B56" w:rsidRPr="00A76B56" w:rsidRDefault="00A76B56" w:rsidP="00432CA5">
            <w:pPr>
              <w:pStyle w:val="TableBodyText"/>
              <w:jc w:val="both"/>
              <w:rPr>
                <w:u w:val="single"/>
              </w:rPr>
            </w:pPr>
            <w:r w:rsidRPr="00A76B56">
              <w:rPr>
                <w:u w:val="single"/>
              </w:rPr>
              <w:t>Numerator and denominator:</w:t>
            </w:r>
          </w:p>
          <w:p w:rsidR="00A76B56" w:rsidRPr="00A76B56" w:rsidRDefault="00A76B56" w:rsidP="00432CA5">
            <w:pPr>
              <w:pStyle w:val="TableBodyText"/>
              <w:jc w:val="both"/>
            </w:pPr>
            <w:r w:rsidRPr="00A76B56">
              <w:t>ABS Survey of Education and Work (SEW). Data are available annually.</w:t>
            </w:r>
          </w:p>
          <w:p w:rsidR="00A76B56" w:rsidRPr="00A76B56" w:rsidRDefault="00A76B56" w:rsidP="00432CA5">
            <w:pPr>
              <w:pStyle w:val="TableBodyText"/>
              <w:jc w:val="both"/>
            </w:pPr>
            <w:r w:rsidRPr="00A76B56">
              <w:t>2011 SEW data are being used for this cycle of indicators.</w:t>
            </w:r>
          </w:p>
        </w:tc>
      </w:tr>
      <w:tr w:rsidR="00A76B56" w:rsidRPr="00432CA5" w:rsidTr="00EC05AB">
        <w:tc>
          <w:tcPr>
            <w:tcW w:w="1843" w:type="dxa"/>
          </w:tcPr>
          <w:p w:rsidR="00A76B56" w:rsidRPr="001D6C46" w:rsidRDefault="00A76B56" w:rsidP="000D601B">
            <w:pPr>
              <w:pStyle w:val="TableBodyText"/>
              <w:jc w:val="left"/>
              <w:rPr>
                <w:b/>
              </w:rPr>
            </w:pPr>
            <w:r w:rsidRPr="001D6C46">
              <w:rPr>
                <w:b/>
              </w:rPr>
              <w:t>Institutional Environment</w:t>
            </w:r>
          </w:p>
        </w:tc>
        <w:tc>
          <w:tcPr>
            <w:tcW w:w="6945" w:type="dxa"/>
          </w:tcPr>
          <w:p w:rsidR="00A76B56" w:rsidRPr="00A76B56" w:rsidRDefault="00A76B56" w:rsidP="00432CA5">
            <w:pPr>
              <w:pStyle w:val="TableBodyText"/>
              <w:jc w:val="both"/>
            </w:pPr>
            <w:r w:rsidRPr="00A76B56">
              <w:t>The Census and SEW are collected by the ABS under the Census and Statistics Act 1905.</w:t>
            </w:r>
          </w:p>
          <w:p w:rsidR="00A76B56" w:rsidRPr="00A76B56" w:rsidRDefault="00A76B56" w:rsidP="00432CA5">
            <w:pPr>
              <w:pStyle w:val="TableBodyText"/>
              <w:jc w:val="both"/>
            </w:pPr>
            <w:r w:rsidRPr="00A76B56">
              <w:t xml:space="preserve">For information on the institutional environment of the ABS, including the legislative obligations of the ABS, financing and government arrangements, and mechanisms for scrutiny of ABS operations, see </w:t>
            </w:r>
            <w:hyperlink r:id="rId204" w:history="1">
              <w:r w:rsidRPr="00A76B56">
                <w:t>ABS Institutional Environment</w:t>
              </w:r>
            </w:hyperlink>
            <w:r>
              <w:t xml:space="preserve"> (</w:t>
            </w:r>
            <w:hyperlink r:id="rId205" w:history="1">
              <w:r w:rsidR="00432CA5" w:rsidRPr="00432CA5">
                <w:t>www.abs.gov.au/</w:t>
              </w:r>
              <w:proofErr w:type="spellStart"/>
              <w:r w:rsidR="00432CA5" w:rsidRPr="00432CA5">
                <w:t>websitedbs</w:t>
              </w:r>
              <w:proofErr w:type="spellEnd"/>
              <w:r w:rsidR="00432CA5" w:rsidRPr="00432CA5">
                <w:t>/</w:t>
              </w:r>
              <w:proofErr w:type="spellStart"/>
              <w:r w:rsidR="00432CA5" w:rsidRPr="00432CA5">
                <w:t>d3310114.nsf</w:t>
              </w:r>
              <w:proofErr w:type="spellEnd"/>
              <w:r w:rsidR="00432CA5" w:rsidRPr="00432CA5">
                <w:t>/</w:t>
              </w:r>
            </w:hyperlink>
            <w:r w:rsidR="00432CA5">
              <w:t xml:space="preserve"> </w:t>
            </w:r>
            <w:r w:rsidRPr="00A76B56">
              <w:t>4a256353001af3ed4b2562bb00121564/10ca14cb967e5b83ca2573ae00197b65!OpenDocument</w:t>
            </w:r>
            <w:r>
              <w:t>)</w:t>
            </w:r>
            <w:r w:rsidRPr="00A76B56">
              <w:t>.</w:t>
            </w:r>
          </w:p>
        </w:tc>
      </w:tr>
      <w:tr w:rsidR="00A76B56" w:rsidRPr="00880298" w:rsidTr="00EC05AB">
        <w:tc>
          <w:tcPr>
            <w:tcW w:w="1843" w:type="dxa"/>
          </w:tcPr>
          <w:p w:rsidR="00A76B56" w:rsidRPr="001D6C46" w:rsidRDefault="00A76B56" w:rsidP="000D601B">
            <w:pPr>
              <w:pStyle w:val="TableBodyText"/>
              <w:jc w:val="left"/>
              <w:rPr>
                <w:b/>
              </w:rPr>
            </w:pPr>
            <w:r w:rsidRPr="001D6C46">
              <w:rPr>
                <w:b/>
              </w:rPr>
              <w:t>Relevance</w:t>
            </w:r>
          </w:p>
        </w:tc>
        <w:tc>
          <w:tcPr>
            <w:tcW w:w="6945" w:type="dxa"/>
          </w:tcPr>
          <w:p w:rsidR="00A76B56" w:rsidRPr="00A76B56" w:rsidRDefault="00A76B56" w:rsidP="00432CA5">
            <w:pPr>
              <w:pStyle w:val="TableBodyText"/>
              <w:jc w:val="both"/>
            </w:pPr>
            <w:r w:rsidRPr="00A76B56">
              <w:t>SEW data are available by state/territory. The SEW does not collect data from people in Indigenous communities in ver</w:t>
            </w:r>
            <w:r w:rsidR="00712F6B">
              <w:t>y remote areas (see Coherence).</w:t>
            </w:r>
          </w:p>
          <w:p w:rsidR="00A76B56" w:rsidRPr="00A76B56" w:rsidRDefault="00A76B56" w:rsidP="00432CA5">
            <w:pPr>
              <w:pStyle w:val="TableBodyText"/>
              <w:jc w:val="both"/>
            </w:pPr>
            <w:r w:rsidRPr="00A76B56">
              <w:t xml:space="preserve">The SEW collects information on the highest year of school completed and highest level of non-school qualification. The classification of qualifications used is the </w:t>
            </w:r>
            <w:hyperlink r:id="rId206" w:history="1">
              <w:r w:rsidRPr="00A76B56">
                <w:t>Australian Standard Classificati</w:t>
              </w:r>
              <w:r w:rsidR="00934C88">
                <w:t>on of Education (</w:t>
              </w:r>
              <w:proofErr w:type="spellStart"/>
              <w:r w:rsidR="00934C88">
                <w:t>ASCED</w:t>
              </w:r>
              <w:proofErr w:type="spellEnd"/>
              <w:r w:rsidR="00934C88">
                <w:t>) (</w:t>
              </w:r>
              <w:r w:rsidRPr="00A76B56">
                <w:t xml:space="preserve">www.abs.gov.au/AUSSTATS/ABS@.NSF/0/F501C031BD9AC9C5CA256AAF001FCA33?opendocument) </w:t>
              </w:r>
              <w:r w:rsidR="009605B1">
                <w:t>(Cat. no. </w:t>
              </w:r>
              <w:r w:rsidRPr="00A76B56">
                <w:t>1272.0)</w:t>
              </w:r>
            </w:hyperlink>
            <w:r w:rsidRPr="00A76B56">
              <w:t>.</w:t>
            </w:r>
          </w:p>
          <w:p w:rsidR="00A76B56" w:rsidRPr="00A76B56" w:rsidRDefault="00A76B56" w:rsidP="00432CA5">
            <w:pPr>
              <w:pStyle w:val="TableBodyText"/>
              <w:jc w:val="both"/>
            </w:pPr>
            <w:r w:rsidRPr="00A76B56">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A76B56" w:rsidRPr="00880298" w:rsidTr="00EC05AB">
        <w:tc>
          <w:tcPr>
            <w:tcW w:w="1843" w:type="dxa"/>
          </w:tcPr>
          <w:p w:rsidR="00A76B56" w:rsidRPr="001D6C46" w:rsidRDefault="00A76B56" w:rsidP="000D601B">
            <w:pPr>
              <w:pStyle w:val="TableBodyText"/>
              <w:jc w:val="left"/>
              <w:rPr>
                <w:b/>
              </w:rPr>
            </w:pPr>
            <w:r w:rsidRPr="001D6C46">
              <w:rPr>
                <w:b/>
              </w:rPr>
              <w:t>Timeliness</w:t>
            </w:r>
          </w:p>
        </w:tc>
        <w:tc>
          <w:tcPr>
            <w:tcW w:w="6945" w:type="dxa"/>
          </w:tcPr>
          <w:p w:rsidR="00A76B56" w:rsidRPr="00A76B56" w:rsidRDefault="00A76B56" w:rsidP="00432CA5">
            <w:pPr>
              <w:pStyle w:val="TableBodyText"/>
              <w:jc w:val="both"/>
            </w:pPr>
            <w:r w:rsidRPr="00A76B56">
              <w:t xml:space="preserve">The SEW is conducted annually in May as a supplement to the monthly </w:t>
            </w:r>
            <w:r w:rsidRPr="00A76B56">
              <w:lastRenderedPageBreak/>
              <w:t>Labour Force Survey (</w:t>
            </w:r>
            <w:proofErr w:type="spellStart"/>
            <w:r w:rsidRPr="00A76B56">
              <w:t>LFS</w:t>
            </w:r>
            <w:proofErr w:type="spellEnd"/>
            <w:r w:rsidRPr="00A76B56">
              <w:t>). Results from the 2011 survey were released in November 2011.</w:t>
            </w:r>
          </w:p>
        </w:tc>
      </w:tr>
      <w:tr w:rsidR="00A76B56" w:rsidRPr="00880298" w:rsidTr="00EC05AB">
        <w:tc>
          <w:tcPr>
            <w:tcW w:w="1843" w:type="dxa"/>
          </w:tcPr>
          <w:p w:rsidR="00A76B56" w:rsidRPr="001D6C46" w:rsidRDefault="00A76B56" w:rsidP="000D601B">
            <w:pPr>
              <w:pStyle w:val="TableBodyText"/>
              <w:jc w:val="left"/>
              <w:rPr>
                <w:b/>
              </w:rPr>
            </w:pPr>
            <w:r w:rsidRPr="001D6C46">
              <w:rPr>
                <w:b/>
              </w:rPr>
              <w:lastRenderedPageBreak/>
              <w:t>Accuracy</w:t>
            </w:r>
          </w:p>
        </w:tc>
        <w:tc>
          <w:tcPr>
            <w:tcW w:w="6945" w:type="dxa"/>
          </w:tcPr>
          <w:p w:rsidR="00A76B56" w:rsidRPr="00A76B56" w:rsidRDefault="00A76B56" w:rsidP="00432CA5">
            <w:pPr>
              <w:pStyle w:val="TableBodyText"/>
              <w:jc w:val="both"/>
            </w:pPr>
            <w:r w:rsidRPr="00A76B56">
              <w:t>The 2011 SEW response rate was 96</w:t>
            </w:r>
            <w:r w:rsidR="00160697">
              <w:t xml:space="preserve"> per cent</w:t>
            </w:r>
            <w:r w:rsidR="009605B1">
              <w:t xml:space="preserve"> which constituted 39 </w:t>
            </w:r>
            <w:r w:rsidRPr="00A76B56">
              <w:t>800 completed interviews. The 2011 response rate was consistent with that in previous years.</w:t>
            </w:r>
          </w:p>
          <w:p w:rsidR="00A76B56" w:rsidRPr="00A76B56" w:rsidRDefault="00A76B56" w:rsidP="00432CA5">
            <w:pPr>
              <w:pStyle w:val="TableBodyText"/>
              <w:jc w:val="both"/>
            </w:pPr>
            <w:r w:rsidRPr="00A76B56">
              <w:t xml:space="preserve">The data for the SEW are collected from an </w:t>
            </w:r>
            <w:proofErr w:type="spellStart"/>
            <w:r w:rsidRPr="00A76B56">
              <w:t>ARA</w:t>
            </w:r>
            <w:proofErr w:type="spellEnd"/>
            <w:r w:rsidRPr="00A76B56">
              <w:t xml:space="preserve"> (Any Responsible Adult) on behalf of other members of the hou</w:t>
            </w:r>
            <w:r w:rsidR="00F70DBA">
              <w:t>sehold and are weighted for non</w:t>
            </w:r>
            <w:r w:rsidR="00F70DBA">
              <w:noBreakHyphen/>
            </w:r>
            <w:r w:rsidRPr="00A76B56">
              <w:t>response.</w:t>
            </w:r>
          </w:p>
          <w:p w:rsidR="00A76B56" w:rsidRPr="00A76B56" w:rsidRDefault="00A76B56" w:rsidP="00432CA5">
            <w:pPr>
              <w:pStyle w:val="TableBodyText"/>
              <w:jc w:val="both"/>
            </w:pPr>
            <w:r w:rsidRPr="00A76B56">
              <w:t>The data are event data that can be used to measure year to year changes provided that the changes are large enough to account for the Relative Standard Error (</w:t>
            </w:r>
            <w:proofErr w:type="spellStart"/>
            <w:r w:rsidRPr="00A76B56">
              <w:t>RSE</w:t>
            </w:r>
            <w:proofErr w:type="spellEnd"/>
            <w:r w:rsidRPr="00A76B56">
              <w:t xml:space="preserve">) of estimates. The </w:t>
            </w:r>
            <w:proofErr w:type="spellStart"/>
            <w:r w:rsidRPr="00A76B56">
              <w:t>LFS</w:t>
            </w:r>
            <w:proofErr w:type="spellEnd"/>
            <w:r w:rsidRPr="00A76B56">
              <w:t xml:space="preserve"> sample was reduced by 20</w:t>
            </w:r>
            <w:r w:rsidR="00160697">
              <w:t xml:space="preserve"> per cent</w:t>
            </w:r>
            <w:r w:rsidRPr="00A76B56">
              <w:t xml:space="preserve"> in 2009, but the full sample was reinstated from 2010 onwards.</w:t>
            </w:r>
          </w:p>
          <w:p w:rsidR="00A76B56" w:rsidRPr="00A76B56" w:rsidRDefault="00A76B56" w:rsidP="00432CA5">
            <w:pPr>
              <w:pStyle w:val="TableBodyText"/>
              <w:jc w:val="both"/>
            </w:pPr>
            <w:r w:rsidRPr="00A76B56">
              <w:t>Data with a relative standard error of between 25</w:t>
            </w:r>
            <w:r w:rsidR="00160697">
              <w:t xml:space="preserve"> per cent</w:t>
            </w:r>
            <w:r w:rsidRPr="00A76B56">
              <w:t xml:space="preserve"> and 50</w:t>
            </w:r>
            <w:r w:rsidR="00160697">
              <w:t xml:space="preserve"> per cent</w:t>
            </w:r>
            <w:r w:rsidRPr="00A76B56">
              <w:t xml:space="preserve"> should be used with caution while data with a relative standard error greater than 50</w:t>
            </w:r>
            <w:r w:rsidR="00160697">
              <w:t xml:space="preserve"> per cent</w:t>
            </w:r>
            <w:r w:rsidRPr="00A76B56">
              <w:t xml:space="preserve"> is considered too unreliable for general use.</w:t>
            </w:r>
          </w:p>
        </w:tc>
      </w:tr>
      <w:tr w:rsidR="00A76B56" w:rsidRPr="00880298" w:rsidTr="00EC05AB">
        <w:tc>
          <w:tcPr>
            <w:tcW w:w="1843" w:type="dxa"/>
          </w:tcPr>
          <w:p w:rsidR="00A76B56" w:rsidRPr="001D6C46" w:rsidRDefault="00A76B56" w:rsidP="000D601B">
            <w:pPr>
              <w:pStyle w:val="TableBodyText"/>
              <w:jc w:val="left"/>
              <w:rPr>
                <w:b/>
              </w:rPr>
            </w:pPr>
            <w:r w:rsidRPr="001D6C46">
              <w:rPr>
                <w:b/>
                <w:bCs/>
              </w:rPr>
              <w:t>Coherence</w:t>
            </w:r>
          </w:p>
        </w:tc>
        <w:tc>
          <w:tcPr>
            <w:tcW w:w="6945" w:type="dxa"/>
          </w:tcPr>
          <w:p w:rsidR="00A76B56" w:rsidRPr="00A76B56" w:rsidRDefault="00A76B56" w:rsidP="00432CA5">
            <w:pPr>
              <w:pStyle w:val="TableBodyText"/>
              <w:jc w:val="both"/>
            </w:pPr>
            <w:r w:rsidRPr="00A76B56">
              <w:t>Both the numerator and denominator come from the SEW. Measures based on the 2011 SEW are consistent with those supplied for COAG reporting from previous cycles of this survey. Data for 2010 have been revised due to amendments to the populati</w:t>
            </w:r>
            <w:r w:rsidR="00712F6B">
              <w:t>on benchmarks for the 2010 SEW.</w:t>
            </w:r>
          </w:p>
          <w:p w:rsidR="00A76B56" w:rsidRPr="00A76B56" w:rsidRDefault="00A76B56" w:rsidP="00EE3827">
            <w:pPr>
              <w:pStyle w:val="TableBodyText"/>
              <w:jc w:val="both"/>
            </w:pPr>
            <w:r w:rsidRPr="00A76B56">
              <w:t>Prior to 2009, all people in very remote areas were excluded from the SEW. Very remote areas represent about two per cent of the total Australian population and 20</w:t>
            </w:r>
            <w:r w:rsidR="00160697">
              <w:t xml:space="preserve"> per cent</w:t>
            </w:r>
            <w:r w:rsidRPr="00A76B56">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w:t>
            </w:r>
            <w:r w:rsidR="00160697">
              <w:t xml:space="preserve"> per cent</w:t>
            </w:r>
            <w:r w:rsidRPr="00A76B56">
              <w:t xml:space="preserve"> of the population. </w:t>
            </w:r>
            <w:r w:rsidR="007E7D77" w:rsidRPr="007E7D77">
              <w:t>These revisions have a minor impact only  in the NT and minimal impact in the other states/territory on the actual value of the NEA performance indicators based on the SEW.</w:t>
            </w:r>
          </w:p>
          <w:p w:rsidR="00A76B56" w:rsidRPr="00A76B56" w:rsidRDefault="00A76B56" w:rsidP="00432CA5">
            <w:pPr>
              <w:pStyle w:val="TableBodyText"/>
              <w:jc w:val="both"/>
            </w:pPr>
            <w:r w:rsidRPr="00A76B56">
              <w:t xml:space="preserve">The </w:t>
            </w:r>
            <w:hyperlink r:id="rId207" w:history="1">
              <w:r w:rsidRPr="00A76B56">
                <w:t>Australian Standard Classificati</w:t>
              </w:r>
              <w:r w:rsidR="00934C88">
                <w:t>on of Education (</w:t>
              </w:r>
              <w:proofErr w:type="spellStart"/>
              <w:r w:rsidR="00934C88">
                <w:t>ASCED</w:t>
              </w:r>
              <w:proofErr w:type="spellEnd"/>
              <w:r w:rsidR="00934C88">
                <w:t>) (</w:t>
              </w:r>
              <w:r w:rsidRPr="00A76B56">
                <w:t xml:space="preserve">www.abs.gov.au/AUSSTATS/ABS@.NSF/0/F501C031BD9AC9C5CA256AAF001FCA33?opendocument) </w:t>
              </w:r>
              <w:r w:rsidR="009605B1">
                <w:t>(Cat. no. </w:t>
              </w:r>
              <w:r w:rsidRPr="00A76B56">
                <w:t>1272.0)</w:t>
              </w:r>
            </w:hyperlink>
            <w:r w:rsidRPr="00A76B56">
              <w:t xml:space="preserve"> has been used in all surveys with education items since 2001 and allows the education and training items between different surveys to be compared.</w:t>
            </w:r>
          </w:p>
          <w:p w:rsidR="00A76B56" w:rsidRPr="00A76B56" w:rsidRDefault="00A76B56" w:rsidP="00432CA5">
            <w:pPr>
              <w:pStyle w:val="TableBodyText"/>
              <w:jc w:val="both"/>
            </w:pPr>
            <w:r w:rsidRPr="00A76B56">
              <w:t xml:space="preserve">The Census of Population and Housing and the </w:t>
            </w:r>
            <w:hyperlink r:id="rId208" w:history="1">
              <w:r w:rsidRPr="00A76B56">
                <w:t>Surv</w:t>
              </w:r>
              <w:r w:rsidR="00934C88">
                <w:t>ey of Learning and Work (</w:t>
              </w:r>
              <w:r w:rsidRPr="00A76B56">
                <w:t>www.abs.gov.au/</w:t>
              </w:r>
              <w:proofErr w:type="spellStart"/>
              <w:r w:rsidRPr="00A76B56">
                <w:t>ausstats</w:t>
              </w:r>
              <w:proofErr w:type="spellEnd"/>
              <w:r w:rsidRPr="00A76B56">
                <w:t>/abs@.</w:t>
              </w:r>
              <w:proofErr w:type="spellStart"/>
              <w:r w:rsidRPr="00A76B56">
                <w:t>nsf</w:t>
              </w:r>
              <w:proofErr w:type="spellEnd"/>
              <w:r w:rsidRPr="00A76B56">
                <w:t>/mf/4235.0</w:t>
              </w:r>
              <w:r w:rsidR="008A17C1">
                <w:t>)</w:t>
              </w:r>
              <w:r w:rsidRPr="00A76B56">
                <w:t xml:space="preserve"> </w:t>
              </w:r>
              <w:r w:rsidR="009605B1">
                <w:t>(Cat. no. </w:t>
              </w:r>
              <w:r w:rsidRPr="00A76B56">
                <w:t>4235.0)</w:t>
              </w:r>
            </w:hyperlink>
            <w:r w:rsidRPr="00A76B56">
              <w:t xml:space="preserve"> also provide information on educational attainment.</w:t>
            </w:r>
          </w:p>
        </w:tc>
      </w:tr>
      <w:tr w:rsidR="00A76B56" w:rsidRPr="00880298" w:rsidTr="00EC05AB">
        <w:tc>
          <w:tcPr>
            <w:tcW w:w="1843" w:type="dxa"/>
          </w:tcPr>
          <w:p w:rsidR="00A76B56" w:rsidRPr="001D6C46" w:rsidRDefault="00A76B56" w:rsidP="000D601B">
            <w:pPr>
              <w:pStyle w:val="TableBodyText"/>
              <w:jc w:val="left"/>
              <w:rPr>
                <w:b/>
              </w:rPr>
            </w:pPr>
            <w:r w:rsidRPr="001D6C46">
              <w:rPr>
                <w:b/>
                <w:bCs/>
              </w:rPr>
              <w:t>Interpretability</w:t>
            </w:r>
          </w:p>
        </w:tc>
        <w:tc>
          <w:tcPr>
            <w:tcW w:w="6945" w:type="dxa"/>
          </w:tcPr>
          <w:p w:rsidR="00A76B56" w:rsidRPr="00A76B56" w:rsidRDefault="00A76B56" w:rsidP="00432CA5">
            <w:pPr>
              <w:pStyle w:val="TableBodyText"/>
              <w:jc w:val="both"/>
            </w:pPr>
            <w:r w:rsidRPr="00A76B56">
              <w:t xml:space="preserve">Information on how to interpret and use the data appropriately is available on the ABS website; see </w:t>
            </w:r>
            <w:hyperlink r:id="rId209" w:history="1">
              <w:r w:rsidRPr="00A76B56">
                <w:t>Explanatory Notes</w:t>
              </w:r>
            </w:hyperlink>
            <w:r w:rsidRPr="00A76B56">
              <w:t xml:space="preserve"> </w:t>
            </w:r>
            <w:r>
              <w:t>(</w:t>
            </w:r>
            <w:hyperlink r:id="rId210" w:history="1">
              <w:r w:rsidRPr="00A76B56">
                <w:t>www.abs.gov.au/</w:t>
              </w:r>
              <w:r w:rsidR="00432CA5">
                <w:t xml:space="preserve"> </w:t>
              </w:r>
              <w:r w:rsidRPr="00A76B56">
                <w:t>AUSSTATS/abs@.nsf/allprimarymainfeatures/556A439CD3D7E8A8CA257242007B3F32?opendocument</w:t>
              </w:r>
            </w:hyperlink>
            <w:r>
              <w:t xml:space="preserve">) </w:t>
            </w:r>
            <w:r w:rsidRPr="00A76B56">
              <w:t xml:space="preserve">in Education and Work, Australia </w:t>
            </w:r>
            <w:r w:rsidR="009605B1">
              <w:t>(Cat. no. </w:t>
            </w:r>
            <w:r w:rsidRPr="00A76B56">
              <w:t>6227.0).</w:t>
            </w:r>
          </w:p>
          <w:p w:rsidR="00A76B56" w:rsidRPr="00A76B56" w:rsidRDefault="00A76B56" w:rsidP="00432CA5">
            <w:pPr>
              <w:pStyle w:val="TableBodyText"/>
              <w:jc w:val="both"/>
            </w:pPr>
            <w:r w:rsidRPr="00A76B56">
              <w:t xml:space="preserve">ABS SEIFA indexes are based on data from the Census and measure the socioeconomic status of the area in which a person lives. They do not directly measure the socioeconomic status of individuals or their households. More information on the SEIFA measure of socioeconomic status can be found on the ABS website: </w:t>
            </w:r>
            <w:hyperlink r:id="rId211" w:history="1">
              <w:r w:rsidRPr="00A76B56">
                <w:t>www.abs.gov.au</w:t>
              </w:r>
            </w:hyperlink>
            <w:r w:rsidRPr="00A76B56">
              <w:t>.</w:t>
            </w:r>
          </w:p>
        </w:tc>
      </w:tr>
      <w:tr w:rsidR="00A76B56" w:rsidRPr="00880298" w:rsidTr="00EC05AB">
        <w:tc>
          <w:tcPr>
            <w:tcW w:w="1843" w:type="dxa"/>
          </w:tcPr>
          <w:p w:rsidR="00A76B56" w:rsidRPr="001D6C46" w:rsidRDefault="00A76B56" w:rsidP="000D601B">
            <w:pPr>
              <w:pStyle w:val="TableBodyText"/>
              <w:jc w:val="left"/>
              <w:rPr>
                <w:b/>
              </w:rPr>
            </w:pPr>
            <w:r w:rsidRPr="001D6C46">
              <w:rPr>
                <w:b/>
                <w:bCs/>
              </w:rPr>
              <w:t>Accessibility</w:t>
            </w:r>
          </w:p>
        </w:tc>
        <w:tc>
          <w:tcPr>
            <w:tcW w:w="6945" w:type="dxa"/>
          </w:tcPr>
          <w:p w:rsidR="00A76B56" w:rsidRPr="00A76B56" w:rsidRDefault="00A76B56" w:rsidP="00432CA5">
            <w:pPr>
              <w:pStyle w:val="TableBodyText"/>
              <w:jc w:val="both"/>
            </w:pPr>
            <w:r w:rsidRPr="00A76B56">
              <w:t xml:space="preserve">The data for the SEW are available via the ABS website in the publication </w:t>
            </w:r>
            <w:hyperlink r:id="rId212" w:history="1">
              <w:r w:rsidRPr="00A76B56">
                <w:t>Education and Work</w:t>
              </w:r>
              <w:r w:rsidR="00934C88">
                <w:t>, Australia (</w:t>
              </w:r>
              <w:r w:rsidRPr="00A76B56">
                <w:t>www.abs.gov.au/</w:t>
              </w:r>
              <w:proofErr w:type="spellStart"/>
              <w:r w:rsidRPr="00A76B56">
                <w:t>AUSSTATS</w:t>
              </w:r>
              <w:proofErr w:type="spellEnd"/>
              <w:r w:rsidRPr="00A76B56">
                <w:t>/abs@.</w:t>
              </w:r>
              <w:proofErr w:type="spellStart"/>
              <w:r w:rsidRPr="00A76B56">
                <w:t>nsf</w:t>
              </w:r>
              <w:proofErr w:type="spellEnd"/>
              <w:r w:rsidRPr="00A76B56">
                <w:t>/</w:t>
              </w:r>
              <w:r w:rsidR="009605B1">
                <w:t xml:space="preserve"> </w:t>
              </w:r>
              <w:r w:rsidRPr="00A76B56">
                <w:t xml:space="preserve">ProductsbyCatalogue/556A439CD3D7E8A8CA257242007B3F32?OpenDocument) </w:t>
              </w:r>
              <w:r w:rsidR="009605B1">
                <w:t>(Cat. no. </w:t>
              </w:r>
              <w:r w:rsidRPr="00A76B56">
                <w:t>6227.0)</w:t>
              </w:r>
            </w:hyperlink>
            <w:r w:rsidRPr="00A76B56">
              <w:t>. This measure is also released as part of a SEW detailed e</w:t>
            </w:r>
            <w:r w:rsidR="00712F6B">
              <w:t>ducation data cube.</w:t>
            </w:r>
          </w:p>
          <w:p w:rsidR="00A76B56" w:rsidRPr="00A76B56" w:rsidRDefault="00A76B56" w:rsidP="00F70DBA">
            <w:pPr>
              <w:pStyle w:val="TableBodyText"/>
              <w:jc w:val="both"/>
            </w:pPr>
            <w:r w:rsidRPr="00A76B56">
              <w:lastRenderedPageBreak/>
              <w:t xml:space="preserve">Additional data are available at cost upon request through the </w:t>
            </w:r>
            <w:hyperlink r:id="rId213" w:history="1">
              <w:r w:rsidRPr="00A76B56">
                <w:t>National Information Referral Service</w:t>
              </w:r>
            </w:hyperlink>
            <w:r w:rsidRPr="00A76B56">
              <w:t xml:space="preserve"> (</w:t>
            </w:r>
            <w:proofErr w:type="spellStart"/>
            <w:r w:rsidRPr="00A76B56">
              <w:t>NIRS</w:t>
            </w:r>
            <w:proofErr w:type="spellEnd"/>
            <w:r w:rsidRPr="00A76B56">
              <w:t>)</w:t>
            </w:r>
            <w:r>
              <w:t xml:space="preserve"> (</w:t>
            </w:r>
            <w:r w:rsidRPr="00A76B56">
              <w:t>www.abs.gov.au/</w:t>
            </w:r>
            <w:proofErr w:type="spellStart"/>
            <w:r w:rsidRPr="00A76B56">
              <w:t>websitedbs</w:t>
            </w:r>
            <w:proofErr w:type="spellEnd"/>
            <w:r w:rsidRPr="00A76B56">
              <w:t>/</w:t>
            </w:r>
            <w:r w:rsidR="00432CA5">
              <w:t xml:space="preserve"> </w:t>
            </w:r>
            <w:proofErr w:type="spellStart"/>
            <w:r w:rsidRPr="00A76B56">
              <w:t>D3310114.nsf</w:t>
            </w:r>
            <w:proofErr w:type="spellEnd"/>
            <w:r w:rsidRPr="00A76B56">
              <w:t>/home/</w:t>
            </w:r>
            <w:proofErr w:type="spellStart"/>
            <w:r w:rsidRPr="00A76B56">
              <w:t>National+Information+and+Referral+Service</w:t>
            </w:r>
            <w:proofErr w:type="spellEnd"/>
            <w:r>
              <w:t>)</w:t>
            </w:r>
            <w:r w:rsidRPr="00A76B56">
              <w:t xml:space="preserve">. </w:t>
            </w:r>
            <w:r w:rsidR="00712F6B">
              <w:br/>
            </w:r>
            <w:r w:rsidR="00F70DBA">
              <w:t xml:space="preserve">A </w:t>
            </w:r>
            <w:r w:rsidRPr="00A76B56">
              <w:t>Confidential</w:t>
            </w:r>
            <w:r w:rsidR="00F70DBA">
              <w:t>ised Unit Record File (</w:t>
            </w:r>
            <w:proofErr w:type="spellStart"/>
            <w:r w:rsidR="00F70DBA">
              <w:t>CURF</w:t>
            </w:r>
            <w:proofErr w:type="spellEnd"/>
            <w:r w:rsidR="00F70DBA">
              <w:t>) has</w:t>
            </w:r>
            <w:r w:rsidRPr="00A76B56">
              <w:t xml:space="preserve"> been produced for every second cycle of the SEW since 2001, most recently 2011.</w:t>
            </w:r>
          </w:p>
        </w:tc>
      </w:tr>
    </w:tbl>
    <w:p w:rsidR="00D11E31" w:rsidRDefault="00D11E31" w:rsidP="000D601B">
      <w:pPr>
        <w:pStyle w:val="BodyText"/>
        <w:jc w:val="left"/>
      </w:pPr>
    </w:p>
    <w:p w:rsidR="00D11E31" w:rsidRDefault="00D11E31" w:rsidP="000D601B">
      <w:pPr>
        <w:pStyle w:val="Heading3"/>
        <w:spacing w:before="360" w:after="240"/>
      </w:pPr>
      <w:r>
        <w:br w:type="page"/>
      </w:r>
      <w:bookmarkStart w:id="46" w:name="_Ref325636968"/>
      <w:r>
        <w:lastRenderedPageBreak/>
        <w:t>D</w:t>
      </w:r>
      <w:r w:rsidRPr="00291419">
        <w:t xml:space="preserve">ata </w:t>
      </w:r>
      <w:r w:rsidRPr="00A05316">
        <w:t>Quality</w:t>
      </w:r>
      <w:r>
        <w:t xml:space="preserve"> Statement – Performance Indicator 10: The proportion of 18—24 year olds engaged in full time employment, education and training at or above Certificate III</w:t>
      </w:r>
      <w:bookmarkEnd w:id="46"/>
    </w:p>
    <w:tbl>
      <w:tblPr>
        <w:tblW w:w="8788" w:type="dxa"/>
        <w:tblInd w:w="108" w:type="dxa"/>
        <w:tblLayout w:type="fixed"/>
        <w:tblLook w:val="00A0" w:firstRow="1" w:lastRow="0" w:firstColumn="1" w:lastColumn="0" w:noHBand="0" w:noVBand="0"/>
      </w:tblPr>
      <w:tblGrid>
        <w:gridCol w:w="1843"/>
        <w:gridCol w:w="6945"/>
      </w:tblGrid>
      <w:tr w:rsidR="002E7783" w:rsidRPr="00D36F99" w:rsidTr="00EC05AB">
        <w:tc>
          <w:tcPr>
            <w:tcW w:w="1843" w:type="dxa"/>
          </w:tcPr>
          <w:p w:rsidR="002E7783" w:rsidRPr="00614745" w:rsidRDefault="002E7783" w:rsidP="000D601B">
            <w:pPr>
              <w:pStyle w:val="TableBodyText"/>
              <w:jc w:val="left"/>
              <w:rPr>
                <w:b/>
              </w:rPr>
            </w:pPr>
            <w:r w:rsidRPr="00614745">
              <w:rPr>
                <w:b/>
              </w:rPr>
              <w:t>Indicator</w:t>
            </w:r>
          </w:p>
        </w:tc>
        <w:tc>
          <w:tcPr>
            <w:tcW w:w="6945" w:type="dxa"/>
          </w:tcPr>
          <w:p w:rsidR="002E7783" w:rsidRPr="002E7783" w:rsidRDefault="002E7783" w:rsidP="00432CA5">
            <w:pPr>
              <w:pStyle w:val="TableBodyText"/>
              <w:jc w:val="both"/>
            </w:pPr>
            <w:r w:rsidRPr="002E7783">
              <w:t xml:space="preserve">NEA 10 – The proportion of 18–24 year olds engaged in </w:t>
            </w:r>
            <w:r w:rsidR="001B1E03">
              <w:t>full time</w:t>
            </w:r>
            <w:r w:rsidRPr="002E7783">
              <w:t xml:space="preserve"> employment, education or training at or above Certificate III.</w:t>
            </w:r>
          </w:p>
        </w:tc>
      </w:tr>
      <w:tr w:rsidR="002E7783" w:rsidRPr="00D36F99" w:rsidTr="00EC05AB">
        <w:tc>
          <w:tcPr>
            <w:tcW w:w="1843" w:type="dxa"/>
          </w:tcPr>
          <w:p w:rsidR="002E7783" w:rsidRPr="00614745" w:rsidRDefault="002E7783" w:rsidP="00F3693A">
            <w:pPr>
              <w:pStyle w:val="TableBodyText"/>
              <w:jc w:val="left"/>
              <w:rPr>
                <w:b/>
              </w:rPr>
            </w:pPr>
            <w:r w:rsidRPr="00614745">
              <w:rPr>
                <w:b/>
              </w:rPr>
              <w:t>Measure</w:t>
            </w:r>
          </w:p>
        </w:tc>
        <w:tc>
          <w:tcPr>
            <w:tcW w:w="6945" w:type="dxa"/>
          </w:tcPr>
          <w:p w:rsidR="002E7783" w:rsidRPr="002E7783" w:rsidRDefault="002E7783" w:rsidP="00432CA5">
            <w:pPr>
              <w:pStyle w:val="TableBodyText"/>
              <w:jc w:val="both"/>
            </w:pPr>
            <w:r w:rsidRPr="002E7783">
              <w:t>Persons aged 18–24 years who are fully engaged in employment, education or training at or above Certificate III level.</w:t>
            </w:r>
          </w:p>
          <w:p w:rsidR="002E7783" w:rsidRPr="002E7783" w:rsidRDefault="002E7783" w:rsidP="00432CA5">
            <w:pPr>
              <w:pStyle w:val="TableBodyText"/>
              <w:jc w:val="both"/>
              <w:rPr>
                <w:u w:val="single"/>
              </w:rPr>
            </w:pPr>
            <w:r w:rsidRPr="002E7783">
              <w:rPr>
                <w:u w:val="single"/>
              </w:rPr>
              <w:t>Numerator:</w:t>
            </w:r>
          </w:p>
          <w:p w:rsidR="002E7783" w:rsidRPr="002E7783" w:rsidRDefault="002E7783" w:rsidP="00432CA5">
            <w:pPr>
              <w:pStyle w:val="TableBodyText"/>
              <w:jc w:val="both"/>
            </w:pPr>
            <w:r w:rsidRPr="002E7783">
              <w:t>Number of persons aged 18–24 years who are fully engaged in employment, education or training at or above Certificate III level.</w:t>
            </w:r>
          </w:p>
          <w:p w:rsidR="002E7783" w:rsidRPr="002E7783" w:rsidRDefault="002E7783" w:rsidP="00432CA5">
            <w:pPr>
              <w:pStyle w:val="TableBodyText"/>
              <w:jc w:val="both"/>
              <w:rPr>
                <w:u w:val="single"/>
              </w:rPr>
            </w:pPr>
            <w:r w:rsidRPr="002E7783">
              <w:rPr>
                <w:u w:val="single"/>
              </w:rPr>
              <w:t>Denominator:</w:t>
            </w:r>
          </w:p>
          <w:p w:rsidR="002E7783" w:rsidRPr="002E7783" w:rsidRDefault="002E7783" w:rsidP="00432CA5">
            <w:pPr>
              <w:pStyle w:val="TableBodyText"/>
              <w:jc w:val="both"/>
            </w:pPr>
            <w:r w:rsidRPr="002E7783">
              <w:t>Total population of persons aged 18–24 years.</w:t>
            </w:r>
          </w:p>
          <w:p w:rsidR="002E7783" w:rsidRPr="002E7783" w:rsidRDefault="002E7783" w:rsidP="00432CA5">
            <w:pPr>
              <w:pStyle w:val="TableBodyText"/>
              <w:jc w:val="both"/>
            </w:pPr>
            <w:r w:rsidRPr="002E7783">
              <w:t xml:space="preserve">Fully engaged is defined as </w:t>
            </w:r>
            <w:r w:rsidR="001B1E03">
              <w:t>full time</w:t>
            </w:r>
            <w:r w:rsidRPr="002E7783">
              <w:t xml:space="preserve"> employment, </w:t>
            </w:r>
            <w:r w:rsidR="001B1E03">
              <w:t>full time</w:t>
            </w:r>
            <w:r w:rsidRPr="002E7783">
              <w:t xml:space="preserve"> education or training, or a mixture of </w:t>
            </w:r>
            <w:r w:rsidR="001B1E03">
              <w:t>part time</w:t>
            </w:r>
            <w:r w:rsidRPr="002E7783">
              <w:t>/</w:t>
            </w:r>
            <w:r w:rsidR="001B1E03">
              <w:t>full time</w:t>
            </w:r>
            <w:r w:rsidR="009605B1">
              <w:t xml:space="preserve"> employment and </w:t>
            </w:r>
            <w:r w:rsidR="001B1E03">
              <w:t>part time</w:t>
            </w:r>
            <w:r w:rsidR="009605B1">
              <w:t>/</w:t>
            </w:r>
            <w:r w:rsidR="001B1E03">
              <w:t>full time</w:t>
            </w:r>
            <w:r w:rsidRPr="002E7783">
              <w:t xml:space="preserve"> education or training.</w:t>
            </w:r>
          </w:p>
          <w:p w:rsidR="002E7783" w:rsidRPr="002E7783" w:rsidRDefault="002E7783" w:rsidP="00432CA5">
            <w:pPr>
              <w:pStyle w:val="TableBodyText"/>
              <w:jc w:val="both"/>
            </w:pPr>
            <w:r w:rsidRPr="002E7783">
              <w:t xml:space="preserve">‘Certificate III or above’ comprises Certificate III, Certificate IV, Certificate III/IV not further defined, Diploma, Advanced Diploma, Bachelor’s degree and above. It excludes Certificate not further defined and people who have not identified the level of qualification they are working towards. </w:t>
            </w:r>
          </w:p>
        </w:tc>
      </w:tr>
      <w:tr w:rsidR="002E7783" w:rsidRPr="00D36F99" w:rsidTr="00EC05AB">
        <w:tc>
          <w:tcPr>
            <w:tcW w:w="1843" w:type="dxa"/>
          </w:tcPr>
          <w:p w:rsidR="002E7783" w:rsidRPr="00614745" w:rsidRDefault="002E7783" w:rsidP="00F3693A">
            <w:pPr>
              <w:pStyle w:val="TableBodyText"/>
              <w:jc w:val="left"/>
              <w:rPr>
                <w:b/>
              </w:rPr>
            </w:pPr>
            <w:r w:rsidRPr="00614745">
              <w:rPr>
                <w:b/>
              </w:rPr>
              <w:t>Data Source</w:t>
            </w:r>
          </w:p>
        </w:tc>
        <w:tc>
          <w:tcPr>
            <w:tcW w:w="6945" w:type="dxa"/>
          </w:tcPr>
          <w:p w:rsidR="002E7783" w:rsidRPr="002E7783" w:rsidRDefault="002E7783" w:rsidP="00432CA5">
            <w:pPr>
              <w:pStyle w:val="TableBodyText"/>
              <w:jc w:val="both"/>
              <w:rPr>
                <w:u w:val="single"/>
              </w:rPr>
            </w:pPr>
            <w:r w:rsidRPr="002E7783">
              <w:rPr>
                <w:u w:val="single"/>
              </w:rPr>
              <w:t>Numerator and denominator:</w:t>
            </w:r>
          </w:p>
          <w:p w:rsidR="002E7783" w:rsidRPr="002E7783" w:rsidRDefault="002E7783" w:rsidP="00432CA5">
            <w:pPr>
              <w:pStyle w:val="TableBodyText"/>
              <w:jc w:val="both"/>
            </w:pPr>
            <w:r w:rsidRPr="002E7783">
              <w:t>ABS Survey of Education and Work (SEW). Data are available annually.</w:t>
            </w:r>
          </w:p>
          <w:p w:rsidR="002E7783" w:rsidRPr="002E7783" w:rsidRDefault="002E7783" w:rsidP="00432CA5">
            <w:pPr>
              <w:pStyle w:val="TableBodyText"/>
              <w:jc w:val="both"/>
            </w:pPr>
            <w:r w:rsidRPr="002E7783">
              <w:t>2011 SEW data are being used for this cycle of indicators.</w:t>
            </w:r>
          </w:p>
        </w:tc>
      </w:tr>
      <w:tr w:rsidR="002E7783" w:rsidRPr="00D36F99" w:rsidTr="00EC05AB">
        <w:tc>
          <w:tcPr>
            <w:tcW w:w="1843" w:type="dxa"/>
          </w:tcPr>
          <w:p w:rsidR="002E7783" w:rsidRPr="00614745" w:rsidRDefault="002E7783" w:rsidP="00F3693A">
            <w:pPr>
              <w:pStyle w:val="TableBodyText"/>
              <w:jc w:val="left"/>
              <w:rPr>
                <w:b/>
              </w:rPr>
            </w:pPr>
            <w:r w:rsidRPr="00614745">
              <w:rPr>
                <w:b/>
              </w:rPr>
              <w:t>Institutional Environment</w:t>
            </w:r>
          </w:p>
        </w:tc>
        <w:tc>
          <w:tcPr>
            <w:tcW w:w="6945" w:type="dxa"/>
          </w:tcPr>
          <w:p w:rsidR="002E7783" w:rsidRPr="002E7783" w:rsidRDefault="002E7783" w:rsidP="00432CA5">
            <w:pPr>
              <w:pStyle w:val="TableBodyText"/>
              <w:jc w:val="both"/>
            </w:pPr>
            <w:r w:rsidRPr="002E7783">
              <w:t>The Census and SEW are collected by the ABS under the Census and Statistics Act 1905.</w:t>
            </w:r>
          </w:p>
          <w:p w:rsidR="002E7783" w:rsidRPr="002E7783" w:rsidRDefault="002E7783" w:rsidP="00F70DBA">
            <w:pPr>
              <w:pStyle w:val="TableBodyText"/>
              <w:jc w:val="both"/>
            </w:pPr>
            <w:r w:rsidRPr="002E7783">
              <w:t xml:space="preserve">For information on the institutional environment of the ABS, including the legislative obligations of the ABS, financing and government arrangements, and mechanisms for scrutiny of ABS operations, see </w:t>
            </w:r>
            <w:hyperlink r:id="rId214" w:history="1">
              <w:r w:rsidRPr="002E7783">
                <w:t>ABS Institutional Environment</w:t>
              </w:r>
            </w:hyperlink>
            <w:r w:rsidR="00934C88">
              <w:t xml:space="preserve"> (</w:t>
            </w:r>
            <w:r w:rsidRPr="002E7783">
              <w:t>www.abs.gov.au/</w:t>
            </w:r>
            <w:proofErr w:type="spellStart"/>
            <w:r w:rsidRPr="002E7783">
              <w:t>websitedbs</w:t>
            </w:r>
            <w:proofErr w:type="spellEnd"/>
            <w:r w:rsidRPr="002E7783">
              <w:t>/</w:t>
            </w:r>
            <w:proofErr w:type="spellStart"/>
            <w:r w:rsidRPr="002E7783">
              <w:t>d3310114.nsf</w:t>
            </w:r>
            <w:proofErr w:type="spellEnd"/>
            <w:r w:rsidRPr="002E7783">
              <w:t>/</w:t>
            </w:r>
            <w:r w:rsidR="00F70DBA">
              <w:t xml:space="preserve"> </w:t>
            </w:r>
            <w:r w:rsidRPr="002E7783">
              <w:t>4a256353001af3ed4b2562bb00121564/10ca14cb967e5b83ca2573ae00197b65!OpenDocument</w:t>
            </w:r>
            <w:r>
              <w:t>)</w:t>
            </w:r>
          </w:p>
        </w:tc>
      </w:tr>
      <w:tr w:rsidR="002E7783" w:rsidRPr="00D36F99" w:rsidTr="00F3693A">
        <w:tc>
          <w:tcPr>
            <w:tcW w:w="1843" w:type="dxa"/>
          </w:tcPr>
          <w:p w:rsidR="002E7783" w:rsidRPr="00614745" w:rsidRDefault="002E7783" w:rsidP="00F3693A">
            <w:pPr>
              <w:pStyle w:val="TableBodyText"/>
              <w:jc w:val="left"/>
              <w:rPr>
                <w:b/>
              </w:rPr>
            </w:pPr>
            <w:r w:rsidRPr="00614745">
              <w:rPr>
                <w:b/>
              </w:rPr>
              <w:t>Relevance</w:t>
            </w:r>
          </w:p>
        </w:tc>
        <w:tc>
          <w:tcPr>
            <w:tcW w:w="6945" w:type="dxa"/>
          </w:tcPr>
          <w:p w:rsidR="002E7783" w:rsidRPr="002E7783" w:rsidRDefault="002E7783" w:rsidP="00432CA5">
            <w:pPr>
              <w:pStyle w:val="TableBodyText"/>
              <w:jc w:val="both"/>
            </w:pPr>
            <w:r w:rsidRPr="002E7783">
              <w:t>SEW data are available by state/territory. The SEW does not collect data from people in Indigenous communities in ver</w:t>
            </w:r>
            <w:r w:rsidR="00712F6B">
              <w:t>y remote areas (see Coherence).</w:t>
            </w:r>
          </w:p>
          <w:p w:rsidR="002E7783" w:rsidRPr="002E7783" w:rsidRDefault="002E7783" w:rsidP="00432CA5">
            <w:pPr>
              <w:pStyle w:val="TableBodyText"/>
              <w:jc w:val="both"/>
            </w:pPr>
            <w:r w:rsidRPr="002E7783">
              <w:t xml:space="preserve">The SEW collects information on the highest year of school completed and highest level of non-school qualification. The classification of qualifications used is the </w:t>
            </w:r>
            <w:hyperlink r:id="rId215" w:history="1">
              <w:r w:rsidRPr="002E7783">
                <w:t>Australian Standard Classificati</w:t>
              </w:r>
              <w:r w:rsidR="00934C88">
                <w:t>on of Education (</w:t>
              </w:r>
              <w:proofErr w:type="spellStart"/>
              <w:r w:rsidR="00934C88">
                <w:t>ASCED</w:t>
              </w:r>
              <w:proofErr w:type="spellEnd"/>
              <w:r w:rsidR="00934C88">
                <w:t>) (</w:t>
              </w:r>
              <w:r w:rsidRPr="002E7783">
                <w:t>www.abs.gov.au/AUSSTATS/ABS@.NSF/0/F501C031BD9AC9C5CA256AAF001FCA33?opendocument</w:t>
              </w:r>
              <w:r w:rsidR="008A17C1">
                <w:t>)</w:t>
              </w:r>
              <w:r w:rsidRPr="002E7783">
                <w:t xml:space="preserve"> </w:t>
              </w:r>
              <w:r w:rsidR="009605B1">
                <w:t>(Cat. no. </w:t>
              </w:r>
              <w:r w:rsidRPr="002E7783">
                <w:t>1272.0)</w:t>
              </w:r>
            </w:hyperlink>
            <w:r w:rsidRPr="002E7783">
              <w:t>.</w:t>
            </w:r>
          </w:p>
          <w:p w:rsidR="002E7783" w:rsidRPr="002E7783" w:rsidRDefault="002E7783" w:rsidP="00432CA5">
            <w:pPr>
              <w:pStyle w:val="TableBodyText"/>
              <w:jc w:val="both"/>
            </w:pPr>
            <w:r w:rsidRPr="002E7783">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2E7783" w:rsidRPr="00D36F99" w:rsidTr="00F3693A">
        <w:tc>
          <w:tcPr>
            <w:tcW w:w="1843" w:type="dxa"/>
          </w:tcPr>
          <w:p w:rsidR="002E7783" w:rsidRPr="00614745" w:rsidRDefault="002E7783" w:rsidP="00F3693A">
            <w:pPr>
              <w:pStyle w:val="TableBodyText"/>
              <w:jc w:val="left"/>
              <w:rPr>
                <w:b/>
              </w:rPr>
            </w:pPr>
            <w:r w:rsidRPr="00614745">
              <w:rPr>
                <w:b/>
              </w:rPr>
              <w:t>Timeliness</w:t>
            </w:r>
          </w:p>
        </w:tc>
        <w:tc>
          <w:tcPr>
            <w:tcW w:w="6945" w:type="dxa"/>
          </w:tcPr>
          <w:p w:rsidR="002E7783" w:rsidRPr="002E7783" w:rsidRDefault="002E7783" w:rsidP="00432CA5">
            <w:pPr>
              <w:pStyle w:val="TableBodyText"/>
              <w:jc w:val="both"/>
            </w:pPr>
            <w:r w:rsidRPr="002E7783">
              <w:t>The SEW is conducted annually in May as a supplement to the monthly Labour Force Survey (</w:t>
            </w:r>
            <w:proofErr w:type="spellStart"/>
            <w:r w:rsidRPr="002E7783">
              <w:t>LFS</w:t>
            </w:r>
            <w:proofErr w:type="spellEnd"/>
            <w:r w:rsidRPr="002E7783">
              <w:t>). Results from the 2011 survey were released in November 2011.</w:t>
            </w:r>
          </w:p>
        </w:tc>
      </w:tr>
      <w:tr w:rsidR="002E7783" w:rsidRPr="00D36F99" w:rsidTr="00F3693A">
        <w:tc>
          <w:tcPr>
            <w:tcW w:w="1843" w:type="dxa"/>
          </w:tcPr>
          <w:p w:rsidR="002E7783" w:rsidRPr="00614745" w:rsidRDefault="002E7783" w:rsidP="00F3693A">
            <w:pPr>
              <w:pStyle w:val="TableBodyText"/>
              <w:jc w:val="left"/>
              <w:rPr>
                <w:b/>
              </w:rPr>
            </w:pPr>
            <w:r w:rsidRPr="00614745">
              <w:rPr>
                <w:b/>
              </w:rPr>
              <w:t>Accuracy</w:t>
            </w:r>
          </w:p>
        </w:tc>
        <w:tc>
          <w:tcPr>
            <w:tcW w:w="6945" w:type="dxa"/>
          </w:tcPr>
          <w:p w:rsidR="002E7783" w:rsidRPr="002E7783" w:rsidRDefault="002E7783" w:rsidP="00432CA5">
            <w:pPr>
              <w:pStyle w:val="TableBodyText"/>
              <w:jc w:val="both"/>
            </w:pPr>
            <w:r w:rsidRPr="002E7783">
              <w:t>The 2011 SEW response rate was 96</w:t>
            </w:r>
            <w:r w:rsidR="00160697">
              <w:t xml:space="preserve"> per cent</w:t>
            </w:r>
            <w:r w:rsidR="009605B1">
              <w:t xml:space="preserve"> which constituted 39 </w:t>
            </w:r>
            <w:r w:rsidRPr="002E7783">
              <w:t>800 completed interviews. The 2011 response rate was consistent with that in previous years.</w:t>
            </w:r>
          </w:p>
          <w:p w:rsidR="002E7783" w:rsidRPr="002E7783" w:rsidRDefault="002E7783" w:rsidP="00432CA5">
            <w:pPr>
              <w:pStyle w:val="TableBodyText"/>
              <w:jc w:val="both"/>
            </w:pPr>
            <w:r w:rsidRPr="002E7783">
              <w:t xml:space="preserve">The data for the SEW are collected from an </w:t>
            </w:r>
            <w:proofErr w:type="spellStart"/>
            <w:r w:rsidRPr="002E7783">
              <w:t>ARA</w:t>
            </w:r>
            <w:proofErr w:type="spellEnd"/>
            <w:r w:rsidRPr="002E7783">
              <w:t xml:space="preserve"> (Any Responsible Adult) on behalf of other members of the household and are weighted for </w:t>
            </w:r>
            <w:r w:rsidRPr="002E7783">
              <w:lastRenderedPageBreak/>
              <w:t>non</w:t>
            </w:r>
            <w:r w:rsidR="009605B1">
              <w:noBreakHyphen/>
            </w:r>
            <w:r w:rsidRPr="002E7783">
              <w:t>response.</w:t>
            </w:r>
          </w:p>
          <w:p w:rsidR="002E7783" w:rsidRPr="002E7783" w:rsidRDefault="002E7783" w:rsidP="00432CA5">
            <w:pPr>
              <w:pStyle w:val="TableBodyText"/>
              <w:jc w:val="both"/>
            </w:pPr>
            <w:r w:rsidRPr="002E7783">
              <w:t>The data are event data that can be used to measure year to year changes provided that the changes are large enough to account for the Relative Standard Error (</w:t>
            </w:r>
            <w:proofErr w:type="spellStart"/>
            <w:r w:rsidRPr="002E7783">
              <w:t>RSE</w:t>
            </w:r>
            <w:proofErr w:type="spellEnd"/>
            <w:r w:rsidRPr="002E7783">
              <w:t xml:space="preserve">) of estimates. The </w:t>
            </w:r>
            <w:proofErr w:type="spellStart"/>
            <w:r w:rsidRPr="002E7783">
              <w:t>LFS</w:t>
            </w:r>
            <w:proofErr w:type="spellEnd"/>
            <w:r w:rsidRPr="002E7783">
              <w:t xml:space="preserve"> sample was reduced by 20</w:t>
            </w:r>
            <w:r w:rsidR="00160697">
              <w:t xml:space="preserve"> per cent</w:t>
            </w:r>
            <w:r w:rsidRPr="002E7783">
              <w:t xml:space="preserve"> in 2009, but the full sample was reinstated from 2010 onwards.</w:t>
            </w:r>
          </w:p>
          <w:p w:rsidR="002E7783" w:rsidRPr="002E7783" w:rsidRDefault="002E7783" w:rsidP="00432CA5">
            <w:pPr>
              <w:pStyle w:val="TableBodyText"/>
              <w:jc w:val="both"/>
            </w:pPr>
            <w:r w:rsidRPr="002E7783">
              <w:t>Data with a relative standard error of between 25</w:t>
            </w:r>
            <w:r w:rsidR="00160697">
              <w:t xml:space="preserve"> per cent</w:t>
            </w:r>
            <w:r w:rsidRPr="002E7783">
              <w:t xml:space="preserve"> and 50</w:t>
            </w:r>
            <w:r w:rsidR="00160697">
              <w:t xml:space="preserve"> per cent</w:t>
            </w:r>
            <w:r w:rsidRPr="002E7783">
              <w:t xml:space="preserve"> should be used with caution while data with a relative standard error greater than 50</w:t>
            </w:r>
            <w:r w:rsidR="00160697">
              <w:t xml:space="preserve"> per cent</w:t>
            </w:r>
            <w:r w:rsidRPr="002E7783">
              <w:t xml:space="preserve"> is considered too unreliable for general use.</w:t>
            </w:r>
          </w:p>
        </w:tc>
      </w:tr>
      <w:tr w:rsidR="002E7783" w:rsidRPr="00D36F99" w:rsidTr="00EC05AB">
        <w:tc>
          <w:tcPr>
            <w:tcW w:w="1843" w:type="dxa"/>
          </w:tcPr>
          <w:p w:rsidR="002E7783" w:rsidRPr="00614745" w:rsidRDefault="002E7783" w:rsidP="00F3693A">
            <w:pPr>
              <w:pStyle w:val="TableBodyText"/>
              <w:jc w:val="left"/>
              <w:rPr>
                <w:b/>
              </w:rPr>
            </w:pPr>
            <w:r w:rsidRPr="00614745">
              <w:rPr>
                <w:b/>
                <w:bCs/>
              </w:rPr>
              <w:lastRenderedPageBreak/>
              <w:t>Coherence</w:t>
            </w:r>
          </w:p>
          <w:p w:rsidR="002E7783" w:rsidRPr="00614745" w:rsidRDefault="002E7783" w:rsidP="00F3693A">
            <w:pPr>
              <w:pStyle w:val="TableBodyText"/>
              <w:jc w:val="left"/>
              <w:rPr>
                <w:b/>
              </w:rPr>
            </w:pPr>
          </w:p>
        </w:tc>
        <w:tc>
          <w:tcPr>
            <w:tcW w:w="6945" w:type="dxa"/>
          </w:tcPr>
          <w:p w:rsidR="002E7783" w:rsidRPr="002E7783" w:rsidRDefault="002E7783" w:rsidP="00432CA5">
            <w:pPr>
              <w:pStyle w:val="TableBodyText"/>
              <w:jc w:val="both"/>
            </w:pPr>
            <w:r w:rsidRPr="002E7783">
              <w:t>Both the numerator and denominator come from the SEW. Measures based on the 2011 SEW are consistent with those supplied for COAG reporting from previous cycles of this survey. Data for 2010 have been revised due to amendments to the populati</w:t>
            </w:r>
            <w:r w:rsidR="00712F6B">
              <w:t>on benchmarks for the 2010 SEW.</w:t>
            </w:r>
          </w:p>
          <w:p w:rsidR="002E7783" w:rsidRPr="002E7783" w:rsidRDefault="002E7783" w:rsidP="00EE3827">
            <w:pPr>
              <w:pStyle w:val="TableBodyText"/>
              <w:jc w:val="both"/>
            </w:pPr>
            <w:r w:rsidRPr="002E7783">
              <w:t>Prior to 2009, all people in very remote areas were excluded from the SEW. Very remote areas represent about two per cent of the total Australian population and 20</w:t>
            </w:r>
            <w:r w:rsidR="00160697">
              <w:t xml:space="preserve"> per cent</w:t>
            </w:r>
            <w:r w:rsidRPr="002E7783">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w:t>
            </w:r>
            <w:r w:rsidR="00160697">
              <w:t xml:space="preserve"> per cent</w:t>
            </w:r>
            <w:r w:rsidRPr="002E7783">
              <w:t xml:space="preserve"> of the population. </w:t>
            </w:r>
            <w:r w:rsidR="007E7D77" w:rsidRPr="007E7D77">
              <w:t>These revisions have a minor impact only  in the NT and minimal impact in the other states/territory on the actual value of the NEA performance indicators based on the SEW.</w:t>
            </w:r>
          </w:p>
          <w:p w:rsidR="002E7783" w:rsidRPr="002E7783" w:rsidRDefault="002E7783" w:rsidP="00432CA5">
            <w:pPr>
              <w:pStyle w:val="TableBodyText"/>
              <w:jc w:val="both"/>
            </w:pPr>
            <w:r w:rsidRPr="002E7783">
              <w:t xml:space="preserve">The </w:t>
            </w:r>
            <w:hyperlink r:id="rId216" w:history="1">
              <w:r w:rsidRPr="002E7783">
                <w:t>Australian Standard Classificati</w:t>
              </w:r>
              <w:r w:rsidR="00934C88">
                <w:t>on of Education (</w:t>
              </w:r>
              <w:proofErr w:type="spellStart"/>
              <w:r w:rsidR="00934C88">
                <w:t>ASCED</w:t>
              </w:r>
              <w:proofErr w:type="spellEnd"/>
              <w:r w:rsidR="00934C88">
                <w:t>) (</w:t>
              </w:r>
              <w:r w:rsidRPr="002E7783">
                <w:t>www.abs.gov.au/AUSSTATS/ABS@.NSF/0/F501C031BD9AC9C5CA256AAF001FCA33?opendocument</w:t>
              </w:r>
              <w:r w:rsidR="008A17C1">
                <w:t>)</w:t>
              </w:r>
              <w:r w:rsidRPr="002E7783">
                <w:t xml:space="preserve"> </w:t>
              </w:r>
              <w:r w:rsidR="009605B1">
                <w:t>(Cat. no. </w:t>
              </w:r>
              <w:r w:rsidRPr="002E7783">
                <w:t>1272.0)</w:t>
              </w:r>
            </w:hyperlink>
            <w:r w:rsidRPr="002E7783">
              <w:t xml:space="preserve"> has been used in all surveys with education items since 2001 and allows the education and training items between different surveys to be compared.</w:t>
            </w:r>
          </w:p>
          <w:p w:rsidR="002E7783" w:rsidRPr="002E7783" w:rsidRDefault="002E7783" w:rsidP="00432CA5">
            <w:pPr>
              <w:pStyle w:val="TableBodyText"/>
              <w:jc w:val="both"/>
            </w:pPr>
            <w:r w:rsidRPr="002E7783">
              <w:t xml:space="preserve">The Census of Population and Housing and the </w:t>
            </w:r>
            <w:hyperlink r:id="rId217" w:history="1">
              <w:r w:rsidRPr="002E7783">
                <w:t>Surv</w:t>
              </w:r>
              <w:r w:rsidR="00934C88">
                <w:t>ey of Learning and Work (</w:t>
              </w:r>
              <w:r w:rsidRPr="002E7783">
                <w:t>www.abs.gov.au/</w:t>
              </w:r>
              <w:proofErr w:type="spellStart"/>
              <w:r w:rsidRPr="002E7783">
                <w:t>ausstats</w:t>
              </w:r>
              <w:proofErr w:type="spellEnd"/>
              <w:r w:rsidRPr="002E7783">
                <w:t>/abs@.</w:t>
              </w:r>
              <w:proofErr w:type="spellStart"/>
              <w:r w:rsidRPr="002E7783">
                <w:t>nsf</w:t>
              </w:r>
              <w:proofErr w:type="spellEnd"/>
              <w:r w:rsidRPr="002E7783">
                <w:t xml:space="preserve">/mf/4235.0) </w:t>
              </w:r>
              <w:r w:rsidR="009605B1">
                <w:t>(Cat. no. </w:t>
              </w:r>
              <w:r w:rsidRPr="002E7783">
                <w:t>4235.0)</w:t>
              </w:r>
            </w:hyperlink>
            <w:r w:rsidRPr="002E7783">
              <w:t xml:space="preserve"> also provide information on educational attainment.</w:t>
            </w:r>
          </w:p>
        </w:tc>
      </w:tr>
      <w:tr w:rsidR="002E7783" w:rsidRPr="00D36F99" w:rsidTr="00EC05AB">
        <w:tc>
          <w:tcPr>
            <w:tcW w:w="1843" w:type="dxa"/>
          </w:tcPr>
          <w:p w:rsidR="002E7783" w:rsidRPr="00614745" w:rsidRDefault="002E7783" w:rsidP="00F3693A">
            <w:pPr>
              <w:pStyle w:val="TableBodyText"/>
              <w:jc w:val="left"/>
              <w:rPr>
                <w:b/>
              </w:rPr>
            </w:pPr>
            <w:r w:rsidRPr="00614745">
              <w:rPr>
                <w:b/>
                <w:bCs/>
              </w:rPr>
              <w:t>Interpretability</w:t>
            </w:r>
          </w:p>
          <w:p w:rsidR="002E7783" w:rsidRPr="00614745" w:rsidRDefault="002E7783" w:rsidP="00F3693A">
            <w:pPr>
              <w:pStyle w:val="TableBodyText"/>
              <w:jc w:val="left"/>
              <w:rPr>
                <w:b/>
              </w:rPr>
            </w:pPr>
          </w:p>
        </w:tc>
        <w:tc>
          <w:tcPr>
            <w:tcW w:w="6945" w:type="dxa"/>
          </w:tcPr>
          <w:p w:rsidR="002E7783" w:rsidRPr="002E7783" w:rsidRDefault="002E7783" w:rsidP="00432CA5">
            <w:pPr>
              <w:pStyle w:val="TableBodyText"/>
              <w:jc w:val="both"/>
            </w:pPr>
            <w:r w:rsidRPr="002E7783">
              <w:t xml:space="preserve">Information on how to interpret and use the data appropriately is available on the ABS website; see </w:t>
            </w:r>
            <w:hyperlink r:id="rId218" w:history="1">
              <w:r w:rsidRPr="002E7783">
                <w:t>Explanatory Notes</w:t>
              </w:r>
            </w:hyperlink>
            <w:r w:rsidR="00934C88">
              <w:t xml:space="preserve"> (</w:t>
            </w:r>
            <w:r w:rsidRPr="002E7783">
              <w:t>www.abs.gov.au/</w:t>
            </w:r>
            <w:r w:rsidR="00F70DBA">
              <w:t xml:space="preserve"> </w:t>
            </w:r>
            <w:r w:rsidRPr="002E7783">
              <w:t xml:space="preserve">AUSSTATS/abs@.nsf/Lookup/6227.0Explanatory%20Notes1May%202011?OpenDocument) in Education and Work, Australia </w:t>
            </w:r>
            <w:r w:rsidR="009605B1">
              <w:t>(Cat. no. </w:t>
            </w:r>
            <w:r w:rsidRPr="002E7783">
              <w:t>6227.0).</w:t>
            </w:r>
          </w:p>
          <w:p w:rsidR="002E7783" w:rsidRPr="002E7783" w:rsidRDefault="002E7783" w:rsidP="00432CA5">
            <w:pPr>
              <w:pStyle w:val="TableBodyText"/>
              <w:jc w:val="both"/>
            </w:pPr>
            <w:r w:rsidRPr="002E7783">
              <w:t xml:space="preserve">ABS SEIFA indexes are based on data from the Census and measure the socioeconomic status of the area in which a person lives. They do not directly measure the socioeconomic status of individuals or their households. More information on the SEIFA measure of socioeconomic status can be found on the ABS website: </w:t>
            </w:r>
            <w:hyperlink r:id="rId219" w:history="1">
              <w:r w:rsidRPr="002E7783">
                <w:t>www.abs.gov.au</w:t>
              </w:r>
            </w:hyperlink>
            <w:r w:rsidRPr="002E7783">
              <w:t>.</w:t>
            </w:r>
          </w:p>
        </w:tc>
      </w:tr>
      <w:tr w:rsidR="002E7783" w:rsidRPr="00D36F99" w:rsidTr="00EC05AB">
        <w:tc>
          <w:tcPr>
            <w:tcW w:w="1843" w:type="dxa"/>
          </w:tcPr>
          <w:p w:rsidR="002E7783" w:rsidRPr="00614745" w:rsidRDefault="002E7783" w:rsidP="00F3693A">
            <w:pPr>
              <w:pStyle w:val="TableBodyText"/>
              <w:jc w:val="left"/>
              <w:rPr>
                <w:b/>
              </w:rPr>
            </w:pPr>
            <w:r w:rsidRPr="00614745">
              <w:rPr>
                <w:b/>
                <w:bCs/>
              </w:rPr>
              <w:t>Accessibility</w:t>
            </w:r>
          </w:p>
          <w:p w:rsidR="002E7783" w:rsidRPr="00614745" w:rsidRDefault="002E7783" w:rsidP="00F3693A">
            <w:pPr>
              <w:pStyle w:val="TableBodyText"/>
              <w:jc w:val="left"/>
              <w:rPr>
                <w:b/>
              </w:rPr>
            </w:pPr>
          </w:p>
        </w:tc>
        <w:tc>
          <w:tcPr>
            <w:tcW w:w="6945" w:type="dxa"/>
          </w:tcPr>
          <w:p w:rsidR="002E7783" w:rsidRPr="002E7783" w:rsidRDefault="002E7783" w:rsidP="00432CA5">
            <w:pPr>
              <w:pStyle w:val="TableBodyText"/>
              <w:jc w:val="both"/>
            </w:pPr>
            <w:r w:rsidRPr="002E7783">
              <w:t xml:space="preserve">The data for the SEW are available via the ABS website in the publication </w:t>
            </w:r>
            <w:hyperlink r:id="rId220" w:history="1">
              <w:r w:rsidRPr="002E7783">
                <w:t>Educat</w:t>
              </w:r>
              <w:r w:rsidR="00934C88">
                <w:t>ion and Work, Australia (</w:t>
              </w:r>
              <w:r w:rsidRPr="002E7783">
                <w:t>www.abs.gov.au/</w:t>
              </w:r>
              <w:proofErr w:type="spellStart"/>
              <w:r w:rsidRPr="002E7783">
                <w:t>ausstats</w:t>
              </w:r>
              <w:proofErr w:type="spellEnd"/>
              <w:r w:rsidRPr="002E7783">
                <w:t>/</w:t>
              </w:r>
              <w:r w:rsidR="00F70DBA">
                <w:t xml:space="preserve"> </w:t>
              </w:r>
              <w:r w:rsidRPr="002E7783">
                <w:t>abs@.</w:t>
              </w:r>
              <w:proofErr w:type="spellStart"/>
              <w:r w:rsidRPr="002E7783">
                <w:t>nsf</w:t>
              </w:r>
              <w:proofErr w:type="spellEnd"/>
              <w:r w:rsidRPr="002E7783">
                <w:t xml:space="preserve">/mf/4235.0) </w:t>
              </w:r>
              <w:r w:rsidR="009605B1">
                <w:t>(Cat. no. </w:t>
              </w:r>
              <w:r w:rsidRPr="002E7783">
                <w:t>6227.0)</w:t>
              </w:r>
            </w:hyperlink>
            <w:r w:rsidRPr="002E7783">
              <w:t>. This measure is also released as part of a SE</w:t>
            </w:r>
            <w:r w:rsidR="00712F6B">
              <w:t>W detailed education data cube.</w:t>
            </w:r>
          </w:p>
          <w:p w:rsidR="00F70DBA" w:rsidRDefault="002E7783" w:rsidP="00432CA5">
            <w:pPr>
              <w:pStyle w:val="TableBodyText"/>
              <w:jc w:val="both"/>
            </w:pPr>
            <w:r w:rsidRPr="002E7783">
              <w:t xml:space="preserve">Additional data are available at cost upon request through the </w:t>
            </w:r>
            <w:hyperlink r:id="rId221" w:history="1">
              <w:r w:rsidRPr="002E7783">
                <w:t>National Information Referral Service</w:t>
              </w:r>
            </w:hyperlink>
            <w:r w:rsidRPr="002E7783">
              <w:t xml:space="preserve"> </w:t>
            </w:r>
            <w:r>
              <w:t>(</w:t>
            </w:r>
            <w:r w:rsidRPr="002E7783">
              <w:t>www.abs.gov.au/</w:t>
            </w:r>
            <w:proofErr w:type="spellStart"/>
            <w:r w:rsidRPr="002E7783">
              <w:t>websitedbs</w:t>
            </w:r>
            <w:proofErr w:type="spellEnd"/>
            <w:r w:rsidRPr="002E7783">
              <w:t>/</w:t>
            </w:r>
            <w:proofErr w:type="spellStart"/>
            <w:r w:rsidRPr="002E7783">
              <w:t>D3310114.nsf</w:t>
            </w:r>
            <w:proofErr w:type="spellEnd"/>
            <w:r w:rsidRPr="002E7783">
              <w:t>/</w:t>
            </w:r>
            <w:r w:rsidR="00F70DBA">
              <w:t xml:space="preserve"> </w:t>
            </w:r>
            <w:r w:rsidRPr="002E7783">
              <w:t>home/</w:t>
            </w:r>
            <w:proofErr w:type="spellStart"/>
            <w:r w:rsidRPr="002E7783">
              <w:t>National+Information+and+Referral+Service</w:t>
            </w:r>
            <w:proofErr w:type="spellEnd"/>
            <w:r>
              <w:t xml:space="preserve">) </w:t>
            </w:r>
            <w:r w:rsidRPr="002E7783">
              <w:t>(</w:t>
            </w:r>
            <w:proofErr w:type="spellStart"/>
            <w:r w:rsidRPr="002E7783">
              <w:t>NIRS</w:t>
            </w:r>
            <w:proofErr w:type="spellEnd"/>
            <w:r w:rsidRPr="002E7783">
              <w:t>).</w:t>
            </w:r>
          </w:p>
          <w:p w:rsidR="002E7783" w:rsidRPr="002E7783" w:rsidRDefault="00F70DBA" w:rsidP="00432CA5">
            <w:pPr>
              <w:pStyle w:val="TableBodyText"/>
              <w:jc w:val="both"/>
            </w:pPr>
            <w:r>
              <w:t xml:space="preserve">A </w:t>
            </w:r>
            <w:r w:rsidR="002E7783" w:rsidRPr="002E7783">
              <w:t>Confidentialised Unit Record File (</w:t>
            </w:r>
            <w:proofErr w:type="spellStart"/>
            <w:r w:rsidR="002E7783" w:rsidRPr="002E7783">
              <w:t>CURF</w:t>
            </w:r>
            <w:proofErr w:type="spellEnd"/>
            <w:r w:rsidR="002E7783" w:rsidRPr="002E7783">
              <w:t>) has been produced for every second cycle of the SEW since 2001, most recently 2011.</w:t>
            </w:r>
          </w:p>
        </w:tc>
      </w:tr>
    </w:tbl>
    <w:p w:rsidR="00D11E31" w:rsidRDefault="00B04F7F" w:rsidP="00F3693A">
      <w:pPr>
        <w:pStyle w:val="Heading3"/>
        <w:spacing w:before="360" w:after="240"/>
      </w:pPr>
      <w:r>
        <w:br w:type="page"/>
      </w:r>
      <w:bookmarkStart w:id="47" w:name="_Ref328395671"/>
      <w:r w:rsidR="00D11E31">
        <w:lastRenderedPageBreak/>
        <w:t>D</w:t>
      </w:r>
      <w:r w:rsidR="00D11E31" w:rsidRPr="00291419">
        <w:t xml:space="preserve">ata </w:t>
      </w:r>
      <w:r w:rsidR="00D11E31" w:rsidRPr="00A05316">
        <w:t>Quality</w:t>
      </w:r>
      <w:r w:rsidR="00D11E31">
        <w:t xml:space="preserve"> Statement – Survey of Education and Work</w:t>
      </w:r>
      <w:bookmarkEnd w:id="47"/>
    </w:p>
    <w:tbl>
      <w:tblPr>
        <w:tblW w:w="0" w:type="auto"/>
        <w:tblInd w:w="108" w:type="dxa"/>
        <w:tblLook w:val="00A0" w:firstRow="1" w:lastRow="0" w:firstColumn="1" w:lastColumn="0" w:noHBand="0" w:noVBand="0"/>
      </w:tblPr>
      <w:tblGrid>
        <w:gridCol w:w="1843"/>
        <w:gridCol w:w="6945"/>
      </w:tblGrid>
      <w:tr w:rsidR="00D11E31" w:rsidRPr="00D36F99" w:rsidTr="00EC05AB">
        <w:tc>
          <w:tcPr>
            <w:tcW w:w="1843" w:type="dxa"/>
          </w:tcPr>
          <w:p w:rsidR="00D11E31" w:rsidRPr="00614745" w:rsidRDefault="00D11E31" w:rsidP="00F3693A">
            <w:pPr>
              <w:pStyle w:val="TableBodyText"/>
              <w:jc w:val="left"/>
              <w:rPr>
                <w:b/>
              </w:rPr>
            </w:pPr>
            <w:r w:rsidRPr="00614745">
              <w:rPr>
                <w:b/>
              </w:rPr>
              <w:t>Institutional Environment</w:t>
            </w:r>
          </w:p>
        </w:tc>
        <w:tc>
          <w:tcPr>
            <w:tcW w:w="6945" w:type="dxa"/>
          </w:tcPr>
          <w:p w:rsidR="00D11E31"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For information on the institutional environment of the Australian Bureau of Statistics (ABS), including the legislative obligations of the ABS, financing and governance arrangements, and mechanisms for scrutiny of ABS operations, please see ABS Institutional Environment.</w:t>
            </w:r>
          </w:p>
        </w:tc>
      </w:tr>
      <w:tr w:rsidR="00D11E31" w:rsidRPr="00D36F99" w:rsidTr="00EC05AB">
        <w:tc>
          <w:tcPr>
            <w:tcW w:w="1843" w:type="dxa"/>
          </w:tcPr>
          <w:p w:rsidR="00D11E31" w:rsidRPr="00614745" w:rsidRDefault="00D11E31" w:rsidP="00F3693A">
            <w:pPr>
              <w:pStyle w:val="TableBodyText"/>
              <w:jc w:val="left"/>
              <w:rPr>
                <w:b/>
              </w:rPr>
            </w:pPr>
            <w:r w:rsidRPr="00614745">
              <w:rPr>
                <w:b/>
              </w:rPr>
              <w:t>Relevance</w:t>
            </w:r>
          </w:p>
        </w:tc>
        <w:tc>
          <w:tcPr>
            <w:tcW w:w="6945" w:type="dxa"/>
          </w:tcPr>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The Education and Work survey provides annual information about a range of key indicators relating to educational participation and attainment along with data on people's transition between education and work for all persons aged 15–64 years and persons aged 65–74 years who are employed or marginall</w:t>
            </w:r>
            <w:r w:rsidR="00712F6B">
              <w:rPr>
                <w:rFonts w:ascii="Arial" w:hAnsi="Arial" w:cs="Arial"/>
                <w:sz w:val="20"/>
                <w:szCs w:val="20"/>
              </w:rPr>
              <w:t>y attached to the labour force.</w:t>
            </w:r>
          </w:p>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Since this survey is supplementary to the Labour Force Survey (</w:t>
            </w:r>
            <w:proofErr w:type="spellStart"/>
            <w:r w:rsidRPr="00785353">
              <w:rPr>
                <w:rFonts w:ascii="Arial" w:hAnsi="Arial" w:cs="Arial"/>
                <w:sz w:val="20"/>
                <w:szCs w:val="20"/>
              </w:rPr>
              <w:t>LFS</w:t>
            </w:r>
            <w:proofErr w:type="spellEnd"/>
            <w:r w:rsidRPr="00785353">
              <w:rPr>
                <w:rFonts w:ascii="Arial" w:hAnsi="Arial" w:cs="Arial"/>
                <w:sz w:val="20"/>
                <w:szCs w:val="20"/>
              </w:rPr>
              <w:t xml:space="preserve">), persons excluded from the </w:t>
            </w:r>
            <w:proofErr w:type="spellStart"/>
            <w:r w:rsidRPr="00785353">
              <w:rPr>
                <w:rFonts w:ascii="Arial" w:hAnsi="Arial" w:cs="Arial"/>
                <w:sz w:val="20"/>
                <w:szCs w:val="20"/>
              </w:rPr>
              <w:t>LFS</w:t>
            </w:r>
            <w:proofErr w:type="spellEnd"/>
            <w:r w:rsidRPr="00785353">
              <w:rPr>
                <w:rFonts w:ascii="Arial" w:hAnsi="Arial" w:cs="Arial"/>
                <w:sz w:val="20"/>
                <w:szCs w:val="20"/>
              </w:rPr>
              <w:t xml:space="preserve"> are also excluded from this survey (see Explanatory Notes of Labour Force, Australia </w:t>
            </w:r>
            <w:r w:rsidR="009605B1">
              <w:rPr>
                <w:rFonts w:ascii="Arial" w:hAnsi="Arial" w:cs="Arial"/>
                <w:sz w:val="20"/>
                <w:szCs w:val="20"/>
              </w:rPr>
              <w:t>(Cat. no. </w:t>
            </w:r>
            <w:r w:rsidRPr="00785353">
              <w:rPr>
                <w:rFonts w:ascii="Arial" w:hAnsi="Arial" w:cs="Arial"/>
                <w:sz w:val="20"/>
                <w:szCs w:val="20"/>
              </w:rPr>
              <w:t xml:space="preserve">6202.0) for standard </w:t>
            </w:r>
            <w:proofErr w:type="spellStart"/>
            <w:r w:rsidRPr="00785353">
              <w:rPr>
                <w:rFonts w:ascii="Arial" w:hAnsi="Arial" w:cs="Arial"/>
                <w:sz w:val="20"/>
                <w:szCs w:val="20"/>
              </w:rPr>
              <w:t>LFS</w:t>
            </w:r>
            <w:proofErr w:type="spellEnd"/>
            <w:r w:rsidRPr="00785353">
              <w:rPr>
                <w:rFonts w:ascii="Arial" w:hAnsi="Arial" w:cs="Arial"/>
                <w:sz w:val="20"/>
                <w:szCs w:val="20"/>
              </w:rPr>
              <w:t xml:space="preserve"> exclusions). Additional exclusions from this survey were persons aged 75 years or older, persons aged 65–74 years who are not intending to work, persons permanently unable to work, institutionalised persons and boarding school pupils. Very remote areas were inclu</w:t>
            </w:r>
            <w:r w:rsidR="00712F6B">
              <w:rPr>
                <w:rFonts w:ascii="Arial" w:hAnsi="Arial" w:cs="Arial"/>
                <w:sz w:val="20"/>
                <w:szCs w:val="20"/>
              </w:rPr>
              <w:t>ded for the first time in 2009.</w:t>
            </w:r>
          </w:p>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The type of information collected included: participation in education in the year prior to the survey, and in the survey month; labour force characteristics; type of educational institution; level of education of current and previous study; highest year of school completed; level and main field of highest non-school qualification; transition from education to work; unmet demand for education; and selected characteristics of apprentices.</w:t>
            </w:r>
          </w:p>
          <w:p w:rsidR="00D11E31"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The Australian Classification of Education (</w:t>
            </w:r>
            <w:proofErr w:type="spellStart"/>
            <w:r w:rsidRPr="00785353">
              <w:rPr>
                <w:rFonts w:ascii="Arial" w:hAnsi="Arial" w:cs="Arial"/>
                <w:sz w:val="20"/>
                <w:szCs w:val="20"/>
              </w:rPr>
              <w:t>ASCED</w:t>
            </w:r>
            <w:proofErr w:type="spellEnd"/>
            <w:r w:rsidRPr="00785353">
              <w:rPr>
                <w:rFonts w:ascii="Arial" w:hAnsi="Arial" w:cs="Arial"/>
                <w:sz w:val="20"/>
                <w:szCs w:val="20"/>
              </w:rPr>
              <w:t xml:space="preserve">) </w:t>
            </w:r>
            <w:r w:rsidR="009605B1">
              <w:rPr>
                <w:rFonts w:ascii="Arial" w:hAnsi="Arial" w:cs="Arial"/>
                <w:sz w:val="20"/>
                <w:szCs w:val="20"/>
              </w:rPr>
              <w:t>(Cat. no. </w:t>
            </w:r>
            <w:r w:rsidRPr="00785353">
              <w:rPr>
                <w:rFonts w:ascii="Arial" w:hAnsi="Arial" w:cs="Arial"/>
                <w:sz w:val="20"/>
                <w:szCs w:val="20"/>
              </w:rPr>
              <w:t xml:space="preserve">1272.0) was used to classify education. The </w:t>
            </w:r>
            <w:proofErr w:type="spellStart"/>
            <w:r w:rsidRPr="00785353">
              <w:rPr>
                <w:rFonts w:ascii="Arial" w:hAnsi="Arial" w:cs="Arial"/>
                <w:sz w:val="20"/>
                <w:szCs w:val="20"/>
              </w:rPr>
              <w:t>ASCED</w:t>
            </w:r>
            <w:proofErr w:type="spellEnd"/>
            <w:r w:rsidRPr="00785353">
              <w:rPr>
                <w:rFonts w:ascii="Arial" w:hAnsi="Arial" w:cs="Arial"/>
                <w:sz w:val="20"/>
                <w:szCs w:val="20"/>
              </w:rPr>
              <w:t xml:space="preserve"> is a national standard classification which can be applied to all sectors of the Australian education system including schools, vocational education and training and higher education. The </w:t>
            </w:r>
            <w:proofErr w:type="spellStart"/>
            <w:r w:rsidRPr="00785353">
              <w:rPr>
                <w:rFonts w:ascii="Arial" w:hAnsi="Arial" w:cs="Arial"/>
                <w:sz w:val="20"/>
                <w:szCs w:val="20"/>
              </w:rPr>
              <w:t>ASCED</w:t>
            </w:r>
            <w:proofErr w:type="spellEnd"/>
            <w:r w:rsidRPr="00785353">
              <w:rPr>
                <w:rFonts w:ascii="Arial" w:hAnsi="Arial" w:cs="Arial"/>
                <w:sz w:val="20"/>
                <w:szCs w:val="20"/>
              </w:rPr>
              <w:t xml:space="preserve"> comprises two classifications: Level of Education and Field of Education. </w:t>
            </w:r>
          </w:p>
        </w:tc>
      </w:tr>
      <w:tr w:rsidR="00D11E31" w:rsidRPr="00D36F99" w:rsidTr="00F3693A">
        <w:tc>
          <w:tcPr>
            <w:tcW w:w="1843" w:type="dxa"/>
          </w:tcPr>
          <w:p w:rsidR="00D11E31" w:rsidRPr="00614745" w:rsidRDefault="00D11E31" w:rsidP="00F3693A">
            <w:pPr>
              <w:pStyle w:val="TableBodyText"/>
              <w:jc w:val="left"/>
              <w:rPr>
                <w:b/>
              </w:rPr>
            </w:pPr>
            <w:r w:rsidRPr="00614745">
              <w:rPr>
                <w:b/>
              </w:rPr>
              <w:t>Timeliness</w:t>
            </w:r>
          </w:p>
        </w:tc>
        <w:tc>
          <w:tcPr>
            <w:tcW w:w="6945" w:type="dxa"/>
          </w:tcPr>
          <w:p w:rsidR="00D11E31"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 xml:space="preserve">The most recent Education and Work survey was conducted throughout Australia in May 2011 as a supplement to the monthly </w:t>
            </w:r>
            <w:proofErr w:type="spellStart"/>
            <w:r w:rsidRPr="00785353">
              <w:rPr>
                <w:rFonts w:ascii="Arial" w:hAnsi="Arial" w:cs="Arial"/>
                <w:sz w:val="20"/>
                <w:szCs w:val="20"/>
              </w:rPr>
              <w:t>LFS</w:t>
            </w:r>
            <w:proofErr w:type="spellEnd"/>
            <w:r w:rsidRPr="00785353">
              <w:rPr>
                <w:rFonts w:ascii="Arial" w:hAnsi="Arial" w:cs="Arial"/>
                <w:sz w:val="20"/>
                <w:szCs w:val="20"/>
              </w:rPr>
              <w:t xml:space="preserve">. The ABS has been conducting similar surveys since 1964. These surveys were conducted annually from February 1964 to February 1974, in May 1975 and 1976, in August 1977 and 1978 and annually in May since 1979. Data from the survey are released approximately six months after they have been collected. </w:t>
            </w:r>
          </w:p>
        </w:tc>
      </w:tr>
      <w:tr w:rsidR="00D11E31" w:rsidRPr="00D36F99" w:rsidTr="00F3693A">
        <w:tc>
          <w:tcPr>
            <w:tcW w:w="1843" w:type="dxa"/>
          </w:tcPr>
          <w:p w:rsidR="00D11E31" w:rsidRPr="00614745" w:rsidRDefault="00D11E31" w:rsidP="00F3693A">
            <w:pPr>
              <w:pStyle w:val="TableBodyText"/>
              <w:jc w:val="left"/>
              <w:rPr>
                <w:b/>
              </w:rPr>
            </w:pPr>
            <w:r w:rsidRPr="00614745">
              <w:rPr>
                <w:b/>
              </w:rPr>
              <w:t>Accuracy</w:t>
            </w:r>
          </w:p>
        </w:tc>
        <w:tc>
          <w:tcPr>
            <w:tcW w:w="6945" w:type="dxa"/>
          </w:tcPr>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The number of completed interviews (after taking into account scope and co</w:t>
            </w:r>
            <w:r w:rsidR="009605B1">
              <w:rPr>
                <w:rFonts w:ascii="Arial" w:hAnsi="Arial" w:cs="Arial"/>
                <w:sz w:val="20"/>
                <w:szCs w:val="20"/>
              </w:rPr>
              <w:t xml:space="preserve">verage exclusions) </w:t>
            </w:r>
            <w:proofErr w:type="spellStart"/>
            <w:r w:rsidR="009605B1">
              <w:rPr>
                <w:rFonts w:ascii="Arial" w:hAnsi="Arial" w:cs="Arial"/>
                <w:sz w:val="20"/>
                <w:szCs w:val="20"/>
              </w:rPr>
              <w:t>wasabout</w:t>
            </w:r>
            <w:proofErr w:type="spellEnd"/>
            <w:r w:rsidR="009605B1">
              <w:rPr>
                <w:rFonts w:ascii="Arial" w:hAnsi="Arial" w:cs="Arial"/>
                <w:sz w:val="20"/>
                <w:szCs w:val="20"/>
              </w:rPr>
              <w:t xml:space="preserve"> 39 </w:t>
            </w:r>
            <w:r w:rsidRPr="00785353">
              <w:rPr>
                <w:rFonts w:ascii="Arial" w:hAnsi="Arial" w:cs="Arial"/>
                <w:sz w:val="20"/>
                <w:szCs w:val="20"/>
              </w:rPr>
              <w:t>800. This sample was achieved by obtaining a response rate of 96</w:t>
            </w:r>
            <w:r w:rsidR="00160697">
              <w:rPr>
                <w:rFonts w:ascii="Arial" w:hAnsi="Arial" w:cs="Arial"/>
                <w:sz w:val="20"/>
                <w:szCs w:val="20"/>
              </w:rPr>
              <w:t xml:space="preserve"> per cent</w:t>
            </w:r>
            <w:r w:rsidR="00712F6B">
              <w:rPr>
                <w:rFonts w:ascii="Arial" w:hAnsi="Arial" w:cs="Arial"/>
                <w:sz w:val="20"/>
                <w:szCs w:val="20"/>
              </w:rPr>
              <w:t xml:space="preserve"> from the selected households.</w:t>
            </w:r>
          </w:p>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The Labour Force Survey is designed to primarily provide estimates for the whole of Australia and, secondly, for each state and territory.</w:t>
            </w:r>
          </w:p>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Two types of error are possible in an estimate based on a sample survey: non-sampling error and sampling error.</w:t>
            </w:r>
          </w:p>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Non-sampling error arises from inaccuracies in collecting, recording and processing the data. Every effort is made to minimise reporting error by the careful design of questionnaires, intensive training and supervision of interviewers, and efficient data processing procedures. Non-sampling error arises because information cannot be obtained from all persons selected in the survey.</w:t>
            </w:r>
          </w:p>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 xml:space="preserve">Sampling error occurs because a sample, rather than the entire population is surveyed. One measure of the likely difference resulting from not including all dwellings in the survey is given by the standard error. There are about two chances in three that a sample estimate will differ by less than one standard error from the figure that would have been obtained if all dwellings had been included in the survey and about 19 chances in 20 that </w:t>
            </w:r>
            <w:r w:rsidRPr="00785353">
              <w:rPr>
                <w:rFonts w:ascii="Arial" w:hAnsi="Arial" w:cs="Arial"/>
                <w:sz w:val="20"/>
                <w:szCs w:val="20"/>
              </w:rPr>
              <w:lastRenderedPageBreak/>
              <w:t>the difference will be less than two standard errors.</w:t>
            </w:r>
          </w:p>
          <w:p w:rsidR="00D11E31" w:rsidRPr="00785353" w:rsidRDefault="00785353" w:rsidP="00F3693A">
            <w:pPr>
              <w:pStyle w:val="TableBodyText"/>
              <w:autoSpaceDE w:val="0"/>
              <w:autoSpaceDN w:val="0"/>
              <w:adjustRightInd w:val="0"/>
              <w:jc w:val="both"/>
              <w:rPr>
                <w:rFonts w:cs="Arial"/>
              </w:rPr>
            </w:pPr>
            <w:r w:rsidRPr="00785353">
              <w:rPr>
                <w:rFonts w:cs="Arial"/>
              </w:rPr>
              <w:t xml:space="preserve">Every five years, following the availability of data from the Census of Population and Housing, the ABS reviews the </w:t>
            </w:r>
            <w:proofErr w:type="spellStart"/>
            <w:r w:rsidRPr="00785353">
              <w:rPr>
                <w:rFonts w:cs="Arial"/>
              </w:rPr>
              <w:t>LFS</w:t>
            </w:r>
            <w:proofErr w:type="spellEnd"/>
            <w:r w:rsidRPr="00785353">
              <w:rPr>
                <w:rFonts w:cs="Arial"/>
              </w:rPr>
              <w:t xml:space="preserve"> sample design. As a result of the review following the 2006 Census, the new sample design, implemented over the period November 2007 to June 2008, resulted in a smaller sample size from July 2008. For more information see Information Paper: Labour Force Sample Design, Nov 2007 </w:t>
            </w:r>
            <w:r w:rsidR="009605B1">
              <w:rPr>
                <w:rFonts w:cs="Arial"/>
              </w:rPr>
              <w:t>(Cat. no. </w:t>
            </w:r>
            <w:r w:rsidRPr="00785353">
              <w:rPr>
                <w:rFonts w:cs="Arial"/>
              </w:rPr>
              <w:t>6269.0)</w:t>
            </w:r>
          </w:p>
        </w:tc>
      </w:tr>
      <w:tr w:rsidR="00D11E31" w:rsidRPr="00D36F99" w:rsidTr="00EC05AB">
        <w:tc>
          <w:tcPr>
            <w:tcW w:w="1843" w:type="dxa"/>
          </w:tcPr>
          <w:p w:rsidR="00D11E31" w:rsidRPr="00614745" w:rsidRDefault="00D11E31" w:rsidP="00F3693A">
            <w:pPr>
              <w:pStyle w:val="TableBodyText"/>
              <w:jc w:val="left"/>
              <w:rPr>
                <w:b/>
              </w:rPr>
            </w:pPr>
            <w:r w:rsidRPr="00614745">
              <w:rPr>
                <w:b/>
                <w:bCs/>
              </w:rPr>
              <w:lastRenderedPageBreak/>
              <w:t>Coherence</w:t>
            </w:r>
          </w:p>
          <w:p w:rsidR="00D11E31" w:rsidRPr="00614745" w:rsidRDefault="00D11E31" w:rsidP="00F3693A">
            <w:pPr>
              <w:pStyle w:val="TableBodyText"/>
              <w:jc w:val="left"/>
              <w:rPr>
                <w:b/>
              </w:rPr>
            </w:pPr>
          </w:p>
        </w:tc>
        <w:tc>
          <w:tcPr>
            <w:tcW w:w="6945" w:type="dxa"/>
          </w:tcPr>
          <w:p w:rsidR="00785353" w:rsidRPr="00785353" w:rsidRDefault="00785353" w:rsidP="00EE3827">
            <w:pPr>
              <w:autoSpaceDE w:val="0"/>
              <w:autoSpaceDN w:val="0"/>
              <w:adjustRightInd w:val="0"/>
              <w:jc w:val="both"/>
              <w:rPr>
                <w:rFonts w:ascii="Arial" w:hAnsi="Arial" w:cs="Arial"/>
                <w:sz w:val="20"/>
                <w:szCs w:val="20"/>
              </w:rPr>
            </w:pPr>
            <w:r w:rsidRPr="00785353">
              <w:rPr>
                <w:rFonts w:ascii="Arial" w:hAnsi="Arial" w:cs="Arial"/>
                <w:sz w:val="20"/>
                <w:szCs w:val="20"/>
              </w:rPr>
              <w:t>The indicators for COAG national agreement reporting that are based on the 2011 SEW are consistent with those supplied from previous cycles of this survey. Data for 2010 have been revised due to amendments to the populati</w:t>
            </w:r>
            <w:r w:rsidR="00712F6B">
              <w:rPr>
                <w:rFonts w:ascii="Arial" w:hAnsi="Arial" w:cs="Arial"/>
                <w:sz w:val="20"/>
                <w:szCs w:val="20"/>
              </w:rPr>
              <w:t>on benchmarks for the 2010 SEW.</w:t>
            </w:r>
          </w:p>
          <w:p w:rsidR="00785353" w:rsidRPr="00785353" w:rsidRDefault="00785353" w:rsidP="00EE3827">
            <w:pPr>
              <w:autoSpaceDE w:val="0"/>
              <w:autoSpaceDN w:val="0"/>
              <w:adjustRightInd w:val="0"/>
              <w:jc w:val="both"/>
              <w:rPr>
                <w:rFonts w:ascii="Arial" w:hAnsi="Arial" w:cs="Arial"/>
                <w:sz w:val="20"/>
                <w:szCs w:val="20"/>
              </w:rPr>
            </w:pPr>
            <w:r w:rsidRPr="00785353">
              <w:rPr>
                <w:rFonts w:ascii="Arial" w:hAnsi="Arial" w:cs="Arial"/>
                <w:sz w:val="20"/>
                <w:szCs w:val="20"/>
              </w:rPr>
              <w:t>The ABS seeks to maximise consistency and comparability over time by minimising changes to the survey; sound survey practice requires ongoing development to maintain the integrity of the data. No changes were made to th</w:t>
            </w:r>
            <w:r w:rsidR="00712F6B">
              <w:rPr>
                <w:rFonts w:ascii="Arial" w:hAnsi="Arial" w:cs="Arial"/>
                <w:sz w:val="20"/>
                <w:szCs w:val="20"/>
              </w:rPr>
              <w:t>e survey between 2010 and 2011.</w:t>
            </w:r>
          </w:p>
          <w:p w:rsidR="00785353" w:rsidRPr="00785353" w:rsidRDefault="00785353" w:rsidP="00EE3827">
            <w:pPr>
              <w:autoSpaceDE w:val="0"/>
              <w:autoSpaceDN w:val="0"/>
              <w:adjustRightInd w:val="0"/>
              <w:jc w:val="both"/>
              <w:rPr>
                <w:rFonts w:ascii="Arial" w:hAnsi="Arial" w:cs="Arial"/>
                <w:sz w:val="20"/>
                <w:szCs w:val="20"/>
              </w:rPr>
            </w:pPr>
            <w:r w:rsidRPr="00785353">
              <w:rPr>
                <w:rFonts w:ascii="Arial" w:hAnsi="Arial" w:cs="Arial"/>
                <w:sz w:val="20"/>
                <w:szCs w:val="20"/>
              </w:rPr>
              <w:t xml:space="preserve">In 2009 the scope of the survey was extended to include persons aged </w:t>
            </w:r>
            <w:r w:rsidR="008C023D">
              <w:rPr>
                <w:rFonts w:ascii="Arial" w:hAnsi="Arial" w:cs="Arial"/>
                <w:sz w:val="20"/>
                <w:szCs w:val="20"/>
              </w:rPr>
              <w:br/>
            </w:r>
            <w:r w:rsidRPr="00785353">
              <w:rPr>
                <w:rFonts w:ascii="Arial" w:hAnsi="Arial" w:cs="Arial"/>
                <w:sz w:val="20"/>
                <w:szCs w:val="20"/>
              </w:rPr>
              <w:t>65</w:t>
            </w:r>
            <w:r w:rsidR="008C023D">
              <w:rPr>
                <w:rFonts w:ascii="Arial" w:hAnsi="Arial" w:cs="Arial"/>
                <w:sz w:val="20"/>
                <w:szCs w:val="20"/>
              </w:rPr>
              <w:t>–</w:t>
            </w:r>
            <w:r w:rsidRPr="00785353">
              <w:rPr>
                <w:rFonts w:ascii="Arial" w:hAnsi="Arial" w:cs="Arial"/>
                <w:sz w:val="20"/>
                <w:szCs w:val="20"/>
              </w:rPr>
              <w:t>74 years who are employed or marginally attached to the labour force. Persons are determined to be marginally attached to the labour force if they were not in the labour force in the reference week, wanted to work and: were actively looking for work but did not meet the availability criteria to be classified as unemployed; or were not actively looking for work but were available to start work within four weeks or could start work within four wee</w:t>
            </w:r>
            <w:r w:rsidR="00712F6B">
              <w:rPr>
                <w:rFonts w:ascii="Arial" w:hAnsi="Arial" w:cs="Arial"/>
                <w:sz w:val="20"/>
                <w:szCs w:val="20"/>
              </w:rPr>
              <w:t>ks if child care was available.</w:t>
            </w:r>
          </w:p>
          <w:p w:rsidR="00D11E31" w:rsidRPr="00462FD6" w:rsidRDefault="00785353" w:rsidP="00EE3827">
            <w:pPr>
              <w:pStyle w:val="TableBodyText"/>
              <w:autoSpaceDE w:val="0"/>
              <w:autoSpaceDN w:val="0"/>
              <w:adjustRightInd w:val="0"/>
              <w:jc w:val="both"/>
              <w:rPr>
                <w:rFonts w:cs="Arial"/>
              </w:rPr>
            </w:pPr>
            <w:r w:rsidRPr="00785353">
              <w:rPr>
                <w:rFonts w:cs="Arial"/>
              </w:rPr>
              <w:t>Prior to 2009, all people in very remote areas were excluded from the SEW. Very remote areas represent about two per cent of the total Australian population and 20</w:t>
            </w:r>
            <w:r w:rsidR="00160697">
              <w:rPr>
                <w:rFonts w:cs="Arial"/>
              </w:rPr>
              <w:t xml:space="preserve"> per cent</w:t>
            </w:r>
            <w:r w:rsidRPr="00785353">
              <w:rPr>
                <w:rFonts w:cs="Arial"/>
              </w:rPr>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w:t>
            </w:r>
            <w:r w:rsidR="00160697">
              <w:rPr>
                <w:rFonts w:cs="Arial"/>
              </w:rPr>
              <w:t xml:space="preserve"> per cent</w:t>
            </w:r>
            <w:r w:rsidRPr="00785353">
              <w:rPr>
                <w:rFonts w:cs="Arial"/>
              </w:rPr>
              <w:t xml:space="preserve"> of the population.</w:t>
            </w:r>
            <w:r w:rsidR="007E7D77">
              <w:rPr>
                <w:rFonts w:cs="Arial"/>
              </w:rPr>
              <w:t xml:space="preserve"> </w:t>
            </w:r>
            <w:r w:rsidR="007E7D77" w:rsidRPr="007E7D77">
              <w:t>These revisions have a minor impact only  in the NT and minimal impact in the other states/territory on the actual value of the NEA performance indicators based on the SEW.</w:t>
            </w:r>
          </w:p>
        </w:tc>
      </w:tr>
      <w:tr w:rsidR="00D11E31" w:rsidRPr="00D36F99" w:rsidTr="00EC05AB">
        <w:tc>
          <w:tcPr>
            <w:tcW w:w="1843" w:type="dxa"/>
          </w:tcPr>
          <w:p w:rsidR="00D11E31" w:rsidRPr="00614745" w:rsidRDefault="00D11E31" w:rsidP="00F3693A">
            <w:pPr>
              <w:pStyle w:val="TableBodyText"/>
              <w:jc w:val="left"/>
              <w:rPr>
                <w:b/>
              </w:rPr>
            </w:pPr>
            <w:r w:rsidRPr="00614745">
              <w:rPr>
                <w:b/>
                <w:bCs/>
              </w:rPr>
              <w:t>Interpretability</w:t>
            </w:r>
          </w:p>
          <w:p w:rsidR="00D11E31" w:rsidRPr="00614745" w:rsidRDefault="00D11E31" w:rsidP="00F3693A">
            <w:pPr>
              <w:pStyle w:val="TableBodyText"/>
              <w:jc w:val="left"/>
              <w:rPr>
                <w:b/>
              </w:rPr>
            </w:pPr>
          </w:p>
        </w:tc>
        <w:tc>
          <w:tcPr>
            <w:tcW w:w="6945" w:type="dxa"/>
          </w:tcPr>
          <w:p w:rsidR="00D11E31"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 xml:space="preserve">Detailed information on the terminology, classifications and other technical aspects associated with the Survey of Education and Work can be found in the relevant web pages included with this release. </w:t>
            </w:r>
          </w:p>
        </w:tc>
      </w:tr>
      <w:tr w:rsidR="00D11E31" w:rsidRPr="00D36F99" w:rsidTr="00EC05AB">
        <w:tc>
          <w:tcPr>
            <w:tcW w:w="1843" w:type="dxa"/>
          </w:tcPr>
          <w:p w:rsidR="00D11E31" w:rsidRPr="00614745" w:rsidRDefault="00D11E31" w:rsidP="00F3693A">
            <w:pPr>
              <w:pStyle w:val="TableBodyText"/>
              <w:jc w:val="left"/>
              <w:rPr>
                <w:b/>
              </w:rPr>
            </w:pPr>
            <w:r w:rsidRPr="00614745">
              <w:rPr>
                <w:b/>
                <w:bCs/>
              </w:rPr>
              <w:t>Accessibility</w:t>
            </w:r>
          </w:p>
          <w:p w:rsidR="00D11E31" w:rsidRPr="00614745" w:rsidRDefault="00D11E31" w:rsidP="00F3693A">
            <w:pPr>
              <w:pStyle w:val="TableBodyText"/>
              <w:jc w:val="left"/>
              <w:rPr>
                <w:b/>
              </w:rPr>
            </w:pPr>
          </w:p>
        </w:tc>
        <w:tc>
          <w:tcPr>
            <w:tcW w:w="6945" w:type="dxa"/>
          </w:tcPr>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In addition to the electronic publication, the tables and associated RSEs are available in spreadsheet format on the website. Extra tables not contained in the electronic publication ar</w:t>
            </w:r>
            <w:r w:rsidR="00712F6B">
              <w:rPr>
                <w:rFonts w:ascii="Arial" w:hAnsi="Arial" w:cs="Arial"/>
                <w:sz w:val="20"/>
                <w:szCs w:val="20"/>
              </w:rPr>
              <w:t>e also included on the website.</w:t>
            </w:r>
          </w:p>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A Confidentialised Unit Record File (</w:t>
            </w:r>
            <w:proofErr w:type="spellStart"/>
            <w:r w:rsidRPr="00785353">
              <w:rPr>
                <w:rFonts w:ascii="Arial" w:hAnsi="Arial" w:cs="Arial"/>
                <w:sz w:val="20"/>
                <w:szCs w:val="20"/>
              </w:rPr>
              <w:t>CURF</w:t>
            </w:r>
            <w:proofErr w:type="spellEnd"/>
            <w:r w:rsidRPr="00785353">
              <w:rPr>
                <w:rFonts w:ascii="Arial" w:hAnsi="Arial" w:cs="Arial"/>
                <w:sz w:val="20"/>
                <w:szCs w:val="20"/>
              </w:rPr>
              <w:t xml:space="preserve">) containing confidentialised </w:t>
            </w:r>
            <w:proofErr w:type="spellStart"/>
            <w:r w:rsidRPr="00785353">
              <w:rPr>
                <w:rFonts w:ascii="Arial" w:hAnsi="Arial" w:cs="Arial"/>
                <w:sz w:val="20"/>
                <w:szCs w:val="20"/>
              </w:rPr>
              <w:t>microdata</w:t>
            </w:r>
            <w:proofErr w:type="spellEnd"/>
            <w:r w:rsidRPr="00785353">
              <w:rPr>
                <w:rFonts w:ascii="Arial" w:hAnsi="Arial" w:cs="Arial"/>
                <w:sz w:val="20"/>
                <w:szCs w:val="20"/>
              </w:rPr>
              <w:t xml:space="preserve"> from the Survey of Education and Work has been released biennially since 2001. The </w:t>
            </w:r>
            <w:proofErr w:type="spellStart"/>
            <w:r w:rsidRPr="00785353">
              <w:rPr>
                <w:rFonts w:ascii="Arial" w:hAnsi="Arial" w:cs="Arial"/>
                <w:sz w:val="20"/>
                <w:szCs w:val="20"/>
              </w:rPr>
              <w:t>CURF</w:t>
            </w:r>
            <w:proofErr w:type="spellEnd"/>
            <w:r w:rsidRPr="00785353">
              <w:rPr>
                <w:rFonts w:ascii="Arial" w:hAnsi="Arial" w:cs="Arial"/>
                <w:sz w:val="20"/>
                <w:szCs w:val="20"/>
              </w:rPr>
              <w:t xml:space="preserve"> facilitates interrogation and analysis of survey data. The most recent </w:t>
            </w:r>
            <w:proofErr w:type="spellStart"/>
            <w:r w:rsidRPr="00785353">
              <w:rPr>
                <w:rFonts w:ascii="Arial" w:hAnsi="Arial" w:cs="Arial"/>
                <w:sz w:val="20"/>
                <w:szCs w:val="20"/>
              </w:rPr>
              <w:t>CURF</w:t>
            </w:r>
            <w:proofErr w:type="spellEnd"/>
            <w:r w:rsidRPr="00785353">
              <w:rPr>
                <w:rFonts w:ascii="Arial" w:hAnsi="Arial" w:cs="Arial"/>
                <w:sz w:val="20"/>
                <w:szCs w:val="20"/>
              </w:rPr>
              <w:t xml:space="preserve"> for the Survey of Education and Work was released from the 2011 survey. For further detail</w:t>
            </w:r>
            <w:r w:rsidR="00934C88">
              <w:rPr>
                <w:rFonts w:ascii="Arial" w:hAnsi="Arial" w:cs="Arial"/>
                <w:sz w:val="20"/>
                <w:szCs w:val="20"/>
              </w:rPr>
              <w:t>s refer to the ABS website (www.abs.gov.au)</w:t>
            </w:r>
            <w:r w:rsidRPr="00785353">
              <w:rPr>
                <w:rFonts w:ascii="Arial" w:hAnsi="Arial" w:cs="Arial"/>
                <w:sz w:val="20"/>
                <w:szCs w:val="20"/>
              </w:rPr>
              <w:t>.</w:t>
            </w:r>
          </w:p>
          <w:p w:rsidR="00785353"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Data are also available on request. Note that detailed data can be subject to high relative standard errors which in some cases may result in data being confidentialised.</w:t>
            </w:r>
          </w:p>
          <w:p w:rsidR="00D11E31" w:rsidRPr="00785353" w:rsidRDefault="00785353" w:rsidP="00F3693A">
            <w:pPr>
              <w:autoSpaceDE w:val="0"/>
              <w:autoSpaceDN w:val="0"/>
              <w:adjustRightInd w:val="0"/>
              <w:jc w:val="both"/>
              <w:rPr>
                <w:rFonts w:ascii="Arial" w:hAnsi="Arial" w:cs="Arial"/>
                <w:sz w:val="20"/>
                <w:szCs w:val="20"/>
              </w:rPr>
            </w:pPr>
            <w:r w:rsidRPr="00785353">
              <w:rPr>
                <w:rFonts w:ascii="Arial" w:hAnsi="Arial" w:cs="Arial"/>
                <w:sz w:val="20"/>
                <w:szCs w:val="20"/>
              </w:rPr>
              <w:t>For further information about these or related statistics, contact the National Information and Referral Service on 1300 135 070.</w:t>
            </w:r>
          </w:p>
        </w:tc>
      </w:tr>
    </w:tbl>
    <w:p w:rsidR="0026369A" w:rsidRPr="00A076ED" w:rsidRDefault="00D11E31" w:rsidP="00315CBD">
      <w:pPr>
        <w:pStyle w:val="Heading2"/>
      </w:pPr>
      <w:r>
        <w:br w:type="page"/>
      </w:r>
      <w:r w:rsidR="0026369A" w:rsidRPr="00A076ED">
        <w:lastRenderedPageBreak/>
        <w:t>References</w:t>
      </w:r>
    </w:p>
    <w:p w:rsidR="0026369A" w:rsidRPr="008A72FB" w:rsidRDefault="0026369A" w:rsidP="000B4791">
      <w:pPr>
        <w:pStyle w:val="Reference"/>
        <w:spacing w:before="100"/>
      </w:pPr>
      <w:r w:rsidRPr="008A72FB">
        <w:t xml:space="preserve">ABS </w:t>
      </w:r>
      <w:proofErr w:type="spellStart"/>
      <w:r w:rsidRPr="008A72FB">
        <w:t>2012a</w:t>
      </w:r>
      <w:proofErr w:type="spellEnd"/>
      <w:r w:rsidRPr="008A72FB">
        <w:t xml:space="preserve">, </w:t>
      </w:r>
      <w:r w:rsidRPr="008A72FB">
        <w:rPr>
          <w:i/>
        </w:rPr>
        <w:t>Experimental Estimates of Pre-School Education, 2010</w:t>
      </w:r>
      <w:r w:rsidRPr="008A72FB">
        <w:t>, Cat. </w:t>
      </w:r>
      <w:r w:rsidR="009605B1">
        <w:t>n</w:t>
      </w:r>
      <w:r w:rsidRPr="008A72FB">
        <w:t>o. 4240.0, Canberra.</w:t>
      </w:r>
    </w:p>
    <w:p w:rsidR="0026369A" w:rsidRPr="008A72FB" w:rsidRDefault="0026369A" w:rsidP="000B4791">
      <w:pPr>
        <w:pStyle w:val="Reference"/>
        <w:spacing w:before="100"/>
      </w:pPr>
      <w:r w:rsidRPr="008A72FB">
        <w:rPr>
          <w:rStyle w:val="ReferenceChar"/>
        </w:rPr>
        <w:t>——</w:t>
      </w:r>
      <w:r w:rsidRPr="008A72FB">
        <w:t xml:space="preserve"> </w:t>
      </w:r>
      <w:proofErr w:type="spellStart"/>
      <w:r w:rsidRPr="008A72FB">
        <w:t>2012b</w:t>
      </w:r>
      <w:proofErr w:type="spellEnd"/>
      <w:r w:rsidRPr="008A72FB">
        <w:t xml:space="preserve">, </w:t>
      </w:r>
      <w:r w:rsidRPr="008A72FB">
        <w:rPr>
          <w:i/>
        </w:rPr>
        <w:t>Schools, Australia, 2011</w:t>
      </w:r>
      <w:r w:rsidRPr="008A72FB">
        <w:t>, Cat. no. 4221.0, Canberra.</w:t>
      </w:r>
    </w:p>
    <w:p w:rsidR="0026369A" w:rsidRPr="008A72FB" w:rsidRDefault="0026369A" w:rsidP="000B4791">
      <w:pPr>
        <w:pStyle w:val="Reference"/>
        <w:spacing w:before="100"/>
      </w:pPr>
      <w:r w:rsidRPr="008A72FB">
        <w:t xml:space="preserve">ACARA (Australian Curriculum and Assessment Reporting Authority) 2011, </w:t>
      </w:r>
      <w:r w:rsidRPr="008A72FB">
        <w:rPr>
          <w:i/>
        </w:rPr>
        <w:t>Technical Paper: Index of Community Socio-Educational Advantage (</w:t>
      </w:r>
      <w:proofErr w:type="spellStart"/>
      <w:r w:rsidRPr="008A72FB">
        <w:rPr>
          <w:i/>
        </w:rPr>
        <w:t>ICSEA</w:t>
      </w:r>
      <w:proofErr w:type="spellEnd"/>
      <w:r w:rsidRPr="008A72FB">
        <w:rPr>
          <w:i/>
        </w:rPr>
        <w:t>)</w:t>
      </w:r>
      <w:r w:rsidRPr="008A72FB">
        <w:t>, www.acara.edu.au/verve/_resources/Guide+to+understanding+ICSEA.pdf (accessed 23 May 2011).</w:t>
      </w:r>
    </w:p>
    <w:p w:rsidR="0026369A" w:rsidRPr="008A72FB" w:rsidRDefault="0026369A" w:rsidP="000B4791">
      <w:pPr>
        <w:pStyle w:val="Reference"/>
        <w:spacing w:before="100"/>
      </w:pPr>
      <w:proofErr w:type="spellStart"/>
      <w:r w:rsidRPr="008A72FB">
        <w:t>ACCI</w:t>
      </w:r>
      <w:proofErr w:type="spellEnd"/>
      <w:r w:rsidRPr="008A72FB">
        <w:t xml:space="preserve"> (Australian Chamber of Commerce and Industry) 2007, </w:t>
      </w:r>
      <w:r w:rsidRPr="008A72FB">
        <w:rPr>
          <w:i/>
        </w:rPr>
        <w:t>Skills for a Nation: a Blueprint for Improving Education and Training 2007–2017</w:t>
      </w:r>
      <w:r w:rsidRPr="008A72FB">
        <w:t>, Canberra.</w:t>
      </w:r>
    </w:p>
    <w:p w:rsidR="0026369A" w:rsidRPr="008A72FB" w:rsidRDefault="0026369A" w:rsidP="000B4791">
      <w:pPr>
        <w:pStyle w:val="Reference"/>
        <w:spacing w:before="100"/>
      </w:pPr>
      <w:r w:rsidRPr="008A72FB">
        <w:t xml:space="preserve">Centre for Community Child Health and Telethon Institute for Child Health Research 2009, </w:t>
      </w:r>
      <w:r w:rsidRPr="008A72FB">
        <w:rPr>
          <w:i/>
        </w:rPr>
        <w:t xml:space="preserve">A Snapshot of Early Childhood Development in Australia — </w:t>
      </w:r>
      <w:proofErr w:type="spellStart"/>
      <w:r w:rsidRPr="008A72FB">
        <w:rPr>
          <w:i/>
        </w:rPr>
        <w:t>AEDI</w:t>
      </w:r>
      <w:proofErr w:type="spellEnd"/>
      <w:r w:rsidRPr="008A72FB">
        <w:rPr>
          <w:i/>
        </w:rPr>
        <w:t xml:space="preserve"> National Report 2009</w:t>
      </w:r>
      <w:r w:rsidRPr="008A72FB">
        <w:t>, Australian Government, Canberra.</w:t>
      </w:r>
    </w:p>
    <w:p w:rsidR="0026369A" w:rsidRPr="008A72FB" w:rsidRDefault="0026369A" w:rsidP="000B4791">
      <w:pPr>
        <w:pStyle w:val="Reference"/>
        <w:spacing w:before="100"/>
      </w:pPr>
      <w:r w:rsidRPr="008A72FB">
        <w:t xml:space="preserve">COAG (Council of Australian Governments) </w:t>
      </w:r>
      <w:proofErr w:type="spellStart"/>
      <w:r w:rsidRPr="008A72FB">
        <w:t>2009a</w:t>
      </w:r>
      <w:proofErr w:type="spellEnd"/>
      <w:r w:rsidRPr="008A72FB">
        <w:t xml:space="preserve">, </w:t>
      </w:r>
      <w:r w:rsidRPr="008A72FB">
        <w:rPr>
          <w:i/>
        </w:rPr>
        <w:t xml:space="preserve">COAG Communiqué 30 April 2009, </w:t>
      </w:r>
      <w:r w:rsidR="006C0AED" w:rsidRPr="008A72FB">
        <w:t xml:space="preserve">www.coag.gov.au/coag_meeting_outcomes/2009-04-30/docs/20090430_communique.pdf </w:t>
      </w:r>
      <w:r w:rsidRPr="008A72FB">
        <w:t xml:space="preserve">(accessed </w:t>
      </w:r>
      <w:r w:rsidR="006C0AED" w:rsidRPr="008A72FB">
        <w:t>24 May 2012</w:t>
      </w:r>
      <w:r w:rsidRPr="008A72FB">
        <w:t>).</w:t>
      </w:r>
    </w:p>
    <w:p w:rsidR="0026369A" w:rsidRPr="008A72FB" w:rsidRDefault="0026369A" w:rsidP="000B4791">
      <w:pPr>
        <w:pStyle w:val="Reference"/>
        <w:spacing w:before="100"/>
        <w:rPr>
          <w:rStyle w:val="ReferenceChar"/>
          <w:szCs w:val="26"/>
          <w:u w:val="single"/>
        </w:rPr>
      </w:pPr>
      <w:r w:rsidRPr="008A72FB">
        <w:rPr>
          <w:rStyle w:val="ReferenceChar"/>
        </w:rPr>
        <w:t xml:space="preserve">—— </w:t>
      </w:r>
      <w:proofErr w:type="spellStart"/>
      <w:r w:rsidRPr="008A72FB">
        <w:rPr>
          <w:rStyle w:val="ReferenceChar"/>
        </w:rPr>
        <w:t>2009b</w:t>
      </w:r>
      <w:proofErr w:type="spellEnd"/>
      <w:r w:rsidRPr="008A72FB">
        <w:rPr>
          <w:rStyle w:val="ReferenceChar"/>
        </w:rPr>
        <w:t xml:space="preserve">, </w:t>
      </w:r>
      <w:r w:rsidRPr="008A72FB">
        <w:rPr>
          <w:rStyle w:val="ReferenceChar"/>
          <w:i/>
        </w:rPr>
        <w:t xml:space="preserve">National Partnership Agreement on the Nation Building and Jobs Plan: Building Prosperity for the Future and Supporting Jobs Now, </w:t>
      </w:r>
      <w:r w:rsidR="006C0AED" w:rsidRPr="008A72FB">
        <w:t>www.coag.gov.au/coag_meeting_outcomes/2009-02-05/docs/20090205_nation_building_jobs.pdf</w:t>
      </w:r>
      <w:r w:rsidRPr="008A72FB">
        <w:rPr>
          <w:rStyle w:val="ReferenceChar"/>
        </w:rPr>
        <w:t xml:space="preserve"> (accessed </w:t>
      </w:r>
      <w:r w:rsidR="006C0AED" w:rsidRPr="008A72FB">
        <w:rPr>
          <w:rStyle w:val="ReferenceChar"/>
        </w:rPr>
        <w:t>24 May 2012</w:t>
      </w:r>
      <w:r w:rsidRPr="008A72FB">
        <w:rPr>
          <w:rStyle w:val="ReferenceChar"/>
        </w:rPr>
        <w:t>).</w:t>
      </w:r>
    </w:p>
    <w:p w:rsidR="0026369A" w:rsidRPr="008A72FB" w:rsidRDefault="0026369A" w:rsidP="000B4791">
      <w:pPr>
        <w:pStyle w:val="Reference"/>
        <w:spacing w:before="100"/>
        <w:rPr>
          <w:rStyle w:val="ReferenceChar"/>
        </w:rPr>
      </w:pPr>
      <w:r w:rsidRPr="008A72FB">
        <w:t xml:space="preserve">—— </w:t>
      </w:r>
      <w:proofErr w:type="spellStart"/>
      <w:r w:rsidRPr="008A72FB">
        <w:rPr>
          <w:rStyle w:val="ReferenceChar"/>
        </w:rPr>
        <w:t>2009c</w:t>
      </w:r>
      <w:proofErr w:type="spellEnd"/>
      <w:r w:rsidRPr="008A72FB">
        <w:rPr>
          <w:rStyle w:val="ReferenceChar"/>
        </w:rPr>
        <w:t xml:space="preserve">, </w:t>
      </w:r>
      <w:r w:rsidRPr="008A72FB">
        <w:rPr>
          <w:rStyle w:val="ReferenceChar"/>
          <w:i/>
        </w:rPr>
        <w:t xml:space="preserve">National Partnership Agreement on Youth Attainment and Transitions, </w:t>
      </w:r>
      <w:r w:rsidR="006C0AED" w:rsidRPr="008A72FB">
        <w:t>www.coag.gov.au/coag_meeting_outcomes/2009-07-02/docs/NP_youth_attainment_transitions.pdf</w:t>
      </w:r>
      <w:r w:rsidRPr="008A72FB">
        <w:t xml:space="preserve"> (</w:t>
      </w:r>
      <w:r w:rsidRPr="008A72FB">
        <w:rPr>
          <w:rStyle w:val="ReferenceChar"/>
        </w:rPr>
        <w:t xml:space="preserve">accessed </w:t>
      </w:r>
      <w:r w:rsidR="006C0AED" w:rsidRPr="008A72FB">
        <w:rPr>
          <w:rStyle w:val="ReferenceChar"/>
        </w:rPr>
        <w:t>24 May 2012</w:t>
      </w:r>
      <w:r w:rsidRPr="008A72FB">
        <w:rPr>
          <w:rStyle w:val="ReferenceChar"/>
        </w:rPr>
        <w:t>).</w:t>
      </w:r>
    </w:p>
    <w:p w:rsidR="0026369A" w:rsidRPr="008A72FB" w:rsidRDefault="0026369A" w:rsidP="000B4791">
      <w:pPr>
        <w:pStyle w:val="Reference"/>
        <w:spacing w:before="100"/>
        <w:rPr>
          <w:rStyle w:val="ReferenceChar"/>
        </w:rPr>
      </w:pPr>
      <w:r w:rsidRPr="008A72FB">
        <w:t>—— </w:t>
      </w:r>
      <w:proofErr w:type="spellStart"/>
      <w:r w:rsidRPr="008A72FB">
        <w:rPr>
          <w:rStyle w:val="ReferenceChar"/>
        </w:rPr>
        <w:t>2009d</w:t>
      </w:r>
      <w:proofErr w:type="spellEnd"/>
      <w:r w:rsidRPr="008A72FB">
        <w:rPr>
          <w:rStyle w:val="ReferenceChar"/>
        </w:rPr>
        <w:t xml:space="preserve">, </w:t>
      </w:r>
      <w:r w:rsidRPr="008A72FB">
        <w:rPr>
          <w:rStyle w:val="ReferenceChar"/>
          <w:i/>
        </w:rPr>
        <w:t xml:space="preserve">National Education Agreement, </w:t>
      </w:r>
      <w:hyperlink r:id="rId222" w:history="1">
        <w:proofErr w:type="spellStart"/>
        <w:r w:rsidR="000B4791" w:rsidRPr="000B4791">
          <w:t>www.federalfinancialrelations.gov.au</w:t>
        </w:r>
        <w:proofErr w:type="spellEnd"/>
        <w:r w:rsidR="000B4791" w:rsidRPr="000B4791">
          <w:t>/</w:t>
        </w:r>
      </w:hyperlink>
      <w:r w:rsidR="000B4791">
        <w:t xml:space="preserve"> </w:t>
      </w:r>
      <w:r w:rsidR="008A72FB" w:rsidRPr="008A72FB">
        <w:t>content/</w:t>
      </w:r>
      <w:proofErr w:type="spellStart"/>
      <w:r w:rsidR="008A72FB" w:rsidRPr="008A72FB">
        <w:t>national_agreements</w:t>
      </w:r>
      <w:proofErr w:type="spellEnd"/>
      <w:r w:rsidR="008A72FB" w:rsidRPr="008A72FB">
        <w:t>/education/</w:t>
      </w:r>
      <w:proofErr w:type="spellStart"/>
      <w:r w:rsidR="008A72FB" w:rsidRPr="008A72FB">
        <w:t>education_agreement.pdf</w:t>
      </w:r>
      <w:proofErr w:type="spellEnd"/>
      <w:r w:rsidRPr="008A72FB">
        <w:t xml:space="preserve"> (</w:t>
      </w:r>
      <w:r w:rsidR="008A72FB" w:rsidRPr="008A72FB">
        <w:rPr>
          <w:rStyle w:val="ReferenceChar"/>
        </w:rPr>
        <w:t>accessed 24</w:t>
      </w:r>
      <w:r w:rsidR="000B4791">
        <w:rPr>
          <w:rStyle w:val="ReferenceChar"/>
        </w:rPr>
        <w:t> </w:t>
      </w:r>
      <w:r w:rsidR="008A72FB" w:rsidRPr="008A72FB">
        <w:rPr>
          <w:rStyle w:val="ReferenceChar"/>
        </w:rPr>
        <w:t>May 2012</w:t>
      </w:r>
      <w:r w:rsidRPr="008A72FB">
        <w:rPr>
          <w:rStyle w:val="ReferenceChar"/>
        </w:rPr>
        <w:t>).</w:t>
      </w:r>
    </w:p>
    <w:p w:rsidR="004506F4" w:rsidRPr="008A72FB" w:rsidRDefault="0026369A" w:rsidP="000B4791">
      <w:pPr>
        <w:pStyle w:val="Reference"/>
        <w:spacing w:before="100"/>
        <w:rPr>
          <w:rStyle w:val="ReferenceChar"/>
        </w:rPr>
      </w:pPr>
      <w:r w:rsidRPr="008A72FB">
        <w:rPr>
          <w:rStyle w:val="ReferenceChar"/>
        </w:rPr>
        <w:t xml:space="preserve">—— </w:t>
      </w:r>
      <w:proofErr w:type="spellStart"/>
      <w:r w:rsidRPr="008A72FB">
        <w:rPr>
          <w:rStyle w:val="ReferenceChar"/>
        </w:rPr>
        <w:t>2011a</w:t>
      </w:r>
      <w:proofErr w:type="spellEnd"/>
      <w:r w:rsidRPr="008A72FB">
        <w:rPr>
          <w:rStyle w:val="ReferenceChar"/>
        </w:rPr>
        <w:t xml:space="preserve">, </w:t>
      </w:r>
      <w:r w:rsidR="004506F4" w:rsidRPr="008A72FB">
        <w:rPr>
          <w:rStyle w:val="ReferenceChar"/>
          <w:i/>
        </w:rPr>
        <w:t>COAG Communiqué 1</w:t>
      </w:r>
      <w:r w:rsidR="00AF39C0" w:rsidRPr="008A72FB">
        <w:rPr>
          <w:rStyle w:val="ReferenceChar"/>
          <w:i/>
        </w:rPr>
        <w:t>9</w:t>
      </w:r>
      <w:r w:rsidR="004506F4" w:rsidRPr="008A72FB">
        <w:rPr>
          <w:rStyle w:val="ReferenceChar"/>
          <w:i/>
        </w:rPr>
        <w:t xml:space="preserve"> </w:t>
      </w:r>
      <w:r w:rsidR="00AF39C0" w:rsidRPr="008A72FB">
        <w:rPr>
          <w:rStyle w:val="ReferenceChar"/>
          <w:i/>
        </w:rPr>
        <w:t>August 2011</w:t>
      </w:r>
      <w:r w:rsidR="00AF39C0" w:rsidRPr="000B4791">
        <w:rPr>
          <w:rStyle w:val="ReferenceChar"/>
        </w:rPr>
        <w:t xml:space="preserve">, </w:t>
      </w:r>
      <w:hyperlink r:id="rId223" w:history="1">
        <w:proofErr w:type="spellStart"/>
        <w:r w:rsidR="000B4791" w:rsidRPr="000B4791">
          <w:rPr>
            <w:rStyle w:val="ReferenceChar"/>
          </w:rPr>
          <w:t>www.coag.gov.au</w:t>
        </w:r>
        <w:proofErr w:type="spellEnd"/>
        <w:r w:rsidR="000B4791" w:rsidRPr="000B4791">
          <w:rPr>
            <w:rStyle w:val="ReferenceChar"/>
          </w:rPr>
          <w:t>/</w:t>
        </w:r>
        <w:proofErr w:type="spellStart"/>
        <w:r w:rsidR="000B4791" w:rsidRPr="000B4791">
          <w:rPr>
            <w:rStyle w:val="ReferenceChar"/>
          </w:rPr>
          <w:t>coag</w:t>
        </w:r>
        <w:proofErr w:type="spellEnd"/>
        <w:r w:rsidR="000B4791" w:rsidRPr="000B4791">
          <w:rPr>
            <w:rStyle w:val="ReferenceChar"/>
          </w:rPr>
          <w:t xml:space="preserve">_ </w:t>
        </w:r>
        <w:proofErr w:type="spellStart"/>
        <w:r w:rsidR="000B4791" w:rsidRPr="000B4791">
          <w:rPr>
            <w:rStyle w:val="ReferenceChar"/>
          </w:rPr>
          <w:t>meeting_outcomes</w:t>
        </w:r>
        <w:proofErr w:type="spellEnd"/>
        <w:r w:rsidR="000B4791" w:rsidRPr="000B4791">
          <w:rPr>
            <w:rStyle w:val="ReferenceChar"/>
          </w:rPr>
          <w:t>/2011-08-19/docs/</w:t>
        </w:r>
        <w:proofErr w:type="spellStart"/>
        <w:r w:rsidR="000B4791" w:rsidRPr="000B4791">
          <w:rPr>
            <w:rStyle w:val="ReferenceChar"/>
          </w:rPr>
          <w:t>COAGCommunique19August2011.pdf</w:t>
        </w:r>
        <w:proofErr w:type="spellEnd"/>
      </w:hyperlink>
      <w:r w:rsidR="004506F4" w:rsidRPr="008A72FB">
        <w:t xml:space="preserve"> (access</w:t>
      </w:r>
      <w:r w:rsidR="004506F4" w:rsidRPr="008A72FB">
        <w:rPr>
          <w:rStyle w:val="ReferenceChar"/>
        </w:rPr>
        <w:t>ed 28 April 2012)</w:t>
      </w:r>
      <w:r w:rsidR="00712F6B">
        <w:rPr>
          <w:rStyle w:val="ReferenceChar"/>
        </w:rPr>
        <w:t>.</w:t>
      </w:r>
    </w:p>
    <w:p w:rsidR="0026369A" w:rsidRPr="008A72FB" w:rsidRDefault="004506F4" w:rsidP="000B4791">
      <w:pPr>
        <w:pStyle w:val="Reference"/>
        <w:spacing w:before="100"/>
        <w:rPr>
          <w:rStyle w:val="ReferenceChar"/>
        </w:rPr>
      </w:pPr>
      <w:r w:rsidRPr="008A72FB">
        <w:rPr>
          <w:rStyle w:val="ReferenceChar"/>
        </w:rPr>
        <w:t xml:space="preserve">—— </w:t>
      </w:r>
      <w:proofErr w:type="spellStart"/>
      <w:r w:rsidRPr="008A72FB">
        <w:rPr>
          <w:rStyle w:val="ReferenceChar"/>
        </w:rPr>
        <w:t>2011b</w:t>
      </w:r>
      <w:proofErr w:type="spellEnd"/>
      <w:r w:rsidRPr="008A72FB">
        <w:rPr>
          <w:rStyle w:val="ReferenceChar"/>
        </w:rPr>
        <w:t xml:space="preserve">, </w:t>
      </w:r>
      <w:r w:rsidR="0026369A" w:rsidRPr="008A72FB">
        <w:rPr>
          <w:rStyle w:val="ReferenceChar"/>
          <w:i/>
        </w:rPr>
        <w:t xml:space="preserve">COAG Communiqué 13 February 2011, </w:t>
      </w:r>
      <w:hyperlink r:id="rId224" w:history="1">
        <w:proofErr w:type="spellStart"/>
        <w:r w:rsidR="000B4791" w:rsidRPr="000B4791">
          <w:rPr>
            <w:rStyle w:val="ReferenceChar"/>
          </w:rPr>
          <w:t>www.coag.gov.au</w:t>
        </w:r>
        <w:proofErr w:type="spellEnd"/>
        <w:r w:rsidR="000B4791" w:rsidRPr="000B4791">
          <w:rPr>
            <w:rStyle w:val="ReferenceChar"/>
          </w:rPr>
          <w:t>/</w:t>
        </w:r>
        <w:proofErr w:type="spellStart"/>
        <w:r w:rsidR="000B4791" w:rsidRPr="000B4791">
          <w:rPr>
            <w:rStyle w:val="ReferenceChar"/>
          </w:rPr>
          <w:t>coag</w:t>
        </w:r>
        <w:proofErr w:type="spellEnd"/>
        <w:r w:rsidR="000B4791" w:rsidRPr="000B4791">
          <w:rPr>
            <w:rStyle w:val="ReferenceChar"/>
          </w:rPr>
          <w:t>_</w:t>
        </w:r>
      </w:hyperlink>
      <w:r w:rsidR="000B4791" w:rsidRPr="000B4791">
        <w:rPr>
          <w:rStyle w:val="ReferenceChar"/>
        </w:rPr>
        <w:t xml:space="preserve"> </w:t>
      </w:r>
      <w:proofErr w:type="spellStart"/>
      <w:r w:rsidR="006C0AED" w:rsidRPr="008A72FB">
        <w:t>meeting_outcomes</w:t>
      </w:r>
      <w:proofErr w:type="spellEnd"/>
      <w:r w:rsidR="006C0AED" w:rsidRPr="008A72FB">
        <w:t>/2011-02-13/docs/</w:t>
      </w:r>
      <w:proofErr w:type="spellStart"/>
      <w:r w:rsidR="006C0AED" w:rsidRPr="008A72FB">
        <w:t>communique_20110213.pdf</w:t>
      </w:r>
      <w:proofErr w:type="spellEnd"/>
      <w:r w:rsidR="006C0AED" w:rsidRPr="008A72FB">
        <w:rPr>
          <w:rStyle w:val="ReferenceChar"/>
        </w:rPr>
        <w:t xml:space="preserve"> </w:t>
      </w:r>
      <w:r w:rsidR="0026369A" w:rsidRPr="008A72FB">
        <w:rPr>
          <w:rStyle w:val="ReferenceChar"/>
        </w:rPr>
        <w:t xml:space="preserve">(accessed </w:t>
      </w:r>
      <w:r w:rsidR="000B4791">
        <w:rPr>
          <w:rStyle w:val="ReferenceChar"/>
        </w:rPr>
        <w:t>24 </w:t>
      </w:r>
      <w:r w:rsidR="006C0AED" w:rsidRPr="008A72FB">
        <w:rPr>
          <w:rStyle w:val="ReferenceChar"/>
        </w:rPr>
        <w:t>May 2012</w:t>
      </w:r>
      <w:r w:rsidR="0026369A" w:rsidRPr="008A72FB">
        <w:rPr>
          <w:rStyle w:val="ReferenceChar"/>
        </w:rPr>
        <w:t>).</w:t>
      </w:r>
    </w:p>
    <w:p w:rsidR="0026369A" w:rsidRPr="008A72FB" w:rsidRDefault="0026369A" w:rsidP="000B4791">
      <w:pPr>
        <w:pStyle w:val="Reference"/>
        <w:spacing w:before="100"/>
      </w:pPr>
      <w:r w:rsidRPr="008A72FB">
        <w:t xml:space="preserve">CRC (COAG Reform Council) 2009, </w:t>
      </w:r>
      <w:r w:rsidRPr="008A72FB">
        <w:rPr>
          <w:i/>
        </w:rPr>
        <w:t>National Education Agreement: Performance Report for 2008</w:t>
      </w:r>
      <w:r w:rsidRPr="008A72FB">
        <w:t>, CRC, Sydney.</w:t>
      </w:r>
    </w:p>
    <w:p w:rsidR="0026369A" w:rsidRPr="008A72FB" w:rsidRDefault="0026369A" w:rsidP="000B4791">
      <w:pPr>
        <w:pStyle w:val="Reference"/>
        <w:spacing w:before="100"/>
      </w:pPr>
      <w:r w:rsidRPr="008A72FB">
        <w:lastRenderedPageBreak/>
        <w:t xml:space="preserve">—— 2010, </w:t>
      </w:r>
      <w:r w:rsidRPr="008A72FB">
        <w:rPr>
          <w:i/>
        </w:rPr>
        <w:t>National Education Agreement: Performance Report for 2009</w:t>
      </w:r>
      <w:r w:rsidRPr="008A72FB">
        <w:t>, CRC, Sydney.</w:t>
      </w:r>
    </w:p>
    <w:p w:rsidR="0026369A" w:rsidRPr="008A72FB" w:rsidRDefault="0026369A" w:rsidP="000B4791">
      <w:pPr>
        <w:pStyle w:val="Reference"/>
        <w:spacing w:before="100"/>
      </w:pPr>
      <w:proofErr w:type="spellStart"/>
      <w:r w:rsidRPr="008A72FB">
        <w:t>DEECD</w:t>
      </w:r>
      <w:proofErr w:type="spellEnd"/>
      <w:r w:rsidRPr="008A72FB">
        <w:t xml:space="preserve"> (Victorian Department of Education and Early Childhood Development) 2008, </w:t>
      </w:r>
      <w:r w:rsidRPr="008A72FB">
        <w:rPr>
          <w:i/>
        </w:rPr>
        <w:t>A Research Paper to inform the development of An Early Years Learning Framework for Australia, June 2008</w:t>
      </w:r>
      <w:r w:rsidRPr="008A72FB">
        <w:t>, Melbourne.</w:t>
      </w:r>
    </w:p>
    <w:p w:rsidR="0026369A" w:rsidRPr="008A72FB" w:rsidRDefault="0026369A" w:rsidP="000B4791">
      <w:pPr>
        <w:pStyle w:val="Reference"/>
        <w:spacing w:before="100"/>
      </w:pPr>
      <w:proofErr w:type="spellStart"/>
      <w:r w:rsidRPr="008A72FB">
        <w:t>EIDOS</w:t>
      </w:r>
      <w:proofErr w:type="spellEnd"/>
      <w:r w:rsidRPr="008A72FB">
        <w:t xml:space="preserve"> 2008, </w:t>
      </w:r>
      <w:r w:rsidRPr="008A72FB">
        <w:rPr>
          <w:i/>
        </w:rPr>
        <w:t>Advantage Through Structured Flexibility Operations of Schooling Review prepared for Queensland Department of Education, Training and the Arts, 2008</w:t>
      </w:r>
      <w:r w:rsidRPr="008A72FB">
        <w:t xml:space="preserve">, </w:t>
      </w:r>
      <w:proofErr w:type="spellStart"/>
      <w:r w:rsidRPr="008A72FB">
        <w:t>education.qld.gov.au</w:t>
      </w:r>
      <w:proofErr w:type="spellEnd"/>
      <w:r w:rsidRPr="008A72FB">
        <w:t>/corporate/research/</w:t>
      </w:r>
      <w:proofErr w:type="spellStart"/>
      <w:r w:rsidRPr="008A72FB">
        <w:t>osr_final.pdf</w:t>
      </w:r>
      <w:proofErr w:type="spellEnd"/>
      <w:r w:rsidRPr="008A72FB">
        <w:t xml:space="preserve"> (accessed 23 May 2011).</w:t>
      </w:r>
    </w:p>
    <w:p w:rsidR="0026369A" w:rsidRPr="008A72FB" w:rsidRDefault="0026369A" w:rsidP="000B4791">
      <w:pPr>
        <w:pStyle w:val="Reference"/>
        <w:spacing w:before="100"/>
      </w:pPr>
      <w:r w:rsidRPr="008A72FB">
        <w:t xml:space="preserve">Field, S. </w:t>
      </w:r>
      <w:proofErr w:type="spellStart"/>
      <w:r w:rsidRPr="008A72FB">
        <w:t>Kuczera</w:t>
      </w:r>
      <w:proofErr w:type="spellEnd"/>
      <w:r w:rsidRPr="008A72FB">
        <w:t xml:space="preserve">, M. Pont, B. 2007, </w:t>
      </w:r>
      <w:r w:rsidRPr="008A72FB">
        <w:rPr>
          <w:i/>
        </w:rPr>
        <w:t>No More Failures: Ten Steps to Equity in Education</w:t>
      </w:r>
      <w:r w:rsidRPr="008A72FB">
        <w:t>, OECD, Paris.</w:t>
      </w:r>
    </w:p>
    <w:p w:rsidR="0026369A" w:rsidRPr="008A72FB" w:rsidRDefault="0026369A" w:rsidP="000B4791">
      <w:pPr>
        <w:pStyle w:val="Reference"/>
        <w:spacing w:before="100"/>
      </w:pPr>
      <w:proofErr w:type="spellStart"/>
      <w:r w:rsidRPr="008A72FB">
        <w:t>Gonski</w:t>
      </w:r>
      <w:proofErr w:type="spellEnd"/>
      <w:r w:rsidRPr="008A72FB">
        <w:t>, D., Boston, K., Greiner, K., Lawrenc</w:t>
      </w:r>
      <w:r w:rsidR="0006175B">
        <w:t xml:space="preserve">e, C., Scales, B., </w:t>
      </w:r>
      <w:proofErr w:type="spellStart"/>
      <w:r w:rsidR="0006175B">
        <w:t>Tannock</w:t>
      </w:r>
      <w:proofErr w:type="spellEnd"/>
      <w:r w:rsidR="0006175B">
        <w:t xml:space="preserve">, P. </w:t>
      </w:r>
      <w:r w:rsidRPr="008A72FB">
        <w:t>2012</w:t>
      </w:r>
      <w:r w:rsidR="001B1E03">
        <w:t>,</w:t>
      </w:r>
      <w:r w:rsidRPr="008A72FB">
        <w:t xml:space="preserve"> </w:t>
      </w:r>
      <w:r w:rsidRPr="008A72FB">
        <w:rPr>
          <w:i/>
        </w:rPr>
        <w:t>Review of Funding for Schooling—Final Report</w:t>
      </w:r>
      <w:r w:rsidRPr="008A72FB">
        <w:t>, DEEWR, Canberra.</w:t>
      </w:r>
    </w:p>
    <w:p w:rsidR="0026369A" w:rsidRPr="008A72FB" w:rsidRDefault="0026369A" w:rsidP="000B4791">
      <w:pPr>
        <w:pStyle w:val="Reference"/>
        <w:spacing w:before="100"/>
      </w:pPr>
      <w:r w:rsidRPr="008A72FB">
        <w:t xml:space="preserve">Hattie, J. 1999, </w:t>
      </w:r>
      <w:r w:rsidRPr="008A72FB">
        <w:rPr>
          <w:i/>
        </w:rPr>
        <w:t>Influences on Student Learning</w:t>
      </w:r>
      <w:r w:rsidRPr="008A72FB">
        <w:t>, Inaugural Professorial Lecture, University of Auckland, 2 August 1999.</w:t>
      </w:r>
    </w:p>
    <w:p w:rsidR="0026369A" w:rsidRPr="008A72FB" w:rsidRDefault="0026369A" w:rsidP="000B4791">
      <w:pPr>
        <w:pStyle w:val="Reference"/>
        <w:spacing w:before="100"/>
      </w:pPr>
      <w:r w:rsidRPr="008A72FB">
        <w:t xml:space="preserve">Hattie, J. 2003, </w:t>
      </w:r>
      <w:r w:rsidRPr="008A72FB">
        <w:rPr>
          <w:i/>
        </w:rPr>
        <w:t>Teachers Make a Difference: What is the Research Evidence?</w:t>
      </w:r>
      <w:r w:rsidRPr="008A72FB">
        <w:t>, Paper presented at the Australian Council for Education Research Annual Conference: Building Teacher Quality.</w:t>
      </w:r>
    </w:p>
    <w:p w:rsidR="0026369A" w:rsidRPr="008A72FB" w:rsidRDefault="0026369A" w:rsidP="000B4791">
      <w:pPr>
        <w:pStyle w:val="Reference"/>
        <w:spacing w:before="100"/>
      </w:pPr>
      <w:r w:rsidRPr="008A72FB">
        <w:t xml:space="preserve">OECD (Organisation for Economic Co-Operation and Development) 2009, </w:t>
      </w:r>
      <w:r w:rsidRPr="008A72FB">
        <w:rPr>
          <w:i/>
        </w:rPr>
        <w:t>Education at a Glance 2009</w:t>
      </w:r>
      <w:r w:rsidRPr="008A72FB">
        <w:t>, OECD, Paris.</w:t>
      </w:r>
    </w:p>
    <w:p w:rsidR="0026369A" w:rsidRPr="008A72FB" w:rsidRDefault="0026369A" w:rsidP="000B4791">
      <w:pPr>
        <w:pStyle w:val="Reference"/>
        <w:spacing w:before="100"/>
      </w:pPr>
      <w:r w:rsidRPr="008A72FB">
        <w:t xml:space="preserve">NCVER (National Centre for Vocational Education and Research) 2010, </w:t>
      </w:r>
      <w:r w:rsidRPr="008A72FB">
        <w:rPr>
          <w:i/>
        </w:rPr>
        <w:t>Australian Vocational Education and Training Statistics: VET in Schools 2009</w:t>
      </w:r>
      <w:r w:rsidRPr="008A72FB">
        <w:t>, NCVER, Adelaide.</w:t>
      </w:r>
    </w:p>
    <w:p w:rsidR="0026369A" w:rsidRPr="008A72FB" w:rsidRDefault="0026369A" w:rsidP="000B4791">
      <w:pPr>
        <w:pStyle w:val="Reference"/>
        <w:spacing w:before="100"/>
      </w:pPr>
      <w:r w:rsidRPr="008A72FB">
        <w:t>SCRGSP (Steering Committee for the Review of Government Service Provision) 201</w:t>
      </w:r>
      <w:r w:rsidR="00440663" w:rsidRPr="008A72FB">
        <w:t>2</w:t>
      </w:r>
      <w:r w:rsidRPr="008A72FB">
        <w:t xml:space="preserve">, </w:t>
      </w:r>
      <w:r w:rsidRPr="008A72FB">
        <w:rPr>
          <w:i/>
        </w:rPr>
        <w:t>Report on Government Services 201</w:t>
      </w:r>
      <w:r w:rsidR="00440663" w:rsidRPr="008A72FB">
        <w:rPr>
          <w:i/>
        </w:rPr>
        <w:t>2</w:t>
      </w:r>
      <w:r w:rsidRPr="008A72FB">
        <w:rPr>
          <w:i/>
        </w:rPr>
        <w:t>,</w:t>
      </w:r>
      <w:r w:rsidRPr="008A72FB">
        <w:t xml:space="preserve"> Productivity Commission, Canberra.</w:t>
      </w:r>
    </w:p>
    <w:p w:rsidR="0026369A" w:rsidRPr="008A72FB" w:rsidRDefault="0026369A" w:rsidP="000B4791">
      <w:pPr>
        <w:pStyle w:val="Reference"/>
        <w:spacing w:before="100"/>
      </w:pPr>
      <w:r w:rsidRPr="008A72FB">
        <w:t xml:space="preserve">—— </w:t>
      </w:r>
      <w:r w:rsidR="00440663" w:rsidRPr="008A72FB">
        <w:t>2011</w:t>
      </w:r>
      <w:r w:rsidRPr="008A72FB">
        <w:t xml:space="preserve">, </w:t>
      </w:r>
      <w:r w:rsidRPr="008A72FB">
        <w:rPr>
          <w:i/>
        </w:rPr>
        <w:t>Overcoming Indigenous Disadvantage: Key Indicators 2011</w:t>
      </w:r>
      <w:r w:rsidRPr="008A72FB">
        <w:t>, Productivity Commission, Canberra.</w:t>
      </w:r>
    </w:p>
    <w:p w:rsidR="000B4791" w:rsidRDefault="0026369A" w:rsidP="000B4791">
      <w:pPr>
        <w:pStyle w:val="Reference"/>
        <w:spacing w:before="100"/>
      </w:pPr>
      <w:proofErr w:type="spellStart"/>
      <w:r w:rsidRPr="008A72FB">
        <w:t>Teese</w:t>
      </w:r>
      <w:proofErr w:type="spellEnd"/>
      <w:r w:rsidRPr="008A72FB">
        <w:t xml:space="preserve">, R., Lamb, S. and </w:t>
      </w:r>
      <w:proofErr w:type="spellStart"/>
      <w:r w:rsidRPr="008A72FB">
        <w:t>Duru-Bellat</w:t>
      </w:r>
      <w:proofErr w:type="spellEnd"/>
      <w:r w:rsidRPr="008A72FB">
        <w:t>, M. (</w:t>
      </w:r>
      <w:proofErr w:type="spellStart"/>
      <w:r w:rsidRPr="008A72FB">
        <w:t>eds</w:t>
      </w:r>
      <w:proofErr w:type="spellEnd"/>
      <w:r w:rsidRPr="008A72FB">
        <w:t xml:space="preserve">) 2007, </w:t>
      </w:r>
      <w:r w:rsidRPr="008A72FB">
        <w:rPr>
          <w:i/>
        </w:rPr>
        <w:t>International Studies in Educational Inequality, Theory and Policy: Volume Three. Inequality: Educational Theory and Public Policy</w:t>
      </w:r>
      <w:r w:rsidRPr="008A72FB">
        <w:t>, Springer, Dordrecht, Chapter 1.</w:t>
      </w:r>
    </w:p>
    <w:p w:rsidR="0026369A" w:rsidRPr="008A72FB" w:rsidRDefault="000B4791" w:rsidP="000B4791">
      <w:pPr>
        <w:pStyle w:val="Reference"/>
        <w:spacing w:before="100"/>
      </w:pPr>
      <w:proofErr w:type="spellStart"/>
      <w:r>
        <w:t>Teese</w:t>
      </w:r>
      <w:proofErr w:type="spellEnd"/>
      <w:r>
        <w:t xml:space="preserve">, R. and </w:t>
      </w:r>
      <w:proofErr w:type="spellStart"/>
      <w:r>
        <w:t>Walstab</w:t>
      </w:r>
      <w:proofErr w:type="spellEnd"/>
      <w:r>
        <w:t xml:space="preserve">, A. 2011, </w:t>
      </w:r>
      <w:r>
        <w:rPr>
          <w:i/>
        </w:rPr>
        <w:t>From Opportunity to Outcomes. The Changing Role of Public Schooling in Australian and National Funding Arrangements</w:t>
      </w:r>
      <w:r w:rsidRPr="000B4791">
        <w:t xml:space="preserve">, </w:t>
      </w:r>
      <w:r>
        <w:t>Centre for Research on Education Systems, The University of Melbourne.</w:t>
      </w:r>
    </w:p>
    <w:p w:rsidR="00245EE5" w:rsidRDefault="0026369A" w:rsidP="000B4791">
      <w:pPr>
        <w:pStyle w:val="Reference"/>
        <w:spacing w:before="100"/>
      </w:pPr>
      <w:proofErr w:type="spellStart"/>
      <w:r w:rsidRPr="008A72FB">
        <w:t>Watterston</w:t>
      </w:r>
      <w:proofErr w:type="spellEnd"/>
      <w:r w:rsidRPr="008A72FB">
        <w:t xml:space="preserve">, J. 2010, </w:t>
      </w:r>
      <w:r w:rsidRPr="008A72FB">
        <w:rPr>
          <w:i/>
        </w:rPr>
        <w:t>School Size and Student Outcomes in ACT Public Schools: A Catalyst for Further Investigation and Discussion</w:t>
      </w:r>
      <w:r w:rsidRPr="008A72FB">
        <w:t>, Centre for Strategic Education Occasional Papers Number 117, September 2010, Melbourne.</w:t>
      </w:r>
    </w:p>
    <w:p w:rsidR="0026369A" w:rsidRPr="00192BC8" w:rsidRDefault="0026369A" w:rsidP="00192BC8">
      <w:pPr>
        <w:pStyle w:val="Heading2"/>
      </w:pPr>
      <w:r>
        <w:br w:type="page"/>
      </w:r>
      <w:bookmarkStart w:id="48" w:name="_Toc233786544"/>
      <w:bookmarkStart w:id="49" w:name="_Toc233901779"/>
      <w:r w:rsidRPr="00192BC8">
        <w:lastRenderedPageBreak/>
        <w:t>Acronyms and abbreviations</w:t>
      </w:r>
      <w:bookmarkEnd w:id="48"/>
      <w:bookmarkEnd w:id="49"/>
    </w:p>
    <w:p w:rsidR="0026369A" w:rsidRDefault="0026369A" w:rsidP="00EE3827">
      <w:pPr>
        <w:pStyle w:val="Abbreviation"/>
      </w:pPr>
      <w:r>
        <w:t>AATSIHS</w:t>
      </w:r>
      <w:r>
        <w:tab/>
        <w:t xml:space="preserve">Australian Aboriginal and Torres Strait Islander </w:t>
      </w:r>
      <w:r w:rsidR="001B1E03">
        <w:t>Health</w:t>
      </w:r>
      <w:r>
        <w:t xml:space="preserve"> Survey</w:t>
      </w:r>
      <w:r>
        <w:rPr>
          <w:rStyle w:val="FootnoteReference"/>
        </w:rPr>
        <w:footnoteReference w:id="6"/>
      </w:r>
    </w:p>
    <w:p w:rsidR="0026369A" w:rsidRDefault="0026369A" w:rsidP="0026369A">
      <w:pPr>
        <w:pStyle w:val="Abbreviation"/>
      </w:pPr>
      <w:r>
        <w:t>ABS</w:t>
      </w:r>
      <w:r>
        <w:tab/>
        <w:t>Australian Bureau of Statistics</w:t>
      </w:r>
    </w:p>
    <w:p w:rsidR="0026369A" w:rsidRDefault="0026369A" w:rsidP="0026369A">
      <w:pPr>
        <w:pStyle w:val="Abbreviation"/>
      </w:pPr>
      <w:r>
        <w:t>ACARA</w:t>
      </w:r>
      <w:r>
        <w:tab/>
        <w:t>Australian Curriculum Assessment and Reporting Authority</w:t>
      </w:r>
    </w:p>
    <w:p w:rsidR="0026369A" w:rsidRDefault="0026369A" w:rsidP="0026369A">
      <w:pPr>
        <w:pStyle w:val="Abbreviation"/>
      </w:pPr>
      <w:r>
        <w:t>ACER</w:t>
      </w:r>
      <w:r>
        <w:tab/>
        <w:t>Australian Council for Educational Research</w:t>
      </w:r>
    </w:p>
    <w:p w:rsidR="0026369A" w:rsidRDefault="0026369A" w:rsidP="0026369A">
      <w:pPr>
        <w:pStyle w:val="Abbreviation"/>
      </w:pPr>
      <w:r>
        <w:t>ACT</w:t>
      </w:r>
      <w:r>
        <w:tab/>
        <w:t>Australian Capital Territory</w:t>
      </w:r>
    </w:p>
    <w:p w:rsidR="0026369A" w:rsidRDefault="0026369A" w:rsidP="0026369A">
      <w:pPr>
        <w:pStyle w:val="Abbreviation"/>
      </w:pPr>
      <w:proofErr w:type="spellStart"/>
      <w:r>
        <w:t>AEDI</w:t>
      </w:r>
      <w:proofErr w:type="spellEnd"/>
      <w:r>
        <w:tab/>
        <w:t>Australian Early Development Index</w:t>
      </w:r>
    </w:p>
    <w:p w:rsidR="0026369A" w:rsidRDefault="0026369A" w:rsidP="0026369A">
      <w:pPr>
        <w:pStyle w:val="Abbreviation"/>
      </w:pPr>
      <w:r>
        <w:t>AIM</w:t>
      </w:r>
      <w:r>
        <w:tab/>
        <w:t>Achievement Improvement Monitor test</w:t>
      </w:r>
    </w:p>
    <w:p w:rsidR="0026369A" w:rsidRDefault="0026369A" w:rsidP="0026369A">
      <w:pPr>
        <w:pStyle w:val="Abbreviation"/>
      </w:pPr>
      <w:proofErr w:type="spellStart"/>
      <w:r>
        <w:t>AQF</w:t>
      </w:r>
      <w:proofErr w:type="spellEnd"/>
      <w:r>
        <w:tab/>
        <w:t>Australian Qualifications Framework</w:t>
      </w:r>
    </w:p>
    <w:p w:rsidR="001B1E03" w:rsidRDefault="001B1E03" w:rsidP="00EE3827">
      <w:pPr>
        <w:pStyle w:val="Abbreviation"/>
      </w:pPr>
      <w:proofErr w:type="spellStart"/>
      <w:r>
        <w:t>ARA</w:t>
      </w:r>
      <w:proofErr w:type="spellEnd"/>
      <w:r>
        <w:tab/>
        <w:t>Any Responsible Adult</w:t>
      </w:r>
    </w:p>
    <w:p w:rsidR="0026369A" w:rsidRDefault="0026369A" w:rsidP="0026369A">
      <w:pPr>
        <w:pStyle w:val="Abbreviation"/>
      </w:pPr>
      <w:r>
        <w:t>ARIA</w:t>
      </w:r>
      <w:r>
        <w:tab/>
        <w:t>Accessibility and Remoteness Index for Australia</w:t>
      </w:r>
    </w:p>
    <w:p w:rsidR="00192BC8" w:rsidRDefault="00192BC8" w:rsidP="00EE3827">
      <w:pPr>
        <w:pStyle w:val="Abbreviation"/>
      </w:pPr>
      <w:proofErr w:type="spellStart"/>
      <w:r>
        <w:t>ASCED</w:t>
      </w:r>
      <w:proofErr w:type="spellEnd"/>
      <w:r>
        <w:tab/>
      </w:r>
      <w:r w:rsidRPr="00192BC8">
        <w:t>Australian Standard Classification of Education</w:t>
      </w:r>
    </w:p>
    <w:p w:rsidR="0026369A" w:rsidRDefault="0026369A" w:rsidP="0026369A">
      <w:pPr>
        <w:pStyle w:val="Abbreviation"/>
      </w:pPr>
      <w:proofErr w:type="spellStart"/>
      <w:r>
        <w:t>Aust</w:t>
      </w:r>
      <w:proofErr w:type="spellEnd"/>
      <w:r>
        <w:tab/>
        <w:t>Australia</w:t>
      </w:r>
    </w:p>
    <w:p w:rsidR="0026369A" w:rsidRDefault="0026369A" w:rsidP="0026369A">
      <w:pPr>
        <w:pStyle w:val="Abbreviation"/>
      </w:pPr>
      <w:r>
        <w:t>Census</w:t>
      </w:r>
      <w:r>
        <w:tab/>
        <w:t>ABS Census of Population and Housing</w:t>
      </w:r>
    </w:p>
    <w:p w:rsidR="0026369A" w:rsidRDefault="0026369A" w:rsidP="0026369A">
      <w:pPr>
        <w:pStyle w:val="Abbreviation"/>
      </w:pPr>
      <w:r>
        <w:t>CI</w:t>
      </w:r>
      <w:r>
        <w:tab/>
        <w:t>Confidence Interval</w:t>
      </w:r>
    </w:p>
    <w:p w:rsidR="0026369A" w:rsidRDefault="0026369A" w:rsidP="0026369A">
      <w:pPr>
        <w:pStyle w:val="Abbreviation"/>
      </w:pPr>
      <w:r>
        <w:t>COAG</w:t>
      </w:r>
      <w:r>
        <w:tab/>
        <w:t>Council of Australian Governments</w:t>
      </w:r>
    </w:p>
    <w:p w:rsidR="0026369A" w:rsidRDefault="0026369A" w:rsidP="0026369A">
      <w:pPr>
        <w:pStyle w:val="Abbreviation"/>
      </w:pPr>
      <w:r>
        <w:t>CRC</w:t>
      </w:r>
      <w:r>
        <w:tab/>
        <w:t>COAG Reform Council</w:t>
      </w:r>
    </w:p>
    <w:p w:rsidR="00192BC8" w:rsidRDefault="00192BC8" w:rsidP="00EE3827">
      <w:pPr>
        <w:pStyle w:val="Abbreviation"/>
      </w:pPr>
      <w:proofErr w:type="spellStart"/>
      <w:r>
        <w:t>CURF</w:t>
      </w:r>
      <w:proofErr w:type="spellEnd"/>
      <w:r>
        <w:tab/>
        <w:t>Confidentialised Unit Record File</w:t>
      </w:r>
    </w:p>
    <w:p w:rsidR="0026369A" w:rsidRDefault="0026369A" w:rsidP="0026369A">
      <w:pPr>
        <w:pStyle w:val="Abbreviation"/>
      </w:pPr>
      <w:r>
        <w:t>DEEWR</w:t>
      </w:r>
      <w:r>
        <w:tab/>
        <w:t>Department of Education, Employment and Workplace Relations</w:t>
      </w:r>
    </w:p>
    <w:p w:rsidR="0026369A" w:rsidRDefault="0026369A" w:rsidP="0026369A">
      <w:pPr>
        <w:pStyle w:val="Abbreviation"/>
      </w:pPr>
      <w:r>
        <w:t>DQS</w:t>
      </w:r>
      <w:r>
        <w:tab/>
        <w:t>Data Quality Statement</w:t>
      </w:r>
    </w:p>
    <w:p w:rsidR="00811B23" w:rsidRDefault="00811B23" w:rsidP="00EE3827">
      <w:pPr>
        <w:pStyle w:val="Abbreviation"/>
      </w:pPr>
      <w:r>
        <w:t>ERP</w:t>
      </w:r>
      <w:r>
        <w:tab/>
      </w:r>
      <w:r w:rsidRPr="00286B28">
        <w:t>Estimated Resident Population</w:t>
      </w:r>
    </w:p>
    <w:p w:rsidR="0026369A" w:rsidRDefault="0026369A" w:rsidP="0026369A">
      <w:pPr>
        <w:pStyle w:val="Abbreviation"/>
      </w:pPr>
      <w:r>
        <w:t>FTE</w:t>
      </w:r>
      <w:r>
        <w:tab/>
        <w:t>full time equivalent</w:t>
      </w:r>
    </w:p>
    <w:p w:rsidR="00192BC8" w:rsidRDefault="00192BC8" w:rsidP="0026369A">
      <w:pPr>
        <w:pStyle w:val="Abbreviation"/>
      </w:pPr>
      <w:proofErr w:type="spellStart"/>
      <w:r>
        <w:t>ICSEA</w:t>
      </w:r>
      <w:proofErr w:type="spellEnd"/>
      <w:r>
        <w:tab/>
        <w:t>Index of Community Socio</w:t>
      </w:r>
      <w:r>
        <w:noBreakHyphen/>
        <w:t>Educational Advantage</w:t>
      </w:r>
    </w:p>
    <w:p w:rsidR="0026369A" w:rsidRDefault="0026369A" w:rsidP="0026369A">
      <w:pPr>
        <w:pStyle w:val="Abbreviation"/>
      </w:pPr>
      <w:r>
        <w:t>IGA</w:t>
      </w:r>
      <w:r>
        <w:tab/>
        <w:t xml:space="preserve">Intergovernmental Agreement </w:t>
      </w:r>
      <w:r w:rsidRPr="00133A60">
        <w:t>on Federal Financial Relations</w:t>
      </w:r>
    </w:p>
    <w:p w:rsidR="0026369A" w:rsidRDefault="0026369A" w:rsidP="0026369A">
      <w:pPr>
        <w:pStyle w:val="Abbreviation"/>
      </w:pPr>
      <w:r>
        <w:t>IRSD</w:t>
      </w:r>
      <w:r>
        <w:tab/>
        <w:t>Index of Relative Socioeconomic Disadvantage</w:t>
      </w:r>
    </w:p>
    <w:p w:rsidR="0026369A" w:rsidRDefault="0026369A" w:rsidP="0026369A">
      <w:pPr>
        <w:pStyle w:val="Abbreviation"/>
      </w:pPr>
      <w:r>
        <w:lastRenderedPageBreak/>
        <w:t>LBOTE</w:t>
      </w:r>
      <w:r>
        <w:tab/>
        <w:t>Language background other than English</w:t>
      </w:r>
    </w:p>
    <w:p w:rsidR="0026369A" w:rsidRDefault="0026369A" w:rsidP="0026369A">
      <w:pPr>
        <w:pStyle w:val="Abbreviation"/>
      </w:pPr>
      <w:proofErr w:type="spellStart"/>
      <w:r>
        <w:t>LFS</w:t>
      </w:r>
      <w:proofErr w:type="spellEnd"/>
      <w:r>
        <w:tab/>
        <w:t>Labour Force Survey</w:t>
      </w:r>
    </w:p>
    <w:p w:rsidR="0026369A" w:rsidRDefault="0026369A" w:rsidP="00EE3827">
      <w:pPr>
        <w:pStyle w:val="Abbreviation"/>
      </w:pPr>
      <w:r>
        <w:t>MCEECDYA</w:t>
      </w:r>
      <w:r>
        <w:tab/>
        <w:t xml:space="preserve">Ministerial Council </w:t>
      </w:r>
      <w:r w:rsidR="00864D80">
        <w:t>for</w:t>
      </w:r>
      <w:r>
        <w:t xml:space="preserve"> </w:t>
      </w:r>
      <w:r w:rsidR="00751CF2">
        <w:t>Education</w:t>
      </w:r>
      <w:r>
        <w:t>, Early Childhood Development and Youth Affairs</w:t>
      </w:r>
    </w:p>
    <w:p w:rsidR="0026369A" w:rsidRDefault="0026369A" w:rsidP="0026369A">
      <w:pPr>
        <w:pStyle w:val="Abbreviation"/>
      </w:pPr>
      <w:r>
        <w:t>MCEETYA</w:t>
      </w:r>
      <w:r>
        <w:tab/>
        <w:t>Ministerial Council on Education, Employment, Training and Youth Affairs</w:t>
      </w:r>
    </w:p>
    <w:p w:rsidR="0026369A" w:rsidRDefault="0026369A" w:rsidP="0026369A">
      <w:pPr>
        <w:pStyle w:val="Abbreviation"/>
      </w:pPr>
      <w:r>
        <w:t>NA</w:t>
      </w:r>
      <w:r>
        <w:tab/>
        <w:t>National Agreement</w:t>
      </w:r>
    </w:p>
    <w:p w:rsidR="0026369A" w:rsidRDefault="0026369A" w:rsidP="0026369A">
      <w:pPr>
        <w:pStyle w:val="Abbreviation"/>
      </w:pPr>
      <w:r>
        <w:t>NAPLAN</w:t>
      </w:r>
      <w:r>
        <w:tab/>
        <w:t>National Assessment Program – Literacy and Numeracy</w:t>
      </w:r>
    </w:p>
    <w:p w:rsidR="0026369A" w:rsidRDefault="0026369A" w:rsidP="0026369A">
      <w:pPr>
        <w:pStyle w:val="Abbreviation"/>
      </w:pPr>
      <w:r>
        <w:t>NASWD</w:t>
      </w:r>
      <w:r>
        <w:tab/>
        <w:t>National Agreement for Skills and Workforce Development</w:t>
      </w:r>
    </w:p>
    <w:p w:rsidR="0026369A" w:rsidRDefault="0026369A" w:rsidP="0026369A">
      <w:pPr>
        <w:pStyle w:val="Abbreviation"/>
      </w:pPr>
      <w:r>
        <w:t>NATSIHS</w:t>
      </w:r>
      <w:r>
        <w:tab/>
      </w:r>
      <w:r w:rsidRPr="005C7E38">
        <w:t>National Aboriginal and Torres Strait Islander Health Survey</w:t>
      </w:r>
    </w:p>
    <w:p w:rsidR="0026369A" w:rsidRDefault="0026369A" w:rsidP="0026369A">
      <w:pPr>
        <w:pStyle w:val="Abbreviation"/>
      </w:pPr>
      <w:r>
        <w:t>NATSISS</w:t>
      </w:r>
      <w:r>
        <w:tab/>
        <w:t>National Aboriginal and Torres Strait Islander Social Survey</w:t>
      </w:r>
    </w:p>
    <w:p w:rsidR="0026369A" w:rsidRDefault="0026369A" w:rsidP="0026369A">
      <w:pPr>
        <w:pStyle w:val="Abbreviation"/>
      </w:pPr>
      <w:r>
        <w:t>NCVER</w:t>
      </w:r>
      <w:r>
        <w:tab/>
        <w:t>National Centre for Vocational Education Research</w:t>
      </w:r>
    </w:p>
    <w:p w:rsidR="0026369A" w:rsidRDefault="0026369A" w:rsidP="0026369A">
      <w:pPr>
        <w:pStyle w:val="Abbreviation"/>
      </w:pPr>
      <w:r>
        <w:t>NEA</w:t>
      </w:r>
      <w:r>
        <w:tab/>
        <w:t>National Education Agreement</w:t>
      </w:r>
    </w:p>
    <w:p w:rsidR="0026369A" w:rsidRDefault="0026369A" w:rsidP="0026369A">
      <w:pPr>
        <w:pStyle w:val="Abbreviation"/>
      </w:pPr>
      <w:r>
        <w:t>NIRA</w:t>
      </w:r>
      <w:r>
        <w:tab/>
        <w:t>National Indigenous Reform Agreement</w:t>
      </w:r>
    </w:p>
    <w:p w:rsidR="0026369A" w:rsidRDefault="0026369A" w:rsidP="0026369A">
      <w:pPr>
        <w:pStyle w:val="Abbreviation"/>
      </w:pPr>
      <w:r>
        <w:t>NP</w:t>
      </w:r>
      <w:r>
        <w:tab/>
        <w:t xml:space="preserve">National Partnership </w:t>
      </w:r>
    </w:p>
    <w:p w:rsidR="0026369A" w:rsidRDefault="0026369A" w:rsidP="0026369A">
      <w:pPr>
        <w:pStyle w:val="Abbreviation"/>
      </w:pPr>
      <w:r>
        <w:t>NSAC</w:t>
      </w:r>
      <w:r>
        <w:tab/>
        <w:t xml:space="preserve">National </w:t>
      </w:r>
      <w:r w:rsidR="0059154B">
        <w:t>Schools</w:t>
      </w:r>
      <w:r>
        <w:t xml:space="preserve"> Attendance Collection</w:t>
      </w:r>
    </w:p>
    <w:p w:rsidR="0026369A" w:rsidRDefault="0026369A" w:rsidP="0026369A">
      <w:pPr>
        <w:pStyle w:val="Abbreviation"/>
      </w:pPr>
      <w:r>
        <w:t>NSSC</w:t>
      </w:r>
      <w:r>
        <w:tab/>
        <w:t>National Schools Statistics Collection</w:t>
      </w:r>
    </w:p>
    <w:p w:rsidR="0026369A" w:rsidRDefault="0026369A" w:rsidP="0026369A">
      <w:pPr>
        <w:pStyle w:val="Abbreviation"/>
      </w:pPr>
      <w:r>
        <w:t>NSW</w:t>
      </w:r>
      <w:r>
        <w:tab/>
        <w:t>New South Wales</w:t>
      </w:r>
    </w:p>
    <w:p w:rsidR="0026369A" w:rsidRDefault="0026369A" w:rsidP="0026369A">
      <w:pPr>
        <w:pStyle w:val="Abbreviation"/>
      </w:pPr>
      <w:r>
        <w:t>NT</w:t>
      </w:r>
      <w:r>
        <w:tab/>
        <w:t>Northern Territory</w:t>
      </w:r>
    </w:p>
    <w:p w:rsidR="0026369A" w:rsidRDefault="0026369A" w:rsidP="0026369A">
      <w:pPr>
        <w:pStyle w:val="Abbreviation"/>
      </w:pPr>
      <w:proofErr w:type="spellStart"/>
      <w:r>
        <w:t>NYPR</w:t>
      </w:r>
      <w:proofErr w:type="spellEnd"/>
      <w:r>
        <w:tab/>
        <w:t>National Youth Participation Requirement</w:t>
      </w:r>
    </w:p>
    <w:p w:rsidR="0026369A" w:rsidRDefault="0026369A" w:rsidP="0026369A">
      <w:pPr>
        <w:pStyle w:val="Abbreviation"/>
      </w:pPr>
      <w:r>
        <w:t>OECD</w:t>
      </w:r>
      <w:r>
        <w:tab/>
        <w:t>Organisation for Economic Co-Operation and Development</w:t>
      </w:r>
    </w:p>
    <w:p w:rsidR="00192BC8" w:rsidRDefault="00192BC8" w:rsidP="00EE3827">
      <w:pPr>
        <w:pStyle w:val="Abbreviation"/>
      </w:pPr>
      <w:r>
        <w:t>PI</w:t>
      </w:r>
      <w:r>
        <w:tab/>
        <w:t>Performance Indicator</w:t>
      </w:r>
    </w:p>
    <w:p w:rsidR="00811B23" w:rsidRDefault="00811B23" w:rsidP="00EE3827">
      <w:pPr>
        <w:pStyle w:val="Abbreviation"/>
      </w:pPr>
      <w:r>
        <w:t>PIF</w:t>
      </w:r>
      <w:r>
        <w:tab/>
        <w:t>Performance Indicator Framework</w:t>
      </w:r>
    </w:p>
    <w:p w:rsidR="00811B23" w:rsidRDefault="00811B23" w:rsidP="00EE3827">
      <w:pPr>
        <w:pStyle w:val="Abbreviation"/>
      </w:pPr>
      <w:r>
        <w:t>PIRLS</w:t>
      </w:r>
      <w:r>
        <w:tab/>
        <w:t>Progress in International Reading Literacy Study</w:t>
      </w:r>
    </w:p>
    <w:p w:rsidR="0026369A" w:rsidRDefault="0026369A" w:rsidP="0026369A">
      <w:pPr>
        <w:pStyle w:val="Abbreviation"/>
      </w:pPr>
      <w:r>
        <w:t>PISA</w:t>
      </w:r>
      <w:r>
        <w:tab/>
        <w:t>Programme for International Student Assessment</w:t>
      </w:r>
    </w:p>
    <w:p w:rsidR="0026369A" w:rsidRDefault="0026369A" w:rsidP="0026369A">
      <w:pPr>
        <w:pStyle w:val="Abbreviation"/>
      </w:pPr>
      <w:r>
        <w:t>Qld</w:t>
      </w:r>
      <w:r>
        <w:tab/>
        <w:t>Queensland</w:t>
      </w:r>
    </w:p>
    <w:p w:rsidR="0026369A" w:rsidRDefault="0026369A" w:rsidP="0026369A">
      <w:pPr>
        <w:pStyle w:val="Abbreviation"/>
      </w:pPr>
      <w:proofErr w:type="spellStart"/>
      <w:r>
        <w:t>RSE</w:t>
      </w:r>
      <w:proofErr w:type="spellEnd"/>
      <w:r>
        <w:tab/>
        <w:t>relative standard error</w:t>
      </w:r>
    </w:p>
    <w:p w:rsidR="0026369A" w:rsidRDefault="0026369A" w:rsidP="0026369A">
      <w:pPr>
        <w:pStyle w:val="Abbreviation"/>
      </w:pPr>
      <w:r>
        <w:t>SA</w:t>
      </w:r>
      <w:r>
        <w:tab/>
        <w:t>South Australia</w:t>
      </w:r>
    </w:p>
    <w:p w:rsidR="0026369A" w:rsidRDefault="0026369A" w:rsidP="0026369A">
      <w:pPr>
        <w:pStyle w:val="Abbreviation"/>
      </w:pPr>
      <w:r>
        <w:t>SCFFR</w:t>
      </w:r>
      <w:r>
        <w:tab/>
        <w:t>Standing Council on Federal Financial Relations</w:t>
      </w:r>
    </w:p>
    <w:p w:rsidR="0026369A" w:rsidRDefault="0026369A" w:rsidP="0026369A">
      <w:pPr>
        <w:pStyle w:val="Abbreviation"/>
      </w:pPr>
      <w:r>
        <w:t>SCRGSP</w:t>
      </w:r>
      <w:r>
        <w:tab/>
        <w:t>Steering Committee for the Review of Government Service Provision</w:t>
      </w:r>
    </w:p>
    <w:p w:rsidR="009D3B2D" w:rsidRDefault="009D3B2D" w:rsidP="00EE3827">
      <w:pPr>
        <w:pStyle w:val="Abbreviation"/>
      </w:pPr>
      <w:r>
        <w:lastRenderedPageBreak/>
        <w:t>SCSEEC</w:t>
      </w:r>
      <w:r>
        <w:tab/>
      </w:r>
      <w:r w:rsidRPr="00386E92">
        <w:t>Standing Council on School Education and Early Childhood</w:t>
      </w:r>
    </w:p>
    <w:p w:rsidR="00192BC8" w:rsidRDefault="00712F6B" w:rsidP="00EE3827">
      <w:pPr>
        <w:pStyle w:val="Abbreviation"/>
      </w:pPr>
      <w:r>
        <w:t>SD</w:t>
      </w:r>
      <w:r>
        <w:tab/>
        <w:t>Statistical Division</w:t>
      </w:r>
    </w:p>
    <w:p w:rsidR="0026369A" w:rsidRDefault="0026369A" w:rsidP="0026369A">
      <w:pPr>
        <w:pStyle w:val="Abbreviation"/>
      </w:pPr>
      <w:r>
        <w:t>SEIFA</w:t>
      </w:r>
      <w:r>
        <w:tab/>
      </w:r>
      <w:r w:rsidRPr="00E70DAD">
        <w:t>Socio</w:t>
      </w:r>
      <w:r>
        <w:t>-</w:t>
      </w:r>
      <w:r w:rsidRPr="00E70DAD">
        <w:t>economic Indexes for Areas</w:t>
      </w:r>
    </w:p>
    <w:p w:rsidR="0026369A" w:rsidRDefault="0026369A" w:rsidP="0026369A">
      <w:pPr>
        <w:pStyle w:val="Abbreviation"/>
      </w:pPr>
      <w:r>
        <w:t>SES</w:t>
      </w:r>
      <w:r>
        <w:tab/>
        <w:t>socioeconomic status</w:t>
      </w:r>
    </w:p>
    <w:p w:rsidR="0026369A" w:rsidRDefault="0026369A" w:rsidP="0026369A">
      <w:pPr>
        <w:pStyle w:val="Abbreviation"/>
      </w:pPr>
      <w:r>
        <w:t>SEW</w:t>
      </w:r>
      <w:r>
        <w:tab/>
        <w:t>Survey of Education and Work</w:t>
      </w:r>
    </w:p>
    <w:p w:rsidR="0026369A" w:rsidRDefault="0026369A" w:rsidP="0026369A">
      <w:pPr>
        <w:pStyle w:val="Abbreviation"/>
      </w:pPr>
      <w:proofErr w:type="spellStart"/>
      <w:r>
        <w:t>SPP</w:t>
      </w:r>
      <w:proofErr w:type="spellEnd"/>
      <w:r>
        <w:tab/>
        <w:t>Specific Purpose Payment</w:t>
      </w:r>
    </w:p>
    <w:p w:rsidR="0026369A" w:rsidRDefault="0026369A" w:rsidP="0026369A">
      <w:pPr>
        <w:pStyle w:val="Abbreviation"/>
      </w:pPr>
      <w:r>
        <w:t>Tas</w:t>
      </w:r>
      <w:r>
        <w:tab/>
        <w:t>Tasmania</w:t>
      </w:r>
    </w:p>
    <w:p w:rsidR="0026369A" w:rsidRDefault="0026369A" w:rsidP="0026369A">
      <w:pPr>
        <w:pStyle w:val="Abbreviation"/>
      </w:pPr>
      <w:r>
        <w:t>TIMSS</w:t>
      </w:r>
      <w:r>
        <w:tab/>
        <w:t>Trends in International Mathematics and Science Study</w:t>
      </w:r>
    </w:p>
    <w:p w:rsidR="0026369A" w:rsidRDefault="0026369A" w:rsidP="0026369A">
      <w:pPr>
        <w:pStyle w:val="Abbreviation"/>
      </w:pPr>
      <w:proofErr w:type="spellStart"/>
      <w:r>
        <w:t>VCE</w:t>
      </w:r>
      <w:proofErr w:type="spellEnd"/>
      <w:r>
        <w:tab/>
        <w:t>Victorian Certificate of Education</w:t>
      </w:r>
    </w:p>
    <w:p w:rsidR="0026369A" w:rsidRDefault="0026369A" w:rsidP="0026369A">
      <w:pPr>
        <w:pStyle w:val="Abbreviation"/>
      </w:pPr>
      <w:r>
        <w:t>VET</w:t>
      </w:r>
      <w:r>
        <w:tab/>
        <w:t>vocational education and training</w:t>
      </w:r>
    </w:p>
    <w:p w:rsidR="0026369A" w:rsidRDefault="0026369A" w:rsidP="0026369A">
      <w:pPr>
        <w:pStyle w:val="Abbreviation"/>
      </w:pPr>
      <w:r>
        <w:t>Vic</w:t>
      </w:r>
      <w:r>
        <w:tab/>
        <w:t>Victoria</w:t>
      </w:r>
    </w:p>
    <w:p w:rsidR="0026369A" w:rsidRDefault="0026369A" w:rsidP="0026369A">
      <w:pPr>
        <w:pStyle w:val="Abbreviation"/>
      </w:pPr>
      <w:r>
        <w:t>WA</w:t>
      </w:r>
      <w:r>
        <w:tab/>
        <w:t>Western Australia</w:t>
      </w:r>
    </w:p>
    <w:p w:rsidR="0026369A" w:rsidRDefault="0026369A" w:rsidP="0026369A">
      <w:pPr>
        <w:pStyle w:val="Abbreviation"/>
        <w:tabs>
          <w:tab w:val="left" w:pos="2694"/>
        </w:tabs>
        <w:ind w:left="0" w:firstLine="0"/>
      </w:pPr>
    </w:p>
    <w:p w:rsidR="0026369A" w:rsidRPr="004A48AE" w:rsidRDefault="0026369A" w:rsidP="00245EE5">
      <w:pPr>
        <w:pStyle w:val="Heading2"/>
        <w:spacing w:after="100" w:line="320" w:lineRule="atLeast"/>
      </w:pPr>
      <w:r>
        <w:br w:type="page"/>
      </w:r>
      <w:bookmarkStart w:id="50" w:name="_Toc233786545"/>
      <w:bookmarkStart w:id="51" w:name="_Toc233901780"/>
      <w:r w:rsidRPr="004A48AE">
        <w:lastRenderedPageBreak/>
        <w:t>Glossary</w:t>
      </w:r>
      <w:bookmarkEnd w:id="50"/>
      <w:bookmarkEnd w:id="51"/>
    </w:p>
    <w:tbl>
      <w:tblPr>
        <w:tblW w:w="0" w:type="auto"/>
        <w:tblLayout w:type="fixed"/>
        <w:tblCellMar>
          <w:left w:w="0" w:type="dxa"/>
          <w:right w:w="0" w:type="dxa"/>
        </w:tblCellMar>
        <w:tblLook w:val="0000" w:firstRow="0" w:lastRow="0" w:firstColumn="0" w:lastColumn="0" w:noHBand="0" w:noVBand="0"/>
      </w:tblPr>
      <w:tblGrid>
        <w:gridCol w:w="2410"/>
        <w:gridCol w:w="6379"/>
      </w:tblGrid>
      <w:tr w:rsidR="0026369A" w:rsidTr="00192BC8">
        <w:tc>
          <w:tcPr>
            <w:tcW w:w="2410" w:type="dxa"/>
          </w:tcPr>
          <w:p w:rsidR="0026369A" w:rsidRPr="00A9556E" w:rsidRDefault="0026369A" w:rsidP="0026369A">
            <w:pPr>
              <w:pStyle w:val="TableBodyText"/>
              <w:spacing w:before="60" w:after="60"/>
              <w:ind w:left="0"/>
              <w:jc w:val="left"/>
              <w:rPr>
                <w:b/>
              </w:rPr>
            </w:pPr>
            <w:r w:rsidRPr="00A9556E">
              <w:rPr>
                <w:b/>
              </w:rPr>
              <w:t>Apparent retention rates</w:t>
            </w:r>
          </w:p>
        </w:tc>
        <w:tc>
          <w:tcPr>
            <w:tcW w:w="6379" w:type="dxa"/>
          </w:tcPr>
          <w:p w:rsidR="0026369A" w:rsidRDefault="0026369A" w:rsidP="0026369A">
            <w:pPr>
              <w:pStyle w:val="TableBodyText"/>
              <w:spacing w:before="60" w:after="60"/>
              <w:ind w:left="0" w:right="28"/>
              <w:jc w:val="left"/>
            </w:pPr>
            <w:r>
              <w:t>The number of full time students in a designated year of schooling, expressed as a percentage of their respective cohort group at an earlier base year. For example, the year 12 retention rate is calculated by dividing the total number of full time students in year 12 in the target year by the total number of full time students in year 10 two years before the target year.</w:t>
            </w:r>
          </w:p>
        </w:tc>
      </w:tr>
      <w:tr w:rsidR="0026369A" w:rsidTr="0026369A">
        <w:tc>
          <w:tcPr>
            <w:tcW w:w="2410" w:type="dxa"/>
          </w:tcPr>
          <w:p w:rsidR="0026369A" w:rsidRPr="00A9556E" w:rsidRDefault="0026369A" w:rsidP="0026369A">
            <w:pPr>
              <w:pStyle w:val="TableBodyText"/>
              <w:spacing w:before="60" w:after="60"/>
              <w:ind w:left="0"/>
              <w:jc w:val="left"/>
              <w:rPr>
                <w:b/>
              </w:rPr>
            </w:pPr>
            <w:r w:rsidRPr="00A9556E">
              <w:rPr>
                <w:b/>
              </w:rPr>
              <w:t>Full time equivalent student</w:t>
            </w:r>
          </w:p>
        </w:tc>
        <w:tc>
          <w:tcPr>
            <w:tcW w:w="6379" w:type="dxa"/>
          </w:tcPr>
          <w:p w:rsidR="0026369A" w:rsidRDefault="0026369A" w:rsidP="0026369A">
            <w:pPr>
              <w:pStyle w:val="TableBodyText"/>
              <w:spacing w:before="60" w:after="60"/>
              <w:ind w:right="28"/>
              <w:jc w:val="left"/>
            </w:pPr>
            <w:r>
              <w:t xml:space="preserve">This is the addition of those defined as </w:t>
            </w:r>
            <w:r w:rsidR="001B1E03">
              <w:t>full time</w:t>
            </w:r>
            <w:r>
              <w:t xml:space="preserve"> (who have an imputed value of 1.0) with the sum of the imputed values of those defined as </w:t>
            </w:r>
            <w:r w:rsidR="001B1E03">
              <w:t>part time</w:t>
            </w:r>
            <w:r>
              <w:t xml:space="preserve"> (who are assessed as having a value between 0.1 and 0.9). The method of converting part time student numbers into FTEs is based on the student’s workload compared with the workload usually undertaken by a full time student. The FTE of a full time student is 1.0.</w:t>
            </w:r>
          </w:p>
        </w:tc>
      </w:tr>
      <w:tr w:rsidR="0026369A" w:rsidTr="0026369A">
        <w:tc>
          <w:tcPr>
            <w:tcW w:w="2410" w:type="dxa"/>
          </w:tcPr>
          <w:p w:rsidR="0026369A" w:rsidRPr="00A9556E" w:rsidRDefault="0026369A" w:rsidP="0026369A">
            <w:pPr>
              <w:pStyle w:val="TableBodyText"/>
              <w:spacing w:before="60" w:after="60"/>
              <w:ind w:left="0"/>
              <w:jc w:val="left"/>
              <w:rPr>
                <w:b/>
              </w:rPr>
            </w:pPr>
            <w:r w:rsidRPr="00A9556E">
              <w:rPr>
                <w:b/>
              </w:rPr>
              <w:t>Full time student</w:t>
            </w:r>
          </w:p>
        </w:tc>
        <w:tc>
          <w:tcPr>
            <w:tcW w:w="6379" w:type="dxa"/>
          </w:tcPr>
          <w:p w:rsidR="0026369A" w:rsidRDefault="0026369A" w:rsidP="0026369A">
            <w:pPr>
              <w:pStyle w:val="TableBodyText"/>
              <w:spacing w:before="60" w:after="60"/>
              <w:ind w:left="0" w:right="28"/>
              <w:jc w:val="left"/>
            </w:pPr>
            <w:r>
              <w:t>A person who satisfies the definition of a student and undertakes a workload equivalent to, or greater than, that usually undertaken by a student of that year level. The definition of full time student varies across jurisdictions.</w:t>
            </w:r>
          </w:p>
        </w:tc>
      </w:tr>
      <w:tr w:rsidR="0026369A" w:rsidTr="0026369A">
        <w:tc>
          <w:tcPr>
            <w:tcW w:w="2410" w:type="dxa"/>
          </w:tcPr>
          <w:p w:rsidR="0026369A" w:rsidRPr="00A9556E" w:rsidRDefault="0026369A" w:rsidP="0026369A">
            <w:pPr>
              <w:pStyle w:val="TableBodyText"/>
              <w:spacing w:before="60" w:after="60"/>
              <w:ind w:left="0"/>
              <w:jc w:val="left"/>
              <w:rPr>
                <w:b/>
              </w:rPr>
            </w:pPr>
            <w:r w:rsidRPr="00A9556E">
              <w:rPr>
                <w:b/>
              </w:rPr>
              <w:t xml:space="preserve">Geographic </w:t>
            </w:r>
            <w:r>
              <w:rPr>
                <w:b/>
              </w:rPr>
              <w:t xml:space="preserve">location </w:t>
            </w:r>
            <w:r w:rsidRPr="00A9556E">
              <w:rPr>
                <w:b/>
              </w:rPr>
              <w:t>classification</w:t>
            </w:r>
          </w:p>
        </w:tc>
        <w:tc>
          <w:tcPr>
            <w:tcW w:w="6379" w:type="dxa"/>
          </w:tcPr>
          <w:p w:rsidR="0026369A" w:rsidRDefault="0026369A" w:rsidP="0026369A">
            <w:pPr>
              <w:pStyle w:val="TableBodyText"/>
              <w:spacing w:before="60" w:after="60"/>
              <w:ind w:left="0"/>
              <w:jc w:val="left"/>
            </w:pPr>
            <w:r>
              <w:t xml:space="preserve">Geographic categorisation for non-ABS data </w:t>
            </w:r>
            <w:r w:rsidR="00140AB8">
              <w:t>is</w:t>
            </w:r>
            <w:r>
              <w:t xml:space="preserve"> based on the agreed SCSEEC Geographic Location Classification which, at the highest level, divides Australia into three zones (the metropolitan, provincial and remote zones). A further disaggregation comprises five categories: metropolitan and provincial zones each subdivided into two categories, and the remote zone. Further subdivisions of the two provincial zone categories and the remote zone category provide additional, more detailed, classification options. When data permit, a separate very remote zone can be reported along with the metropolitan, provincial and remote zones, as follows.</w:t>
            </w:r>
          </w:p>
          <w:p w:rsidR="0026369A" w:rsidRDefault="0026369A" w:rsidP="0026369A">
            <w:pPr>
              <w:pStyle w:val="TableBodyText"/>
              <w:spacing w:before="60" w:after="60"/>
              <w:ind w:left="0"/>
              <w:jc w:val="left"/>
            </w:pPr>
            <w:r>
              <w:t>A. Metropolitan zone</w:t>
            </w:r>
          </w:p>
          <w:p w:rsidR="0026369A" w:rsidRDefault="0026369A" w:rsidP="0026369A">
            <w:pPr>
              <w:pStyle w:val="TableBullet"/>
            </w:pPr>
            <w:r>
              <w:t>Mainland State capital city regions (Statistical Divisions (</w:t>
            </w:r>
            <w:proofErr w:type="spellStart"/>
            <w:r>
              <w:t>SDs</w:t>
            </w:r>
            <w:proofErr w:type="spellEnd"/>
            <w:r>
              <w:t xml:space="preserve">)): Sydney, Melbourne, Brisbane, Adelaide and Perth </w:t>
            </w:r>
            <w:proofErr w:type="spellStart"/>
            <w:r>
              <w:t>SDs</w:t>
            </w:r>
            <w:proofErr w:type="spellEnd"/>
            <w:r>
              <w:t>.</w:t>
            </w:r>
          </w:p>
          <w:p w:rsidR="0026369A" w:rsidRDefault="0026369A" w:rsidP="0026369A">
            <w:pPr>
              <w:pStyle w:val="TableBullet"/>
            </w:pPr>
            <w:r>
              <w:t xml:space="preserve">Major urban Statistical Districts (100 000 or more population): </w:t>
            </w:r>
            <w:r>
              <w:br/>
              <w:t>ACT–Queanbeyan, Cairns, Gold Coast–Tweed, Geelong, Hobart, Newcastle, Sunshine Coast, Townsville, Wollongong.</w:t>
            </w:r>
          </w:p>
          <w:p w:rsidR="0026369A" w:rsidRDefault="0026369A" w:rsidP="0026369A">
            <w:pPr>
              <w:pStyle w:val="TableBodyText"/>
              <w:spacing w:before="60" w:after="60"/>
              <w:ind w:left="0"/>
              <w:jc w:val="left"/>
            </w:pPr>
            <w:r>
              <w:t>B. Provincial zone (non-remote)</w:t>
            </w:r>
          </w:p>
          <w:p w:rsidR="0026369A" w:rsidRDefault="0026369A" w:rsidP="0026369A">
            <w:pPr>
              <w:pStyle w:val="TableBullet"/>
            </w:pPr>
            <w:r>
              <w:t>Provincial city Statis</w:t>
            </w:r>
            <w:r w:rsidR="00712F6B">
              <w:t>tical Districts plus Darwin SD.</w:t>
            </w:r>
          </w:p>
          <w:p w:rsidR="0026369A" w:rsidRDefault="0026369A" w:rsidP="0026369A">
            <w:pPr>
              <w:pStyle w:val="TableBullet"/>
              <w:tabs>
                <w:tab w:val="clear" w:pos="170"/>
                <w:tab w:val="left" w:pos="425"/>
              </w:tabs>
              <w:ind w:left="425" w:hanging="283"/>
            </w:pPr>
            <w:r>
              <w:t>Provincial city statistical districts and Darwin statistical division (50 000–99 999 population): Albury–Wodonga, Ballarat, Bathurst–Orange, Burnie-Devonport, Bundaberg, Bendigo, Darwin, Launceston, La Trobe Valley, Mackay, Rockhampton, Toowoomba, Wagga Wagga.</w:t>
            </w:r>
          </w:p>
          <w:p w:rsidR="0026369A" w:rsidRDefault="0026369A" w:rsidP="0026369A">
            <w:pPr>
              <w:pStyle w:val="TableBullet"/>
              <w:tabs>
                <w:tab w:val="clear" w:pos="170"/>
                <w:tab w:val="left" w:pos="425"/>
              </w:tabs>
              <w:ind w:left="425" w:hanging="283"/>
            </w:pPr>
            <w:r>
              <w:t>Provincial City Statistical Districts (25 000–49 999 population): Bunbury, Coffs Harbour, Dubbo, Geraldton, Gladstone, Shepparton, Hervey Bay, Kalgoorlie–Boulder, Lismore, Mandurah, Mildura, Nowra–Bomaderry, Port Macquarie, Tamworth, Warrnambool.</w:t>
            </w:r>
          </w:p>
          <w:p w:rsidR="0026369A" w:rsidRDefault="0026369A" w:rsidP="0026369A">
            <w:pPr>
              <w:pStyle w:val="TableBullet"/>
            </w:pPr>
            <w:r>
              <w:t xml:space="preserve">Other provincial areas (CD ARIA Plus score </w:t>
            </w:r>
            <w:r w:rsidRPr="00E66888">
              <w:rPr>
                <w:rFonts w:cs="Arial"/>
              </w:rPr>
              <w:t>≤</w:t>
            </w:r>
            <w:r>
              <w:t xml:space="preserve"> 5.92)</w:t>
            </w:r>
          </w:p>
          <w:p w:rsidR="0026369A" w:rsidRDefault="0026369A" w:rsidP="0026369A">
            <w:pPr>
              <w:pStyle w:val="TableBullet"/>
              <w:tabs>
                <w:tab w:val="clear" w:pos="170"/>
                <w:tab w:val="left" w:pos="425"/>
              </w:tabs>
              <w:ind w:hanging="28"/>
            </w:pPr>
            <w:r>
              <w:t xml:space="preserve">Inner provincial areas (CD ARIA Plus score </w:t>
            </w:r>
            <w:r w:rsidRPr="00E66888">
              <w:rPr>
                <w:rFonts w:cs="Arial"/>
              </w:rPr>
              <w:t>≤</w:t>
            </w:r>
            <w:r>
              <w:t xml:space="preserve"> 2.4)</w:t>
            </w:r>
          </w:p>
          <w:p w:rsidR="0026369A" w:rsidRDefault="0026369A" w:rsidP="0026369A">
            <w:pPr>
              <w:pStyle w:val="TableBullet"/>
              <w:tabs>
                <w:tab w:val="clear" w:pos="170"/>
                <w:tab w:val="left" w:pos="425"/>
              </w:tabs>
              <w:ind w:hanging="28"/>
            </w:pPr>
            <w:r>
              <w:t xml:space="preserve">Outer provincial areas (CD ARIA Plus score &gt; 2.4 and </w:t>
            </w:r>
            <w:r w:rsidRPr="00E66888">
              <w:rPr>
                <w:rFonts w:cs="Arial"/>
              </w:rPr>
              <w:t>≤</w:t>
            </w:r>
            <w:r>
              <w:t xml:space="preserve"> 5.92)</w:t>
            </w:r>
          </w:p>
          <w:p w:rsidR="0026369A" w:rsidRDefault="0026369A" w:rsidP="0026369A">
            <w:pPr>
              <w:pStyle w:val="TableBodyText"/>
              <w:spacing w:before="60" w:after="60"/>
              <w:ind w:left="0"/>
              <w:jc w:val="left"/>
            </w:pPr>
            <w:r>
              <w:t>C. Remote zone</w:t>
            </w:r>
          </w:p>
          <w:p w:rsidR="0026369A" w:rsidRDefault="0026369A" w:rsidP="0026369A">
            <w:pPr>
              <w:pStyle w:val="TableBullet"/>
            </w:pPr>
            <w:r>
              <w:lastRenderedPageBreak/>
              <w:t>Remote zone (CD ARIA Plus score &gt; 5.92)</w:t>
            </w:r>
          </w:p>
          <w:p w:rsidR="0026369A" w:rsidRDefault="0026369A" w:rsidP="0026369A">
            <w:pPr>
              <w:pStyle w:val="TableBullet"/>
              <w:tabs>
                <w:tab w:val="clear" w:pos="170"/>
                <w:tab w:val="left" w:pos="425"/>
              </w:tabs>
              <w:ind w:hanging="28"/>
            </w:pPr>
            <w:r>
              <w:t xml:space="preserve">Remote areas (CD ARIA Plus score &gt; 5.92 and </w:t>
            </w:r>
            <w:r>
              <w:rPr>
                <w:rFonts w:cs="Arial"/>
              </w:rPr>
              <w:t>≤</w:t>
            </w:r>
            <w:r>
              <w:t xml:space="preserve"> 10.53)</w:t>
            </w:r>
          </w:p>
          <w:p w:rsidR="0026369A" w:rsidRDefault="0026369A" w:rsidP="0026369A">
            <w:pPr>
              <w:pStyle w:val="TableBullet"/>
              <w:tabs>
                <w:tab w:val="clear" w:pos="170"/>
                <w:tab w:val="left" w:pos="425"/>
              </w:tabs>
              <w:ind w:hanging="28"/>
            </w:pPr>
            <w:r>
              <w:t>Very remote areas (CD ARIA Plus score &gt; 10.53)</w:t>
            </w:r>
          </w:p>
        </w:tc>
      </w:tr>
      <w:tr w:rsidR="0026369A" w:rsidTr="0026369A">
        <w:tc>
          <w:tcPr>
            <w:tcW w:w="2410" w:type="dxa"/>
          </w:tcPr>
          <w:p w:rsidR="0026369A" w:rsidRPr="00A9556E" w:rsidRDefault="0026369A" w:rsidP="0026369A">
            <w:pPr>
              <w:pStyle w:val="TableBodyText"/>
              <w:spacing w:before="60" w:after="60"/>
              <w:ind w:left="0"/>
              <w:jc w:val="left"/>
              <w:rPr>
                <w:b/>
              </w:rPr>
            </w:pPr>
            <w:r w:rsidRPr="00A9556E">
              <w:rPr>
                <w:b/>
              </w:rPr>
              <w:lastRenderedPageBreak/>
              <w:t>Indigenous student</w:t>
            </w:r>
          </w:p>
        </w:tc>
        <w:tc>
          <w:tcPr>
            <w:tcW w:w="6379" w:type="dxa"/>
          </w:tcPr>
          <w:p w:rsidR="0026369A" w:rsidRPr="00F50111" w:rsidRDefault="0026369A" w:rsidP="0026369A">
            <w:pPr>
              <w:pStyle w:val="TableBodyText"/>
              <w:spacing w:before="60" w:after="60"/>
              <w:ind w:left="0" w:right="28"/>
              <w:jc w:val="left"/>
            </w:pPr>
            <w:r>
              <w:t xml:space="preserve">A student of Aboriginal or Torres Strait Islander origin who identifies as being an Aboriginal or Torres Strait Islander or from an Aboriginal and Torres Strait Islander background. Administrative processes for determining Indigenous status vary across jurisdictions. </w:t>
            </w:r>
          </w:p>
        </w:tc>
      </w:tr>
      <w:tr w:rsidR="0026369A" w:rsidTr="0026369A">
        <w:tc>
          <w:tcPr>
            <w:tcW w:w="2410" w:type="dxa"/>
          </w:tcPr>
          <w:p w:rsidR="0026369A" w:rsidRPr="00A9556E" w:rsidRDefault="0026369A" w:rsidP="0026369A">
            <w:pPr>
              <w:pStyle w:val="TableBodyText"/>
              <w:spacing w:before="60" w:after="60"/>
              <w:ind w:left="0"/>
              <w:jc w:val="left"/>
              <w:rPr>
                <w:b/>
              </w:rPr>
            </w:pPr>
            <w:r w:rsidRPr="00A9556E">
              <w:rPr>
                <w:b/>
              </w:rPr>
              <w:t>Language background other than English (LBOTE) student</w:t>
            </w:r>
          </w:p>
        </w:tc>
        <w:tc>
          <w:tcPr>
            <w:tcW w:w="6379" w:type="dxa"/>
          </w:tcPr>
          <w:p w:rsidR="0026369A" w:rsidRPr="00F50111" w:rsidRDefault="0026369A" w:rsidP="0026369A">
            <w:pPr>
              <w:pStyle w:val="TableBodyText"/>
              <w:spacing w:before="60" w:after="60"/>
              <w:ind w:left="0" w:right="28"/>
              <w:jc w:val="left"/>
            </w:pPr>
            <w:r>
              <w:t xml:space="preserve">A status that is determined by administrative processes that vary across jurisdictions. </w:t>
            </w:r>
          </w:p>
        </w:tc>
      </w:tr>
      <w:tr w:rsidR="0026369A" w:rsidTr="0026369A">
        <w:tc>
          <w:tcPr>
            <w:tcW w:w="2410" w:type="dxa"/>
          </w:tcPr>
          <w:p w:rsidR="0026369A" w:rsidRPr="00A9556E" w:rsidRDefault="0026369A" w:rsidP="0026369A">
            <w:pPr>
              <w:pStyle w:val="TableBodyText"/>
              <w:spacing w:before="60" w:after="60"/>
              <w:ind w:left="0"/>
              <w:jc w:val="left"/>
              <w:rPr>
                <w:b/>
              </w:rPr>
            </w:pPr>
            <w:r w:rsidRPr="00A9556E">
              <w:rPr>
                <w:b/>
              </w:rPr>
              <w:t>Part time student</w:t>
            </w:r>
          </w:p>
        </w:tc>
        <w:tc>
          <w:tcPr>
            <w:tcW w:w="6379" w:type="dxa"/>
          </w:tcPr>
          <w:p w:rsidR="0026369A" w:rsidRDefault="0026369A" w:rsidP="0026369A">
            <w:pPr>
              <w:pStyle w:val="TableBodyText"/>
              <w:spacing w:before="60" w:after="60"/>
              <w:ind w:left="0" w:right="28"/>
              <w:jc w:val="left"/>
            </w:pPr>
            <w:r>
              <w:t>A student undertaking a workload that is less than that specified as being full time in the jurisdiction</w:t>
            </w:r>
          </w:p>
        </w:tc>
      </w:tr>
      <w:tr w:rsidR="0026369A" w:rsidTr="0026369A">
        <w:tc>
          <w:tcPr>
            <w:tcW w:w="2410" w:type="dxa"/>
          </w:tcPr>
          <w:p w:rsidR="0026369A" w:rsidRPr="00A9556E" w:rsidRDefault="0026369A" w:rsidP="0026369A">
            <w:pPr>
              <w:pStyle w:val="TableBodyText"/>
              <w:spacing w:before="60" w:after="60"/>
              <w:ind w:left="0"/>
              <w:jc w:val="left"/>
              <w:rPr>
                <w:b/>
              </w:rPr>
            </w:pPr>
            <w:r>
              <w:rPr>
                <w:b/>
              </w:rPr>
              <w:t>Preschool</w:t>
            </w:r>
          </w:p>
        </w:tc>
        <w:tc>
          <w:tcPr>
            <w:tcW w:w="6379" w:type="dxa"/>
          </w:tcPr>
          <w:p w:rsidR="0026369A" w:rsidRDefault="0026369A" w:rsidP="0026369A">
            <w:pPr>
              <w:pStyle w:val="TableBodyText"/>
              <w:jc w:val="left"/>
            </w:pPr>
            <w:r>
              <w:t xml:space="preserve">A preschool program is a structured, play-based learning program usually provided by a qualified teacher on a sessional basis, primarily aimed at children in the year or two before they commence </w:t>
            </w:r>
            <w:r w:rsidR="001B1E03">
              <w:t>full time</w:t>
            </w:r>
            <w:r>
              <w:t xml:space="preserve"> schooling. This is irrespective of the type of institution that provides it or whether it is government funded or privately funded. Alternative terms currently used for preschool in some jurisdictions include ‘kindergarten’, ‘pre-prep’ and ‘reception’.</w:t>
            </w:r>
          </w:p>
        </w:tc>
      </w:tr>
      <w:tr w:rsidR="0026369A" w:rsidTr="0026369A">
        <w:tc>
          <w:tcPr>
            <w:tcW w:w="2410" w:type="dxa"/>
          </w:tcPr>
          <w:p w:rsidR="0026369A" w:rsidRPr="00A9556E" w:rsidRDefault="0026369A" w:rsidP="0026369A">
            <w:pPr>
              <w:pStyle w:val="TableBodyText"/>
              <w:spacing w:before="60" w:after="60"/>
              <w:ind w:left="0"/>
              <w:jc w:val="left"/>
              <w:rPr>
                <w:b/>
              </w:rPr>
            </w:pPr>
            <w:r w:rsidRPr="00A9556E">
              <w:rPr>
                <w:b/>
              </w:rPr>
              <w:t>Socioeconomic status</w:t>
            </w:r>
          </w:p>
        </w:tc>
        <w:tc>
          <w:tcPr>
            <w:tcW w:w="6379" w:type="dxa"/>
          </w:tcPr>
          <w:p w:rsidR="0026369A" w:rsidRDefault="0026369A" w:rsidP="0026369A">
            <w:pPr>
              <w:pStyle w:val="TableBodyText"/>
              <w:spacing w:before="60" w:after="60"/>
              <w:ind w:left="0" w:right="28"/>
              <w:jc w:val="left"/>
            </w:pPr>
            <w:r>
              <w:t>For the</w:t>
            </w:r>
            <w:r w:rsidR="009605B1">
              <w:t xml:space="preserve"> purposes of this report, socio</w:t>
            </w:r>
            <w:r>
              <w:t>economic status is measured using parental education/parental occupation (for NAPLAN data) or SEIFA IRSD (for all other data).</w:t>
            </w:r>
          </w:p>
          <w:p w:rsidR="0026369A" w:rsidRPr="00F50111" w:rsidRDefault="0026369A" w:rsidP="0026369A">
            <w:pPr>
              <w:pStyle w:val="TableBodyText"/>
              <w:spacing w:before="60" w:after="60"/>
              <w:ind w:left="0" w:right="28"/>
              <w:jc w:val="left"/>
            </w:pPr>
            <w:r>
              <w:t xml:space="preserve">For SEIFA IRSD, a person can be allocated to one of five quintiles. Quintile 1 indicates that the person resides in the most disadvantaged area in the jurisdiction, whereas quintile 5 indicates that the person resides in the least disadvantaged area in the jurisdiction. </w:t>
            </w:r>
          </w:p>
        </w:tc>
      </w:tr>
      <w:tr w:rsidR="0026369A" w:rsidTr="0026369A">
        <w:tc>
          <w:tcPr>
            <w:tcW w:w="2410" w:type="dxa"/>
          </w:tcPr>
          <w:p w:rsidR="0026369A" w:rsidRPr="00A9556E" w:rsidRDefault="0026369A" w:rsidP="0026369A">
            <w:pPr>
              <w:pStyle w:val="TableBodyText"/>
              <w:spacing w:before="60" w:after="60"/>
              <w:ind w:left="0"/>
              <w:jc w:val="left"/>
              <w:rPr>
                <w:b/>
              </w:rPr>
            </w:pPr>
            <w:r w:rsidRPr="00A9556E">
              <w:rPr>
                <w:b/>
              </w:rPr>
              <w:t>Student</w:t>
            </w:r>
          </w:p>
        </w:tc>
        <w:tc>
          <w:tcPr>
            <w:tcW w:w="6379" w:type="dxa"/>
          </w:tcPr>
          <w:p w:rsidR="0026369A" w:rsidRDefault="0026369A" w:rsidP="0026369A">
            <w:pPr>
              <w:pStyle w:val="TableBodyText"/>
              <w:spacing w:before="60" w:after="60"/>
              <w:ind w:left="0" w:right="28"/>
              <w:jc w:val="left"/>
            </w:pPr>
            <w:r>
              <w:t>A person who is formally (officially) enrolled or registered at a school, and is also active in a primary, secondary or special education program at that school. Students at special schools are allocated to primary and secondary on the basis of their actual grade (if assigned); whether or not they are receiving primary or secondary curriculum instruction; or, as a last resort, whether they are of primary or secondary school age.</w:t>
            </w:r>
          </w:p>
          <w:p w:rsidR="0026369A" w:rsidRDefault="0026369A" w:rsidP="0026369A">
            <w:pPr>
              <w:pStyle w:val="TableBodyText"/>
              <w:spacing w:before="60" w:after="60"/>
              <w:ind w:right="28"/>
              <w:jc w:val="left"/>
            </w:pPr>
            <w:r>
              <w:t>For data sourced from the NSSC, students were excluded if they had left the school or had been absent without explanation for four continuous weeks (excluding school vacations) prior to the school census date.</w:t>
            </w:r>
          </w:p>
        </w:tc>
      </w:tr>
      <w:tr w:rsidR="0026369A" w:rsidTr="0026369A">
        <w:tc>
          <w:tcPr>
            <w:tcW w:w="2410" w:type="dxa"/>
          </w:tcPr>
          <w:p w:rsidR="0026369A" w:rsidRPr="00A9556E" w:rsidRDefault="0026369A" w:rsidP="0026369A">
            <w:pPr>
              <w:pStyle w:val="TableBodyText"/>
              <w:spacing w:before="60" w:after="60"/>
              <w:ind w:left="0"/>
              <w:jc w:val="left"/>
              <w:rPr>
                <w:b/>
              </w:rPr>
            </w:pPr>
            <w:r w:rsidRPr="00A9556E">
              <w:rPr>
                <w:b/>
              </w:rPr>
              <w:t>Student, primary</w:t>
            </w:r>
          </w:p>
        </w:tc>
        <w:tc>
          <w:tcPr>
            <w:tcW w:w="6379" w:type="dxa"/>
          </w:tcPr>
          <w:p w:rsidR="0026369A" w:rsidRDefault="0026369A" w:rsidP="0026369A">
            <w:pPr>
              <w:pStyle w:val="TableBodyText"/>
              <w:spacing w:before="60" w:after="60"/>
              <w:ind w:left="0" w:right="28"/>
              <w:jc w:val="left"/>
            </w:pPr>
            <w:r>
              <w:t>A student in primary education, which from 2008 covers pre-year 1 to year 6 in NSW, Victoria, Tasmania, ACT and NT, and pre-year 1 to year 7 in Queensland, WA and SA.</w:t>
            </w:r>
          </w:p>
        </w:tc>
      </w:tr>
      <w:tr w:rsidR="0026369A" w:rsidTr="00192BC8">
        <w:tc>
          <w:tcPr>
            <w:tcW w:w="2410" w:type="dxa"/>
          </w:tcPr>
          <w:p w:rsidR="0026369A" w:rsidRPr="00A9556E" w:rsidRDefault="0026369A" w:rsidP="0026369A">
            <w:pPr>
              <w:pStyle w:val="TableBodyText"/>
              <w:spacing w:before="60" w:after="60"/>
              <w:ind w:left="0"/>
              <w:jc w:val="left"/>
              <w:rPr>
                <w:b/>
              </w:rPr>
            </w:pPr>
            <w:r w:rsidRPr="00A9556E">
              <w:rPr>
                <w:b/>
              </w:rPr>
              <w:t>Student, secondary</w:t>
            </w:r>
          </w:p>
        </w:tc>
        <w:tc>
          <w:tcPr>
            <w:tcW w:w="6379" w:type="dxa"/>
          </w:tcPr>
          <w:p w:rsidR="0026369A" w:rsidRDefault="0026369A" w:rsidP="0026369A">
            <w:pPr>
              <w:pStyle w:val="TableBodyText"/>
              <w:spacing w:before="60" w:after="60"/>
              <w:ind w:left="0" w:right="28"/>
              <w:jc w:val="left"/>
            </w:pPr>
            <w:r>
              <w:t>A student in secondary education, which from 2008 commences at year 7 in NSW, Victoria, Tasmania, ACT and NT, and at year 8 in Queensland, SA and WA.</w:t>
            </w:r>
          </w:p>
        </w:tc>
      </w:tr>
      <w:tr w:rsidR="0026369A" w:rsidTr="00192BC8">
        <w:tc>
          <w:tcPr>
            <w:tcW w:w="2410" w:type="dxa"/>
            <w:shd w:val="clear" w:color="auto" w:fill="auto"/>
          </w:tcPr>
          <w:p w:rsidR="0026369A" w:rsidRPr="00A9556E" w:rsidRDefault="0026369A" w:rsidP="0026369A">
            <w:pPr>
              <w:pStyle w:val="TableBodyText"/>
              <w:spacing w:before="60" w:after="60"/>
              <w:ind w:left="0"/>
              <w:jc w:val="left"/>
              <w:rPr>
                <w:b/>
              </w:rPr>
            </w:pPr>
            <w:r w:rsidRPr="00A9556E">
              <w:rPr>
                <w:b/>
              </w:rPr>
              <w:t>Ungraded student</w:t>
            </w:r>
          </w:p>
        </w:tc>
        <w:tc>
          <w:tcPr>
            <w:tcW w:w="6379" w:type="dxa"/>
            <w:shd w:val="clear" w:color="auto" w:fill="auto"/>
          </w:tcPr>
          <w:p w:rsidR="0026369A" w:rsidRDefault="0026369A" w:rsidP="0026369A">
            <w:pPr>
              <w:pStyle w:val="TableBodyText"/>
              <w:spacing w:before="60" w:after="60"/>
              <w:ind w:left="0" w:right="28"/>
              <w:jc w:val="left"/>
            </w:pPr>
            <w:r>
              <w:t>A student in ungraded classes who cannot readily be allocated to a year of education. These students are included as either ungraded primary or ungraded secondary, according to the typical age level in each jurisdiction.</w:t>
            </w:r>
          </w:p>
        </w:tc>
      </w:tr>
    </w:tbl>
    <w:p w:rsidR="00137034" w:rsidRDefault="00137034" w:rsidP="00DE354D">
      <w:pPr>
        <w:pStyle w:val="BodyText"/>
      </w:pPr>
    </w:p>
    <w:sectPr w:rsidR="00137034" w:rsidSect="0094208B">
      <w:headerReference w:type="even" r:id="rId225"/>
      <w:headerReference w:type="default" r:id="rId226"/>
      <w:footerReference w:type="even" r:id="rId227"/>
      <w:footerReference w:type="default" r:id="rId228"/>
      <w:pgSz w:w="11907" w:h="16840" w:code="9"/>
      <w:pgMar w:top="1985" w:right="1304" w:bottom="1418" w:left="1814" w:header="1701" w:footer="567" w:gutter="0"/>
      <w:pgNumType w:start="326"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4B1" w:rsidRDefault="00CE44B1">
      <w:r>
        <w:separator/>
      </w:r>
    </w:p>
  </w:endnote>
  <w:endnote w:type="continuationSeparator" w:id="0">
    <w:p w:rsidR="00CE44B1" w:rsidRDefault="00CE4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Italic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DejaVu Serif">
    <w:altName w:val="Sylfaen"/>
    <w:charset w:val="00"/>
    <w:family w:val="roman"/>
    <w:pitch w:val="variable"/>
    <w:sig w:usb0="E40002FF" w:usb1="500071FB" w:usb2="0004002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B1" w:rsidRDefault="00CE44B1" w:rsidP="003743A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7076BB">
      <w:rPr>
        <w:rStyle w:val="PageNumber"/>
        <w:noProof/>
      </w:rPr>
      <w:t>82</w:t>
    </w:r>
    <w:r>
      <w:rPr>
        <w:rStyle w:val="PageNumber"/>
      </w:rPr>
      <w:fldChar w:fldCharType="end"/>
    </w:r>
  </w:p>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E44B1">
      <w:trPr>
        <w:trHeight w:hRule="exact" w:val="740"/>
      </w:trPr>
      <w:tc>
        <w:tcPr>
          <w:tcW w:w="510" w:type="dxa"/>
          <w:tcBorders>
            <w:top w:val="single" w:sz="6" w:space="0" w:color="auto"/>
          </w:tcBorders>
        </w:tcPr>
        <w:p w:rsidR="00CE44B1" w:rsidRDefault="00CE44B1" w:rsidP="003743A5">
          <w:pPr>
            <w:pStyle w:val="BodyText"/>
            <w:ind w:right="360" w:firstLine="360"/>
            <w:rPr>
              <w:rStyle w:val="PageNumber"/>
            </w:rPr>
          </w:pPr>
        </w:p>
      </w:tc>
      <w:tc>
        <w:tcPr>
          <w:tcW w:w="1644" w:type="dxa"/>
          <w:tcBorders>
            <w:top w:val="single" w:sz="6" w:space="0" w:color="auto"/>
          </w:tcBorders>
        </w:tcPr>
        <w:p w:rsidR="00CE44B1" w:rsidRDefault="00CE44B1" w:rsidP="0019293B">
          <w:pPr>
            <w:pStyle w:val="Footer"/>
          </w:pPr>
          <w:r>
            <w:t>SCRGSP REPORT TO CRC JUNE 2012</w:t>
          </w:r>
        </w:p>
      </w:tc>
      <w:tc>
        <w:tcPr>
          <w:tcW w:w="6634" w:type="dxa"/>
        </w:tcPr>
        <w:p w:rsidR="00CE44B1" w:rsidRDefault="00CE44B1" w:rsidP="0019293B">
          <w:pPr>
            <w:pStyle w:val="Footer"/>
          </w:pPr>
        </w:p>
      </w:tc>
    </w:tr>
  </w:tbl>
  <w:p w:rsidR="00CE44B1" w:rsidRDefault="00CE44B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B1" w:rsidRDefault="00CE44B1" w:rsidP="003743A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7076BB">
      <w:rPr>
        <w:rStyle w:val="PageNumber"/>
        <w:noProof/>
      </w:rPr>
      <w:t>81</w:t>
    </w:r>
    <w:r>
      <w:rPr>
        <w:rStyle w:val="PageNumber"/>
      </w:rPr>
      <w:fldChar w:fldCharType="end"/>
    </w:r>
  </w:p>
  <w:tbl>
    <w:tblPr>
      <w:tblW w:w="0" w:type="auto"/>
      <w:tblLayout w:type="fixed"/>
      <w:tblCellMar>
        <w:left w:w="0" w:type="dxa"/>
        <w:right w:w="0" w:type="dxa"/>
      </w:tblCellMar>
      <w:tblLook w:val="0000" w:firstRow="0" w:lastRow="0" w:firstColumn="0" w:lastColumn="0" w:noHBand="0" w:noVBand="0"/>
    </w:tblPr>
    <w:tblGrid>
      <w:gridCol w:w="5940"/>
      <w:gridCol w:w="2338"/>
      <w:gridCol w:w="510"/>
    </w:tblGrid>
    <w:tr w:rsidR="00CE44B1">
      <w:trPr>
        <w:trHeight w:hRule="exact" w:val="740"/>
      </w:trPr>
      <w:tc>
        <w:tcPr>
          <w:tcW w:w="5940" w:type="dxa"/>
        </w:tcPr>
        <w:p w:rsidR="00CE44B1" w:rsidRDefault="00CE44B1">
          <w:pPr>
            <w:pStyle w:val="Footer"/>
            <w:ind w:right="360" w:firstLine="360"/>
          </w:pPr>
        </w:p>
      </w:tc>
      <w:tc>
        <w:tcPr>
          <w:tcW w:w="2338" w:type="dxa"/>
          <w:tcBorders>
            <w:top w:val="single" w:sz="6" w:space="0" w:color="auto"/>
          </w:tcBorders>
        </w:tcPr>
        <w:p w:rsidR="00CE44B1" w:rsidRDefault="00CE44B1" w:rsidP="0006175B">
          <w:pPr>
            <w:pStyle w:val="Footer"/>
          </w:pPr>
          <w:r>
            <w:t>National Education Agreement</w:t>
          </w:r>
        </w:p>
      </w:tc>
      <w:tc>
        <w:tcPr>
          <w:tcW w:w="510" w:type="dxa"/>
          <w:tcBorders>
            <w:top w:val="single" w:sz="6" w:space="0" w:color="auto"/>
          </w:tcBorders>
        </w:tcPr>
        <w:p w:rsidR="00CE44B1" w:rsidRPr="00F225AF" w:rsidRDefault="00CE44B1" w:rsidP="003743A5">
          <w:pPr>
            <w:pStyle w:val="BodyText"/>
            <w:rPr>
              <w:rStyle w:val="PageNumber"/>
            </w:rPr>
          </w:pPr>
        </w:p>
      </w:tc>
    </w:tr>
  </w:tbl>
  <w:p w:rsidR="00CE44B1" w:rsidRDefault="00CE44B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B1" w:rsidRDefault="00CE44B1" w:rsidP="000966FF">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7076BB">
      <w:rPr>
        <w:rStyle w:val="PageNumber"/>
        <w:noProof/>
      </w:rPr>
      <w:t>336</w:t>
    </w:r>
    <w:r>
      <w:rPr>
        <w:rStyle w:val="PageNumber"/>
      </w:rPr>
      <w:fldChar w:fldCharType="end"/>
    </w:r>
  </w:p>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E44B1">
      <w:trPr>
        <w:trHeight w:hRule="exact" w:val="740"/>
      </w:trPr>
      <w:tc>
        <w:tcPr>
          <w:tcW w:w="510" w:type="dxa"/>
          <w:tcBorders>
            <w:top w:val="single" w:sz="6" w:space="0" w:color="auto"/>
          </w:tcBorders>
        </w:tcPr>
        <w:p w:rsidR="00CE44B1" w:rsidRDefault="00CE44B1" w:rsidP="000966FF">
          <w:pPr>
            <w:pStyle w:val="BodyText"/>
            <w:ind w:right="360" w:firstLine="360"/>
            <w:rPr>
              <w:rStyle w:val="PageNumber"/>
            </w:rPr>
          </w:pPr>
        </w:p>
      </w:tc>
      <w:tc>
        <w:tcPr>
          <w:tcW w:w="1644" w:type="dxa"/>
          <w:tcBorders>
            <w:top w:val="single" w:sz="6" w:space="0" w:color="auto"/>
          </w:tcBorders>
        </w:tcPr>
        <w:p w:rsidR="00CE44B1" w:rsidRDefault="00CE44B1" w:rsidP="0019293B">
          <w:pPr>
            <w:pStyle w:val="Footer"/>
          </w:pPr>
          <w:r>
            <w:t>SCRGSP REPORT TO CRC JUNE 2012</w:t>
          </w:r>
        </w:p>
      </w:tc>
      <w:tc>
        <w:tcPr>
          <w:tcW w:w="6634" w:type="dxa"/>
        </w:tcPr>
        <w:p w:rsidR="00CE44B1" w:rsidRDefault="00CE44B1" w:rsidP="0019293B">
          <w:pPr>
            <w:pStyle w:val="Footer"/>
          </w:pPr>
        </w:p>
      </w:tc>
    </w:tr>
  </w:tbl>
  <w:p w:rsidR="00CE44B1" w:rsidRDefault="00CE44B1" w:rsidP="0019293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B1" w:rsidRDefault="00CE44B1" w:rsidP="000966FF">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7076BB">
      <w:rPr>
        <w:rStyle w:val="PageNumber"/>
        <w:noProof/>
      </w:rPr>
      <w:t>337</w:t>
    </w:r>
    <w:r>
      <w:rPr>
        <w:rStyle w:val="PageNumber"/>
      </w:rPr>
      <w:fldChar w:fldCharType="end"/>
    </w:r>
  </w:p>
  <w:tbl>
    <w:tblPr>
      <w:tblW w:w="0" w:type="auto"/>
      <w:tblLayout w:type="fixed"/>
      <w:tblCellMar>
        <w:left w:w="0" w:type="dxa"/>
        <w:right w:w="0" w:type="dxa"/>
      </w:tblCellMar>
      <w:tblLook w:val="0000" w:firstRow="0" w:lastRow="0" w:firstColumn="0" w:lastColumn="0" w:noHBand="0" w:noVBand="0"/>
    </w:tblPr>
    <w:tblGrid>
      <w:gridCol w:w="5940"/>
      <w:gridCol w:w="2338"/>
      <w:gridCol w:w="510"/>
    </w:tblGrid>
    <w:tr w:rsidR="00CE44B1">
      <w:trPr>
        <w:trHeight w:hRule="exact" w:val="740"/>
      </w:trPr>
      <w:tc>
        <w:tcPr>
          <w:tcW w:w="5940" w:type="dxa"/>
        </w:tcPr>
        <w:p w:rsidR="00CE44B1" w:rsidRDefault="00CE44B1">
          <w:pPr>
            <w:pStyle w:val="Footer"/>
            <w:ind w:right="360" w:firstLine="360"/>
          </w:pPr>
        </w:p>
      </w:tc>
      <w:tc>
        <w:tcPr>
          <w:tcW w:w="2338" w:type="dxa"/>
          <w:tcBorders>
            <w:top w:val="single" w:sz="6" w:space="0" w:color="auto"/>
          </w:tcBorders>
        </w:tcPr>
        <w:p w:rsidR="00CE44B1" w:rsidRDefault="00CE44B1" w:rsidP="0006175B">
          <w:pPr>
            <w:pStyle w:val="Footer"/>
          </w:pPr>
          <w:r>
            <w:t xml:space="preserve">NATIONAL education agreement </w:t>
          </w:r>
        </w:p>
      </w:tc>
      <w:tc>
        <w:tcPr>
          <w:tcW w:w="510" w:type="dxa"/>
          <w:tcBorders>
            <w:top w:val="single" w:sz="6" w:space="0" w:color="auto"/>
          </w:tcBorders>
        </w:tcPr>
        <w:p w:rsidR="00CE44B1" w:rsidRPr="00F225AF" w:rsidRDefault="00CE44B1" w:rsidP="00F225AF">
          <w:pPr>
            <w:pStyle w:val="BodyText"/>
            <w:rPr>
              <w:rStyle w:val="PageNumber"/>
            </w:rPr>
          </w:pPr>
        </w:p>
      </w:tc>
    </w:tr>
  </w:tbl>
  <w:p w:rsidR="00CE44B1" w:rsidRDefault="00CE44B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4B1" w:rsidRDefault="00CE44B1">
      <w:r>
        <w:separator/>
      </w:r>
    </w:p>
  </w:footnote>
  <w:footnote w:type="continuationSeparator" w:id="0">
    <w:p w:rsidR="00CE44B1" w:rsidRDefault="00CE44B1">
      <w:r>
        <w:continuationSeparator/>
      </w:r>
    </w:p>
  </w:footnote>
  <w:footnote w:id="1">
    <w:p w:rsidR="00CE44B1" w:rsidRDefault="00CE44B1" w:rsidP="008D447F">
      <w:pPr>
        <w:pStyle w:val="FootnoteText"/>
      </w:pPr>
      <w:r w:rsidRPr="009F4E7F">
        <w:rPr>
          <w:rStyle w:val="FootnoteReference"/>
        </w:rPr>
        <w:footnoteRef/>
      </w:r>
      <w:r w:rsidRPr="009F4E7F">
        <w:tab/>
        <w:t>The Standing Council on School Education and Early Childhood (SCSEEC)</w:t>
      </w:r>
      <w:r>
        <w:t xml:space="preserve"> replaced the Ministerial Council for Education, Early Childhood Development and Youth Affairs (MCEECDYA) on 1 July 2011. MCEECDYA was previously known as the Ministerial Council on Education, Employment, Training and Youth Affairs (MCEETYA).</w:t>
      </w:r>
    </w:p>
  </w:footnote>
  <w:footnote w:id="2">
    <w:p w:rsidR="00CE44B1" w:rsidRDefault="00CE44B1" w:rsidP="008D447F">
      <w:pPr>
        <w:pStyle w:val="FootnoteText"/>
      </w:pPr>
      <w:r>
        <w:rPr>
          <w:rStyle w:val="FootnoteReference"/>
        </w:rPr>
        <w:footnoteRef/>
      </w:r>
      <w:r>
        <w:tab/>
      </w:r>
      <w:r w:rsidRPr="008E0AF9">
        <w:t xml:space="preserve">In 2009, the </w:t>
      </w:r>
      <w:proofErr w:type="spellStart"/>
      <w:r w:rsidRPr="008E0AF9">
        <w:t>AEDI</w:t>
      </w:r>
      <w:proofErr w:type="spellEnd"/>
      <w:r w:rsidRPr="008E0AF9">
        <w:t xml:space="preserve"> was completed nationwide, with a follow-up data collection in some small areas in 2010. Data in the national report are taken from the 2009 </w:t>
      </w:r>
      <w:proofErr w:type="spellStart"/>
      <w:r w:rsidRPr="008E0AF9">
        <w:t>AEDI</w:t>
      </w:r>
      <w:proofErr w:type="spellEnd"/>
      <w:r w:rsidRPr="008E0AF9">
        <w:t xml:space="preserve"> data collection. </w:t>
      </w:r>
      <w:proofErr w:type="spellStart"/>
      <w:r w:rsidRPr="008E0AF9">
        <w:t>AEDI</w:t>
      </w:r>
      <w:proofErr w:type="spellEnd"/>
      <w:r w:rsidRPr="008E0AF9">
        <w:t xml:space="preserve"> results are also reported at the community level. Community Profiles are available online at </w:t>
      </w:r>
      <w:proofErr w:type="spellStart"/>
      <w:r w:rsidRPr="008E0AF9">
        <w:t>www.aedi.org.au</w:t>
      </w:r>
      <w:proofErr w:type="spellEnd"/>
      <w:r w:rsidRPr="008E0AF9">
        <w:t>.</w:t>
      </w:r>
      <w:r>
        <w:t xml:space="preserve"> </w:t>
      </w:r>
    </w:p>
  </w:footnote>
  <w:footnote w:id="3">
    <w:p w:rsidR="00CE44B1" w:rsidRDefault="00CE44B1" w:rsidP="00637C8C">
      <w:pPr>
        <w:pStyle w:val="FootnoteText"/>
      </w:pPr>
      <w:r>
        <w:rPr>
          <w:rStyle w:val="FootnoteReference"/>
        </w:rPr>
        <w:footnoteRef/>
      </w:r>
      <w:r>
        <w:tab/>
        <w:t>See glossary for a definition of preschool.</w:t>
      </w:r>
    </w:p>
  </w:footnote>
  <w:footnote w:id="4">
    <w:p w:rsidR="00CE44B1" w:rsidRDefault="00CE44B1" w:rsidP="0026369A">
      <w:pPr>
        <w:pStyle w:val="FootnoteText"/>
      </w:pPr>
      <w:r>
        <w:rPr>
          <w:rStyle w:val="FootnoteReference"/>
        </w:rPr>
        <w:footnoteRef/>
      </w:r>
      <w:r>
        <w:tab/>
        <w:t>Combined schools are combined primary and secondary schools. Special schools provide special instruction for students with a physical and/or mental disability/impairment, or with social problems.</w:t>
      </w:r>
    </w:p>
  </w:footnote>
  <w:footnote w:id="5">
    <w:p w:rsidR="00CE44B1" w:rsidRPr="00B81661" w:rsidRDefault="00CE44B1" w:rsidP="0026369A">
      <w:pPr>
        <w:pStyle w:val="FootnoteText"/>
      </w:pPr>
      <w:r>
        <w:rPr>
          <w:rStyle w:val="FootnoteReference"/>
        </w:rPr>
        <w:footnoteRef/>
      </w:r>
      <w:r>
        <w:t xml:space="preserve"> </w:t>
      </w:r>
      <w:r w:rsidRPr="00B81661">
        <w:t xml:space="preserve">To investigate the possibility that these data may understate the proportion of students in remote areas as a result of relying on school location rather than students’ home location, the 2001 </w:t>
      </w:r>
      <w:r>
        <w:t xml:space="preserve">(then) </w:t>
      </w:r>
      <w:r w:rsidRPr="00B81661">
        <w:t>MCEETYA data were compared with data derived from the 2001 Census. The two data sets were found to be similar, except that Tasmania had about one third more remote area students in the Census data. This result may be indicative for the data</w:t>
      </w:r>
      <w:r>
        <w:t xml:space="preserve"> in this report</w:t>
      </w:r>
      <w:r w:rsidRPr="00B81661">
        <w:t>.</w:t>
      </w:r>
    </w:p>
  </w:footnote>
  <w:footnote w:id="6">
    <w:p w:rsidR="00CE44B1" w:rsidRDefault="00CE44B1" w:rsidP="0026369A">
      <w:pPr>
        <w:pStyle w:val="FootnoteText"/>
        <w:spacing w:before="0" w:line="240" w:lineRule="auto"/>
        <w:ind w:left="720" w:hanging="720"/>
      </w:pPr>
      <w:r>
        <w:rPr>
          <w:rStyle w:val="FootnoteReference"/>
        </w:rPr>
        <w:footnoteRef/>
      </w:r>
      <w:r>
        <w:t xml:space="preserve"> </w:t>
      </w:r>
      <w:r>
        <w:tab/>
      </w:r>
      <w:r>
        <w:tab/>
      </w:r>
      <w:r w:rsidRPr="00511AD5">
        <w:rPr>
          <w:sz w:val="20"/>
        </w:rPr>
        <w:t>The 2012-13 Australian Aboriginal and Torres Strait Islander Health Survey (AATSIHS) will collect data previously collected as part of the National Aboriginal and Torres Strait Islander Health Survey (NATSIHS).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E44B1">
      <w:tc>
        <w:tcPr>
          <w:tcW w:w="2155" w:type="dxa"/>
          <w:tcBorders>
            <w:top w:val="single" w:sz="24" w:space="0" w:color="auto"/>
          </w:tcBorders>
        </w:tcPr>
        <w:p w:rsidR="00CE44B1" w:rsidRDefault="00CE44B1" w:rsidP="003743A5"/>
      </w:tc>
      <w:tc>
        <w:tcPr>
          <w:tcW w:w="6634" w:type="dxa"/>
          <w:tcBorders>
            <w:top w:val="single" w:sz="6" w:space="0" w:color="auto"/>
          </w:tcBorders>
        </w:tcPr>
        <w:p w:rsidR="00CE44B1" w:rsidRDefault="00CE44B1" w:rsidP="003743A5">
          <w:pPr>
            <w:pStyle w:val="Header"/>
          </w:pPr>
        </w:p>
      </w:tc>
    </w:tr>
  </w:tbl>
  <w:p w:rsidR="00CE44B1" w:rsidRDefault="00CE44B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E44B1">
      <w:tc>
        <w:tcPr>
          <w:tcW w:w="6634" w:type="dxa"/>
          <w:tcBorders>
            <w:top w:val="single" w:sz="6" w:space="0" w:color="auto"/>
          </w:tcBorders>
        </w:tcPr>
        <w:p w:rsidR="00CE44B1" w:rsidRDefault="00CE44B1" w:rsidP="003743A5">
          <w:pPr>
            <w:pStyle w:val="Header"/>
          </w:pPr>
        </w:p>
      </w:tc>
      <w:tc>
        <w:tcPr>
          <w:tcW w:w="2155" w:type="dxa"/>
          <w:tcBorders>
            <w:top w:val="single" w:sz="24" w:space="0" w:color="auto"/>
          </w:tcBorders>
        </w:tcPr>
        <w:p w:rsidR="00CE44B1" w:rsidRDefault="00CE44B1" w:rsidP="003743A5">
          <w:pPr>
            <w:pStyle w:val="Header"/>
          </w:pPr>
        </w:p>
      </w:tc>
    </w:tr>
  </w:tbl>
  <w:p w:rsidR="00CE44B1" w:rsidRDefault="00CE44B1"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E44B1">
      <w:tc>
        <w:tcPr>
          <w:tcW w:w="2155" w:type="dxa"/>
          <w:tcBorders>
            <w:top w:val="single" w:sz="24" w:space="0" w:color="auto"/>
          </w:tcBorders>
        </w:tcPr>
        <w:p w:rsidR="00CE44B1" w:rsidRDefault="00CE44B1" w:rsidP="007579D2"/>
      </w:tc>
      <w:tc>
        <w:tcPr>
          <w:tcW w:w="6634" w:type="dxa"/>
          <w:tcBorders>
            <w:top w:val="single" w:sz="6" w:space="0" w:color="auto"/>
          </w:tcBorders>
        </w:tcPr>
        <w:p w:rsidR="00CE44B1" w:rsidRDefault="00CE44B1" w:rsidP="009301EA">
          <w:pPr>
            <w:pStyle w:val="Header"/>
          </w:pPr>
        </w:p>
      </w:tc>
    </w:tr>
  </w:tbl>
  <w:p w:rsidR="00CE44B1" w:rsidRDefault="00CE44B1" w:rsidP="0019293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E44B1">
      <w:tc>
        <w:tcPr>
          <w:tcW w:w="6634" w:type="dxa"/>
          <w:tcBorders>
            <w:top w:val="single" w:sz="6" w:space="0" w:color="auto"/>
          </w:tcBorders>
        </w:tcPr>
        <w:p w:rsidR="00CE44B1" w:rsidRDefault="00CE44B1" w:rsidP="00834F5F">
          <w:pPr>
            <w:pStyle w:val="Header"/>
          </w:pPr>
        </w:p>
      </w:tc>
      <w:tc>
        <w:tcPr>
          <w:tcW w:w="2155" w:type="dxa"/>
          <w:tcBorders>
            <w:top w:val="single" w:sz="24" w:space="0" w:color="auto"/>
          </w:tcBorders>
        </w:tcPr>
        <w:p w:rsidR="00CE44B1" w:rsidRDefault="00CE44B1" w:rsidP="00834F5F">
          <w:pPr>
            <w:pStyle w:val="Header"/>
          </w:pPr>
        </w:p>
      </w:tc>
    </w:tr>
  </w:tbl>
  <w:p w:rsidR="00CE44B1" w:rsidRDefault="00CE44B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6C0843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AA49FD6"/>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59D22276"/>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899EEEA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00002B"/>
    <w:multiLevelType w:val="singleLevel"/>
    <w:tmpl w:val="0000002B"/>
    <w:name w:val="WW8Num43"/>
    <w:lvl w:ilvl="0">
      <w:start w:val="9"/>
      <w:numFmt w:val="decimal"/>
      <w:lvlText w:val="%1."/>
      <w:lvlJc w:val="left"/>
      <w:pPr>
        <w:tabs>
          <w:tab w:val="num" w:pos="360"/>
        </w:tabs>
        <w:ind w:left="360" w:hanging="360"/>
      </w:pPr>
    </w:lvl>
  </w:abstractNum>
  <w:abstractNum w:abstractNumId="5">
    <w:nsid w:val="02830C3D"/>
    <w:multiLevelType w:val="hybridMultilevel"/>
    <w:tmpl w:val="622C8C90"/>
    <w:lvl w:ilvl="0" w:tplc="0C09000F">
      <w:start w:val="1"/>
      <w:numFmt w:val="decimal"/>
      <w:lvlText w:val="%1."/>
      <w:lvlJc w:val="left"/>
      <w:pPr>
        <w:tabs>
          <w:tab w:val="num" w:pos="726"/>
        </w:tabs>
        <w:ind w:left="726" w:hanging="360"/>
      </w:pPr>
    </w:lvl>
    <w:lvl w:ilvl="1" w:tplc="0C090019" w:tentative="1">
      <w:start w:val="1"/>
      <w:numFmt w:val="lowerLetter"/>
      <w:lvlText w:val="%2."/>
      <w:lvlJc w:val="left"/>
      <w:pPr>
        <w:tabs>
          <w:tab w:val="num" w:pos="1446"/>
        </w:tabs>
        <w:ind w:left="1446" w:hanging="360"/>
      </w:pPr>
    </w:lvl>
    <w:lvl w:ilvl="2" w:tplc="0C09001B" w:tentative="1">
      <w:start w:val="1"/>
      <w:numFmt w:val="lowerRoman"/>
      <w:lvlText w:val="%3."/>
      <w:lvlJc w:val="right"/>
      <w:pPr>
        <w:tabs>
          <w:tab w:val="num" w:pos="2166"/>
        </w:tabs>
        <w:ind w:left="2166" w:hanging="180"/>
      </w:pPr>
    </w:lvl>
    <w:lvl w:ilvl="3" w:tplc="0C09000F" w:tentative="1">
      <w:start w:val="1"/>
      <w:numFmt w:val="decimal"/>
      <w:lvlText w:val="%4."/>
      <w:lvlJc w:val="left"/>
      <w:pPr>
        <w:tabs>
          <w:tab w:val="num" w:pos="2886"/>
        </w:tabs>
        <w:ind w:left="2886" w:hanging="360"/>
      </w:pPr>
    </w:lvl>
    <w:lvl w:ilvl="4" w:tplc="0C090019" w:tentative="1">
      <w:start w:val="1"/>
      <w:numFmt w:val="lowerLetter"/>
      <w:lvlText w:val="%5."/>
      <w:lvlJc w:val="left"/>
      <w:pPr>
        <w:tabs>
          <w:tab w:val="num" w:pos="3606"/>
        </w:tabs>
        <w:ind w:left="3606" w:hanging="360"/>
      </w:pPr>
    </w:lvl>
    <w:lvl w:ilvl="5" w:tplc="0C09001B" w:tentative="1">
      <w:start w:val="1"/>
      <w:numFmt w:val="lowerRoman"/>
      <w:lvlText w:val="%6."/>
      <w:lvlJc w:val="right"/>
      <w:pPr>
        <w:tabs>
          <w:tab w:val="num" w:pos="4326"/>
        </w:tabs>
        <w:ind w:left="4326" w:hanging="180"/>
      </w:pPr>
    </w:lvl>
    <w:lvl w:ilvl="6" w:tplc="0C09000F" w:tentative="1">
      <w:start w:val="1"/>
      <w:numFmt w:val="decimal"/>
      <w:lvlText w:val="%7."/>
      <w:lvlJc w:val="left"/>
      <w:pPr>
        <w:tabs>
          <w:tab w:val="num" w:pos="5046"/>
        </w:tabs>
        <w:ind w:left="5046" w:hanging="360"/>
      </w:pPr>
    </w:lvl>
    <w:lvl w:ilvl="7" w:tplc="0C090019" w:tentative="1">
      <w:start w:val="1"/>
      <w:numFmt w:val="lowerLetter"/>
      <w:lvlText w:val="%8."/>
      <w:lvlJc w:val="left"/>
      <w:pPr>
        <w:tabs>
          <w:tab w:val="num" w:pos="5766"/>
        </w:tabs>
        <w:ind w:left="5766" w:hanging="360"/>
      </w:pPr>
    </w:lvl>
    <w:lvl w:ilvl="8" w:tplc="0C09001B" w:tentative="1">
      <w:start w:val="1"/>
      <w:numFmt w:val="lowerRoman"/>
      <w:lvlText w:val="%9."/>
      <w:lvlJc w:val="right"/>
      <w:pPr>
        <w:tabs>
          <w:tab w:val="num" w:pos="6486"/>
        </w:tabs>
        <w:ind w:left="6486" w:hanging="180"/>
      </w:p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6969B8"/>
    <w:multiLevelType w:val="multilevel"/>
    <w:tmpl w:val="CCE62CE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56A718E"/>
    <w:multiLevelType w:val="multilevel"/>
    <w:tmpl w:val="CCE62CE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6214B87"/>
    <w:multiLevelType w:val="singleLevel"/>
    <w:tmpl w:val="AB185BC4"/>
    <w:lvl w:ilvl="0">
      <w:numFmt w:val="bullet"/>
      <w:lvlText w:val="–"/>
      <w:lvlJc w:val="left"/>
      <w:pPr>
        <w:tabs>
          <w:tab w:val="num" w:pos="4063"/>
        </w:tabs>
        <w:ind w:left="4063" w:hanging="283"/>
      </w:pPr>
      <w:rPr>
        <w:rFonts w:ascii="Times New Roman" w:hAnsi="Times New Roman" w:cs="Times New Roman" w:hint="default"/>
      </w:rPr>
    </w:lvl>
  </w:abstractNum>
  <w:abstractNum w:abstractNumId="11">
    <w:nsid w:val="0CA36D85"/>
    <w:multiLevelType w:val="hybridMultilevel"/>
    <w:tmpl w:val="4FBC605C"/>
    <w:lvl w:ilvl="0" w:tplc="FCFCEEF0">
      <w:start w:val="1"/>
      <w:numFmt w:val="lowerLetter"/>
      <w:lvlText w:val="(%1)"/>
      <w:lvlJc w:val="left"/>
      <w:pPr>
        <w:tabs>
          <w:tab w:val="num" w:pos="675"/>
        </w:tabs>
        <w:ind w:left="675" w:hanging="675"/>
      </w:pPr>
      <w:rPr>
        <w:rFonts w:hint="default"/>
      </w:rPr>
    </w:lvl>
    <w:lvl w:ilvl="1" w:tplc="4050C0AC">
      <w:start w:val="3"/>
      <w:numFmt w:val="lowerRoman"/>
      <w:lvlText w:val="(%2)"/>
      <w:lvlJc w:val="left"/>
      <w:pPr>
        <w:tabs>
          <w:tab w:val="num" w:pos="1455"/>
        </w:tabs>
        <w:ind w:left="1455" w:hanging="720"/>
      </w:pPr>
      <w:rPr>
        <w:rFonts w:hint="default"/>
      </w:rPr>
    </w:lvl>
    <w:lvl w:ilvl="2" w:tplc="0C09001B" w:tentative="1">
      <w:start w:val="1"/>
      <w:numFmt w:val="lowerRoman"/>
      <w:lvlText w:val="%3."/>
      <w:lvlJc w:val="right"/>
      <w:pPr>
        <w:tabs>
          <w:tab w:val="num" w:pos="1815"/>
        </w:tabs>
        <w:ind w:left="1815" w:hanging="180"/>
      </w:pPr>
    </w:lvl>
    <w:lvl w:ilvl="3" w:tplc="0C09000F" w:tentative="1">
      <w:start w:val="1"/>
      <w:numFmt w:val="decimal"/>
      <w:lvlText w:val="%4."/>
      <w:lvlJc w:val="left"/>
      <w:pPr>
        <w:tabs>
          <w:tab w:val="num" w:pos="2535"/>
        </w:tabs>
        <w:ind w:left="2535" w:hanging="360"/>
      </w:pPr>
    </w:lvl>
    <w:lvl w:ilvl="4" w:tplc="0C090019" w:tentative="1">
      <w:start w:val="1"/>
      <w:numFmt w:val="lowerLetter"/>
      <w:lvlText w:val="%5."/>
      <w:lvlJc w:val="left"/>
      <w:pPr>
        <w:tabs>
          <w:tab w:val="num" w:pos="3255"/>
        </w:tabs>
        <w:ind w:left="3255" w:hanging="360"/>
      </w:pPr>
    </w:lvl>
    <w:lvl w:ilvl="5" w:tplc="0C09001B" w:tentative="1">
      <w:start w:val="1"/>
      <w:numFmt w:val="lowerRoman"/>
      <w:lvlText w:val="%6."/>
      <w:lvlJc w:val="right"/>
      <w:pPr>
        <w:tabs>
          <w:tab w:val="num" w:pos="3975"/>
        </w:tabs>
        <w:ind w:left="3975" w:hanging="180"/>
      </w:pPr>
    </w:lvl>
    <w:lvl w:ilvl="6" w:tplc="0C09000F" w:tentative="1">
      <w:start w:val="1"/>
      <w:numFmt w:val="decimal"/>
      <w:lvlText w:val="%7."/>
      <w:lvlJc w:val="left"/>
      <w:pPr>
        <w:tabs>
          <w:tab w:val="num" w:pos="4695"/>
        </w:tabs>
        <w:ind w:left="4695" w:hanging="360"/>
      </w:pPr>
    </w:lvl>
    <w:lvl w:ilvl="7" w:tplc="0C090019" w:tentative="1">
      <w:start w:val="1"/>
      <w:numFmt w:val="lowerLetter"/>
      <w:lvlText w:val="%8."/>
      <w:lvlJc w:val="left"/>
      <w:pPr>
        <w:tabs>
          <w:tab w:val="num" w:pos="5415"/>
        </w:tabs>
        <w:ind w:left="5415" w:hanging="360"/>
      </w:pPr>
    </w:lvl>
    <w:lvl w:ilvl="8" w:tplc="0C09001B" w:tentative="1">
      <w:start w:val="1"/>
      <w:numFmt w:val="lowerRoman"/>
      <w:lvlText w:val="%9."/>
      <w:lvlJc w:val="right"/>
      <w:pPr>
        <w:tabs>
          <w:tab w:val="num" w:pos="6135"/>
        </w:tabs>
        <w:ind w:left="6135" w:hanging="180"/>
      </w:pPr>
    </w:lvl>
  </w:abstractNum>
  <w:abstractNum w:abstractNumId="12">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3">
    <w:nsid w:val="218F26A4"/>
    <w:multiLevelType w:val="hybridMultilevel"/>
    <w:tmpl w:val="2D7E98D6"/>
    <w:lvl w:ilvl="0" w:tplc="52F61D9A">
      <w:start w:val="1"/>
      <w:numFmt w:val="bullet"/>
      <w:lvlText w:val=""/>
      <w:lvlJc w:val="left"/>
      <w:pPr>
        <w:tabs>
          <w:tab w:val="num" w:pos="284"/>
        </w:tabs>
        <w:ind w:left="284" w:hanging="284"/>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5">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6">
    <w:nsid w:val="310B2BFC"/>
    <w:multiLevelType w:val="hybridMultilevel"/>
    <w:tmpl w:val="226A9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1402791"/>
    <w:multiLevelType w:val="hybridMultilevel"/>
    <w:tmpl w:val="001468D2"/>
    <w:lvl w:ilvl="0" w:tplc="1E749CE4">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E784800"/>
    <w:multiLevelType w:val="hybridMultilevel"/>
    <w:tmpl w:val="FA16E846"/>
    <w:lvl w:ilvl="0" w:tplc="87C28472">
      <w:start w:val="1"/>
      <w:numFmt w:val="lowerRoman"/>
      <w:lvlText w:val="%1."/>
      <w:lvlJc w:val="right"/>
      <w:pPr>
        <w:tabs>
          <w:tab w:val="num" w:pos="180"/>
        </w:tabs>
        <w:ind w:left="180" w:hanging="18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A0C35AA"/>
    <w:multiLevelType w:val="hybridMultilevel"/>
    <w:tmpl w:val="A5B49678"/>
    <w:lvl w:ilvl="0" w:tplc="7E4CA44C">
      <w:start w:val="1"/>
      <w:numFmt w:val="bullet"/>
      <w:lvlText w:val=""/>
      <w:lvlJc w:val="left"/>
      <w:pPr>
        <w:tabs>
          <w:tab w:val="num" w:pos="366"/>
        </w:tabs>
        <w:ind w:left="366" w:hanging="360"/>
      </w:pPr>
      <w:rPr>
        <w:rFonts w:ascii="Symbol" w:hAnsi="Symbol" w:hint="default"/>
        <w:sz w:val="20"/>
      </w:rPr>
    </w:lvl>
    <w:lvl w:ilvl="1" w:tplc="0C090003" w:tentative="1">
      <w:start w:val="1"/>
      <w:numFmt w:val="bullet"/>
      <w:lvlText w:val="o"/>
      <w:lvlJc w:val="left"/>
      <w:pPr>
        <w:tabs>
          <w:tab w:val="num" w:pos="1446"/>
        </w:tabs>
        <w:ind w:left="1446" w:hanging="360"/>
      </w:pPr>
      <w:rPr>
        <w:rFonts w:ascii="Courier New" w:hAnsi="Courier New" w:cs="Courier New" w:hint="default"/>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cs="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cs="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23">
    <w:nsid w:val="5B9B13D7"/>
    <w:multiLevelType w:val="hybridMultilevel"/>
    <w:tmpl w:val="BFDE3EDE"/>
    <w:lvl w:ilvl="0" w:tplc="FFFFFFFF">
      <w:start w:val="1"/>
      <w:numFmt w:val="bullet"/>
      <w:lvlText w:val=""/>
      <w:lvlJc w:val="left"/>
      <w:pPr>
        <w:tabs>
          <w:tab w:val="num" w:pos="360"/>
        </w:tabs>
        <w:ind w:left="36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0864ECF"/>
    <w:multiLevelType w:val="hybridMultilevel"/>
    <w:tmpl w:val="58065350"/>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5">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10"/>
  </w:num>
  <w:num w:numId="3">
    <w:abstractNumId w:val="26"/>
  </w:num>
  <w:num w:numId="4">
    <w:abstractNumId w:val="6"/>
  </w:num>
  <w:num w:numId="5">
    <w:abstractNumId w:val="19"/>
  </w:num>
  <w:num w:numId="6">
    <w:abstractNumId w:val="8"/>
  </w:num>
  <w:num w:numId="7">
    <w:abstractNumId w:val="25"/>
  </w:num>
  <w:num w:numId="8">
    <w:abstractNumId w:val="21"/>
  </w:num>
  <w:num w:numId="9">
    <w:abstractNumId w:val="27"/>
  </w:num>
  <w:num w:numId="10">
    <w:abstractNumId w:val="12"/>
  </w:num>
  <w:num w:numId="11">
    <w:abstractNumId w:val="20"/>
  </w:num>
  <w:num w:numId="12">
    <w:abstractNumId w:val="14"/>
  </w:num>
  <w:num w:numId="13">
    <w:abstractNumId w:val="11"/>
  </w:num>
  <w:num w:numId="14">
    <w:abstractNumId w:val="18"/>
  </w:num>
  <w:num w:numId="15">
    <w:abstractNumId w:val="7"/>
  </w:num>
  <w:num w:numId="16">
    <w:abstractNumId w:val="9"/>
  </w:num>
  <w:num w:numId="17">
    <w:abstractNumId w:val="3"/>
  </w:num>
  <w:num w:numId="18">
    <w:abstractNumId w:val="2"/>
  </w:num>
  <w:num w:numId="19">
    <w:abstractNumId w:val="1"/>
  </w:num>
  <w:num w:numId="20">
    <w:abstractNumId w:val="0"/>
  </w:num>
  <w:num w:numId="21">
    <w:abstractNumId w:val="23"/>
  </w:num>
  <w:num w:numId="22">
    <w:abstractNumId w:val="22"/>
  </w:num>
  <w:num w:numId="23">
    <w:abstractNumId w:val="5"/>
  </w:num>
  <w:num w:numId="24">
    <w:abstractNumId w:val="24"/>
  </w:num>
  <w:num w:numId="25">
    <w:abstractNumId w:val="16"/>
  </w:num>
  <w:num w:numId="26">
    <w:abstractNumId w:val="17"/>
  </w:num>
  <w:num w:numId="2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Chapter"/>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National Education Agreement performance reporting"/>
    <w:docVar w:name="ShortReportTitle" w:val="SCRGSP REPORT TO CRC JUNE 2011"/>
  </w:docVars>
  <w:rsids>
    <w:rsidRoot w:val="00BD49B7"/>
    <w:rsid w:val="00001579"/>
    <w:rsid w:val="00001BD2"/>
    <w:rsid w:val="0000595E"/>
    <w:rsid w:val="00006558"/>
    <w:rsid w:val="0001460C"/>
    <w:rsid w:val="0001572E"/>
    <w:rsid w:val="00021E90"/>
    <w:rsid w:val="000221C9"/>
    <w:rsid w:val="000236DE"/>
    <w:rsid w:val="00023A25"/>
    <w:rsid w:val="00025751"/>
    <w:rsid w:val="00025994"/>
    <w:rsid w:val="000334E2"/>
    <w:rsid w:val="00034769"/>
    <w:rsid w:val="0003664B"/>
    <w:rsid w:val="0004111F"/>
    <w:rsid w:val="00041244"/>
    <w:rsid w:val="000454F1"/>
    <w:rsid w:val="00052A5B"/>
    <w:rsid w:val="00053AAD"/>
    <w:rsid w:val="000573FF"/>
    <w:rsid w:val="0006175B"/>
    <w:rsid w:val="00064BBE"/>
    <w:rsid w:val="00066101"/>
    <w:rsid w:val="0006622C"/>
    <w:rsid w:val="0007150B"/>
    <w:rsid w:val="00072721"/>
    <w:rsid w:val="00073546"/>
    <w:rsid w:val="0007433E"/>
    <w:rsid w:val="000805EE"/>
    <w:rsid w:val="00081F69"/>
    <w:rsid w:val="00084AEB"/>
    <w:rsid w:val="00084D0D"/>
    <w:rsid w:val="000855A7"/>
    <w:rsid w:val="000938F5"/>
    <w:rsid w:val="00093D70"/>
    <w:rsid w:val="000944C7"/>
    <w:rsid w:val="000966FF"/>
    <w:rsid w:val="000A17B1"/>
    <w:rsid w:val="000A2042"/>
    <w:rsid w:val="000A54DF"/>
    <w:rsid w:val="000B349A"/>
    <w:rsid w:val="000B3CFD"/>
    <w:rsid w:val="000B4791"/>
    <w:rsid w:val="000B5BC8"/>
    <w:rsid w:val="000B601B"/>
    <w:rsid w:val="000C207E"/>
    <w:rsid w:val="000C42A3"/>
    <w:rsid w:val="000C5178"/>
    <w:rsid w:val="000D003F"/>
    <w:rsid w:val="000D0E19"/>
    <w:rsid w:val="000D2234"/>
    <w:rsid w:val="000D4B3A"/>
    <w:rsid w:val="000D52D0"/>
    <w:rsid w:val="000D53C2"/>
    <w:rsid w:val="000D601B"/>
    <w:rsid w:val="000D6F65"/>
    <w:rsid w:val="000D7750"/>
    <w:rsid w:val="000D7FF2"/>
    <w:rsid w:val="000E1634"/>
    <w:rsid w:val="000E190D"/>
    <w:rsid w:val="000E7E67"/>
    <w:rsid w:val="000F0B81"/>
    <w:rsid w:val="000F0C9C"/>
    <w:rsid w:val="000F2448"/>
    <w:rsid w:val="000F31B2"/>
    <w:rsid w:val="000F4ACD"/>
    <w:rsid w:val="00107DB7"/>
    <w:rsid w:val="00107F4D"/>
    <w:rsid w:val="00110116"/>
    <w:rsid w:val="001106C7"/>
    <w:rsid w:val="00110FF3"/>
    <w:rsid w:val="00111650"/>
    <w:rsid w:val="00111C93"/>
    <w:rsid w:val="0011526C"/>
    <w:rsid w:val="00123BC3"/>
    <w:rsid w:val="00124DF8"/>
    <w:rsid w:val="00126790"/>
    <w:rsid w:val="00126EB8"/>
    <w:rsid w:val="001305FB"/>
    <w:rsid w:val="001325A6"/>
    <w:rsid w:val="00133615"/>
    <w:rsid w:val="001348FB"/>
    <w:rsid w:val="0013533B"/>
    <w:rsid w:val="001358DA"/>
    <w:rsid w:val="001363AA"/>
    <w:rsid w:val="00137034"/>
    <w:rsid w:val="001371BC"/>
    <w:rsid w:val="001401BF"/>
    <w:rsid w:val="00140AB8"/>
    <w:rsid w:val="001456CB"/>
    <w:rsid w:val="00154CB3"/>
    <w:rsid w:val="00156246"/>
    <w:rsid w:val="001569B9"/>
    <w:rsid w:val="00156A7B"/>
    <w:rsid w:val="00156AA5"/>
    <w:rsid w:val="00156C53"/>
    <w:rsid w:val="00160697"/>
    <w:rsid w:val="00172853"/>
    <w:rsid w:val="00173F3E"/>
    <w:rsid w:val="00176CFD"/>
    <w:rsid w:val="0018345B"/>
    <w:rsid w:val="00187536"/>
    <w:rsid w:val="0019293B"/>
    <w:rsid w:val="00192BC8"/>
    <w:rsid w:val="00194726"/>
    <w:rsid w:val="001A0660"/>
    <w:rsid w:val="001A4E93"/>
    <w:rsid w:val="001A5FA3"/>
    <w:rsid w:val="001A6749"/>
    <w:rsid w:val="001A7B8E"/>
    <w:rsid w:val="001B0755"/>
    <w:rsid w:val="001B1E03"/>
    <w:rsid w:val="001B22D7"/>
    <w:rsid w:val="001B6DBB"/>
    <w:rsid w:val="001B7959"/>
    <w:rsid w:val="001C0865"/>
    <w:rsid w:val="001C09F3"/>
    <w:rsid w:val="001C3ABA"/>
    <w:rsid w:val="001D0D79"/>
    <w:rsid w:val="001D1AAB"/>
    <w:rsid w:val="001D35B6"/>
    <w:rsid w:val="001D5099"/>
    <w:rsid w:val="001D5359"/>
    <w:rsid w:val="001D5B77"/>
    <w:rsid w:val="001D6A1D"/>
    <w:rsid w:val="001D6C46"/>
    <w:rsid w:val="001D7A5C"/>
    <w:rsid w:val="001E063A"/>
    <w:rsid w:val="001E36B5"/>
    <w:rsid w:val="001E3C2C"/>
    <w:rsid w:val="001E4E5E"/>
    <w:rsid w:val="001E7BE8"/>
    <w:rsid w:val="001F0248"/>
    <w:rsid w:val="001F04B0"/>
    <w:rsid w:val="001F2F22"/>
    <w:rsid w:val="001F4650"/>
    <w:rsid w:val="001F6EF5"/>
    <w:rsid w:val="0020053E"/>
    <w:rsid w:val="00200689"/>
    <w:rsid w:val="00202C2C"/>
    <w:rsid w:val="00203162"/>
    <w:rsid w:val="00206346"/>
    <w:rsid w:val="00212F56"/>
    <w:rsid w:val="00224705"/>
    <w:rsid w:val="0022553D"/>
    <w:rsid w:val="0023040D"/>
    <w:rsid w:val="00231722"/>
    <w:rsid w:val="0023199A"/>
    <w:rsid w:val="00233DF2"/>
    <w:rsid w:val="00236556"/>
    <w:rsid w:val="002379DF"/>
    <w:rsid w:val="00242279"/>
    <w:rsid w:val="0024465A"/>
    <w:rsid w:val="002455BA"/>
    <w:rsid w:val="00245EE5"/>
    <w:rsid w:val="00246148"/>
    <w:rsid w:val="00247E1B"/>
    <w:rsid w:val="00250A33"/>
    <w:rsid w:val="002514D3"/>
    <w:rsid w:val="0025222D"/>
    <w:rsid w:val="00252F0D"/>
    <w:rsid w:val="0025680F"/>
    <w:rsid w:val="00256C44"/>
    <w:rsid w:val="0025773D"/>
    <w:rsid w:val="00263482"/>
    <w:rsid w:val="0026369A"/>
    <w:rsid w:val="002658CF"/>
    <w:rsid w:val="00271127"/>
    <w:rsid w:val="002721EE"/>
    <w:rsid w:val="00274712"/>
    <w:rsid w:val="00276F16"/>
    <w:rsid w:val="00276F77"/>
    <w:rsid w:val="00282E7A"/>
    <w:rsid w:val="00284976"/>
    <w:rsid w:val="00286B28"/>
    <w:rsid w:val="00290EEB"/>
    <w:rsid w:val="00291B40"/>
    <w:rsid w:val="00292290"/>
    <w:rsid w:val="002924A4"/>
    <w:rsid w:val="002924EC"/>
    <w:rsid w:val="00292829"/>
    <w:rsid w:val="00294997"/>
    <w:rsid w:val="002949AF"/>
    <w:rsid w:val="00295108"/>
    <w:rsid w:val="002A05DF"/>
    <w:rsid w:val="002A1CCD"/>
    <w:rsid w:val="002A48B7"/>
    <w:rsid w:val="002A588E"/>
    <w:rsid w:val="002A66B3"/>
    <w:rsid w:val="002B033A"/>
    <w:rsid w:val="002B0DDE"/>
    <w:rsid w:val="002B4008"/>
    <w:rsid w:val="002B5972"/>
    <w:rsid w:val="002B6FDC"/>
    <w:rsid w:val="002C02DE"/>
    <w:rsid w:val="002C08D2"/>
    <w:rsid w:val="002C0C98"/>
    <w:rsid w:val="002C1F4F"/>
    <w:rsid w:val="002C350F"/>
    <w:rsid w:val="002C77B7"/>
    <w:rsid w:val="002D035A"/>
    <w:rsid w:val="002D09C2"/>
    <w:rsid w:val="002D0E8E"/>
    <w:rsid w:val="002D125A"/>
    <w:rsid w:val="002D7DFC"/>
    <w:rsid w:val="002E2351"/>
    <w:rsid w:val="002E7783"/>
    <w:rsid w:val="002F22D4"/>
    <w:rsid w:val="003001D3"/>
    <w:rsid w:val="00300692"/>
    <w:rsid w:val="00301189"/>
    <w:rsid w:val="003011F6"/>
    <w:rsid w:val="00303DC7"/>
    <w:rsid w:val="0030524F"/>
    <w:rsid w:val="0030718C"/>
    <w:rsid w:val="00310533"/>
    <w:rsid w:val="00312581"/>
    <w:rsid w:val="00313094"/>
    <w:rsid w:val="00315751"/>
    <w:rsid w:val="00315B2A"/>
    <w:rsid w:val="00315CBD"/>
    <w:rsid w:val="00317F11"/>
    <w:rsid w:val="003214A4"/>
    <w:rsid w:val="00322A1C"/>
    <w:rsid w:val="00323E09"/>
    <w:rsid w:val="003275FC"/>
    <w:rsid w:val="00332F36"/>
    <w:rsid w:val="00333549"/>
    <w:rsid w:val="00333932"/>
    <w:rsid w:val="0033438E"/>
    <w:rsid w:val="0033691C"/>
    <w:rsid w:val="003373D0"/>
    <w:rsid w:val="00340F11"/>
    <w:rsid w:val="00340F2D"/>
    <w:rsid w:val="00340FB6"/>
    <w:rsid w:val="00340FEC"/>
    <w:rsid w:val="00342737"/>
    <w:rsid w:val="0034418F"/>
    <w:rsid w:val="00345207"/>
    <w:rsid w:val="0034546C"/>
    <w:rsid w:val="003518AA"/>
    <w:rsid w:val="00351AE4"/>
    <w:rsid w:val="00353182"/>
    <w:rsid w:val="00354BE8"/>
    <w:rsid w:val="00355B3A"/>
    <w:rsid w:val="003602E1"/>
    <w:rsid w:val="003706F2"/>
    <w:rsid w:val="00371240"/>
    <w:rsid w:val="003743A5"/>
    <w:rsid w:val="00374731"/>
    <w:rsid w:val="00374ADC"/>
    <w:rsid w:val="00375A36"/>
    <w:rsid w:val="00375E69"/>
    <w:rsid w:val="0037778D"/>
    <w:rsid w:val="00382B02"/>
    <w:rsid w:val="00383332"/>
    <w:rsid w:val="00392436"/>
    <w:rsid w:val="0039484D"/>
    <w:rsid w:val="003A20D0"/>
    <w:rsid w:val="003A38FB"/>
    <w:rsid w:val="003A4D8F"/>
    <w:rsid w:val="003A50DB"/>
    <w:rsid w:val="003A6231"/>
    <w:rsid w:val="003A69AA"/>
    <w:rsid w:val="003A6BA1"/>
    <w:rsid w:val="003A72E7"/>
    <w:rsid w:val="003B07FB"/>
    <w:rsid w:val="003B1E03"/>
    <w:rsid w:val="003B26E0"/>
    <w:rsid w:val="003B32E7"/>
    <w:rsid w:val="003B4143"/>
    <w:rsid w:val="003B5315"/>
    <w:rsid w:val="003C3315"/>
    <w:rsid w:val="003C38B5"/>
    <w:rsid w:val="003C4E32"/>
    <w:rsid w:val="003C59CC"/>
    <w:rsid w:val="003C5D99"/>
    <w:rsid w:val="003C6387"/>
    <w:rsid w:val="003C783B"/>
    <w:rsid w:val="003D08FD"/>
    <w:rsid w:val="003D14E8"/>
    <w:rsid w:val="003D73E3"/>
    <w:rsid w:val="003E0AB4"/>
    <w:rsid w:val="003E10F1"/>
    <w:rsid w:val="003E2591"/>
    <w:rsid w:val="003E68BC"/>
    <w:rsid w:val="003E6A4D"/>
    <w:rsid w:val="003F0789"/>
    <w:rsid w:val="003F1271"/>
    <w:rsid w:val="003F3BCC"/>
    <w:rsid w:val="003F4469"/>
    <w:rsid w:val="003F61A8"/>
    <w:rsid w:val="003F7055"/>
    <w:rsid w:val="004002F8"/>
    <w:rsid w:val="00401882"/>
    <w:rsid w:val="0040191D"/>
    <w:rsid w:val="00401F0D"/>
    <w:rsid w:val="004050C1"/>
    <w:rsid w:val="004100C8"/>
    <w:rsid w:val="004106E3"/>
    <w:rsid w:val="00412ACE"/>
    <w:rsid w:val="00412D0F"/>
    <w:rsid w:val="004176F2"/>
    <w:rsid w:val="004202FB"/>
    <w:rsid w:val="00421280"/>
    <w:rsid w:val="00423564"/>
    <w:rsid w:val="00425362"/>
    <w:rsid w:val="00431249"/>
    <w:rsid w:val="00432CA5"/>
    <w:rsid w:val="00434C19"/>
    <w:rsid w:val="00434D2C"/>
    <w:rsid w:val="00440663"/>
    <w:rsid w:val="00441E02"/>
    <w:rsid w:val="00443494"/>
    <w:rsid w:val="0044433A"/>
    <w:rsid w:val="004506F4"/>
    <w:rsid w:val="00450810"/>
    <w:rsid w:val="00452BDA"/>
    <w:rsid w:val="00460155"/>
    <w:rsid w:val="00461006"/>
    <w:rsid w:val="00462373"/>
    <w:rsid w:val="00462FD6"/>
    <w:rsid w:val="0047002E"/>
    <w:rsid w:val="00473199"/>
    <w:rsid w:val="00473714"/>
    <w:rsid w:val="00473BF1"/>
    <w:rsid w:val="004766F5"/>
    <w:rsid w:val="00477144"/>
    <w:rsid w:val="00477D78"/>
    <w:rsid w:val="00482395"/>
    <w:rsid w:val="004860DF"/>
    <w:rsid w:val="00486EF3"/>
    <w:rsid w:val="00490CD4"/>
    <w:rsid w:val="00491F73"/>
    <w:rsid w:val="00493086"/>
    <w:rsid w:val="0049459F"/>
    <w:rsid w:val="00496074"/>
    <w:rsid w:val="00496165"/>
    <w:rsid w:val="004970A8"/>
    <w:rsid w:val="004A18A0"/>
    <w:rsid w:val="004A311B"/>
    <w:rsid w:val="004A3E0D"/>
    <w:rsid w:val="004A4038"/>
    <w:rsid w:val="004A5161"/>
    <w:rsid w:val="004A5753"/>
    <w:rsid w:val="004A622A"/>
    <w:rsid w:val="004A6499"/>
    <w:rsid w:val="004A73FE"/>
    <w:rsid w:val="004A7CDC"/>
    <w:rsid w:val="004B0726"/>
    <w:rsid w:val="004B25F7"/>
    <w:rsid w:val="004B43AE"/>
    <w:rsid w:val="004B441F"/>
    <w:rsid w:val="004B5330"/>
    <w:rsid w:val="004C083E"/>
    <w:rsid w:val="004C218E"/>
    <w:rsid w:val="004C240D"/>
    <w:rsid w:val="004C30ED"/>
    <w:rsid w:val="004C34AC"/>
    <w:rsid w:val="004C78DF"/>
    <w:rsid w:val="004D0C3A"/>
    <w:rsid w:val="004D4446"/>
    <w:rsid w:val="004D5C8D"/>
    <w:rsid w:val="004E0029"/>
    <w:rsid w:val="004E4B3D"/>
    <w:rsid w:val="004F090C"/>
    <w:rsid w:val="005006D1"/>
    <w:rsid w:val="00501723"/>
    <w:rsid w:val="005018A1"/>
    <w:rsid w:val="005019E7"/>
    <w:rsid w:val="00507279"/>
    <w:rsid w:val="00510519"/>
    <w:rsid w:val="00511130"/>
    <w:rsid w:val="005118CC"/>
    <w:rsid w:val="005177D0"/>
    <w:rsid w:val="0052044E"/>
    <w:rsid w:val="0052077E"/>
    <w:rsid w:val="00521C5D"/>
    <w:rsid w:val="00531D61"/>
    <w:rsid w:val="00534486"/>
    <w:rsid w:val="00535E1D"/>
    <w:rsid w:val="00536054"/>
    <w:rsid w:val="0053619B"/>
    <w:rsid w:val="0054212F"/>
    <w:rsid w:val="0054392C"/>
    <w:rsid w:val="00544CC0"/>
    <w:rsid w:val="00545A66"/>
    <w:rsid w:val="00552D57"/>
    <w:rsid w:val="00552D69"/>
    <w:rsid w:val="00555575"/>
    <w:rsid w:val="00556DC0"/>
    <w:rsid w:val="005579BF"/>
    <w:rsid w:val="00561798"/>
    <w:rsid w:val="0056348B"/>
    <w:rsid w:val="00564816"/>
    <w:rsid w:val="005718C1"/>
    <w:rsid w:val="005727A3"/>
    <w:rsid w:val="00572AB3"/>
    <w:rsid w:val="0057320F"/>
    <w:rsid w:val="00574138"/>
    <w:rsid w:val="005749EA"/>
    <w:rsid w:val="00575EA5"/>
    <w:rsid w:val="00576BB9"/>
    <w:rsid w:val="00580741"/>
    <w:rsid w:val="00583C39"/>
    <w:rsid w:val="00584399"/>
    <w:rsid w:val="00584757"/>
    <w:rsid w:val="005864A4"/>
    <w:rsid w:val="005909CF"/>
    <w:rsid w:val="0059154B"/>
    <w:rsid w:val="00591E71"/>
    <w:rsid w:val="00591E85"/>
    <w:rsid w:val="005962EA"/>
    <w:rsid w:val="00596F35"/>
    <w:rsid w:val="005A3728"/>
    <w:rsid w:val="005A3922"/>
    <w:rsid w:val="005B6852"/>
    <w:rsid w:val="005C0F10"/>
    <w:rsid w:val="005C6821"/>
    <w:rsid w:val="005D194A"/>
    <w:rsid w:val="005D2C35"/>
    <w:rsid w:val="005D3D31"/>
    <w:rsid w:val="005D4241"/>
    <w:rsid w:val="005D44F3"/>
    <w:rsid w:val="005E1E20"/>
    <w:rsid w:val="005E220C"/>
    <w:rsid w:val="005E27B4"/>
    <w:rsid w:val="005E665F"/>
    <w:rsid w:val="005F143A"/>
    <w:rsid w:val="005F49AC"/>
    <w:rsid w:val="00600BA7"/>
    <w:rsid w:val="00602167"/>
    <w:rsid w:val="00602A00"/>
    <w:rsid w:val="00604733"/>
    <w:rsid w:val="00607BF1"/>
    <w:rsid w:val="0061161F"/>
    <w:rsid w:val="00611921"/>
    <w:rsid w:val="00613B23"/>
    <w:rsid w:val="00614745"/>
    <w:rsid w:val="00621666"/>
    <w:rsid w:val="00621718"/>
    <w:rsid w:val="006233FE"/>
    <w:rsid w:val="00625963"/>
    <w:rsid w:val="00627B39"/>
    <w:rsid w:val="00630BE1"/>
    <w:rsid w:val="00630D4D"/>
    <w:rsid w:val="00632A74"/>
    <w:rsid w:val="00635083"/>
    <w:rsid w:val="00636554"/>
    <w:rsid w:val="00637C8C"/>
    <w:rsid w:val="00641812"/>
    <w:rsid w:val="00641F10"/>
    <w:rsid w:val="0064339D"/>
    <w:rsid w:val="00646AF8"/>
    <w:rsid w:val="00655CFB"/>
    <w:rsid w:val="00656B34"/>
    <w:rsid w:val="006574E1"/>
    <w:rsid w:val="006613A1"/>
    <w:rsid w:val="00661821"/>
    <w:rsid w:val="006624CF"/>
    <w:rsid w:val="00666D5D"/>
    <w:rsid w:val="00667874"/>
    <w:rsid w:val="00667A08"/>
    <w:rsid w:val="00673D84"/>
    <w:rsid w:val="00674F86"/>
    <w:rsid w:val="006763C6"/>
    <w:rsid w:val="00677C64"/>
    <w:rsid w:val="0068420B"/>
    <w:rsid w:val="00685487"/>
    <w:rsid w:val="006867EE"/>
    <w:rsid w:val="006922C4"/>
    <w:rsid w:val="006969D8"/>
    <w:rsid w:val="00696B77"/>
    <w:rsid w:val="006974B8"/>
    <w:rsid w:val="006A1DA8"/>
    <w:rsid w:val="006A4655"/>
    <w:rsid w:val="006A4C31"/>
    <w:rsid w:val="006A5050"/>
    <w:rsid w:val="006A56AD"/>
    <w:rsid w:val="006A6059"/>
    <w:rsid w:val="006B2CAC"/>
    <w:rsid w:val="006B3E4C"/>
    <w:rsid w:val="006B4DC9"/>
    <w:rsid w:val="006C01A0"/>
    <w:rsid w:val="006C0AED"/>
    <w:rsid w:val="006C267B"/>
    <w:rsid w:val="006C4CAD"/>
    <w:rsid w:val="006C631F"/>
    <w:rsid w:val="006C6396"/>
    <w:rsid w:val="006C7038"/>
    <w:rsid w:val="006D1C9D"/>
    <w:rsid w:val="006D28CF"/>
    <w:rsid w:val="006D2AE8"/>
    <w:rsid w:val="006D54EA"/>
    <w:rsid w:val="006E4AC7"/>
    <w:rsid w:val="006E4AEF"/>
    <w:rsid w:val="006E5A6A"/>
    <w:rsid w:val="006E5C2D"/>
    <w:rsid w:val="006E73EF"/>
    <w:rsid w:val="006F3553"/>
    <w:rsid w:val="006F4B1B"/>
    <w:rsid w:val="00701075"/>
    <w:rsid w:val="00703B54"/>
    <w:rsid w:val="00704FA9"/>
    <w:rsid w:val="007076BB"/>
    <w:rsid w:val="00707E6F"/>
    <w:rsid w:val="00711835"/>
    <w:rsid w:val="00711CF9"/>
    <w:rsid w:val="00712C02"/>
    <w:rsid w:val="00712F6B"/>
    <w:rsid w:val="0071447F"/>
    <w:rsid w:val="00722CDA"/>
    <w:rsid w:val="007300E0"/>
    <w:rsid w:val="00734189"/>
    <w:rsid w:val="00735856"/>
    <w:rsid w:val="00737079"/>
    <w:rsid w:val="007415AF"/>
    <w:rsid w:val="00747659"/>
    <w:rsid w:val="00747EBE"/>
    <w:rsid w:val="00751179"/>
    <w:rsid w:val="00751CF2"/>
    <w:rsid w:val="00751DFE"/>
    <w:rsid w:val="0075495F"/>
    <w:rsid w:val="00754BB1"/>
    <w:rsid w:val="007579D2"/>
    <w:rsid w:val="007604BB"/>
    <w:rsid w:val="00761D52"/>
    <w:rsid w:val="007655D1"/>
    <w:rsid w:val="007670D7"/>
    <w:rsid w:val="0077174A"/>
    <w:rsid w:val="00771845"/>
    <w:rsid w:val="007772C2"/>
    <w:rsid w:val="00783BF0"/>
    <w:rsid w:val="00785353"/>
    <w:rsid w:val="00785C6E"/>
    <w:rsid w:val="00786550"/>
    <w:rsid w:val="00786BCE"/>
    <w:rsid w:val="00790D04"/>
    <w:rsid w:val="0079147E"/>
    <w:rsid w:val="00791B72"/>
    <w:rsid w:val="007945C3"/>
    <w:rsid w:val="00797960"/>
    <w:rsid w:val="007A0631"/>
    <w:rsid w:val="007A15BD"/>
    <w:rsid w:val="007A21EB"/>
    <w:rsid w:val="007A3482"/>
    <w:rsid w:val="007A7051"/>
    <w:rsid w:val="007B2367"/>
    <w:rsid w:val="007B33CA"/>
    <w:rsid w:val="007B43A2"/>
    <w:rsid w:val="007B596C"/>
    <w:rsid w:val="007B664B"/>
    <w:rsid w:val="007B762E"/>
    <w:rsid w:val="007B7846"/>
    <w:rsid w:val="007C0C7B"/>
    <w:rsid w:val="007C0D3B"/>
    <w:rsid w:val="007C36C9"/>
    <w:rsid w:val="007C43C7"/>
    <w:rsid w:val="007C4C3B"/>
    <w:rsid w:val="007D1562"/>
    <w:rsid w:val="007D1CBB"/>
    <w:rsid w:val="007D4B3B"/>
    <w:rsid w:val="007D4E19"/>
    <w:rsid w:val="007D6FFA"/>
    <w:rsid w:val="007D7802"/>
    <w:rsid w:val="007E01E4"/>
    <w:rsid w:val="007E22F5"/>
    <w:rsid w:val="007E4904"/>
    <w:rsid w:val="007E6503"/>
    <w:rsid w:val="007E7D77"/>
    <w:rsid w:val="007F03A0"/>
    <w:rsid w:val="007F5FE5"/>
    <w:rsid w:val="007F7107"/>
    <w:rsid w:val="007F7D2E"/>
    <w:rsid w:val="00800886"/>
    <w:rsid w:val="00801652"/>
    <w:rsid w:val="0080271E"/>
    <w:rsid w:val="00803F0D"/>
    <w:rsid w:val="00805B48"/>
    <w:rsid w:val="0081030F"/>
    <w:rsid w:val="00811B23"/>
    <w:rsid w:val="00812B00"/>
    <w:rsid w:val="00815BF5"/>
    <w:rsid w:val="0082087D"/>
    <w:rsid w:val="0082097C"/>
    <w:rsid w:val="0082129A"/>
    <w:rsid w:val="00821D3B"/>
    <w:rsid w:val="0082251B"/>
    <w:rsid w:val="00823457"/>
    <w:rsid w:val="0082603F"/>
    <w:rsid w:val="00827FB9"/>
    <w:rsid w:val="008303C9"/>
    <w:rsid w:val="00830875"/>
    <w:rsid w:val="00834F5F"/>
    <w:rsid w:val="00835A95"/>
    <w:rsid w:val="00835E74"/>
    <w:rsid w:val="008374B7"/>
    <w:rsid w:val="00840B05"/>
    <w:rsid w:val="00840FA5"/>
    <w:rsid w:val="00841D43"/>
    <w:rsid w:val="00842CA1"/>
    <w:rsid w:val="00844581"/>
    <w:rsid w:val="0084605E"/>
    <w:rsid w:val="00852A68"/>
    <w:rsid w:val="008541C3"/>
    <w:rsid w:val="00856053"/>
    <w:rsid w:val="00856A43"/>
    <w:rsid w:val="00856A47"/>
    <w:rsid w:val="00857382"/>
    <w:rsid w:val="00857791"/>
    <w:rsid w:val="0086045C"/>
    <w:rsid w:val="0086082C"/>
    <w:rsid w:val="00862009"/>
    <w:rsid w:val="008634B4"/>
    <w:rsid w:val="008640DB"/>
    <w:rsid w:val="00864ADC"/>
    <w:rsid w:val="00864D80"/>
    <w:rsid w:val="008651AB"/>
    <w:rsid w:val="00870946"/>
    <w:rsid w:val="0087100F"/>
    <w:rsid w:val="00876B60"/>
    <w:rsid w:val="008770B3"/>
    <w:rsid w:val="00880153"/>
    <w:rsid w:val="00880F97"/>
    <w:rsid w:val="0088133A"/>
    <w:rsid w:val="00881F3B"/>
    <w:rsid w:val="008859D1"/>
    <w:rsid w:val="00887B25"/>
    <w:rsid w:val="00890B23"/>
    <w:rsid w:val="008926B8"/>
    <w:rsid w:val="0089285E"/>
    <w:rsid w:val="00892C5E"/>
    <w:rsid w:val="0089436C"/>
    <w:rsid w:val="008966CD"/>
    <w:rsid w:val="008A17C1"/>
    <w:rsid w:val="008A3452"/>
    <w:rsid w:val="008A5837"/>
    <w:rsid w:val="008A70AC"/>
    <w:rsid w:val="008A72FB"/>
    <w:rsid w:val="008B1519"/>
    <w:rsid w:val="008B41B7"/>
    <w:rsid w:val="008B7CA9"/>
    <w:rsid w:val="008C023D"/>
    <w:rsid w:val="008C5C63"/>
    <w:rsid w:val="008D1F79"/>
    <w:rsid w:val="008D209A"/>
    <w:rsid w:val="008D261F"/>
    <w:rsid w:val="008D3EC6"/>
    <w:rsid w:val="008D447F"/>
    <w:rsid w:val="008D4C78"/>
    <w:rsid w:val="008D5F40"/>
    <w:rsid w:val="008E2D82"/>
    <w:rsid w:val="008E778E"/>
    <w:rsid w:val="008F5154"/>
    <w:rsid w:val="009015E2"/>
    <w:rsid w:val="009030BF"/>
    <w:rsid w:val="00913061"/>
    <w:rsid w:val="00914368"/>
    <w:rsid w:val="00914888"/>
    <w:rsid w:val="00914ADB"/>
    <w:rsid w:val="00916A90"/>
    <w:rsid w:val="00922159"/>
    <w:rsid w:val="0092747E"/>
    <w:rsid w:val="009301EA"/>
    <w:rsid w:val="00931076"/>
    <w:rsid w:val="009312EF"/>
    <w:rsid w:val="00934572"/>
    <w:rsid w:val="009345D9"/>
    <w:rsid w:val="00934B15"/>
    <w:rsid w:val="00934C88"/>
    <w:rsid w:val="00935C0A"/>
    <w:rsid w:val="00936B93"/>
    <w:rsid w:val="00937056"/>
    <w:rsid w:val="00937C36"/>
    <w:rsid w:val="0094208B"/>
    <w:rsid w:val="00942B62"/>
    <w:rsid w:val="00943D5F"/>
    <w:rsid w:val="009451C8"/>
    <w:rsid w:val="009545EE"/>
    <w:rsid w:val="0095567C"/>
    <w:rsid w:val="00955A00"/>
    <w:rsid w:val="00956A0C"/>
    <w:rsid w:val="00956BD9"/>
    <w:rsid w:val="009605B1"/>
    <w:rsid w:val="00961368"/>
    <w:rsid w:val="00962489"/>
    <w:rsid w:val="00963FCB"/>
    <w:rsid w:val="00965891"/>
    <w:rsid w:val="00970E47"/>
    <w:rsid w:val="00974664"/>
    <w:rsid w:val="0097671E"/>
    <w:rsid w:val="00980D0D"/>
    <w:rsid w:val="00981169"/>
    <w:rsid w:val="00981D9D"/>
    <w:rsid w:val="00984277"/>
    <w:rsid w:val="009854AE"/>
    <w:rsid w:val="00987890"/>
    <w:rsid w:val="00990401"/>
    <w:rsid w:val="00991436"/>
    <w:rsid w:val="00991F03"/>
    <w:rsid w:val="00992B8F"/>
    <w:rsid w:val="0099530F"/>
    <w:rsid w:val="00996E7C"/>
    <w:rsid w:val="009A21AA"/>
    <w:rsid w:val="009A2B0A"/>
    <w:rsid w:val="009A4F9A"/>
    <w:rsid w:val="009A5B67"/>
    <w:rsid w:val="009B0D9F"/>
    <w:rsid w:val="009B265B"/>
    <w:rsid w:val="009B4C92"/>
    <w:rsid w:val="009C1B57"/>
    <w:rsid w:val="009C2CC2"/>
    <w:rsid w:val="009C5FB0"/>
    <w:rsid w:val="009C731A"/>
    <w:rsid w:val="009D3AC3"/>
    <w:rsid w:val="009D3B2D"/>
    <w:rsid w:val="009D3FF9"/>
    <w:rsid w:val="009D4B06"/>
    <w:rsid w:val="009E48EF"/>
    <w:rsid w:val="009E4CF4"/>
    <w:rsid w:val="009E4F2F"/>
    <w:rsid w:val="009E6D5B"/>
    <w:rsid w:val="009F0ED9"/>
    <w:rsid w:val="009F24C6"/>
    <w:rsid w:val="009F3E71"/>
    <w:rsid w:val="009F6582"/>
    <w:rsid w:val="009F696D"/>
    <w:rsid w:val="009F6BC6"/>
    <w:rsid w:val="009F7807"/>
    <w:rsid w:val="00A01691"/>
    <w:rsid w:val="00A019F0"/>
    <w:rsid w:val="00A0308A"/>
    <w:rsid w:val="00A03136"/>
    <w:rsid w:val="00A05DB8"/>
    <w:rsid w:val="00A076ED"/>
    <w:rsid w:val="00A07865"/>
    <w:rsid w:val="00A10A5E"/>
    <w:rsid w:val="00A16247"/>
    <w:rsid w:val="00A166C3"/>
    <w:rsid w:val="00A1684C"/>
    <w:rsid w:val="00A17328"/>
    <w:rsid w:val="00A17808"/>
    <w:rsid w:val="00A20B5F"/>
    <w:rsid w:val="00A222BD"/>
    <w:rsid w:val="00A232A5"/>
    <w:rsid w:val="00A241C7"/>
    <w:rsid w:val="00A24DBE"/>
    <w:rsid w:val="00A24F70"/>
    <w:rsid w:val="00A25FEC"/>
    <w:rsid w:val="00A2703A"/>
    <w:rsid w:val="00A2742F"/>
    <w:rsid w:val="00A27EF6"/>
    <w:rsid w:val="00A3340C"/>
    <w:rsid w:val="00A33DFF"/>
    <w:rsid w:val="00A346D7"/>
    <w:rsid w:val="00A35115"/>
    <w:rsid w:val="00A36124"/>
    <w:rsid w:val="00A37169"/>
    <w:rsid w:val="00A50A9B"/>
    <w:rsid w:val="00A50F46"/>
    <w:rsid w:val="00A52B6E"/>
    <w:rsid w:val="00A537BE"/>
    <w:rsid w:val="00A554AB"/>
    <w:rsid w:val="00A6181C"/>
    <w:rsid w:val="00A62E9F"/>
    <w:rsid w:val="00A6418B"/>
    <w:rsid w:val="00A64B2B"/>
    <w:rsid w:val="00A717C2"/>
    <w:rsid w:val="00A72384"/>
    <w:rsid w:val="00A724A6"/>
    <w:rsid w:val="00A72808"/>
    <w:rsid w:val="00A7408B"/>
    <w:rsid w:val="00A76B56"/>
    <w:rsid w:val="00A857B0"/>
    <w:rsid w:val="00A85C31"/>
    <w:rsid w:val="00A87E7F"/>
    <w:rsid w:val="00A917E5"/>
    <w:rsid w:val="00A91F14"/>
    <w:rsid w:val="00A94FA6"/>
    <w:rsid w:val="00A96CF5"/>
    <w:rsid w:val="00A97B74"/>
    <w:rsid w:val="00AA067A"/>
    <w:rsid w:val="00AA0D95"/>
    <w:rsid w:val="00AA17CA"/>
    <w:rsid w:val="00AA4018"/>
    <w:rsid w:val="00AA6710"/>
    <w:rsid w:val="00AA6B11"/>
    <w:rsid w:val="00AB0681"/>
    <w:rsid w:val="00AB6BD8"/>
    <w:rsid w:val="00AB709A"/>
    <w:rsid w:val="00AB7B63"/>
    <w:rsid w:val="00AC0245"/>
    <w:rsid w:val="00AC648F"/>
    <w:rsid w:val="00AD04EC"/>
    <w:rsid w:val="00AD473E"/>
    <w:rsid w:val="00AD6F1A"/>
    <w:rsid w:val="00AD7342"/>
    <w:rsid w:val="00AE21E7"/>
    <w:rsid w:val="00AE6E56"/>
    <w:rsid w:val="00AF39C0"/>
    <w:rsid w:val="00AF427F"/>
    <w:rsid w:val="00AF588E"/>
    <w:rsid w:val="00AF593F"/>
    <w:rsid w:val="00AF659F"/>
    <w:rsid w:val="00AF6D61"/>
    <w:rsid w:val="00B013F3"/>
    <w:rsid w:val="00B03C60"/>
    <w:rsid w:val="00B04F7F"/>
    <w:rsid w:val="00B06935"/>
    <w:rsid w:val="00B11B7B"/>
    <w:rsid w:val="00B12B0C"/>
    <w:rsid w:val="00B1678E"/>
    <w:rsid w:val="00B20CD8"/>
    <w:rsid w:val="00B2186B"/>
    <w:rsid w:val="00B25226"/>
    <w:rsid w:val="00B259B8"/>
    <w:rsid w:val="00B261FA"/>
    <w:rsid w:val="00B26D0E"/>
    <w:rsid w:val="00B26F74"/>
    <w:rsid w:val="00B27A31"/>
    <w:rsid w:val="00B322FD"/>
    <w:rsid w:val="00B32FA9"/>
    <w:rsid w:val="00B37E7F"/>
    <w:rsid w:val="00B4411B"/>
    <w:rsid w:val="00B45840"/>
    <w:rsid w:val="00B5308F"/>
    <w:rsid w:val="00B53E7E"/>
    <w:rsid w:val="00B55BAD"/>
    <w:rsid w:val="00B56C4D"/>
    <w:rsid w:val="00B62524"/>
    <w:rsid w:val="00B630D7"/>
    <w:rsid w:val="00B6342E"/>
    <w:rsid w:val="00B66E70"/>
    <w:rsid w:val="00B67272"/>
    <w:rsid w:val="00B6727E"/>
    <w:rsid w:val="00B7113F"/>
    <w:rsid w:val="00B71E4D"/>
    <w:rsid w:val="00B720F0"/>
    <w:rsid w:val="00B740ED"/>
    <w:rsid w:val="00B751A1"/>
    <w:rsid w:val="00B84CE1"/>
    <w:rsid w:val="00B87BF7"/>
    <w:rsid w:val="00B90962"/>
    <w:rsid w:val="00BA155F"/>
    <w:rsid w:val="00BA62D5"/>
    <w:rsid w:val="00BA73B6"/>
    <w:rsid w:val="00BB13E6"/>
    <w:rsid w:val="00BB2AD4"/>
    <w:rsid w:val="00BB2D2C"/>
    <w:rsid w:val="00BB4FCD"/>
    <w:rsid w:val="00BB52CD"/>
    <w:rsid w:val="00BB79B4"/>
    <w:rsid w:val="00BC39BE"/>
    <w:rsid w:val="00BC3DCE"/>
    <w:rsid w:val="00BC6D7E"/>
    <w:rsid w:val="00BD0566"/>
    <w:rsid w:val="00BD13EA"/>
    <w:rsid w:val="00BD275C"/>
    <w:rsid w:val="00BD49B7"/>
    <w:rsid w:val="00BD7029"/>
    <w:rsid w:val="00BE0F1F"/>
    <w:rsid w:val="00BE29E2"/>
    <w:rsid w:val="00BE2B73"/>
    <w:rsid w:val="00BE37AB"/>
    <w:rsid w:val="00BE3808"/>
    <w:rsid w:val="00BE3E7F"/>
    <w:rsid w:val="00BE5140"/>
    <w:rsid w:val="00BE5C4F"/>
    <w:rsid w:val="00BF34C6"/>
    <w:rsid w:val="00BF5747"/>
    <w:rsid w:val="00BF5CA9"/>
    <w:rsid w:val="00BF7705"/>
    <w:rsid w:val="00C01566"/>
    <w:rsid w:val="00C042A9"/>
    <w:rsid w:val="00C04859"/>
    <w:rsid w:val="00C062E9"/>
    <w:rsid w:val="00C068C6"/>
    <w:rsid w:val="00C07912"/>
    <w:rsid w:val="00C13721"/>
    <w:rsid w:val="00C13F9E"/>
    <w:rsid w:val="00C167EC"/>
    <w:rsid w:val="00C20B8E"/>
    <w:rsid w:val="00C27F44"/>
    <w:rsid w:val="00C33444"/>
    <w:rsid w:val="00C349AF"/>
    <w:rsid w:val="00C34F79"/>
    <w:rsid w:val="00C41CD3"/>
    <w:rsid w:val="00C41E1E"/>
    <w:rsid w:val="00C4422C"/>
    <w:rsid w:val="00C44E7D"/>
    <w:rsid w:val="00C50F2F"/>
    <w:rsid w:val="00C512B9"/>
    <w:rsid w:val="00C543F4"/>
    <w:rsid w:val="00C6034B"/>
    <w:rsid w:val="00C6291C"/>
    <w:rsid w:val="00C62F5B"/>
    <w:rsid w:val="00C633CB"/>
    <w:rsid w:val="00C64E15"/>
    <w:rsid w:val="00C6635E"/>
    <w:rsid w:val="00C664F8"/>
    <w:rsid w:val="00C67EFB"/>
    <w:rsid w:val="00C720A6"/>
    <w:rsid w:val="00C751CD"/>
    <w:rsid w:val="00C85E32"/>
    <w:rsid w:val="00C8681A"/>
    <w:rsid w:val="00C871FB"/>
    <w:rsid w:val="00C8762C"/>
    <w:rsid w:val="00C9074A"/>
    <w:rsid w:val="00C93483"/>
    <w:rsid w:val="00C94CC2"/>
    <w:rsid w:val="00C97A49"/>
    <w:rsid w:val="00CA00F9"/>
    <w:rsid w:val="00CA1E67"/>
    <w:rsid w:val="00CA2961"/>
    <w:rsid w:val="00CA3656"/>
    <w:rsid w:val="00CA37B1"/>
    <w:rsid w:val="00CA48F1"/>
    <w:rsid w:val="00CB0CA8"/>
    <w:rsid w:val="00CB1AC6"/>
    <w:rsid w:val="00CB451E"/>
    <w:rsid w:val="00CB50D7"/>
    <w:rsid w:val="00CB5783"/>
    <w:rsid w:val="00CB7177"/>
    <w:rsid w:val="00CC0F8D"/>
    <w:rsid w:val="00CC1998"/>
    <w:rsid w:val="00CC1E30"/>
    <w:rsid w:val="00CC4946"/>
    <w:rsid w:val="00CC49E7"/>
    <w:rsid w:val="00CC4B8B"/>
    <w:rsid w:val="00CD0969"/>
    <w:rsid w:val="00CD5E2C"/>
    <w:rsid w:val="00CD678B"/>
    <w:rsid w:val="00CE019A"/>
    <w:rsid w:val="00CE44B1"/>
    <w:rsid w:val="00CE6596"/>
    <w:rsid w:val="00CF0E6E"/>
    <w:rsid w:val="00CF24D5"/>
    <w:rsid w:val="00CF4AAC"/>
    <w:rsid w:val="00CF5BF8"/>
    <w:rsid w:val="00D0205C"/>
    <w:rsid w:val="00D0364C"/>
    <w:rsid w:val="00D11E31"/>
    <w:rsid w:val="00D12F46"/>
    <w:rsid w:val="00D12F5A"/>
    <w:rsid w:val="00D23E21"/>
    <w:rsid w:val="00D252AB"/>
    <w:rsid w:val="00D270A4"/>
    <w:rsid w:val="00D27322"/>
    <w:rsid w:val="00D3306B"/>
    <w:rsid w:val="00D336B4"/>
    <w:rsid w:val="00D34E1B"/>
    <w:rsid w:val="00D3530D"/>
    <w:rsid w:val="00D379CE"/>
    <w:rsid w:val="00D41B2F"/>
    <w:rsid w:val="00D42192"/>
    <w:rsid w:val="00D4326A"/>
    <w:rsid w:val="00D45167"/>
    <w:rsid w:val="00D4699B"/>
    <w:rsid w:val="00D46A01"/>
    <w:rsid w:val="00D47A39"/>
    <w:rsid w:val="00D51863"/>
    <w:rsid w:val="00D54B9B"/>
    <w:rsid w:val="00D57300"/>
    <w:rsid w:val="00D6109E"/>
    <w:rsid w:val="00D62655"/>
    <w:rsid w:val="00D63659"/>
    <w:rsid w:val="00D63D73"/>
    <w:rsid w:val="00D654DC"/>
    <w:rsid w:val="00D66E1E"/>
    <w:rsid w:val="00D704C1"/>
    <w:rsid w:val="00D71591"/>
    <w:rsid w:val="00D71EE4"/>
    <w:rsid w:val="00D723A1"/>
    <w:rsid w:val="00D730D3"/>
    <w:rsid w:val="00D75722"/>
    <w:rsid w:val="00D77B08"/>
    <w:rsid w:val="00D80057"/>
    <w:rsid w:val="00D80725"/>
    <w:rsid w:val="00D822A4"/>
    <w:rsid w:val="00D82C5E"/>
    <w:rsid w:val="00D85881"/>
    <w:rsid w:val="00D868AC"/>
    <w:rsid w:val="00D868EC"/>
    <w:rsid w:val="00D906E5"/>
    <w:rsid w:val="00D92D50"/>
    <w:rsid w:val="00D9360B"/>
    <w:rsid w:val="00D94104"/>
    <w:rsid w:val="00D956C4"/>
    <w:rsid w:val="00D95983"/>
    <w:rsid w:val="00D96919"/>
    <w:rsid w:val="00DA0786"/>
    <w:rsid w:val="00DA19E3"/>
    <w:rsid w:val="00DA1FD0"/>
    <w:rsid w:val="00DA2AA3"/>
    <w:rsid w:val="00DA4F12"/>
    <w:rsid w:val="00DA5FE1"/>
    <w:rsid w:val="00DA69BA"/>
    <w:rsid w:val="00DB67C9"/>
    <w:rsid w:val="00DC0C95"/>
    <w:rsid w:val="00DD0992"/>
    <w:rsid w:val="00DD0B71"/>
    <w:rsid w:val="00DD0FF7"/>
    <w:rsid w:val="00DD1CE5"/>
    <w:rsid w:val="00DD2790"/>
    <w:rsid w:val="00DD5D23"/>
    <w:rsid w:val="00DD6483"/>
    <w:rsid w:val="00DD6580"/>
    <w:rsid w:val="00DD75C8"/>
    <w:rsid w:val="00DD7A56"/>
    <w:rsid w:val="00DE0734"/>
    <w:rsid w:val="00DE0B8A"/>
    <w:rsid w:val="00DE354D"/>
    <w:rsid w:val="00DE3AF3"/>
    <w:rsid w:val="00DE63C9"/>
    <w:rsid w:val="00DF58FD"/>
    <w:rsid w:val="00DF716C"/>
    <w:rsid w:val="00DF7DB0"/>
    <w:rsid w:val="00E02217"/>
    <w:rsid w:val="00E06120"/>
    <w:rsid w:val="00E13915"/>
    <w:rsid w:val="00E15986"/>
    <w:rsid w:val="00E17C72"/>
    <w:rsid w:val="00E45715"/>
    <w:rsid w:val="00E45B30"/>
    <w:rsid w:val="00E45BAF"/>
    <w:rsid w:val="00E467FE"/>
    <w:rsid w:val="00E53320"/>
    <w:rsid w:val="00E549F1"/>
    <w:rsid w:val="00E56280"/>
    <w:rsid w:val="00E56442"/>
    <w:rsid w:val="00E5664D"/>
    <w:rsid w:val="00E624C1"/>
    <w:rsid w:val="00E65100"/>
    <w:rsid w:val="00E66386"/>
    <w:rsid w:val="00E66888"/>
    <w:rsid w:val="00E669E2"/>
    <w:rsid w:val="00E70B10"/>
    <w:rsid w:val="00E7126F"/>
    <w:rsid w:val="00E74253"/>
    <w:rsid w:val="00E744B0"/>
    <w:rsid w:val="00E74D68"/>
    <w:rsid w:val="00E75547"/>
    <w:rsid w:val="00E76135"/>
    <w:rsid w:val="00E77758"/>
    <w:rsid w:val="00E82096"/>
    <w:rsid w:val="00E91338"/>
    <w:rsid w:val="00E91503"/>
    <w:rsid w:val="00E91BBE"/>
    <w:rsid w:val="00E947FD"/>
    <w:rsid w:val="00E949C1"/>
    <w:rsid w:val="00E9781D"/>
    <w:rsid w:val="00EA045B"/>
    <w:rsid w:val="00EA2071"/>
    <w:rsid w:val="00EA4F32"/>
    <w:rsid w:val="00EA6184"/>
    <w:rsid w:val="00EB7742"/>
    <w:rsid w:val="00EC05AB"/>
    <w:rsid w:val="00EC1DD1"/>
    <w:rsid w:val="00EC3261"/>
    <w:rsid w:val="00EC4DE5"/>
    <w:rsid w:val="00EC6718"/>
    <w:rsid w:val="00EC6CEA"/>
    <w:rsid w:val="00ED0B39"/>
    <w:rsid w:val="00ED0BFB"/>
    <w:rsid w:val="00ED3A7E"/>
    <w:rsid w:val="00EE0C68"/>
    <w:rsid w:val="00EE111D"/>
    <w:rsid w:val="00EE1A33"/>
    <w:rsid w:val="00EE229D"/>
    <w:rsid w:val="00EE2530"/>
    <w:rsid w:val="00EE2607"/>
    <w:rsid w:val="00EE3827"/>
    <w:rsid w:val="00EE4218"/>
    <w:rsid w:val="00EE4812"/>
    <w:rsid w:val="00EE6D1D"/>
    <w:rsid w:val="00EE7C02"/>
    <w:rsid w:val="00EF0EE7"/>
    <w:rsid w:val="00EF2D28"/>
    <w:rsid w:val="00EF301F"/>
    <w:rsid w:val="00EF6D1A"/>
    <w:rsid w:val="00F0058D"/>
    <w:rsid w:val="00F015D4"/>
    <w:rsid w:val="00F018C3"/>
    <w:rsid w:val="00F020D7"/>
    <w:rsid w:val="00F056FC"/>
    <w:rsid w:val="00F10E35"/>
    <w:rsid w:val="00F116CC"/>
    <w:rsid w:val="00F135D8"/>
    <w:rsid w:val="00F13A70"/>
    <w:rsid w:val="00F14211"/>
    <w:rsid w:val="00F1442A"/>
    <w:rsid w:val="00F15CF0"/>
    <w:rsid w:val="00F211D0"/>
    <w:rsid w:val="00F225AF"/>
    <w:rsid w:val="00F23695"/>
    <w:rsid w:val="00F2381B"/>
    <w:rsid w:val="00F24150"/>
    <w:rsid w:val="00F26A75"/>
    <w:rsid w:val="00F308E9"/>
    <w:rsid w:val="00F31299"/>
    <w:rsid w:val="00F3346B"/>
    <w:rsid w:val="00F3534A"/>
    <w:rsid w:val="00F35A03"/>
    <w:rsid w:val="00F3693A"/>
    <w:rsid w:val="00F37040"/>
    <w:rsid w:val="00F37641"/>
    <w:rsid w:val="00F417A2"/>
    <w:rsid w:val="00F42EFA"/>
    <w:rsid w:val="00F44DB6"/>
    <w:rsid w:val="00F4594C"/>
    <w:rsid w:val="00F51F71"/>
    <w:rsid w:val="00F56502"/>
    <w:rsid w:val="00F5681E"/>
    <w:rsid w:val="00F624BB"/>
    <w:rsid w:val="00F66057"/>
    <w:rsid w:val="00F70DBA"/>
    <w:rsid w:val="00F71114"/>
    <w:rsid w:val="00F711D1"/>
    <w:rsid w:val="00F750CF"/>
    <w:rsid w:val="00F76460"/>
    <w:rsid w:val="00F76B95"/>
    <w:rsid w:val="00F8011D"/>
    <w:rsid w:val="00F80C99"/>
    <w:rsid w:val="00F81E4E"/>
    <w:rsid w:val="00F82093"/>
    <w:rsid w:val="00F82D99"/>
    <w:rsid w:val="00F8485D"/>
    <w:rsid w:val="00F85325"/>
    <w:rsid w:val="00F85A2D"/>
    <w:rsid w:val="00F90D18"/>
    <w:rsid w:val="00F911C4"/>
    <w:rsid w:val="00F93B10"/>
    <w:rsid w:val="00F95268"/>
    <w:rsid w:val="00F96FF6"/>
    <w:rsid w:val="00FA02C3"/>
    <w:rsid w:val="00FA0638"/>
    <w:rsid w:val="00FA11D2"/>
    <w:rsid w:val="00FA3C52"/>
    <w:rsid w:val="00FA4756"/>
    <w:rsid w:val="00FA698F"/>
    <w:rsid w:val="00FB2B53"/>
    <w:rsid w:val="00FB5A1F"/>
    <w:rsid w:val="00FB7DFF"/>
    <w:rsid w:val="00FC0949"/>
    <w:rsid w:val="00FC09CE"/>
    <w:rsid w:val="00FC27BC"/>
    <w:rsid w:val="00FC6504"/>
    <w:rsid w:val="00FC728B"/>
    <w:rsid w:val="00FD04C6"/>
    <w:rsid w:val="00FD22B1"/>
    <w:rsid w:val="00FD41CF"/>
    <w:rsid w:val="00FD5DB0"/>
    <w:rsid w:val="00FD5EEA"/>
    <w:rsid w:val="00FD68F4"/>
    <w:rsid w:val="00FE12FB"/>
    <w:rsid w:val="00FE3793"/>
    <w:rsid w:val="00FE6480"/>
    <w:rsid w:val="00FE75BE"/>
    <w:rsid w:val="00FF3A86"/>
    <w:rsid w:val="00FF5531"/>
    <w:rsid w:val="00FF5C2B"/>
    <w:rsid w:val="00FF619E"/>
    <w:rsid w:val="00FF67C9"/>
    <w:rsid w:val="00FF7E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364C"/>
    <w:rPr>
      <w:sz w:val="26"/>
      <w:szCs w:val="24"/>
    </w:rPr>
  </w:style>
  <w:style w:type="paragraph" w:styleId="Heading1">
    <w:name w:val="heading 1"/>
    <w:basedOn w:val="Normal"/>
    <w:next w:val="Normal"/>
    <w:link w:val="Heading1Char"/>
    <w:qFormat/>
    <w:rsid w:val="007579D2"/>
    <w:pPr>
      <w:keepNext/>
      <w:spacing w:before="160" w:after="1360" w:line="600" w:lineRule="exact"/>
      <w:ind w:left="907" w:hanging="907"/>
      <w:outlineLvl w:val="0"/>
    </w:pPr>
    <w:rPr>
      <w:sz w:val="52"/>
      <w:szCs w:val="20"/>
    </w:rPr>
  </w:style>
  <w:style w:type="paragraph" w:styleId="Heading2">
    <w:name w:val="heading 2"/>
    <w:basedOn w:val="Chapter"/>
    <w:next w:val="Normal"/>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Normal"/>
    <w:link w:val="Heading3Char"/>
    <w:qFormat/>
    <w:rsid w:val="00857382"/>
    <w:pPr>
      <w:spacing w:before="560" w:line="320" w:lineRule="exact"/>
      <w:ind w:left="0" w:firstLine="0"/>
      <w:outlineLvl w:val="2"/>
    </w:pPr>
    <w:rPr>
      <w:sz w:val="26"/>
    </w:rPr>
  </w:style>
  <w:style w:type="paragraph" w:styleId="Heading4">
    <w:name w:val="heading 4"/>
    <w:basedOn w:val="Heading3"/>
    <w:next w:val="Normal"/>
    <w:link w:val="Heading4Char"/>
    <w:qFormat/>
    <w:rsid w:val="00A17328"/>
    <w:pPr>
      <w:spacing w:before="480"/>
      <w:outlineLvl w:val="3"/>
    </w:pPr>
    <w:rPr>
      <w:b w:val="0"/>
      <w:i/>
      <w:sz w:val="24"/>
    </w:rPr>
  </w:style>
  <w:style w:type="paragraph" w:styleId="Heading5">
    <w:name w:val="heading 5"/>
    <w:basedOn w:val="Heading4"/>
    <w:next w:val="Normal"/>
    <w:link w:val="Heading5Char"/>
    <w:qFormat/>
    <w:rsid w:val="00A17328"/>
    <w:pPr>
      <w:outlineLvl w:val="4"/>
    </w:pPr>
    <w:rPr>
      <w:rFonts w:ascii="Times New Roman" w:hAnsi="Times New Roman"/>
      <w:sz w:val="26"/>
    </w:rPr>
  </w:style>
  <w:style w:type="paragraph" w:styleId="Heading6">
    <w:name w:val="heading 6"/>
    <w:basedOn w:val="Normal"/>
    <w:next w:val="Normal"/>
    <w:link w:val="Heading6Char"/>
    <w:qFormat/>
    <w:rsid w:val="007579D2"/>
    <w:pPr>
      <w:spacing w:after="60"/>
      <w:outlineLvl w:val="5"/>
    </w:pPr>
    <w:rPr>
      <w:i/>
      <w:sz w:val="22"/>
    </w:rPr>
  </w:style>
  <w:style w:type="paragraph" w:styleId="Heading7">
    <w:name w:val="heading 7"/>
    <w:basedOn w:val="Normal"/>
    <w:next w:val="Normal"/>
    <w:link w:val="Heading7Char"/>
    <w:qFormat/>
    <w:rsid w:val="007579D2"/>
    <w:pPr>
      <w:spacing w:after="60"/>
      <w:outlineLvl w:val="6"/>
    </w:pPr>
    <w:rPr>
      <w:rFonts w:ascii="Arial" w:hAnsi="Arial"/>
      <w:sz w:val="20"/>
    </w:rPr>
  </w:style>
  <w:style w:type="paragraph" w:styleId="Heading8">
    <w:name w:val="heading 8"/>
    <w:basedOn w:val="Normal"/>
    <w:next w:val="Normal"/>
    <w:link w:val="Heading8Char"/>
    <w:qFormat/>
    <w:rsid w:val="007579D2"/>
    <w:pPr>
      <w:spacing w:after="60"/>
      <w:outlineLvl w:val="7"/>
    </w:pPr>
    <w:rPr>
      <w:rFonts w:ascii="Arial" w:hAnsi="Arial"/>
      <w:i/>
      <w:sz w:val="20"/>
    </w:rPr>
  </w:style>
  <w:style w:type="paragraph" w:styleId="Heading9">
    <w:name w:val="heading 9"/>
    <w:basedOn w:val="Normal"/>
    <w:next w:val="Normal"/>
    <w:link w:val="Heading9Char"/>
    <w:qFormat/>
    <w:rsid w:val="007579D2"/>
    <w:pPr>
      <w:spacing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Heading1"/>
    <w:next w:val="Normal"/>
    <w:semiHidden/>
    <w:rsid w:val="00A17328"/>
    <w:pPr>
      <w:ind w:left="0" w:firstLine="0"/>
      <w:outlineLvl w:val="9"/>
    </w:pPr>
  </w:style>
  <w:style w:type="character" w:customStyle="1" w:styleId="Heading3Char">
    <w:name w:val="Heading 3 Char"/>
    <w:basedOn w:val="DefaultParagraphFont"/>
    <w:link w:val="Heading3"/>
    <w:locked/>
    <w:rsid w:val="00E5664D"/>
    <w:rPr>
      <w:rFonts w:ascii="Arial" w:hAnsi="Arial"/>
      <w:b/>
      <w:sz w:val="26"/>
      <w:lang w:val="en-AU" w:eastAsia="en-AU" w:bidi="ar-SA"/>
    </w:rPr>
  </w:style>
  <w:style w:type="paragraph" w:styleId="BodyText">
    <w:name w:val="Body Text"/>
    <w:link w:val="BodyTextChar"/>
    <w:rsid w:val="00F225AF"/>
    <w:pPr>
      <w:spacing w:before="240" w:line="320" w:lineRule="atLeast"/>
      <w:jc w:val="both"/>
    </w:pPr>
    <w:rPr>
      <w:sz w:val="26"/>
    </w:rPr>
  </w:style>
  <w:style w:type="character" w:customStyle="1" w:styleId="BodyTextChar">
    <w:name w:val="Body Text Char"/>
    <w:basedOn w:val="DefaultParagraphFont"/>
    <w:link w:val="BodyText"/>
    <w:rsid w:val="00FC09CE"/>
    <w:rPr>
      <w:sz w:val="26"/>
      <w:lang w:val="en-AU" w:eastAsia="en-AU" w:bidi="ar-SA"/>
    </w:rPr>
  </w:style>
  <w:style w:type="paragraph" w:styleId="Footer">
    <w:name w:val="footer"/>
    <w:basedOn w:val="Normal"/>
    <w:link w:val="FooterChar"/>
    <w:rsid w:val="007579D2"/>
    <w:pPr>
      <w:spacing w:before="80" w:line="200" w:lineRule="exact"/>
      <w:ind w:right="6"/>
    </w:pPr>
    <w:rPr>
      <w:caps/>
      <w:spacing w:val="-4"/>
      <w:sz w:val="16"/>
      <w:szCs w:val="20"/>
    </w:rPr>
  </w:style>
  <w:style w:type="paragraph" w:customStyle="1" w:styleId="FooterEnd">
    <w:name w:val="Footer End"/>
    <w:basedOn w:val="Footer"/>
    <w:rsid w:val="00A17328"/>
    <w:pPr>
      <w:spacing w:before="0" w:line="20" w:lineRule="exact"/>
    </w:pPr>
  </w:style>
  <w:style w:type="paragraph" w:styleId="Header">
    <w:name w:val="header"/>
    <w:basedOn w:val="Normal"/>
    <w:link w:val="HeaderChar"/>
    <w:rsid w:val="007579D2"/>
    <w:pPr>
      <w:tabs>
        <w:tab w:val="center" w:pos="4394"/>
        <w:tab w:val="right" w:pos="8789"/>
      </w:tabs>
      <w:spacing w:line="240" w:lineRule="atLeast"/>
    </w:pPr>
    <w:rPr>
      <w:rFonts w:ascii="Arial" w:hAnsi="Arial"/>
      <w:caps/>
      <w:szCs w:val="20"/>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Normal"/>
    <w:rsid w:val="007579D2"/>
    <w:pPr>
      <w:spacing w:before="120" w:line="320" w:lineRule="atLeast"/>
      <w:ind w:left="2381" w:hanging="2381"/>
    </w:pPr>
    <w:rPr>
      <w:szCs w:val="20"/>
    </w:rPr>
  </w:style>
  <w:style w:type="paragraph" w:customStyle="1" w:styleId="BoxHeading1">
    <w:name w:val="Box Heading 1"/>
    <w:basedOn w:val="Normal"/>
    <w:next w:val="Normal"/>
    <w:rsid w:val="007579D2"/>
    <w:pPr>
      <w:keepNext/>
      <w:spacing w:before="200" w:line="280" w:lineRule="atLeast"/>
      <w:jc w:val="both"/>
    </w:pPr>
    <w:rPr>
      <w:rFonts w:ascii="Arial" w:hAnsi="Arial"/>
      <w:b/>
      <w:sz w:val="22"/>
      <w:szCs w:val="20"/>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Normal"/>
    <w:link w:val="BoxListBulletChar"/>
    <w:rsid w:val="007579D2"/>
    <w:pPr>
      <w:keepNext/>
      <w:spacing w:before="120" w:line="280" w:lineRule="atLeast"/>
      <w:jc w:val="both"/>
    </w:pPr>
    <w:rPr>
      <w:rFonts w:ascii="Arial" w:hAnsi="Arial"/>
      <w:sz w:val="22"/>
      <w:szCs w:val="20"/>
    </w:rPr>
  </w:style>
  <w:style w:type="character" w:customStyle="1" w:styleId="BoxListBulletChar">
    <w:name w:val="Box List Bullet Char"/>
    <w:basedOn w:val="DefaultParagraphFont"/>
    <w:link w:val="BoxListBullet"/>
    <w:rsid w:val="00F71114"/>
    <w:rPr>
      <w:rFonts w:ascii="Arial" w:hAnsi="Arial"/>
      <w:sz w:val="22"/>
    </w:rPr>
  </w:style>
  <w:style w:type="paragraph" w:customStyle="1" w:styleId="BoxListBullet2">
    <w:name w:val="Box List Bullet 2"/>
    <w:basedOn w:val="Normal"/>
    <w:rsid w:val="007579D2"/>
    <w:pPr>
      <w:keepNext/>
      <w:tabs>
        <w:tab w:val="left" w:pos="284"/>
      </w:tabs>
      <w:spacing w:before="60" w:line="280" w:lineRule="atLeast"/>
      <w:jc w:val="both"/>
    </w:pPr>
    <w:rPr>
      <w:rFonts w:ascii="Arial" w:hAnsi="Arial"/>
      <w:sz w:val="22"/>
      <w:szCs w:val="20"/>
    </w:rPr>
  </w:style>
  <w:style w:type="paragraph" w:customStyle="1" w:styleId="BoxListNumber">
    <w:name w:val="Box List Number"/>
    <w:basedOn w:val="Normal"/>
    <w:rsid w:val="007579D2"/>
    <w:pPr>
      <w:keepNext/>
      <w:tabs>
        <w:tab w:val="num" w:pos="284"/>
      </w:tabs>
      <w:spacing w:before="120" w:line="280" w:lineRule="atLeast"/>
      <w:ind w:left="284" w:hanging="284"/>
      <w:jc w:val="both"/>
    </w:pPr>
    <w:rPr>
      <w:rFonts w:ascii="Arial" w:hAnsi="Arial"/>
      <w:sz w:val="22"/>
      <w:szCs w:val="20"/>
    </w:rPr>
  </w:style>
  <w:style w:type="paragraph" w:customStyle="1" w:styleId="BoxListNumber2">
    <w:name w:val="Box List Number 2"/>
    <w:basedOn w:val="BoxListNumber"/>
    <w:rsid w:val="00864ADC"/>
    <w:pPr>
      <w:numPr>
        <w:ilvl w:val="1"/>
      </w:numPr>
      <w:tabs>
        <w:tab w:val="num" w:pos="284"/>
      </w:tabs>
      <w:spacing w:before="60"/>
      <w:ind w:left="284" w:hanging="284"/>
    </w:pPr>
  </w:style>
  <w:style w:type="paragraph" w:customStyle="1" w:styleId="BoxQuote">
    <w:name w:val="Box Quote"/>
    <w:basedOn w:val="Normal"/>
    <w:next w:val="Normal"/>
    <w:rsid w:val="007579D2"/>
    <w:pPr>
      <w:keepNext/>
      <w:spacing w:before="60" w:line="260" w:lineRule="exact"/>
      <w:ind w:left="284"/>
      <w:jc w:val="both"/>
    </w:pPr>
    <w:rPr>
      <w:rFonts w:ascii="Arial" w:hAnsi="Arial"/>
      <w:sz w:val="20"/>
      <w:szCs w:val="20"/>
    </w:rPr>
  </w:style>
  <w:style w:type="paragraph" w:customStyle="1" w:styleId="Note">
    <w:name w:val="Note"/>
    <w:basedOn w:val="Normal"/>
    <w:next w:val="Normal"/>
    <w:link w:val="NoteChar"/>
    <w:rsid w:val="007579D2"/>
    <w:pPr>
      <w:keepLines/>
      <w:spacing w:before="80" w:line="220" w:lineRule="exact"/>
      <w:jc w:val="both"/>
    </w:pPr>
    <w:rPr>
      <w:rFonts w:ascii="Arial" w:hAnsi="Arial"/>
      <w:sz w:val="18"/>
      <w:szCs w:val="20"/>
    </w:rPr>
  </w:style>
  <w:style w:type="character" w:customStyle="1" w:styleId="NoteChar">
    <w:name w:val="Note Char"/>
    <w:basedOn w:val="DefaultParagraphFont"/>
    <w:link w:val="Note"/>
    <w:rsid w:val="004A4038"/>
    <w:rPr>
      <w:rFonts w:ascii="Arial" w:hAnsi="Arial"/>
      <w:sz w:val="18"/>
      <w:lang w:val="en-AU" w:eastAsia="en-AU" w:bidi="ar-SA"/>
    </w:rPr>
  </w:style>
  <w:style w:type="paragraph" w:customStyle="1" w:styleId="Source">
    <w:name w:val="Source"/>
    <w:basedOn w:val="Note"/>
    <w:next w:val="Normal"/>
    <w:rsid w:val="00A17328"/>
    <w:pPr>
      <w:spacing w:after="120"/>
    </w:pPr>
  </w:style>
  <w:style w:type="paragraph" w:customStyle="1" w:styleId="BoxSource">
    <w:name w:val="Box Source"/>
    <w:basedOn w:val="Source"/>
    <w:next w:val="Normal"/>
    <w:rsid w:val="00A17328"/>
    <w:pPr>
      <w:spacing w:before="180" w:after="0"/>
    </w:pPr>
  </w:style>
  <w:style w:type="paragraph" w:customStyle="1" w:styleId="BoxSpace">
    <w:name w:val="Box Space"/>
    <w:basedOn w:val="Normal"/>
    <w:rsid w:val="007579D2"/>
    <w:pPr>
      <w:keepNext/>
      <w:spacing w:before="360" w:line="80" w:lineRule="exact"/>
    </w:pPr>
    <w:rPr>
      <w:szCs w:val="20"/>
    </w:rPr>
  </w:style>
  <w:style w:type="paragraph" w:styleId="Caption">
    <w:name w:val="caption"/>
    <w:basedOn w:val="Normal"/>
    <w:next w:val="Normal"/>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Normal"/>
    <w:semiHidden/>
    <w:rsid w:val="007579D2"/>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Normal"/>
    <w:next w:val="Normal"/>
    <w:rsid w:val="00FC6504"/>
    <w:pPr>
      <w:spacing w:before="180" w:line="220" w:lineRule="exact"/>
      <w:jc w:val="right"/>
    </w:pPr>
    <w:rPr>
      <w:rFonts w:ascii="Arial" w:hAnsi="Arial"/>
      <w:sz w:val="18"/>
      <w:szCs w:val="20"/>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Normal"/>
    <w:rsid w:val="007579D2"/>
    <w:pPr>
      <w:keepNext/>
      <w:spacing w:before="120" w:after="120" w:line="240" w:lineRule="atLeast"/>
      <w:jc w:val="center"/>
    </w:pPr>
    <w:rPr>
      <w:szCs w:val="20"/>
    </w:r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Normal"/>
    <w:rsid w:val="007579D2"/>
    <w:pPr>
      <w:keepLines/>
      <w:spacing w:before="180" w:line="320" w:lineRule="atLeast"/>
      <w:jc w:val="both"/>
    </w:pPr>
    <w:rPr>
      <w:i/>
      <w:szCs w:val="20"/>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Normal"/>
    <w:next w:val="Normal"/>
    <w:rsid w:val="007579D2"/>
    <w:pPr>
      <w:keepNext/>
      <w:framePr w:hSpace="181" w:wrap="notBeside" w:vAnchor="text" w:hAnchor="text" w:xAlign="outside" w:y="1"/>
      <w:spacing w:before="240" w:line="320" w:lineRule="atLeast"/>
      <w:jc w:val="both"/>
    </w:pPr>
    <w:rPr>
      <w:caps/>
      <w:sz w:val="16"/>
      <w:szCs w:val="20"/>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Normal"/>
    <w:link w:val="FootnoteTextChar"/>
    <w:rsid w:val="007579D2"/>
    <w:pPr>
      <w:tabs>
        <w:tab w:val="left" w:pos="284"/>
      </w:tabs>
      <w:spacing w:before="80" w:line="260" w:lineRule="exact"/>
      <w:ind w:left="284" w:hanging="284"/>
      <w:jc w:val="both"/>
    </w:pPr>
    <w:rPr>
      <w:sz w:val="22"/>
      <w:szCs w:val="20"/>
    </w:rPr>
  </w:style>
  <w:style w:type="paragraph" w:customStyle="1" w:styleId="InformationRequest">
    <w:name w:val="Information Request"/>
    <w:basedOn w:val="Finding"/>
    <w:next w:val="Normal"/>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aliases w:val="List Bullet1"/>
    <w:basedOn w:val="Normal"/>
    <w:link w:val="ListBulletChar"/>
    <w:rsid w:val="007579D2"/>
    <w:pPr>
      <w:numPr>
        <w:numId w:val="5"/>
      </w:numPr>
      <w:spacing w:before="120" w:line="320" w:lineRule="atLeast"/>
      <w:jc w:val="both"/>
    </w:pPr>
    <w:rPr>
      <w:szCs w:val="20"/>
    </w:rPr>
  </w:style>
  <w:style w:type="character" w:customStyle="1" w:styleId="ListBulletChar">
    <w:name w:val="List Bullet Char"/>
    <w:aliases w:val="List Bullet1 Char"/>
    <w:link w:val="ListBullet"/>
    <w:rsid w:val="0026369A"/>
    <w:rPr>
      <w:sz w:val="26"/>
    </w:rPr>
  </w:style>
  <w:style w:type="paragraph" w:styleId="ListBullet2">
    <w:name w:val="List Bullet 2"/>
    <w:basedOn w:val="Normal"/>
    <w:rsid w:val="007579D2"/>
    <w:pPr>
      <w:numPr>
        <w:numId w:val="6"/>
      </w:numPr>
      <w:spacing w:before="120" w:line="320" w:lineRule="atLeast"/>
      <w:jc w:val="both"/>
    </w:pPr>
    <w:rPr>
      <w:szCs w:val="20"/>
    </w:rPr>
  </w:style>
  <w:style w:type="paragraph" w:styleId="ListBullet3">
    <w:name w:val="List Bullet 3"/>
    <w:basedOn w:val="Normal"/>
    <w:rsid w:val="007579D2"/>
    <w:pPr>
      <w:numPr>
        <w:numId w:val="7"/>
      </w:numPr>
      <w:spacing w:before="120" w:line="320" w:lineRule="atLeast"/>
      <w:jc w:val="both"/>
    </w:pPr>
    <w:rPr>
      <w:szCs w:val="20"/>
    </w:rPr>
  </w:style>
  <w:style w:type="paragraph" w:styleId="ListNumber">
    <w:name w:val="List Number"/>
    <w:basedOn w:val="Normal"/>
    <w:rsid w:val="007579D2"/>
    <w:pPr>
      <w:tabs>
        <w:tab w:val="num" w:pos="340"/>
      </w:tabs>
      <w:spacing w:before="120" w:line="320" w:lineRule="atLeast"/>
      <w:ind w:left="340" w:hanging="340"/>
      <w:jc w:val="both"/>
    </w:pPr>
    <w:rPr>
      <w:szCs w:val="20"/>
    </w:rPr>
  </w:style>
  <w:style w:type="paragraph" w:styleId="ListNumber2">
    <w:name w:val="List Number 2"/>
    <w:basedOn w:val="ListNumber"/>
    <w:rsid w:val="00864ADC"/>
    <w:pPr>
      <w:numPr>
        <w:ilvl w:val="1"/>
      </w:numPr>
      <w:tabs>
        <w:tab w:val="num" w:pos="340"/>
      </w:tabs>
      <w:ind w:left="340" w:hanging="340"/>
    </w:pPr>
  </w:style>
  <w:style w:type="paragraph" w:styleId="ListNumber3">
    <w:name w:val="List Number 3"/>
    <w:basedOn w:val="ListNumber2"/>
    <w:rsid w:val="00864ADC"/>
    <w:pPr>
      <w:numPr>
        <w:ilvl w:val="2"/>
      </w:numPr>
      <w:tabs>
        <w:tab w:val="num" w:pos="340"/>
      </w:tabs>
      <w:ind w:left="340" w:hanging="340"/>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Normal"/>
    <w:next w:val="Normal"/>
    <w:semiHidden/>
    <w:rsid w:val="007579D2"/>
    <w:pPr>
      <w:spacing w:line="40" w:lineRule="exact"/>
      <w:jc w:val="right"/>
    </w:pPr>
    <w:rPr>
      <w:smallCaps/>
      <w:sz w:val="16"/>
    </w:rPr>
  </w:style>
  <w:style w:type="paragraph" w:customStyle="1" w:styleId="PartNumber">
    <w:name w:val="Part Number"/>
    <w:basedOn w:val="Normal"/>
    <w:next w:val="Normal"/>
    <w:semiHidden/>
    <w:rsid w:val="007579D2"/>
    <w:pPr>
      <w:spacing w:before="4000" w:line="320" w:lineRule="exact"/>
      <w:ind w:left="6634"/>
      <w:jc w:val="right"/>
    </w:pPr>
    <w:rPr>
      <w:smallCaps/>
      <w:spacing w:val="60"/>
      <w:sz w:val="32"/>
    </w:rPr>
  </w:style>
  <w:style w:type="paragraph" w:customStyle="1" w:styleId="PartTitle">
    <w:name w:val="Part Title"/>
    <w:basedOn w:val="Normal"/>
    <w:semiHidden/>
    <w:rsid w:val="007579D2"/>
    <w:pPr>
      <w:spacing w:before="160" w:after="1360" w:line="520" w:lineRule="exact"/>
      <w:ind w:right="2381"/>
      <w:jc w:val="right"/>
    </w:pPr>
    <w:rPr>
      <w:smallCaps/>
      <w:sz w:val="52"/>
    </w:rPr>
  </w:style>
  <w:style w:type="paragraph" w:styleId="Quote">
    <w:name w:val="Quote"/>
    <w:basedOn w:val="Normal"/>
    <w:next w:val="Normal"/>
    <w:link w:val="QuoteChar"/>
    <w:qFormat/>
    <w:rsid w:val="007579D2"/>
    <w:pPr>
      <w:spacing w:before="120" w:line="280" w:lineRule="exact"/>
      <w:ind w:left="340"/>
      <w:jc w:val="both"/>
    </w:pPr>
    <w:rPr>
      <w:sz w:val="24"/>
      <w:szCs w:val="20"/>
    </w:rPr>
  </w:style>
  <w:style w:type="paragraph" w:customStyle="1" w:styleId="QuoteBullet">
    <w:name w:val="Quote Bullet"/>
    <w:basedOn w:val="Quote"/>
    <w:rsid w:val="00323E09"/>
    <w:pPr>
      <w:numPr>
        <w:numId w:val="8"/>
      </w:numPr>
    </w:pPr>
  </w:style>
  <w:style w:type="paragraph" w:customStyle="1" w:styleId="Rec">
    <w:name w:val="Rec"/>
    <w:basedOn w:val="Normal"/>
    <w:rsid w:val="007579D2"/>
    <w:pPr>
      <w:keepLines/>
      <w:spacing w:before="180" w:line="320" w:lineRule="atLeast"/>
      <w:jc w:val="both"/>
    </w:pPr>
    <w:rPr>
      <w:b/>
      <w:i/>
      <w:szCs w:val="20"/>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Normal"/>
    <w:link w:val="ReferenceChar"/>
    <w:rsid w:val="007579D2"/>
    <w:pPr>
      <w:spacing w:before="120" w:line="320" w:lineRule="atLeast"/>
      <w:ind w:left="340" w:hanging="340"/>
      <w:jc w:val="both"/>
    </w:pPr>
    <w:rPr>
      <w:szCs w:val="20"/>
    </w:rPr>
  </w:style>
  <w:style w:type="character" w:customStyle="1" w:styleId="ReferenceChar">
    <w:name w:val="Reference Char"/>
    <w:basedOn w:val="DefaultParagraphFont"/>
    <w:link w:val="Reference"/>
    <w:rsid w:val="00137034"/>
    <w:rPr>
      <w:sz w:val="26"/>
      <w:lang w:val="en-AU" w:eastAsia="en-AU" w:bidi="ar-SA"/>
    </w:rPr>
  </w:style>
  <w:style w:type="paragraph" w:customStyle="1" w:styleId="SequenceInfo">
    <w:name w:val="Sequence Info"/>
    <w:basedOn w:val="Normal"/>
    <w:semiHidden/>
    <w:rsid w:val="007579D2"/>
    <w:rPr>
      <w:vanish/>
      <w:sz w:val="16"/>
    </w:rPr>
  </w:style>
  <w:style w:type="paragraph" w:customStyle="1" w:styleId="SideNote">
    <w:name w:val="Side Note"/>
    <w:basedOn w:val="Normal"/>
    <w:next w:val="Normal"/>
    <w:semiHidden/>
    <w:rsid w:val="007579D2"/>
    <w:pPr>
      <w:keepNext/>
      <w:keepLines/>
      <w:framePr w:w="2155" w:hSpace="227" w:vSpace="181" w:wrap="around" w:vAnchor="text" w:hAnchor="page" w:xAlign="outside" w:y="1"/>
    </w:pPr>
    <w:rPr>
      <w:i/>
      <w:sz w:val="24"/>
    </w:rPr>
  </w:style>
  <w:style w:type="paragraph" w:customStyle="1" w:styleId="SideNoteBullet">
    <w:name w:val="Side Note Bullet"/>
    <w:basedOn w:val="SideNote"/>
    <w:next w:val="Normal"/>
    <w:semiHidden/>
    <w:rsid w:val="00A17328"/>
    <w:pPr>
      <w:framePr w:wrap="around"/>
      <w:numPr>
        <w:numId w:val="10"/>
      </w:numPr>
      <w:tabs>
        <w:tab w:val="left" w:pos="227"/>
      </w:tabs>
    </w:pPr>
  </w:style>
  <w:style w:type="paragraph" w:customStyle="1" w:styleId="SideNoteGraphic">
    <w:name w:val="Side Note Graphic"/>
    <w:basedOn w:val="SideNote"/>
    <w:next w:val="Normal"/>
    <w:semiHidden/>
    <w:rsid w:val="00A17328"/>
    <w:pPr>
      <w:framePr w:wrap="around"/>
    </w:pPr>
  </w:style>
  <w:style w:type="paragraph" w:customStyle="1" w:styleId="TableBodyText">
    <w:name w:val="Table Body Text"/>
    <w:basedOn w:val="Normal"/>
    <w:link w:val="TableBodyTextChar"/>
    <w:rsid w:val="007579D2"/>
    <w:pPr>
      <w:keepNext/>
      <w:keepLines/>
      <w:spacing w:after="40" w:line="220" w:lineRule="atLeast"/>
      <w:ind w:left="6" w:right="113"/>
      <w:jc w:val="right"/>
    </w:pPr>
    <w:rPr>
      <w:rFonts w:ascii="Arial" w:hAnsi="Arial"/>
      <w:sz w:val="20"/>
      <w:szCs w:val="20"/>
    </w:rPr>
  </w:style>
  <w:style w:type="character" w:customStyle="1" w:styleId="TableBodyTextChar">
    <w:name w:val="Table Body Text Char"/>
    <w:basedOn w:val="DefaultParagraphFont"/>
    <w:link w:val="TableBodyText"/>
    <w:rsid w:val="00F225AF"/>
    <w:rPr>
      <w:rFonts w:ascii="Arial" w:hAnsi="Arial"/>
      <w:sz w:val="26"/>
      <w:lang w:val="en-AU" w:eastAsia="en-AU" w:bidi="ar-SA"/>
    </w:rPr>
  </w:style>
  <w:style w:type="paragraph" w:customStyle="1" w:styleId="TableBullet">
    <w:name w:val="Table Bullet"/>
    <w:basedOn w:val="TableBodyText"/>
    <w:link w:val="TableBulletChar"/>
    <w:rsid w:val="00323E09"/>
    <w:pPr>
      <w:numPr>
        <w:numId w:val="11"/>
      </w:numPr>
      <w:jc w:val="left"/>
    </w:pPr>
  </w:style>
  <w:style w:type="character" w:customStyle="1" w:styleId="TableBulletChar">
    <w:name w:val="Table Bullet Char"/>
    <w:basedOn w:val="TableBodyTextChar"/>
    <w:link w:val="TableBullet"/>
    <w:locked/>
    <w:rsid w:val="00AB7B63"/>
    <w:rPr>
      <w:rFonts w:ascii="Arial" w:hAnsi="Arial"/>
      <w:sz w:val="26"/>
      <w:lang w:val="en-AU" w:eastAsia="en-AU" w:bidi="ar-SA"/>
    </w:rPr>
  </w:style>
  <w:style w:type="paragraph" w:customStyle="1" w:styleId="TableColumnHeading">
    <w:name w:val="Table Column Heading"/>
    <w:basedOn w:val="TableBodyText"/>
    <w:rsid w:val="00A17328"/>
    <w:pPr>
      <w:spacing w:before="80" w:after="80"/>
    </w:pPr>
    <w:rPr>
      <w:i/>
    </w:rPr>
  </w:style>
  <w:style w:type="paragraph" w:styleId="TOC2">
    <w:name w:val="toc 2"/>
    <w:basedOn w:val="Normal"/>
    <w:semiHidden/>
    <w:rsid w:val="007579D2"/>
    <w:pPr>
      <w:tabs>
        <w:tab w:val="right" w:pos="8789"/>
      </w:tabs>
      <w:ind w:left="510" w:right="851" w:hanging="510"/>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Normal"/>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styleId="NormalWeb">
    <w:name w:val="Normal (Web)"/>
    <w:basedOn w:val="Normal"/>
    <w:uiPriority w:val="99"/>
    <w:rsid w:val="00A7408B"/>
    <w:rPr>
      <w:sz w:val="24"/>
    </w:rPr>
  </w:style>
  <w:style w:type="paragraph" w:styleId="BalloonText">
    <w:name w:val="Balloon Text"/>
    <w:basedOn w:val="Normal"/>
    <w:link w:val="BalloonTextChar"/>
    <w:semiHidden/>
    <w:rsid w:val="009B265B"/>
    <w:rPr>
      <w:rFonts w:ascii="Tahoma" w:hAnsi="Tahoma" w:cs="Tahoma"/>
      <w:sz w:val="16"/>
      <w:szCs w:val="16"/>
    </w:rPr>
  </w:style>
  <w:style w:type="table" w:styleId="TableGrid">
    <w:name w:val="Table Grid"/>
    <w:basedOn w:val="TableNormal"/>
    <w:rsid w:val="000A54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A54DF"/>
    <w:rPr>
      <w:color w:val="0000FF"/>
      <w:u w:val="single"/>
    </w:rPr>
  </w:style>
  <w:style w:type="paragraph" w:customStyle="1" w:styleId="DocInfo">
    <w:name w:val="Doc Info"/>
    <w:basedOn w:val="Normal"/>
    <w:next w:val="Normal"/>
    <w:rsid w:val="000A54DF"/>
    <w:pPr>
      <w:jc w:val="center"/>
    </w:pPr>
    <w:rPr>
      <w:rFonts w:ascii="Arial" w:hAnsi="Arial"/>
      <w:sz w:val="14"/>
    </w:rPr>
  </w:style>
  <w:style w:type="paragraph" w:customStyle="1" w:styleId="Heading2NotTOC">
    <w:name w:val="Heading 2 Not TOC"/>
    <w:basedOn w:val="Heading2"/>
    <w:next w:val="Normal"/>
    <w:rsid w:val="000A54DF"/>
    <w:pPr>
      <w:outlineLvl w:val="9"/>
    </w:pPr>
  </w:style>
  <w:style w:type="paragraph" w:customStyle="1" w:styleId="SOC">
    <w:name w:val="SOC"/>
    <w:basedOn w:val="Normal"/>
    <w:rsid w:val="00FC6504"/>
    <w:pPr>
      <w:spacing w:after="140"/>
      <w:jc w:val="both"/>
    </w:pPr>
    <w:rPr>
      <w:rFonts w:ascii="Arial" w:hAnsi="Arial"/>
      <w:sz w:val="24"/>
      <w:szCs w:val="20"/>
    </w:rPr>
  </w:style>
  <w:style w:type="paragraph" w:customStyle="1" w:styleId="Pa7">
    <w:name w:val="Pa7"/>
    <w:basedOn w:val="Normal"/>
    <w:next w:val="Normal"/>
    <w:rsid w:val="000A54DF"/>
    <w:pPr>
      <w:autoSpaceDE w:val="0"/>
      <w:autoSpaceDN w:val="0"/>
      <w:adjustRightInd w:val="0"/>
      <w:spacing w:after="160" w:line="181" w:lineRule="atLeast"/>
    </w:pPr>
    <w:rPr>
      <w:rFonts w:ascii="Frutiger 47LightCn" w:hAnsi="Frutiger 47LightCn"/>
    </w:rPr>
  </w:style>
  <w:style w:type="character" w:styleId="FollowedHyperlink">
    <w:name w:val="FollowedHyperlink"/>
    <w:basedOn w:val="DefaultParagraphFont"/>
    <w:rsid w:val="000A54DF"/>
    <w:rPr>
      <w:color w:val="0000FF"/>
      <w:u w:val="single"/>
    </w:rPr>
  </w:style>
  <w:style w:type="paragraph" w:customStyle="1" w:styleId="Box">
    <w:name w:val="Box"/>
    <w:basedOn w:val="Normal"/>
    <w:link w:val="BoxChar"/>
    <w:rsid w:val="00F225AF"/>
    <w:pPr>
      <w:keepNext/>
      <w:spacing w:before="120" w:line="280" w:lineRule="atLeast"/>
      <w:jc w:val="both"/>
    </w:pPr>
    <w:rPr>
      <w:rFonts w:ascii="Arial" w:hAnsi="Arial"/>
      <w:sz w:val="22"/>
      <w:szCs w:val="20"/>
    </w:rPr>
  </w:style>
  <w:style w:type="character" w:customStyle="1" w:styleId="BoxChar">
    <w:name w:val="Box Char"/>
    <w:basedOn w:val="DefaultParagraphFont"/>
    <w:link w:val="Box"/>
    <w:rsid w:val="00C720A6"/>
    <w:rPr>
      <w:rFonts w:ascii="Arial" w:hAnsi="Arial"/>
      <w:sz w:val="22"/>
      <w:lang w:val="en-AU" w:eastAsia="en-AU" w:bidi="ar-SA"/>
    </w:rPr>
  </w:style>
  <w:style w:type="paragraph" w:styleId="CommentSubject">
    <w:name w:val="annotation subject"/>
    <w:basedOn w:val="CommentText"/>
    <w:next w:val="CommentText"/>
    <w:link w:val="CommentSubjectChar"/>
    <w:semiHidden/>
    <w:rsid w:val="00D85881"/>
    <w:pPr>
      <w:spacing w:before="0" w:line="240" w:lineRule="auto"/>
      <w:ind w:left="0" w:firstLine="0"/>
    </w:pPr>
    <w:rPr>
      <w:b/>
      <w:bCs/>
      <w:szCs w:val="20"/>
    </w:rPr>
  </w:style>
  <w:style w:type="paragraph" w:customStyle="1" w:styleId="Signoff">
    <w:name w:val="Signoff"/>
    <w:basedOn w:val="Normal"/>
    <w:autoRedefine/>
    <w:rsid w:val="00BF34C6"/>
    <w:pPr>
      <w:spacing w:before="480" w:after="1000"/>
    </w:pPr>
    <w:rPr>
      <w:sz w:val="24"/>
      <w:szCs w:val="20"/>
    </w:rPr>
  </w:style>
  <w:style w:type="paragraph" w:styleId="BlockText">
    <w:name w:val="Block Text"/>
    <w:basedOn w:val="Normal"/>
    <w:rsid w:val="0071447F"/>
    <w:pPr>
      <w:spacing w:after="120"/>
      <w:ind w:left="1440" w:right="1440"/>
    </w:pPr>
  </w:style>
  <w:style w:type="paragraph" w:styleId="BodyText2">
    <w:name w:val="Body Text 2"/>
    <w:basedOn w:val="Normal"/>
    <w:link w:val="BodyText2Char"/>
    <w:rsid w:val="0071447F"/>
    <w:pPr>
      <w:spacing w:after="120" w:line="480" w:lineRule="auto"/>
    </w:pPr>
  </w:style>
  <w:style w:type="paragraph" w:styleId="BodyText3">
    <w:name w:val="Body Text 3"/>
    <w:basedOn w:val="Normal"/>
    <w:link w:val="BodyText3Char"/>
    <w:rsid w:val="0071447F"/>
    <w:pPr>
      <w:spacing w:after="120"/>
    </w:pPr>
    <w:rPr>
      <w:sz w:val="16"/>
      <w:szCs w:val="16"/>
    </w:rPr>
  </w:style>
  <w:style w:type="paragraph" w:styleId="BodyTextFirstIndent">
    <w:name w:val="Body Text First Indent"/>
    <w:basedOn w:val="BodyText"/>
    <w:link w:val="BodyTextFirstIndentChar"/>
    <w:rsid w:val="0071447F"/>
    <w:pPr>
      <w:spacing w:before="0" w:after="120" w:line="240" w:lineRule="auto"/>
      <w:ind w:firstLine="210"/>
      <w:jc w:val="left"/>
    </w:pPr>
    <w:rPr>
      <w:szCs w:val="24"/>
    </w:rPr>
  </w:style>
  <w:style w:type="paragraph" w:styleId="BodyTextIndent">
    <w:name w:val="Body Text Indent"/>
    <w:basedOn w:val="Normal"/>
    <w:link w:val="BodyTextIndentChar"/>
    <w:rsid w:val="0071447F"/>
    <w:pPr>
      <w:spacing w:after="120"/>
      <w:ind w:left="283"/>
    </w:pPr>
  </w:style>
  <w:style w:type="paragraph" w:styleId="BodyTextFirstIndent2">
    <w:name w:val="Body Text First Indent 2"/>
    <w:basedOn w:val="BodyTextIndent"/>
    <w:link w:val="BodyTextFirstIndent2Char"/>
    <w:rsid w:val="0071447F"/>
    <w:pPr>
      <w:ind w:firstLine="210"/>
    </w:pPr>
  </w:style>
  <w:style w:type="paragraph" w:styleId="BodyTextIndent2">
    <w:name w:val="Body Text Indent 2"/>
    <w:basedOn w:val="Normal"/>
    <w:link w:val="BodyTextIndent2Char"/>
    <w:rsid w:val="0071447F"/>
    <w:pPr>
      <w:spacing w:after="120" w:line="480" w:lineRule="auto"/>
      <w:ind w:left="283"/>
    </w:pPr>
  </w:style>
  <w:style w:type="paragraph" w:styleId="BodyTextIndent3">
    <w:name w:val="Body Text Indent 3"/>
    <w:basedOn w:val="Normal"/>
    <w:link w:val="BodyTextIndent3Char"/>
    <w:rsid w:val="0071447F"/>
    <w:pPr>
      <w:spacing w:after="120"/>
      <w:ind w:left="283"/>
    </w:pPr>
    <w:rPr>
      <w:sz w:val="16"/>
      <w:szCs w:val="16"/>
    </w:rPr>
  </w:style>
  <w:style w:type="paragraph" w:styleId="Closing">
    <w:name w:val="Closing"/>
    <w:basedOn w:val="Normal"/>
    <w:link w:val="ClosingChar"/>
    <w:rsid w:val="0071447F"/>
    <w:pPr>
      <w:ind w:left="4252"/>
    </w:pPr>
  </w:style>
  <w:style w:type="paragraph" w:styleId="Date">
    <w:name w:val="Date"/>
    <w:basedOn w:val="Normal"/>
    <w:next w:val="Normal"/>
    <w:link w:val="DateChar"/>
    <w:rsid w:val="0071447F"/>
  </w:style>
  <w:style w:type="paragraph" w:styleId="DocumentMap">
    <w:name w:val="Document Map"/>
    <w:basedOn w:val="Normal"/>
    <w:link w:val="DocumentMapChar"/>
    <w:rsid w:val="0071447F"/>
    <w:pPr>
      <w:shd w:val="clear" w:color="auto" w:fill="000080"/>
    </w:pPr>
    <w:rPr>
      <w:rFonts w:ascii="Tahoma" w:hAnsi="Tahoma" w:cs="Tahoma"/>
      <w:sz w:val="20"/>
      <w:szCs w:val="20"/>
    </w:rPr>
  </w:style>
  <w:style w:type="paragraph" w:styleId="E-mailSignature">
    <w:name w:val="E-mail Signature"/>
    <w:basedOn w:val="Normal"/>
    <w:link w:val="E-mailSignatureChar"/>
    <w:rsid w:val="0071447F"/>
  </w:style>
  <w:style w:type="paragraph" w:styleId="EndnoteText">
    <w:name w:val="endnote text"/>
    <w:basedOn w:val="Normal"/>
    <w:link w:val="EndnoteTextChar"/>
    <w:rsid w:val="0071447F"/>
    <w:rPr>
      <w:sz w:val="20"/>
      <w:szCs w:val="20"/>
    </w:rPr>
  </w:style>
  <w:style w:type="paragraph" w:styleId="EnvelopeAddress">
    <w:name w:val="envelope address"/>
    <w:basedOn w:val="Normal"/>
    <w:rsid w:val="0071447F"/>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71447F"/>
    <w:rPr>
      <w:rFonts w:ascii="Arial" w:hAnsi="Arial" w:cs="Arial"/>
      <w:sz w:val="20"/>
      <w:szCs w:val="20"/>
    </w:rPr>
  </w:style>
  <w:style w:type="paragraph" w:styleId="HTMLAddress">
    <w:name w:val="HTML Address"/>
    <w:basedOn w:val="Normal"/>
    <w:link w:val="HTMLAddressChar"/>
    <w:rsid w:val="0071447F"/>
    <w:rPr>
      <w:i/>
      <w:iCs/>
    </w:rPr>
  </w:style>
  <w:style w:type="paragraph" w:styleId="HTMLPreformatted">
    <w:name w:val="HTML Preformatted"/>
    <w:basedOn w:val="Normal"/>
    <w:link w:val="HTMLPreformattedChar"/>
    <w:rsid w:val="0071447F"/>
    <w:rPr>
      <w:rFonts w:ascii="Courier New" w:hAnsi="Courier New" w:cs="Courier New"/>
      <w:sz w:val="20"/>
      <w:szCs w:val="20"/>
    </w:rPr>
  </w:style>
  <w:style w:type="paragraph" w:styleId="Index1">
    <w:name w:val="index 1"/>
    <w:basedOn w:val="Normal"/>
    <w:next w:val="Normal"/>
    <w:autoRedefine/>
    <w:rsid w:val="0071447F"/>
    <w:pPr>
      <w:ind w:left="260" w:hanging="260"/>
    </w:pPr>
  </w:style>
  <w:style w:type="paragraph" w:styleId="Index2">
    <w:name w:val="index 2"/>
    <w:basedOn w:val="Normal"/>
    <w:next w:val="Normal"/>
    <w:autoRedefine/>
    <w:rsid w:val="0071447F"/>
    <w:pPr>
      <w:ind w:left="520" w:hanging="260"/>
    </w:pPr>
  </w:style>
  <w:style w:type="paragraph" w:styleId="Index3">
    <w:name w:val="index 3"/>
    <w:basedOn w:val="Normal"/>
    <w:next w:val="Normal"/>
    <w:autoRedefine/>
    <w:rsid w:val="0071447F"/>
    <w:pPr>
      <w:ind w:left="780" w:hanging="260"/>
    </w:pPr>
  </w:style>
  <w:style w:type="paragraph" w:styleId="Index4">
    <w:name w:val="index 4"/>
    <w:basedOn w:val="Normal"/>
    <w:next w:val="Normal"/>
    <w:autoRedefine/>
    <w:rsid w:val="0071447F"/>
    <w:pPr>
      <w:ind w:left="1040" w:hanging="260"/>
    </w:pPr>
  </w:style>
  <w:style w:type="paragraph" w:styleId="Index5">
    <w:name w:val="index 5"/>
    <w:basedOn w:val="Normal"/>
    <w:next w:val="Normal"/>
    <w:autoRedefine/>
    <w:rsid w:val="0071447F"/>
    <w:pPr>
      <w:ind w:left="1300" w:hanging="260"/>
    </w:pPr>
  </w:style>
  <w:style w:type="paragraph" w:styleId="Index6">
    <w:name w:val="index 6"/>
    <w:basedOn w:val="Normal"/>
    <w:next w:val="Normal"/>
    <w:autoRedefine/>
    <w:rsid w:val="0071447F"/>
    <w:pPr>
      <w:ind w:left="1560" w:hanging="260"/>
    </w:pPr>
  </w:style>
  <w:style w:type="paragraph" w:styleId="Index7">
    <w:name w:val="index 7"/>
    <w:basedOn w:val="Normal"/>
    <w:next w:val="Normal"/>
    <w:autoRedefine/>
    <w:rsid w:val="0071447F"/>
    <w:pPr>
      <w:ind w:left="1820" w:hanging="260"/>
    </w:pPr>
  </w:style>
  <w:style w:type="paragraph" w:styleId="Index8">
    <w:name w:val="index 8"/>
    <w:basedOn w:val="Normal"/>
    <w:next w:val="Normal"/>
    <w:autoRedefine/>
    <w:rsid w:val="0071447F"/>
    <w:pPr>
      <w:ind w:left="2080" w:hanging="260"/>
    </w:pPr>
  </w:style>
  <w:style w:type="paragraph" w:styleId="Index9">
    <w:name w:val="index 9"/>
    <w:basedOn w:val="Normal"/>
    <w:next w:val="Normal"/>
    <w:autoRedefine/>
    <w:rsid w:val="0071447F"/>
    <w:pPr>
      <w:ind w:left="2340" w:hanging="260"/>
    </w:pPr>
  </w:style>
  <w:style w:type="paragraph" w:styleId="IndexHeading">
    <w:name w:val="index heading"/>
    <w:basedOn w:val="Normal"/>
    <w:next w:val="Index1"/>
    <w:rsid w:val="0071447F"/>
    <w:rPr>
      <w:rFonts w:ascii="Arial" w:hAnsi="Arial" w:cs="Arial"/>
      <w:b/>
      <w:bCs/>
    </w:rPr>
  </w:style>
  <w:style w:type="paragraph" w:styleId="List">
    <w:name w:val="List"/>
    <w:basedOn w:val="Normal"/>
    <w:rsid w:val="0071447F"/>
    <w:pPr>
      <w:ind w:left="283" w:hanging="283"/>
    </w:pPr>
  </w:style>
  <w:style w:type="paragraph" w:styleId="List2">
    <w:name w:val="List 2"/>
    <w:basedOn w:val="Normal"/>
    <w:rsid w:val="0071447F"/>
    <w:pPr>
      <w:ind w:left="566" w:hanging="283"/>
    </w:pPr>
  </w:style>
  <w:style w:type="paragraph" w:styleId="List3">
    <w:name w:val="List 3"/>
    <w:basedOn w:val="Normal"/>
    <w:rsid w:val="0071447F"/>
    <w:pPr>
      <w:ind w:left="849" w:hanging="283"/>
    </w:pPr>
  </w:style>
  <w:style w:type="paragraph" w:styleId="List4">
    <w:name w:val="List 4"/>
    <w:basedOn w:val="Normal"/>
    <w:rsid w:val="0071447F"/>
    <w:pPr>
      <w:ind w:left="1132" w:hanging="283"/>
    </w:pPr>
  </w:style>
  <w:style w:type="paragraph" w:styleId="List5">
    <w:name w:val="List 5"/>
    <w:basedOn w:val="Normal"/>
    <w:rsid w:val="0071447F"/>
    <w:pPr>
      <w:ind w:left="1415" w:hanging="283"/>
    </w:pPr>
  </w:style>
  <w:style w:type="paragraph" w:styleId="ListBullet4">
    <w:name w:val="List Bullet 4"/>
    <w:basedOn w:val="Normal"/>
    <w:rsid w:val="0071447F"/>
    <w:pPr>
      <w:numPr>
        <w:numId w:val="17"/>
      </w:numPr>
    </w:pPr>
  </w:style>
  <w:style w:type="paragraph" w:styleId="ListBullet5">
    <w:name w:val="List Bullet 5"/>
    <w:basedOn w:val="Normal"/>
    <w:rsid w:val="0071447F"/>
    <w:pPr>
      <w:numPr>
        <w:numId w:val="18"/>
      </w:numPr>
    </w:pPr>
  </w:style>
  <w:style w:type="paragraph" w:styleId="ListContinue">
    <w:name w:val="List Continue"/>
    <w:basedOn w:val="Normal"/>
    <w:rsid w:val="0071447F"/>
    <w:pPr>
      <w:spacing w:after="120"/>
      <w:ind w:left="283"/>
    </w:pPr>
  </w:style>
  <w:style w:type="paragraph" w:styleId="ListContinue2">
    <w:name w:val="List Continue 2"/>
    <w:basedOn w:val="Normal"/>
    <w:rsid w:val="0071447F"/>
    <w:pPr>
      <w:spacing w:after="120"/>
      <w:ind w:left="566"/>
    </w:pPr>
  </w:style>
  <w:style w:type="paragraph" w:styleId="ListContinue3">
    <w:name w:val="List Continue 3"/>
    <w:basedOn w:val="Normal"/>
    <w:rsid w:val="0071447F"/>
    <w:pPr>
      <w:spacing w:after="120"/>
      <w:ind w:left="849"/>
    </w:pPr>
  </w:style>
  <w:style w:type="paragraph" w:styleId="ListContinue4">
    <w:name w:val="List Continue 4"/>
    <w:basedOn w:val="Normal"/>
    <w:rsid w:val="0071447F"/>
    <w:pPr>
      <w:spacing w:after="120"/>
      <w:ind w:left="1132"/>
    </w:pPr>
  </w:style>
  <w:style w:type="paragraph" w:styleId="ListContinue5">
    <w:name w:val="List Continue 5"/>
    <w:basedOn w:val="Normal"/>
    <w:rsid w:val="0071447F"/>
    <w:pPr>
      <w:spacing w:after="120"/>
      <w:ind w:left="1415"/>
    </w:pPr>
  </w:style>
  <w:style w:type="paragraph" w:styleId="ListNumber4">
    <w:name w:val="List Number 4"/>
    <w:basedOn w:val="Normal"/>
    <w:rsid w:val="0071447F"/>
    <w:pPr>
      <w:numPr>
        <w:numId w:val="19"/>
      </w:numPr>
    </w:pPr>
  </w:style>
  <w:style w:type="paragraph" w:styleId="ListNumber5">
    <w:name w:val="List Number 5"/>
    <w:basedOn w:val="Normal"/>
    <w:rsid w:val="0071447F"/>
    <w:pPr>
      <w:numPr>
        <w:numId w:val="20"/>
      </w:numPr>
    </w:pPr>
  </w:style>
  <w:style w:type="paragraph" w:styleId="MacroText">
    <w:name w:val="macro"/>
    <w:link w:val="MacroTextChar"/>
    <w:rsid w:val="0071447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
    <w:rsid w:val="0071447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Indent">
    <w:name w:val="Normal Indent"/>
    <w:basedOn w:val="Normal"/>
    <w:rsid w:val="0071447F"/>
    <w:pPr>
      <w:ind w:left="720"/>
    </w:pPr>
  </w:style>
  <w:style w:type="paragraph" w:styleId="NoteHeading">
    <w:name w:val="Note Heading"/>
    <w:basedOn w:val="Normal"/>
    <w:next w:val="Normal"/>
    <w:link w:val="NoteHeadingChar"/>
    <w:rsid w:val="0071447F"/>
  </w:style>
  <w:style w:type="character" w:customStyle="1" w:styleId="NoteHeadingChar">
    <w:name w:val="Note Heading Char"/>
    <w:basedOn w:val="DefaultParagraphFont"/>
    <w:link w:val="NoteHeading"/>
    <w:rsid w:val="00F15CF0"/>
    <w:rPr>
      <w:sz w:val="26"/>
      <w:szCs w:val="24"/>
      <w:lang w:val="en-AU" w:eastAsia="en-AU" w:bidi="ar-SA"/>
    </w:rPr>
  </w:style>
  <w:style w:type="paragraph" w:styleId="PlainText">
    <w:name w:val="Plain Text"/>
    <w:basedOn w:val="Normal"/>
    <w:link w:val="PlainTextChar"/>
    <w:rsid w:val="0071447F"/>
    <w:rPr>
      <w:rFonts w:ascii="Courier New" w:hAnsi="Courier New" w:cs="Courier New"/>
      <w:sz w:val="20"/>
      <w:szCs w:val="20"/>
    </w:rPr>
  </w:style>
  <w:style w:type="paragraph" w:styleId="Salutation">
    <w:name w:val="Salutation"/>
    <w:basedOn w:val="Normal"/>
    <w:next w:val="Normal"/>
    <w:link w:val="SalutationChar"/>
    <w:rsid w:val="0071447F"/>
  </w:style>
  <w:style w:type="paragraph" w:styleId="Signature">
    <w:name w:val="Signature"/>
    <w:basedOn w:val="Normal"/>
    <w:link w:val="SignatureChar"/>
    <w:rsid w:val="0071447F"/>
    <w:pPr>
      <w:ind w:left="4252"/>
    </w:pPr>
  </w:style>
  <w:style w:type="paragraph" w:styleId="TableofAuthorities">
    <w:name w:val="table of authorities"/>
    <w:basedOn w:val="Normal"/>
    <w:next w:val="Normal"/>
    <w:rsid w:val="0071447F"/>
    <w:pPr>
      <w:ind w:left="260" w:hanging="260"/>
    </w:pPr>
  </w:style>
  <w:style w:type="paragraph" w:styleId="Title">
    <w:name w:val="Title"/>
    <w:basedOn w:val="Normal"/>
    <w:link w:val="TitleChar"/>
    <w:qFormat/>
    <w:rsid w:val="0071447F"/>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71447F"/>
    <w:pPr>
      <w:spacing w:before="120"/>
    </w:pPr>
    <w:rPr>
      <w:rFonts w:ascii="Arial" w:hAnsi="Arial" w:cs="Arial"/>
      <w:b/>
      <w:bCs/>
      <w:sz w:val="24"/>
    </w:rPr>
  </w:style>
  <w:style w:type="paragraph" w:styleId="TOC5">
    <w:name w:val="toc 5"/>
    <w:basedOn w:val="Normal"/>
    <w:next w:val="Normal"/>
    <w:autoRedefine/>
    <w:rsid w:val="0071447F"/>
    <w:pPr>
      <w:ind w:left="1040"/>
    </w:pPr>
  </w:style>
  <w:style w:type="paragraph" w:styleId="TOC6">
    <w:name w:val="toc 6"/>
    <w:basedOn w:val="Normal"/>
    <w:next w:val="Normal"/>
    <w:autoRedefine/>
    <w:rsid w:val="0071447F"/>
    <w:pPr>
      <w:ind w:left="1300"/>
    </w:pPr>
  </w:style>
  <w:style w:type="paragraph" w:styleId="TOC7">
    <w:name w:val="toc 7"/>
    <w:basedOn w:val="Normal"/>
    <w:next w:val="Normal"/>
    <w:autoRedefine/>
    <w:rsid w:val="0071447F"/>
    <w:pPr>
      <w:ind w:left="1560"/>
    </w:pPr>
  </w:style>
  <w:style w:type="paragraph" w:styleId="TOC8">
    <w:name w:val="toc 8"/>
    <w:basedOn w:val="Normal"/>
    <w:next w:val="Normal"/>
    <w:autoRedefine/>
    <w:rsid w:val="0071447F"/>
    <w:pPr>
      <w:ind w:left="1820"/>
    </w:pPr>
  </w:style>
  <w:style w:type="paragraph" w:styleId="TOC9">
    <w:name w:val="toc 9"/>
    <w:basedOn w:val="Normal"/>
    <w:next w:val="Normal"/>
    <w:autoRedefine/>
    <w:rsid w:val="0071447F"/>
    <w:pPr>
      <w:ind w:left="2080"/>
    </w:pPr>
  </w:style>
  <w:style w:type="paragraph" w:customStyle="1" w:styleId="Default">
    <w:name w:val="Default"/>
    <w:rsid w:val="00C64E15"/>
    <w:pPr>
      <w:autoSpaceDE w:val="0"/>
      <w:autoSpaceDN w:val="0"/>
      <w:adjustRightInd w:val="0"/>
    </w:pPr>
    <w:rPr>
      <w:rFonts w:ascii="Arial" w:hAnsi="Arial" w:cs="Arial"/>
      <w:color w:val="000000"/>
      <w:sz w:val="24"/>
      <w:szCs w:val="24"/>
      <w:lang w:eastAsia="en-US"/>
    </w:rPr>
  </w:style>
  <w:style w:type="character" w:customStyle="1" w:styleId="apple-style-span">
    <w:name w:val="apple-style-span"/>
    <w:basedOn w:val="DefaultParagraphFont"/>
    <w:rsid w:val="001D6C46"/>
    <w:rPr>
      <w:rFonts w:cs="Times New Roman"/>
    </w:rPr>
  </w:style>
  <w:style w:type="character" w:customStyle="1" w:styleId="apple-converted-space">
    <w:name w:val="apple-converted-space"/>
    <w:basedOn w:val="DefaultParagraphFont"/>
    <w:rsid w:val="001D6C46"/>
    <w:rPr>
      <w:rFonts w:cs="Times New Roman"/>
    </w:rPr>
  </w:style>
  <w:style w:type="character" w:customStyle="1" w:styleId="Heading1Char">
    <w:name w:val="Heading 1 Char"/>
    <w:basedOn w:val="DefaultParagraphFont"/>
    <w:link w:val="Heading1"/>
    <w:rsid w:val="00D11E31"/>
    <w:rPr>
      <w:sz w:val="52"/>
    </w:rPr>
  </w:style>
  <w:style w:type="character" w:customStyle="1" w:styleId="Heading2Char">
    <w:name w:val="Heading 2 Char"/>
    <w:basedOn w:val="DefaultParagraphFont"/>
    <w:link w:val="Heading2"/>
    <w:rsid w:val="00D11E31"/>
    <w:rPr>
      <w:rFonts w:ascii="Arial" w:hAnsi="Arial"/>
      <w:b/>
      <w:sz w:val="32"/>
    </w:rPr>
  </w:style>
  <w:style w:type="character" w:customStyle="1" w:styleId="Heading4Char">
    <w:name w:val="Heading 4 Char"/>
    <w:basedOn w:val="DefaultParagraphFont"/>
    <w:link w:val="Heading4"/>
    <w:rsid w:val="00D11E31"/>
    <w:rPr>
      <w:rFonts w:ascii="Arial" w:hAnsi="Arial"/>
      <w:i/>
      <w:sz w:val="24"/>
    </w:rPr>
  </w:style>
  <w:style w:type="character" w:customStyle="1" w:styleId="Heading5Char">
    <w:name w:val="Heading 5 Char"/>
    <w:basedOn w:val="DefaultParagraphFont"/>
    <w:link w:val="Heading5"/>
    <w:rsid w:val="00D11E31"/>
    <w:rPr>
      <w:i/>
      <w:sz w:val="26"/>
    </w:rPr>
  </w:style>
  <w:style w:type="character" w:customStyle="1" w:styleId="Heading6Char">
    <w:name w:val="Heading 6 Char"/>
    <w:basedOn w:val="DefaultParagraphFont"/>
    <w:link w:val="Heading6"/>
    <w:rsid w:val="00D11E31"/>
    <w:rPr>
      <w:i/>
      <w:sz w:val="22"/>
      <w:szCs w:val="24"/>
    </w:rPr>
  </w:style>
  <w:style w:type="character" w:customStyle="1" w:styleId="Heading7Char">
    <w:name w:val="Heading 7 Char"/>
    <w:basedOn w:val="DefaultParagraphFont"/>
    <w:link w:val="Heading7"/>
    <w:rsid w:val="00D11E31"/>
    <w:rPr>
      <w:rFonts w:ascii="Arial" w:hAnsi="Arial"/>
      <w:szCs w:val="24"/>
    </w:rPr>
  </w:style>
  <w:style w:type="character" w:customStyle="1" w:styleId="Heading8Char">
    <w:name w:val="Heading 8 Char"/>
    <w:basedOn w:val="DefaultParagraphFont"/>
    <w:link w:val="Heading8"/>
    <w:rsid w:val="00D11E31"/>
    <w:rPr>
      <w:rFonts w:ascii="Arial" w:hAnsi="Arial"/>
      <w:i/>
      <w:szCs w:val="24"/>
    </w:rPr>
  </w:style>
  <w:style w:type="character" w:customStyle="1" w:styleId="Heading9Char">
    <w:name w:val="Heading 9 Char"/>
    <w:basedOn w:val="DefaultParagraphFont"/>
    <w:link w:val="Heading9"/>
    <w:rsid w:val="00D11E31"/>
    <w:rPr>
      <w:rFonts w:ascii="Arial" w:hAnsi="Arial"/>
      <w:b/>
      <w:i/>
      <w:sz w:val="18"/>
      <w:szCs w:val="24"/>
    </w:rPr>
  </w:style>
  <w:style w:type="character" w:customStyle="1" w:styleId="BalloonTextChar">
    <w:name w:val="Balloon Text Char"/>
    <w:basedOn w:val="DefaultParagraphFont"/>
    <w:link w:val="BalloonText"/>
    <w:semiHidden/>
    <w:rsid w:val="00D11E31"/>
    <w:rPr>
      <w:rFonts w:ascii="Tahoma" w:hAnsi="Tahoma" w:cs="Tahoma"/>
      <w:sz w:val="16"/>
      <w:szCs w:val="16"/>
    </w:rPr>
  </w:style>
  <w:style w:type="character" w:customStyle="1" w:styleId="HeaderChar">
    <w:name w:val="Header Char"/>
    <w:basedOn w:val="DefaultParagraphFont"/>
    <w:link w:val="Header"/>
    <w:rsid w:val="00D11E31"/>
    <w:rPr>
      <w:rFonts w:ascii="Arial" w:hAnsi="Arial"/>
      <w:caps/>
      <w:sz w:val="26"/>
    </w:rPr>
  </w:style>
  <w:style w:type="character" w:customStyle="1" w:styleId="FooterChar">
    <w:name w:val="Footer Char"/>
    <w:basedOn w:val="DefaultParagraphFont"/>
    <w:link w:val="Footer"/>
    <w:rsid w:val="00D11E31"/>
    <w:rPr>
      <w:caps/>
      <w:spacing w:val="-4"/>
      <w:sz w:val="16"/>
    </w:rPr>
  </w:style>
  <w:style w:type="character" w:customStyle="1" w:styleId="FootnoteTextChar">
    <w:name w:val="Footnote Text Char"/>
    <w:basedOn w:val="DefaultParagraphFont"/>
    <w:link w:val="FootnoteText"/>
    <w:rsid w:val="00D11E31"/>
    <w:rPr>
      <w:sz w:val="22"/>
    </w:rPr>
  </w:style>
  <w:style w:type="paragraph" w:customStyle="1" w:styleId="BoxContinued">
    <w:name w:val="Box Continued"/>
    <w:basedOn w:val="BodyText"/>
    <w:next w:val="BodyText"/>
    <w:semiHidden/>
    <w:rsid w:val="00D11E31"/>
    <w:pPr>
      <w:spacing w:before="180" w:line="220" w:lineRule="exact"/>
      <w:jc w:val="right"/>
    </w:pPr>
    <w:rPr>
      <w:rFonts w:ascii="Arial" w:hAnsi="Arial"/>
      <w:sz w:val="18"/>
    </w:rPr>
  </w:style>
  <w:style w:type="character" w:customStyle="1" w:styleId="QuoteChar">
    <w:name w:val="Quote Char"/>
    <w:basedOn w:val="DefaultParagraphFont"/>
    <w:link w:val="Quote"/>
    <w:rsid w:val="00D11E31"/>
    <w:rPr>
      <w:sz w:val="24"/>
    </w:rPr>
  </w:style>
  <w:style w:type="paragraph" w:customStyle="1" w:styleId="Action">
    <w:name w:val="Action"/>
    <w:basedOn w:val="Normal"/>
    <w:rsid w:val="00D11E31"/>
    <w:pPr>
      <w:tabs>
        <w:tab w:val="num" w:pos="284"/>
        <w:tab w:val="num" w:pos="425"/>
      </w:tabs>
      <w:spacing w:before="120"/>
      <w:ind w:left="425" w:hanging="425"/>
      <w:jc w:val="both"/>
    </w:pPr>
    <w:rPr>
      <w:rFonts w:ascii="Arial" w:hAnsi="Arial"/>
      <w:b/>
      <w:sz w:val="20"/>
    </w:rPr>
  </w:style>
  <w:style w:type="paragraph" w:customStyle="1" w:styleId="SAG">
    <w:name w:val="SAG"/>
    <w:basedOn w:val="Normal"/>
    <w:rsid w:val="00D11E31"/>
    <w:pPr>
      <w:keepNext/>
      <w:spacing w:before="140"/>
    </w:pPr>
    <w:rPr>
      <w:rFonts w:ascii="Arial" w:hAnsi="Arial"/>
      <w:b/>
      <w:smallCaps/>
      <w:sz w:val="20"/>
    </w:rPr>
  </w:style>
  <w:style w:type="paragraph" w:customStyle="1" w:styleId="Actionitem">
    <w:name w:val="Action item"/>
    <w:basedOn w:val="BodyText"/>
    <w:rsid w:val="00D11E31"/>
    <w:pPr>
      <w:spacing w:before="40" w:after="40" w:line="240" w:lineRule="auto"/>
      <w:ind w:left="340"/>
    </w:pPr>
    <w:rPr>
      <w:rFonts w:ascii="Arial" w:hAnsi="Arial"/>
      <w:b/>
      <w:sz w:val="20"/>
    </w:rPr>
  </w:style>
  <w:style w:type="character" w:styleId="Strong">
    <w:name w:val="Strong"/>
    <w:qFormat/>
    <w:rsid w:val="00D11E31"/>
    <w:rPr>
      <w:rFonts w:cs="Times New Roman"/>
      <w:b/>
      <w:bCs/>
    </w:rPr>
  </w:style>
  <w:style w:type="table" w:styleId="TableList4">
    <w:name w:val="Table List 4"/>
    <w:basedOn w:val="TableNormal"/>
    <w:rsid w:val="00D11E3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ingleParagraph">
    <w:name w:val="Single Paragraph"/>
    <w:basedOn w:val="Normal"/>
    <w:rsid w:val="00D11E31"/>
  </w:style>
  <w:style w:type="character" w:customStyle="1" w:styleId="CommentTextChar">
    <w:name w:val="Comment Text Char"/>
    <w:basedOn w:val="DefaultParagraphFont"/>
    <w:link w:val="CommentText"/>
    <w:semiHidden/>
    <w:rsid w:val="00D11E31"/>
    <w:rPr>
      <w:szCs w:val="24"/>
    </w:rPr>
  </w:style>
  <w:style w:type="character" w:customStyle="1" w:styleId="CommentSubjectChar">
    <w:name w:val="Comment Subject Char"/>
    <w:basedOn w:val="CommentTextChar"/>
    <w:link w:val="CommentSubject"/>
    <w:semiHidden/>
    <w:rsid w:val="00D11E31"/>
    <w:rPr>
      <w:b/>
      <w:bCs/>
      <w:szCs w:val="24"/>
    </w:rPr>
  </w:style>
  <w:style w:type="character" w:customStyle="1" w:styleId="SubtitleChar">
    <w:name w:val="Subtitle Char"/>
    <w:basedOn w:val="DefaultParagraphFont"/>
    <w:link w:val="Subtitle"/>
    <w:rsid w:val="00D11E31"/>
    <w:rPr>
      <w:rFonts w:ascii="Arial" w:hAnsi="Arial"/>
      <w:szCs w:val="24"/>
    </w:rPr>
  </w:style>
  <w:style w:type="character" w:customStyle="1" w:styleId="BodyText2Char">
    <w:name w:val="Body Text 2 Char"/>
    <w:basedOn w:val="DefaultParagraphFont"/>
    <w:link w:val="BodyText2"/>
    <w:rsid w:val="00D11E31"/>
    <w:rPr>
      <w:sz w:val="26"/>
      <w:szCs w:val="24"/>
    </w:rPr>
  </w:style>
  <w:style w:type="character" w:customStyle="1" w:styleId="BodyText3Char">
    <w:name w:val="Body Text 3 Char"/>
    <w:basedOn w:val="DefaultParagraphFont"/>
    <w:link w:val="BodyText3"/>
    <w:rsid w:val="00D11E31"/>
    <w:rPr>
      <w:sz w:val="16"/>
      <w:szCs w:val="16"/>
    </w:rPr>
  </w:style>
  <w:style w:type="character" w:customStyle="1" w:styleId="BodyTextFirstIndentChar">
    <w:name w:val="Body Text First Indent Char"/>
    <w:basedOn w:val="BodyTextChar"/>
    <w:link w:val="BodyTextFirstIndent"/>
    <w:rsid w:val="00D11E31"/>
    <w:rPr>
      <w:sz w:val="26"/>
      <w:szCs w:val="24"/>
      <w:lang w:val="en-AU" w:eastAsia="en-AU" w:bidi="ar-SA"/>
    </w:rPr>
  </w:style>
  <w:style w:type="character" w:customStyle="1" w:styleId="BodyTextIndentChar">
    <w:name w:val="Body Text Indent Char"/>
    <w:basedOn w:val="DefaultParagraphFont"/>
    <w:link w:val="BodyTextIndent"/>
    <w:rsid w:val="00D11E31"/>
    <w:rPr>
      <w:sz w:val="26"/>
      <w:szCs w:val="24"/>
    </w:rPr>
  </w:style>
  <w:style w:type="character" w:customStyle="1" w:styleId="BodyTextFirstIndent2Char">
    <w:name w:val="Body Text First Indent 2 Char"/>
    <w:basedOn w:val="BodyTextIndentChar"/>
    <w:link w:val="BodyTextFirstIndent2"/>
    <w:rsid w:val="00D11E31"/>
    <w:rPr>
      <w:sz w:val="26"/>
      <w:szCs w:val="24"/>
    </w:rPr>
  </w:style>
  <w:style w:type="character" w:customStyle="1" w:styleId="BodyTextIndent2Char">
    <w:name w:val="Body Text Indent 2 Char"/>
    <w:basedOn w:val="DefaultParagraphFont"/>
    <w:link w:val="BodyTextIndent2"/>
    <w:rsid w:val="00D11E31"/>
    <w:rPr>
      <w:sz w:val="26"/>
      <w:szCs w:val="24"/>
    </w:rPr>
  </w:style>
  <w:style w:type="character" w:customStyle="1" w:styleId="BodyTextIndent3Char">
    <w:name w:val="Body Text Indent 3 Char"/>
    <w:basedOn w:val="DefaultParagraphFont"/>
    <w:link w:val="BodyTextIndent3"/>
    <w:rsid w:val="00D11E31"/>
    <w:rPr>
      <w:sz w:val="16"/>
      <w:szCs w:val="16"/>
    </w:rPr>
  </w:style>
  <w:style w:type="character" w:customStyle="1" w:styleId="ClosingChar">
    <w:name w:val="Closing Char"/>
    <w:basedOn w:val="DefaultParagraphFont"/>
    <w:link w:val="Closing"/>
    <w:rsid w:val="00D11E31"/>
    <w:rPr>
      <w:sz w:val="26"/>
      <w:szCs w:val="24"/>
    </w:rPr>
  </w:style>
  <w:style w:type="character" w:customStyle="1" w:styleId="DateChar">
    <w:name w:val="Date Char"/>
    <w:basedOn w:val="DefaultParagraphFont"/>
    <w:link w:val="Date"/>
    <w:rsid w:val="00D11E31"/>
    <w:rPr>
      <w:sz w:val="26"/>
      <w:szCs w:val="24"/>
    </w:rPr>
  </w:style>
  <w:style w:type="character" w:customStyle="1" w:styleId="DocumentMapChar">
    <w:name w:val="Document Map Char"/>
    <w:basedOn w:val="DefaultParagraphFont"/>
    <w:link w:val="DocumentMap"/>
    <w:rsid w:val="00D11E31"/>
    <w:rPr>
      <w:rFonts w:ascii="Tahoma" w:hAnsi="Tahoma" w:cs="Tahoma"/>
      <w:shd w:val="clear" w:color="auto" w:fill="000080"/>
    </w:rPr>
  </w:style>
  <w:style w:type="character" w:customStyle="1" w:styleId="E-mailSignatureChar">
    <w:name w:val="E-mail Signature Char"/>
    <w:basedOn w:val="DefaultParagraphFont"/>
    <w:link w:val="E-mailSignature"/>
    <w:rsid w:val="00D11E31"/>
    <w:rPr>
      <w:sz w:val="26"/>
      <w:szCs w:val="24"/>
    </w:rPr>
  </w:style>
  <w:style w:type="character" w:customStyle="1" w:styleId="EndnoteTextChar">
    <w:name w:val="Endnote Text Char"/>
    <w:basedOn w:val="DefaultParagraphFont"/>
    <w:link w:val="EndnoteText"/>
    <w:rsid w:val="00D11E31"/>
  </w:style>
  <w:style w:type="character" w:customStyle="1" w:styleId="HTMLAddressChar">
    <w:name w:val="HTML Address Char"/>
    <w:basedOn w:val="DefaultParagraphFont"/>
    <w:link w:val="HTMLAddress"/>
    <w:rsid w:val="00D11E31"/>
    <w:rPr>
      <w:i/>
      <w:iCs/>
      <w:sz w:val="26"/>
      <w:szCs w:val="24"/>
    </w:rPr>
  </w:style>
  <w:style w:type="character" w:customStyle="1" w:styleId="HTMLPreformattedChar">
    <w:name w:val="HTML Preformatted Char"/>
    <w:basedOn w:val="DefaultParagraphFont"/>
    <w:link w:val="HTMLPreformatted"/>
    <w:rsid w:val="00D11E31"/>
    <w:rPr>
      <w:rFonts w:ascii="Courier New" w:hAnsi="Courier New" w:cs="Courier New"/>
    </w:rPr>
  </w:style>
  <w:style w:type="character" w:customStyle="1" w:styleId="MacroTextChar">
    <w:name w:val="Macro Text Char"/>
    <w:basedOn w:val="DefaultParagraphFont"/>
    <w:link w:val="MacroText"/>
    <w:rsid w:val="00D11E31"/>
    <w:rPr>
      <w:rFonts w:ascii="Courier New" w:hAnsi="Courier New" w:cs="Courier New"/>
    </w:rPr>
  </w:style>
  <w:style w:type="character" w:customStyle="1" w:styleId="MessageHeaderChar">
    <w:name w:val="Message Header Char"/>
    <w:basedOn w:val="DefaultParagraphFont"/>
    <w:link w:val="MessageHeader"/>
    <w:rsid w:val="00D11E31"/>
    <w:rPr>
      <w:rFonts w:ascii="Arial" w:hAnsi="Arial" w:cs="Arial"/>
      <w:sz w:val="24"/>
      <w:szCs w:val="24"/>
      <w:shd w:val="pct20" w:color="auto" w:fill="auto"/>
    </w:rPr>
  </w:style>
  <w:style w:type="character" w:customStyle="1" w:styleId="PlainTextChar">
    <w:name w:val="Plain Text Char"/>
    <w:basedOn w:val="DefaultParagraphFont"/>
    <w:link w:val="PlainText"/>
    <w:rsid w:val="00D11E31"/>
    <w:rPr>
      <w:rFonts w:ascii="Courier New" w:hAnsi="Courier New" w:cs="Courier New"/>
    </w:rPr>
  </w:style>
  <w:style w:type="character" w:customStyle="1" w:styleId="SalutationChar">
    <w:name w:val="Salutation Char"/>
    <w:basedOn w:val="DefaultParagraphFont"/>
    <w:link w:val="Salutation"/>
    <w:rsid w:val="00D11E31"/>
    <w:rPr>
      <w:sz w:val="26"/>
      <w:szCs w:val="24"/>
    </w:rPr>
  </w:style>
  <w:style w:type="character" w:customStyle="1" w:styleId="SignatureChar">
    <w:name w:val="Signature Char"/>
    <w:basedOn w:val="DefaultParagraphFont"/>
    <w:link w:val="Signature"/>
    <w:rsid w:val="00D11E31"/>
    <w:rPr>
      <w:sz w:val="26"/>
      <w:szCs w:val="24"/>
    </w:rPr>
  </w:style>
  <w:style w:type="character" w:customStyle="1" w:styleId="TitleChar">
    <w:name w:val="Title Char"/>
    <w:basedOn w:val="DefaultParagraphFont"/>
    <w:link w:val="Title"/>
    <w:rsid w:val="00D11E31"/>
    <w:rPr>
      <w:rFonts w:ascii="Arial" w:hAnsi="Arial" w:cs="Arial"/>
      <w:b/>
      <w:bCs/>
      <w:kern w:val="28"/>
      <w:sz w:val="32"/>
      <w:szCs w:val="32"/>
    </w:rPr>
  </w:style>
  <w:style w:type="character" w:customStyle="1" w:styleId="CharChar8">
    <w:name w:val="Char Char8"/>
    <w:basedOn w:val="DefaultParagraphFont"/>
    <w:locked/>
    <w:rsid w:val="00D11E31"/>
    <w:rPr>
      <w:sz w:val="26"/>
      <w:lang w:val="en-AU" w:eastAsia="en-AU" w:bidi="ar-SA"/>
    </w:rPr>
  </w:style>
  <w:style w:type="paragraph" w:styleId="ListParagraph">
    <w:name w:val="List Paragraph"/>
    <w:basedOn w:val="Normal"/>
    <w:uiPriority w:val="34"/>
    <w:qFormat/>
    <w:rsid w:val="00072721"/>
    <w:pPr>
      <w:ind w:left="720"/>
      <w:contextualSpacing/>
    </w:pPr>
  </w:style>
  <w:style w:type="paragraph" w:styleId="Revision">
    <w:name w:val="Revision"/>
    <w:hidden/>
    <w:uiPriority w:val="99"/>
    <w:semiHidden/>
    <w:rsid w:val="000F31B2"/>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364C"/>
    <w:rPr>
      <w:sz w:val="26"/>
      <w:szCs w:val="24"/>
    </w:rPr>
  </w:style>
  <w:style w:type="paragraph" w:styleId="Heading1">
    <w:name w:val="heading 1"/>
    <w:basedOn w:val="Normal"/>
    <w:next w:val="Normal"/>
    <w:link w:val="Heading1Char"/>
    <w:qFormat/>
    <w:rsid w:val="007579D2"/>
    <w:pPr>
      <w:keepNext/>
      <w:spacing w:before="160" w:after="1360" w:line="600" w:lineRule="exact"/>
      <w:ind w:left="907" w:hanging="907"/>
      <w:outlineLvl w:val="0"/>
    </w:pPr>
    <w:rPr>
      <w:sz w:val="52"/>
      <w:szCs w:val="20"/>
    </w:rPr>
  </w:style>
  <w:style w:type="paragraph" w:styleId="Heading2">
    <w:name w:val="heading 2"/>
    <w:basedOn w:val="Chapter"/>
    <w:next w:val="Normal"/>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Normal"/>
    <w:link w:val="Heading3Char"/>
    <w:qFormat/>
    <w:rsid w:val="00857382"/>
    <w:pPr>
      <w:spacing w:before="560" w:line="320" w:lineRule="exact"/>
      <w:ind w:left="0" w:firstLine="0"/>
      <w:outlineLvl w:val="2"/>
    </w:pPr>
    <w:rPr>
      <w:sz w:val="26"/>
    </w:rPr>
  </w:style>
  <w:style w:type="paragraph" w:styleId="Heading4">
    <w:name w:val="heading 4"/>
    <w:basedOn w:val="Heading3"/>
    <w:next w:val="Normal"/>
    <w:link w:val="Heading4Char"/>
    <w:qFormat/>
    <w:rsid w:val="00A17328"/>
    <w:pPr>
      <w:spacing w:before="480"/>
      <w:outlineLvl w:val="3"/>
    </w:pPr>
    <w:rPr>
      <w:b w:val="0"/>
      <w:i/>
      <w:sz w:val="24"/>
    </w:rPr>
  </w:style>
  <w:style w:type="paragraph" w:styleId="Heading5">
    <w:name w:val="heading 5"/>
    <w:basedOn w:val="Heading4"/>
    <w:next w:val="Normal"/>
    <w:link w:val="Heading5Char"/>
    <w:qFormat/>
    <w:rsid w:val="00A17328"/>
    <w:pPr>
      <w:outlineLvl w:val="4"/>
    </w:pPr>
    <w:rPr>
      <w:rFonts w:ascii="Times New Roman" w:hAnsi="Times New Roman"/>
      <w:sz w:val="26"/>
    </w:rPr>
  </w:style>
  <w:style w:type="paragraph" w:styleId="Heading6">
    <w:name w:val="heading 6"/>
    <w:basedOn w:val="Normal"/>
    <w:next w:val="Normal"/>
    <w:link w:val="Heading6Char"/>
    <w:qFormat/>
    <w:rsid w:val="007579D2"/>
    <w:pPr>
      <w:spacing w:after="60"/>
      <w:outlineLvl w:val="5"/>
    </w:pPr>
    <w:rPr>
      <w:i/>
      <w:sz w:val="22"/>
    </w:rPr>
  </w:style>
  <w:style w:type="paragraph" w:styleId="Heading7">
    <w:name w:val="heading 7"/>
    <w:basedOn w:val="Normal"/>
    <w:next w:val="Normal"/>
    <w:link w:val="Heading7Char"/>
    <w:qFormat/>
    <w:rsid w:val="007579D2"/>
    <w:pPr>
      <w:spacing w:after="60"/>
      <w:outlineLvl w:val="6"/>
    </w:pPr>
    <w:rPr>
      <w:rFonts w:ascii="Arial" w:hAnsi="Arial"/>
      <w:sz w:val="20"/>
    </w:rPr>
  </w:style>
  <w:style w:type="paragraph" w:styleId="Heading8">
    <w:name w:val="heading 8"/>
    <w:basedOn w:val="Normal"/>
    <w:next w:val="Normal"/>
    <w:link w:val="Heading8Char"/>
    <w:qFormat/>
    <w:rsid w:val="007579D2"/>
    <w:pPr>
      <w:spacing w:after="60"/>
      <w:outlineLvl w:val="7"/>
    </w:pPr>
    <w:rPr>
      <w:rFonts w:ascii="Arial" w:hAnsi="Arial"/>
      <w:i/>
      <w:sz w:val="20"/>
    </w:rPr>
  </w:style>
  <w:style w:type="paragraph" w:styleId="Heading9">
    <w:name w:val="heading 9"/>
    <w:basedOn w:val="Normal"/>
    <w:next w:val="Normal"/>
    <w:link w:val="Heading9Char"/>
    <w:qFormat/>
    <w:rsid w:val="007579D2"/>
    <w:pPr>
      <w:spacing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Heading1"/>
    <w:next w:val="Normal"/>
    <w:semiHidden/>
    <w:rsid w:val="00A17328"/>
    <w:pPr>
      <w:ind w:left="0" w:firstLine="0"/>
      <w:outlineLvl w:val="9"/>
    </w:pPr>
  </w:style>
  <w:style w:type="character" w:customStyle="1" w:styleId="Heading3Char">
    <w:name w:val="Heading 3 Char"/>
    <w:basedOn w:val="DefaultParagraphFont"/>
    <w:link w:val="Heading3"/>
    <w:locked/>
    <w:rsid w:val="00E5664D"/>
    <w:rPr>
      <w:rFonts w:ascii="Arial" w:hAnsi="Arial"/>
      <w:b/>
      <w:sz w:val="26"/>
      <w:lang w:val="en-AU" w:eastAsia="en-AU" w:bidi="ar-SA"/>
    </w:rPr>
  </w:style>
  <w:style w:type="paragraph" w:styleId="BodyText">
    <w:name w:val="Body Text"/>
    <w:link w:val="BodyTextChar"/>
    <w:rsid w:val="00F225AF"/>
    <w:pPr>
      <w:spacing w:before="240" w:line="320" w:lineRule="atLeast"/>
      <w:jc w:val="both"/>
    </w:pPr>
    <w:rPr>
      <w:sz w:val="26"/>
    </w:rPr>
  </w:style>
  <w:style w:type="character" w:customStyle="1" w:styleId="BodyTextChar">
    <w:name w:val="Body Text Char"/>
    <w:basedOn w:val="DefaultParagraphFont"/>
    <w:link w:val="BodyText"/>
    <w:rsid w:val="00FC09CE"/>
    <w:rPr>
      <w:sz w:val="26"/>
      <w:lang w:val="en-AU" w:eastAsia="en-AU" w:bidi="ar-SA"/>
    </w:rPr>
  </w:style>
  <w:style w:type="paragraph" w:styleId="Footer">
    <w:name w:val="footer"/>
    <w:basedOn w:val="Normal"/>
    <w:link w:val="FooterChar"/>
    <w:rsid w:val="007579D2"/>
    <w:pPr>
      <w:spacing w:before="80" w:line="200" w:lineRule="exact"/>
      <w:ind w:right="6"/>
    </w:pPr>
    <w:rPr>
      <w:caps/>
      <w:spacing w:val="-4"/>
      <w:sz w:val="16"/>
      <w:szCs w:val="20"/>
    </w:rPr>
  </w:style>
  <w:style w:type="paragraph" w:customStyle="1" w:styleId="FooterEnd">
    <w:name w:val="Footer End"/>
    <w:basedOn w:val="Footer"/>
    <w:rsid w:val="00A17328"/>
    <w:pPr>
      <w:spacing w:before="0" w:line="20" w:lineRule="exact"/>
    </w:pPr>
  </w:style>
  <w:style w:type="paragraph" w:styleId="Header">
    <w:name w:val="header"/>
    <w:basedOn w:val="Normal"/>
    <w:link w:val="HeaderChar"/>
    <w:rsid w:val="007579D2"/>
    <w:pPr>
      <w:tabs>
        <w:tab w:val="center" w:pos="4394"/>
        <w:tab w:val="right" w:pos="8789"/>
      </w:tabs>
      <w:spacing w:line="240" w:lineRule="atLeast"/>
    </w:pPr>
    <w:rPr>
      <w:rFonts w:ascii="Arial" w:hAnsi="Arial"/>
      <w:caps/>
      <w:szCs w:val="20"/>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Normal"/>
    <w:rsid w:val="007579D2"/>
    <w:pPr>
      <w:spacing w:before="120" w:line="320" w:lineRule="atLeast"/>
      <w:ind w:left="2381" w:hanging="2381"/>
    </w:pPr>
    <w:rPr>
      <w:szCs w:val="20"/>
    </w:rPr>
  </w:style>
  <w:style w:type="paragraph" w:customStyle="1" w:styleId="BoxHeading1">
    <w:name w:val="Box Heading 1"/>
    <w:basedOn w:val="Normal"/>
    <w:next w:val="Normal"/>
    <w:rsid w:val="007579D2"/>
    <w:pPr>
      <w:keepNext/>
      <w:spacing w:before="200" w:line="280" w:lineRule="atLeast"/>
      <w:jc w:val="both"/>
    </w:pPr>
    <w:rPr>
      <w:rFonts w:ascii="Arial" w:hAnsi="Arial"/>
      <w:b/>
      <w:sz w:val="22"/>
      <w:szCs w:val="20"/>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Normal"/>
    <w:link w:val="BoxListBulletChar"/>
    <w:rsid w:val="007579D2"/>
    <w:pPr>
      <w:keepNext/>
      <w:spacing w:before="120" w:line="280" w:lineRule="atLeast"/>
      <w:jc w:val="both"/>
    </w:pPr>
    <w:rPr>
      <w:rFonts w:ascii="Arial" w:hAnsi="Arial"/>
      <w:sz w:val="22"/>
      <w:szCs w:val="20"/>
    </w:rPr>
  </w:style>
  <w:style w:type="character" w:customStyle="1" w:styleId="BoxListBulletChar">
    <w:name w:val="Box List Bullet Char"/>
    <w:basedOn w:val="DefaultParagraphFont"/>
    <w:link w:val="BoxListBullet"/>
    <w:rsid w:val="00F71114"/>
    <w:rPr>
      <w:rFonts w:ascii="Arial" w:hAnsi="Arial"/>
      <w:sz w:val="22"/>
    </w:rPr>
  </w:style>
  <w:style w:type="paragraph" w:customStyle="1" w:styleId="BoxListBullet2">
    <w:name w:val="Box List Bullet 2"/>
    <w:basedOn w:val="Normal"/>
    <w:rsid w:val="007579D2"/>
    <w:pPr>
      <w:keepNext/>
      <w:tabs>
        <w:tab w:val="left" w:pos="284"/>
      </w:tabs>
      <w:spacing w:before="60" w:line="280" w:lineRule="atLeast"/>
      <w:jc w:val="both"/>
    </w:pPr>
    <w:rPr>
      <w:rFonts w:ascii="Arial" w:hAnsi="Arial"/>
      <w:sz w:val="22"/>
      <w:szCs w:val="20"/>
    </w:rPr>
  </w:style>
  <w:style w:type="paragraph" w:customStyle="1" w:styleId="BoxListNumber">
    <w:name w:val="Box List Number"/>
    <w:basedOn w:val="Normal"/>
    <w:rsid w:val="007579D2"/>
    <w:pPr>
      <w:keepNext/>
      <w:tabs>
        <w:tab w:val="num" w:pos="284"/>
      </w:tabs>
      <w:spacing w:before="120" w:line="280" w:lineRule="atLeast"/>
      <w:ind w:left="284" w:hanging="284"/>
      <w:jc w:val="both"/>
    </w:pPr>
    <w:rPr>
      <w:rFonts w:ascii="Arial" w:hAnsi="Arial"/>
      <w:sz w:val="22"/>
      <w:szCs w:val="20"/>
    </w:rPr>
  </w:style>
  <w:style w:type="paragraph" w:customStyle="1" w:styleId="BoxListNumber2">
    <w:name w:val="Box List Number 2"/>
    <w:basedOn w:val="BoxListNumber"/>
    <w:rsid w:val="00864ADC"/>
    <w:pPr>
      <w:numPr>
        <w:ilvl w:val="1"/>
      </w:numPr>
      <w:tabs>
        <w:tab w:val="num" w:pos="284"/>
      </w:tabs>
      <w:spacing w:before="60"/>
      <w:ind w:left="284" w:hanging="284"/>
    </w:pPr>
  </w:style>
  <w:style w:type="paragraph" w:customStyle="1" w:styleId="BoxQuote">
    <w:name w:val="Box Quote"/>
    <w:basedOn w:val="Normal"/>
    <w:next w:val="Normal"/>
    <w:rsid w:val="007579D2"/>
    <w:pPr>
      <w:keepNext/>
      <w:spacing w:before="60" w:line="260" w:lineRule="exact"/>
      <w:ind w:left="284"/>
      <w:jc w:val="both"/>
    </w:pPr>
    <w:rPr>
      <w:rFonts w:ascii="Arial" w:hAnsi="Arial"/>
      <w:sz w:val="20"/>
      <w:szCs w:val="20"/>
    </w:rPr>
  </w:style>
  <w:style w:type="paragraph" w:customStyle="1" w:styleId="Note">
    <w:name w:val="Note"/>
    <w:basedOn w:val="Normal"/>
    <w:next w:val="Normal"/>
    <w:link w:val="NoteChar"/>
    <w:rsid w:val="007579D2"/>
    <w:pPr>
      <w:keepLines/>
      <w:spacing w:before="80" w:line="220" w:lineRule="exact"/>
      <w:jc w:val="both"/>
    </w:pPr>
    <w:rPr>
      <w:rFonts w:ascii="Arial" w:hAnsi="Arial"/>
      <w:sz w:val="18"/>
      <w:szCs w:val="20"/>
    </w:rPr>
  </w:style>
  <w:style w:type="character" w:customStyle="1" w:styleId="NoteChar">
    <w:name w:val="Note Char"/>
    <w:basedOn w:val="DefaultParagraphFont"/>
    <w:link w:val="Note"/>
    <w:rsid w:val="004A4038"/>
    <w:rPr>
      <w:rFonts w:ascii="Arial" w:hAnsi="Arial"/>
      <w:sz w:val="18"/>
      <w:lang w:val="en-AU" w:eastAsia="en-AU" w:bidi="ar-SA"/>
    </w:rPr>
  </w:style>
  <w:style w:type="paragraph" w:customStyle="1" w:styleId="Source">
    <w:name w:val="Source"/>
    <w:basedOn w:val="Note"/>
    <w:next w:val="Normal"/>
    <w:rsid w:val="00A17328"/>
    <w:pPr>
      <w:spacing w:after="120"/>
    </w:pPr>
  </w:style>
  <w:style w:type="paragraph" w:customStyle="1" w:styleId="BoxSource">
    <w:name w:val="Box Source"/>
    <w:basedOn w:val="Source"/>
    <w:next w:val="Normal"/>
    <w:rsid w:val="00A17328"/>
    <w:pPr>
      <w:spacing w:before="180" w:after="0"/>
    </w:pPr>
  </w:style>
  <w:style w:type="paragraph" w:customStyle="1" w:styleId="BoxSpace">
    <w:name w:val="Box Space"/>
    <w:basedOn w:val="Normal"/>
    <w:rsid w:val="007579D2"/>
    <w:pPr>
      <w:keepNext/>
      <w:spacing w:before="360" w:line="80" w:lineRule="exact"/>
    </w:pPr>
    <w:rPr>
      <w:szCs w:val="20"/>
    </w:rPr>
  </w:style>
  <w:style w:type="paragraph" w:styleId="Caption">
    <w:name w:val="caption"/>
    <w:basedOn w:val="Normal"/>
    <w:next w:val="Normal"/>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Normal"/>
    <w:semiHidden/>
    <w:rsid w:val="007579D2"/>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Normal"/>
    <w:next w:val="Normal"/>
    <w:rsid w:val="00FC6504"/>
    <w:pPr>
      <w:spacing w:before="180" w:line="220" w:lineRule="exact"/>
      <w:jc w:val="right"/>
    </w:pPr>
    <w:rPr>
      <w:rFonts w:ascii="Arial" w:hAnsi="Arial"/>
      <w:sz w:val="18"/>
      <w:szCs w:val="20"/>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Normal"/>
    <w:rsid w:val="007579D2"/>
    <w:pPr>
      <w:keepNext/>
      <w:spacing w:before="120" w:after="120" w:line="240" w:lineRule="atLeast"/>
      <w:jc w:val="center"/>
    </w:pPr>
    <w:rPr>
      <w:szCs w:val="20"/>
    </w:r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Normal"/>
    <w:rsid w:val="007579D2"/>
    <w:pPr>
      <w:keepLines/>
      <w:spacing w:before="180" w:line="320" w:lineRule="atLeast"/>
      <w:jc w:val="both"/>
    </w:pPr>
    <w:rPr>
      <w:i/>
      <w:szCs w:val="20"/>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Normal"/>
    <w:next w:val="Normal"/>
    <w:rsid w:val="007579D2"/>
    <w:pPr>
      <w:keepNext/>
      <w:framePr w:hSpace="181" w:wrap="notBeside" w:vAnchor="text" w:hAnchor="text" w:xAlign="outside" w:y="1"/>
      <w:spacing w:before="240" w:line="320" w:lineRule="atLeast"/>
      <w:jc w:val="both"/>
    </w:pPr>
    <w:rPr>
      <w:caps/>
      <w:sz w:val="16"/>
      <w:szCs w:val="20"/>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Normal"/>
    <w:link w:val="FootnoteTextChar"/>
    <w:rsid w:val="007579D2"/>
    <w:pPr>
      <w:tabs>
        <w:tab w:val="left" w:pos="284"/>
      </w:tabs>
      <w:spacing w:before="80" w:line="260" w:lineRule="exact"/>
      <w:ind w:left="284" w:hanging="284"/>
      <w:jc w:val="both"/>
    </w:pPr>
    <w:rPr>
      <w:sz w:val="22"/>
      <w:szCs w:val="20"/>
    </w:rPr>
  </w:style>
  <w:style w:type="paragraph" w:customStyle="1" w:styleId="InformationRequest">
    <w:name w:val="Information Request"/>
    <w:basedOn w:val="Finding"/>
    <w:next w:val="Normal"/>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aliases w:val="List Bullet1"/>
    <w:basedOn w:val="Normal"/>
    <w:link w:val="ListBulletChar"/>
    <w:rsid w:val="007579D2"/>
    <w:pPr>
      <w:numPr>
        <w:numId w:val="5"/>
      </w:numPr>
      <w:spacing w:before="120" w:line="320" w:lineRule="atLeast"/>
      <w:jc w:val="both"/>
    </w:pPr>
    <w:rPr>
      <w:szCs w:val="20"/>
    </w:rPr>
  </w:style>
  <w:style w:type="character" w:customStyle="1" w:styleId="ListBulletChar">
    <w:name w:val="List Bullet Char"/>
    <w:aliases w:val="List Bullet1 Char"/>
    <w:link w:val="ListBullet"/>
    <w:rsid w:val="0026369A"/>
    <w:rPr>
      <w:sz w:val="26"/>
    </w:rPr>
  </w:style>
  <w:style w:type="paragraph" w:styleId="ListBullet2">
    <w:name w:val="List Bullet 2"/>
    <w:basedOn w:val="Normal"/>
    <w:rsid w:val="007579D2"/>
    <w:pPr>
      <w:numPr>
        <w:numId w:val="6"/>
      </w:numPr>
      <w:spacing w:before="120" w:line="320" w:lineRule="atLeast"/>
      <w:jc w:val="both"/>
    </w:pPr>
    <w:rPr>
      <w:szCs w:val="20"/>
    </w:rPr>
  </w:style>
  <w:style w:type="paragraph" w:styleId="ListBullet3">
    <w:name w:val="List Bullet 3"/>
    <w:basedOn w:val="Normal"/>
    <w:rsid w:val="007579D2"/>
    <w:pPr>
      <w:numPr>
        <w:numId w:val="7"/>
      </w:numPr>
      <w:spacing w:before="120" w:line="320" w:lineRule="atLeast"/>
      <w:jc w:val="both"/>
    </w:pPr>
    <w:rPr>
      <w:szCs w:val="20"/>
    </w:rPr>
  </w:style>
  <w:style w:type="paragraph" w:styleId="ListNumber">
    <w:name w:val="List Number"/>
    <w:basedOn w:val="Normal"/>
    <w:rsid w:val="007579D2"/>
    <w:pPr>
      <w:tabs>
        <w:tab w:val="num" w:pos="340"/>
      </w:tabs>
      <w:spacing w:before="120" w:line="320" w:lineRule="atLeast"/>
      <w:ind w:left="340" w:hanging="340"/>
      <w:jc w:val="both"/>
    </w:pPr>
    <w:rPr>
      <w:szCs w:val="20"/>
    </w:rPr>
  </w:style>
  <w:style w:type="paragraph" w:styleId="ListNumber2">
    <w:name w:val="List Number 2"/>
    <w:basedOn w:val="ListNumber"/>
    <w:rsid w:val="00864ADC"/>
    <w:pPr>
      <w:numPr>
        <w:ilvl w:val="1"/>
      </w:numPr>
      <w:tabs>
        <w:tab w:val="num" w:pos="340"/>
      </w:tabs>
      <w:ind w:left="340" w:hanging="340"/>
    </w:pPr>
  </w:style>
  <w:style w:type="paragraph" w:styleId="ListNumber3">
    <w:name w:val="List Number 3"/>
    <w:basedOn w:val="ListNumber2"/>
    <w:rsid w:val="00864ADC"/>
    <w:pPr>
      <w:numPr>
        <w:ilvl w:val="2"/>
      </w:numPr>
      <w:tabs>
        <w:tab w:val="num" w:pos="340"/>
      </w:tabs>
      <w:ind w:left="340" w:hanging="340"/>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Normal"/>
    <w:next w:val="Normal"/>
    <w:semiHidden/>
    <w:rsid w:val="007579D2"/>
    <w:pPr>
      <w:spacing w:line="40" w:lineRule="exact"/>
      <w:jc w:val="right"/>
    </w:pPr>
    <w:rPr>
      <w:smallCaps/>
      <w:sz w:val="16"/>
    </w:rPr>
  </w:style>
  <w:style w:type="paragraph" w:customStyle="1" w:styleId="PartNumber">
    <w:name w:val="Part Number"/>
    <w:basedOn w:val="Normal"/>
    <w:next w:val="Normal"/>
    <w:semiHidden/>
    <w:rsid w:val="007579D2"/>
    <w:pPr>
      <w:spacing w:before="4000" w:line="320" w:lineRule="exact"/>
      <w:ind w:left="6634"/>
      <w:jc w:val="right"/>
    </w:pPr>
    <w:rPr>
      <w:smallCaps/>
      <w:spacing w:val="60"/>
      <w:sz w:val="32"/>
    </w:rPr>
  </w:style>
  <w:style w:type="paragraph" w:customStyle="1" w:styleId="PartTitle">
    <w:name w:val="Part Title"/>
    <w:basedOn w:val="Normal"/>
    <w:semiHidden/>
    <w:rsid w:val="007579D2"/>
    <w:pPr>
      <w:spacing w:before="160" w:after="1360" w:line="520" w:lineRule="exact"/>
      <w:ind w:right="2381"/>
      <w:jc w:val="right"/>
    </w:pPr>
    <w:rPr>
      <w:smallCaps/>
      <w:sz w:val="52"/>
    </w:rPr>
  </w:style>
  <w:style w:type="paragraph" w:styleId="Quote">
    <w:name w:val="Quote"/>
    <w:basedOn w:val="Normal"/>
    <w:next w:val="Normal"/>
    <w:link w:val="QuoteChar"/>
    <w:qFormat/>
    <w:rsid w:val="007579D2"/>
    <w:pPr>
      <w:spacing w:before="120" w:line="280" w:lineRule="exact"/>
      <w:ind w:left="340"/>
      <w:jc w:val="both"/>
    </w:pPr>
    <w:rPr>
      <w:sz w:val="24"/>
      <w:szCs w:val="20"/>
    </w:rPr>
  </w:style>
  <w:style w:type="paragraph" w:customStyle="1" w:styleId="QuoteBullet">
    <w:name w:val="Quote Bullet"/>
    <w:basedOn w:val="Quote"/>
    <w:rsid w:val="00323E09"/>
    <w:pPr>
      <w:numPr>
        <w:numId w:val="8"/>
      </w:numPr>
    </w:pPr>
  </w:style>
  <w:style w:type="paragraph" w:customStyle="1" w:styleId="Rec">
    <w:name w:val="Rec"/>
    <w:basedOn w:val="Normal"/>
    <w:rsid w:val="007579D2"/>
    <w:pPr>
      <w:keepLines/>
      <w:spacing w:before="180" w:line="320" w:lineRule="atLeast"/>
      <w:jc w:val="both"/>
    </w:pPr>
    <w:rPr>
      <w:b/>
      <w:i/>
      <w:szCs w:val="20"/>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Normal"/>
    <w:link w:val="ReferenceChar"/>
    <w:rsid w:val="007579D2"/>
    <w:pPr>
      <w:spacing w:before="120" w:line="320" w:lineRule="atLeast"/>
      <w:ind w:left="340" w:hanging="340"/>
      <w:jc w:val="both"/>
    </w:pPr>
    <w:rPr>
      <w:szCs w:val="20"/>
    </w:rPr>
  </w:style>
  <w:style w:type="character" w:customStyle="1" w:styleId="ReferenceChar">
    <w:name w:val="Reference Char"/>
    <w:basedOn w:val="DefaultParagraphFont"/>
    <w:link w:val="Reference"/>
    <w:rsid w:val="00137034"/>
    <w:rPr>
      <w:sz w:val="26"/>
      <w:lang w:val="en-AU" w:eastAsia="en-AU" w:bidi="ar-SA"/>
    </w:rPr>
  </w:style>
  <w:style w:type="paragraph" w:customStyle="1" w:styleId="SequenceInfo">
    <w:name w:val="Sequence Info"/>
    <w:basedOn w:val="Normal"/>
    <w:semiHidden/>
    <w:rsid w:val="007579D2"/>
    <w:rPr>
      <w:vanish/>
      <w:sz w:val="16"/>
    </w:rPr>
  </w:style>
  <w:style w:type="paragraph" w:customStyle="1" w:styleId="SideNote">
    <w:name w:val="Side Note"/>
    <w:basedOn w:val="Normal"/>
    <w:next w:val="Normal"/>
    <w:semiHidden/>
    <w:rsid w:val="007579D2"/>
    <w:pPr>
      <w:keepNext/>
      <w:keepLines/>
      <w:framePr w:w="2155" w:hSpace="227" w:vSpace="181" w:wrap="around" w:vAnchor="text" w:hAnchor="page" w:xAlign="outside" w:y="1"/>
    </w:pPr>
    <w:rPr>
      <w:i/>
      <w:sz w:val="24"/>
    </w:rPr>
  </w:style>
  <w:style w:type="paragraph" w:customStyle="1" w:styleId="SideNoteBullet">
    <w:name w:val="Side Note Bullet"/>
    <w:basedOn w:val="SideNote"/>
    <w:next w:val="Normal"/>
    <w:semiHidden/>
    <w:rsid w:val="00A17328"/>
    <w:pPr>
      <w:framePr w:wrap="around"/>
      <w:numPr>
        <w:numId w:val="10"/>
      </w:numPr>
      <w:tabs>
        <w:tab w:val="left" w:pos="227"/>
      </w:tabs>
    </w:pPr>
  </w:style>
  <w:style w:type="paragraph" w:customStyle="1" w:styleId="SideNoteGraphic">
    <w:name w:val="Side Note Graphic"/>
    <w:basedOn w:val="SideNote"/>
    <w:next w:val="Normal"/>
    <w:semiHidden/>
    <w:rsid w:val="00A17328"/>
    <w:pPr>
      <w:framePr w:wrap="around"/>
    </w:pPr>
  </w:style>
  <w:style w:type="paragraph" w:customStyle="1" w:styleId="TableBodyText">
    <w:name w:val="Table Body Text"/>
    <w:basedOn w:val="Normal"/>
    <w:link w:val="TableBodyTextChar"/>
    <w:rsid w:val="007579D2"/>
    <w:pPr>
      <w:keepNext/>
      <w:keepLines/>
      <w:spacing w:after="40" w:line="220" w:lineRule="atLeast"/>
      <w:ind w:left="6" w:right="113"/>
      <w:jc w:val="right"/>
    </w:pPr>
    <w:rPr>
      <w:rFonts w:ascii="Arial" w:hAnsi="Arial"/>
      <w:sz w:val="20"/>
      <w:szCs w:val="20"/>
    </w:rPr>
  </w:style>
  <w:style w:type="character" w:customStyle="1" w:styleId="TableBodyTextChar">
    <w:name w:val="Table Body Text Char"/>
    <w:basedOn w:val="DefaultParagraphFont"/>
    <w:link w:val="TableBodyText"/>
    <w:rsid w:val="00F225AF"/>
    <w:rPr>
      <w:rFonts w:ascii="Arial" w:hAnsi="Arial"/>
      <w:sz w:val="26"/>
      <w:lang w:val="en-AU" w:eastAsia="en-AU" w:bidi="ar-SA"/>
    </w:rPr>
  </w:style>
  <w:style w:type="paragraph" w:customStyle="1" w:styleId="TableBullet">
    <w:name w:val="Table Bullet"/>
    <w:basedOn w:val="TableBodyText"/>
    <w:link w:val="TableBulletChar"/>
    <w:rsid w:val="00323E09"/>
    <w:pPr>
      <w:numPr>
        <w:numId w:val="11"/>
      </w:numPr>
      <w:jc w:val="left"/>
    </w:pPr>
  </w:style>
  <w:style w:type="character" w:customStyle="1" w:styleId="TableBulletChar">
    <w:name w:val="Table Bullet Char"/>
    <w:basedOn w:val="TableBodyTextChar"/>
    <w:link w:val="TableBullet"/>
    <w:locked/>
    <w:rsid w:val="00AB7B63"/>
    <w:rPr>
      <w:rFonts w:ascii="Arial" w:hAnsi="Arial"/>
      <w:sz w:val="26"/>
      <w:lang w:val="en-AU" w:eastAsia="en-AU" w:bidi="ar-SA"/>
    </w:rPr>
  </w:style>
  <w:style w:type="paragraph" w:customStyle="1" w:styleId="TableColumnHeading">
    <w:name w:val="Table Column Heading"/>
    <w:basedOn w:val="TableBodyText"/>
    <w:rsid w:val="00A17328"/>
    <w:pPr>
      <w:spacing w:before="80" w:after="80"/>
    </w:pPr>
    <w:rPr>
      <w:i/>
    </w:rPr>
  </w:style>
  <w:style w:type="paragraph" w:styleId="TOC2">
    <w:name w:val="toc 2"/>
    <w:basedOn w:val="Normal"/>
    <w:semiHidden/>
    <w:rsid w:val="007579D2"/>
    <w:pPr>
      <w:tabs>
        <w:tab w:val="right" w:pos="8789"/>
      </w:tabs>
      <w:ind w:left="510" w:right="851" w:hanging="510"/>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Normal"/>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styleId="NormalWeb">
    <w:name w:val="Normal (Web)"/>
    <w:basedOn w:val="Normal"/>
    <w:uiPriority w:val="99"/>
    <w:rsid w:val="00A7408B"/>
    <w:rPr>
      <w:sz w:val="24"/>
    </w:rPr>
  </w:style>
  <w:style w:type="paragraph" w:styleId="BalloonText">
    <w:name w:val="Balloon Text"/>
    <w:basedOn w:val="Normal"/>
    <w:link w:val="BalloonTextChar"/>
    <w:semiHidden/>
    <w:rsid w:val="009B265B"/>
    <w:rPr>
      <w:rFonts w:ascii="Tahoma" w:hAnsi="Tahoma" w:cs="Tahoma"/>
      <w:sz w:val="16"/>
      <w:szCs w:val="16"/>
    </w:rPr>
  </w:style>
  <w:style w:type="table" w:styleId="TableGrid">
    <w:name w:val="Table Grid"/>
    <w:basedOn w:val="TableNormal"/>
    <w:rsid w:val="000A54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A54DF"/>
    <w:rPr>
      <w:color w:val="0000FF"/>
      <w:u w:val="single"/>
    </w:rPr>
  </w:style>
  <w:style w:type="paragraph" w:customStyle="1" w:styleId="DocInfo">
    <w:name w:val="Doc Info"/>
    <w:basedOn w:val="Normal"/>
    <w:next w:val="Normal"/>
    <w:rsid w:val="000A54DF"/>
    <w:pPr>
      <w:jc w:val="center"/>
    </w:pPr>
    <w:rPr>
      <w:rFonts w:ascii="Arial" w:hAnsi="Arial"/>
      <w:sz w:val="14"/>
    </w:rPr>
  </w:style>
  <w:style w:type="paragraph" w:customStyle="1" w:styleId="Heading2NotTOC">
    <w:name w:val="Heading 2 Not TOC"/>
    <w:basedOn w:val="Heading2"/>
    <w:next w:val="Normal"/>
    <w:rsid w:val="000A54DF"/>
    <w:pPr>
      <w:outlineLvl w:val="9"/>
    </w:pPr>
  </w:style>
  <w:style w:type="paragraph" w:customStyle="1" w:styleId="SOC">
    <w:name w:val="SOC"/>
    <w:basedOn w:val="Normal"/>
    <w:rsid w:val="00FC6504"/>
    <w:pPr>
      <w:spacing w:after="140"/>
      <w:jc w:val="both"/>
    </w:pPr>
    <w:rPr>
      <w:rFonts w:ascii="Arial" w:hAnsi="Arial"/>
      <w:sz w:val="24"/>
      <w:szCs w:val="20"/>
    </w:rPr>
  </w:style>
  <w:style w:type="paragraph" w:customStyle="1" w:styleId="Pa7">
    <w:name w:val="Pa7"/>
    <w:basedOn w:val="Normal"/>
    <w:next w:val="Normal"/>
    <w:rsid w:val="000A54DF"/>
    <w:pPr>
      <w:autoSpaceDE w:val="0"/>
      <w:autoSpaceDN w:val="0"/>
      <w:adjustRightInd w:val="0"/>
      <w:spacing w:after="160" w:line="181" w:lineRule="atLeast"/>
    </w:pPr>
    <w:rPr>
      <w:rFonts w:ascii="Frutiger 47LightCn" w:hAnsi="Frutiger 47LightCn"/>
    </w:rPr>
  </w:style>
  <w:style w:type="character" w:styleId="FollowedHyperlink">
    <w:name w:val="FollowedHyperlink"/>
    <w:basedOn w:val="DefaultParagraphFont"/>
    <w:rsid w:val="000A54DF"/>
    <w:rPr>
      <w:color w:val="0000FF"/>
      <w:u w:val="single"/>
    </w:rPr>
  </w:style>
  <w:style w:type="paragraph" w:customStyle="1" w:styleId="Box">
    <w:name w:val="Box"/>
    <w:basedOn w:val="Normal"/>
    <w:link w:val="BoxChar"/>
    <w:rsid w:val="00F225AF"/>
    <w:pPr>
      <w:keepNext/>
      <w:spacing w:before="120" w:line="280" w:lineRule="atLeast"/>
      <w:jc w:val="both"/>
    </w:pPr>
    <w:rPr>
      <w:rFonts w:ascii="Arial" w:hAnsi="Arial"/>
      <w:sz w:val="22"/>
      <w:szCs w:val="20"/>
    </w:rPr>
  </w:style>
  <w:style w:type="character" w:customStyle="1" w:styleId="BoxChar">
    <w:name w:val="Box Char"/>
    <w:basedOn w:val="DefaultParagraphFont"/>
    <w:link w:val="Box"/>
    <w:rsid w:val="00C720A6"/>
    <w:rPr>
      <w:rFonts w:ascii="Arial" w:hAnsi="Arial"/>
      <w:sz w:val="22"/>
      <w:lang w:val="en-AU" w:eastAsia="en-AU" w:bidi="ar-SA"/>
    </w:rPr>
  </w:style>
  <w:style w:type="paragraph" w:styleId="CommentSubject">
    <w:name w:val="annotation subject"/>
    <w:basedOn w:val="CommentText"/>
    <w:next w:val="CommentText"/>
    <w:link w:val="CommentSubjectChar"/>
    <w:semiHidden/>
    <w:rsid w:val="00D85881"/>
    <w:pPr>
      <w:spacing w:before="0" w:line="240" w:lineRule="auto"/>
      <w:ind w:left="0" w:firstLine="0"/>
    </w:pPr>
    <w:rPr>
      <w:b/>
      <w:bCs/>
      <w:szCs w:val="20"/>
    </w:rPr>
  </w:style>
  <w:style w:type="paragraph" w:customStyle="1" w:styleId="Signoff">
    <w:name w:val="Signoff"/>
    <w:basedOn w:val="Normal"/>
    <w:autoRedefine/>
    <w:rsid w:val="00BF34C6"/>
    <w:pPr>
      <w:spacing w:before="480" w:after="1000"/>
    </w:pPr>
    <w:rPr>
      <w:sz w:val="24"/>
      <w:szCs w:val="20"/>
    </w:rPr>
  </w:style>
  <w:style w:type="paragraph" w:styleId="BlockText">
    <w:name w:val="Block Text"/>
    <w:basedOn w:val="Normal"/>
    <w:rsid w:val="0071447F"/>
    <w:pPr>
      <w:spacing w:after="120"/>
      <w:ind w:left="1440" w:right="1440"/>
    </w:pPr>
  </w:style>
  <w:style w:type="paragraph" w:styleId="BodyText2">
    <w:name w:val="Body Text 2"/>
    <w:basedOn w:val="Normal"/>
    <w:link w:val="BodyText2Char"/>
    <w:rsid w:val="0071447F"/>
    <w:pPr>
      <w:spacing w:after="120" w:line="480" w:lineRule="auto"/>
    </w:pPr>
  </w:style>
  <w:style w:type="paragraph" w:styleId="BodyText3">
    <w:name w:val="Body Text 3"/>
    <w:basedOn w:val="Normal"/>
    <w:link w:val="BodyText3Char"/>
    <w:rsid w:val="0071447F"/>
    <w:pPr>
      <w:spacing w:after="120"/>
    </w:pPr>
    <w:rPr>
      <w:sz w:val="16"/>
      <w:szCs w:val="16"/>
    </w:rPr>
  </w:style>
  <w:style w:type="paragraph" w:styleId="BodyTextFirstIndent">
    <w:name w:val="Body Text First Indent"/>
    <w:basedOn w:val="BodyText"/>
    <w:link w:val="BodyTextFirstIndentChar"/>
    <w:rsid w:val="0071447F"/>
    <w:pPr>
      <w:spacing w:before="0" w:after="120" w:line="240" w:lineRule="auto"/>
      <w:ind w:firstLine="210"/>
      <w:jc w:val="left"/>
    </w:pPr>
    <w:rPr>
      <w:szCs w:val="24"/>
    </w:rPr>
  </w:style>
  <w:style w:type="paragraph" w:styleId="BodyTextIndent">
    <w:name w:val="Body Text Indent"/>
    <w:basedOn w:val="Normal"/>
    <w:link w:val="BodyTextIndentChar"/>
    <w:rsid w:val="0071447F"/>
    <w:pPr>
      <w:spacing w:after="120"/>
      <w:ind w:left="283"/>
    </w:pPr>
  </w:style>
  <w:style w:type="paragraph" w:styleId="BodyTextFirstIndent2">
    <w:name w:val="Body Text First Indent 2"/>
    <w:basedOn w:val="BodyTextIndent"/>
    <w:link w:val="BodyTextFirstIndent2Char"/>
    <w:rsid w:val="0071447F"/>
    <w:pPr>
      <w:ind w:firstLine="210"/>
    </w:pPr>
  </w:style>
  <w:style w:type="paragraph" w:styleId="BodyTextIndent2">
    <w:name w:val="Body Text Indent 2"/>
    <w:basedOn w:val="Normal"/>
    <w:link w:val="BodyTextIndent2Char"/>
    <w:rsid w:val="0071447F"/>
    <w:pPr>
      <w:spacing w:after="120" w:line="480" w:lineRule="auto"/>
      <w:ind w:left="283"/>
    </w:pPr>
  </w:style>
  <w:style w:type="paragraph" w:styleId="BodyTextIndent3">
    <w:name w:val="Body Text Indent 3"/>
    <w:basedOn w:val="Normal"/>
    <w:link w:val="BodyTextIndent3Char"/>
    <w:rsid w:val="0071447F"/>
    <w:pPr>
      <w:spacing w:after="120"/>
      <w:ind w:left="283"/>
    </w:pPr>
    <w:rPr>
      <w:sz w:val="16"/>
      <w:szCs w:val="16"/>
    </w:rPr>
  </w:style>
  <w:style w:type="paragraph" w:styleId="Closing">
    <w:name w:val="Closing"/>
    <w:basedOn w:val="Normal"/>
    <w:link w:val="ClosingChar"/>
    <w:rsid w:val="0071447F"/>
    <w:pPr>
      <w:ind w:left="4252"/>
    </w:pPr>
  </w:style>
  <w:style w:type="paragraph" w:styleId="Date">
    <w:name w:val="Date"/>
    <w:basedOn w:val="Normal"/>
    <w:next w:val="Normal"/>
    <w:link w:val="DateChar"/>
    <w:rsid w:val="0071447F"/>
  </w:style>
  <w:style w:type="paragraph" w:styleId="DocumentMap">
    <w:name w:val="Document Map"/>
    <w:basedOn w:val="Normal"/>
    <w:link w:val="DocumentMapChar"/>
    <w:rsid w:val="0071447F"/>
    <w:pPr>
      <w:shd w:val="clear" w:color="auto" w:fill="000080"/>
    </w:pPr>
    <w:rPr>
      <w:rFonts w:ascii="Tahoma" w:hAnsi="Tahoma" w:cs="Tahoma"/>
      <w:sz w:val="20"/>
      <w:szCs w:val="20"/>
    </w:rPr>
  </w:style>
  <w:style w:type="paragraph" w:styleId="E-mailSignature">
    <w:name w:val="E-mail Signature"/>
    <w:basedOn w:val="Normal"/>
    <w:link w:val="E-mailSignatureChar"/>
    <w:rsid w:val="0071447F"/>
  </w:style>
  <w:style w:type="paragraph" w:styleId="EndnoteText">
    <w:name w:val="endnote text"/>
    <w:basedOn w:val="Normal"/>
    <w:link w:val="EndnoteTextChar"/>
    <w:rsid w:val="0071447F"/>
    <w:rPr>
      <w:sz w:val="20"/>
      <w:szCs w:val="20"/>
    </w:rPr>
  </w:style>
  <w:style w:type="paragraph" w:styleId="EnvelopeAddress">
    <w:name w:val="envelope address"/>
    <w:basedOn w:val="Normal"/>
    <w:rsid w:val="0071447F"/>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71447F"/>
    <w:rPr>
      <w:rFonts w:ascii="Arial" w:hAnsi="Arial" w:cs="Arial"/>
      <w:sz w:val="20"/>
      <w:szCs w:val="20"/>
    </w:rPr>
  </w:style>
  <w:style w:type="paragraph" w:styleId="HTMLAddress">
    <w:name w:val="HTML Address"/>
    <w:basedOn w:val="Normal"/>
    <w:link w:val="HTMLAddressChar"/>
    <w:rsid w:val="0071447F"/>
    <w:rPr>
      <w:i/>
      <w:iCs/>
    </w:rPr>
  </w:style>
  <w:style w:type="paragraph" w:styleId="HTMLPreformatted">
    <w:name w:val="HTML Preformatted"/>
    <w:basedOn w:val="Normal"/>
    <w:link w:val="HTMLPreformattedChar"/>
    <w:rsid w:val="0071447F"/>
    <w:rPr>
      <w:rFonts w:ascii="Courier New" w:hAnsi="Courier New" w:cs="Courier New"/>
      <w:sz w:val="20"/>
      <w:szCs w:val="20"/>
    </w:rPr>
  </w:style>
  <w:style w:type="paragraph" w:styleId="Index1">
    <w:name w:val="index 1"/>
    <w:basedOn w:val="Normal"/>
    <w:next w:val="Normal"/>
    <w:autoRedefine/>
    <w:rsid w:val="0071447F"/>
    <w:pPr>
      <w:ind w:left="260" w:hanging="260"/>
    </w:pPr>
  </w:style>
  <w:style w:type="paragraph" w:styleId="Index2">
    <w:name w:val="index 2"/>
    <w:basedOn w:val="Normal"/>
    <w:next w:val="Normal"/>
    <w:autoRedefine/>
    <w:rsid w:val="0071447F"/>
    <w:pPr>
      <w:ind w:left="520" w:hanging="260"/>
    </w:pPr>
  </w:style>
  <w:style w:type="paragraph" w:styleId="Index3">
    <w:name w:val="index 3"/>
    <w:basedOn w:val="Normal"/>
    <w:next w:val="Normal"/>
    <w:autoRedefine/>
    <w:rsid w:val="0071447F"/>
    <w:pPr>
      <w:ind w:left="780" w:hanging="260"/>
    </w:pPr>
  </w:style>
  <w:style w:type="paragraph" w:styleId="Index4">
    <w:name w:val="index 4"/>
    <w:basedOn w:val="Normal"/>
    <w:next w:val="Normal"/>
    <w:autoRedefine/>
    <w:rsid w:val="0071447F"/>
    <w:pPr>
      <w:ind w:left="1040" w:hanging="260"/>
    </w:pPr>
  </w:style>
  <w:style w:type="paragraph" w:styleId="Index5">
    <w:name w:val="index 5"/>
    <w:basedOn w:val="Normal"/>
    <w:next w:val="Normal"/>
    <w:autoRedefine/>
    <w:rsid w:val="0071447F"/>
    <w:pPr>
      <w:ind w:left="1300" w:hanging="260"/>
    </w:pPr>
  </w:style>
  <w:style w:type="paragraph" w:styleId="Index6">
    <w:name w:val="index 6"/>
    <w:basedOn w:val="Normal"/>
    <w:next w:val="Normal"/>
    <w:autoRedefine/>
    <w:rsid w:val="0071447F"/>
    <w:pPr>
      <w:ind w:left="1560" w:hanging="260"/>
    </w:pPr>
  </w:style>
  <w:style w:type="paragraph" w:styleId="Index7">
    <w:name w:val="index 7"/>
    <w:basedOn w:val="Normal"/>
    <w:next w:val="Normal"/>
    <w:autoRedefine/>
    <w:rsid w:val="0071447F"/>
    <w:pPr>
      <w:ind w:left="1820" w:hanging="260"/>
    </w:pPr>
  </w:style>
  <w:style w:type="paragraph" w:styleId="Index8">
    <w:name w:val="index 8"/>
    <w:basedOn w:val="Normal"/>
    <w:next w:val="Normal"/>
    <w:autoRedefine/>
    <w:rsid w:val="0071447F"/>
    <w:pPr>
      <w:ind w:left="2080" w:hanging="260"/>
    </w:pPr>
  </w:style>
  <w:style w:type="paragraph" w:styleId="Index9">
    <w:name w:val="index 9"/>
    <w:basedOn w:val="Normal"/>
    <w:next w:val="Normal"/>
    <w:autoRedefine/>
    <w:rsid w:val="0071447F"/>
    <w:pPr>
      <w:ind w:left="2340" w:hanging="260"/>
    </w:pPr>
  </w:style>
  <w:style w:type="paragraph" w:styleId="IndexHeading">
    <w:name w:val="index heading"/>
    <w:basedOn w:val="Normal"/>
    <w:next w:val="Index1"/>
    <w:rsid w:val="0071447F"/>
    <w:rPr>
      <w:rFonts w:ascii="Arial" w:hAnsi="Arial" w:cs="Arial"/>
      <w:b/>
      <w:bCs/>
    </w:rPr>
  </w:style>
  <w:style w:type="paragraph" w:styleId="List">
    <w:name w:val="List"/>
    <w:basedOn w:val="Normal"/>
    <w:rsid w:val="0071447F"/>
    <w:pPr>
      <w:ind w:left="283" w:hanging="283"/>
    </w:pPr>
  </w:style>
  <w:style w:type="paragraph" w:styleId="List2">
    <w:name w:val="List 2"/>
    <w:basedOn w:val="Normal"/>
    <w:rsid w:val="0071447F"/>
    <w:pPr>
      <w:ind w:left="566" w:hanging="283"/>
    </w:pPr>
  </w:style>
  <w:style w:type="paragraph" w:styleId="List3">
    <w:name w:val="List 3"/>
    <w:basedOn w:val="Normal"/>
    <w:rsid w:val="0071447F"/>
    <w:pPr>
      <w:ind w:left="849" w:hanging="283"/>
    </w:pPr>
  </w:style>
  <w:style w:type="paragraph" w:styleId="List4">
    <w:name w:val="List 4"/>
    <w:basedOn w:val="Normal"/>
    <w:rsid w:val="0071447F"/>
    <w:pPr>
      <w:ind w:left="1132" w:hanging="283"/>
    </w:pPr>
  </w:style>
  <w:style w:type="paragraph" w:styleId="List5">
    <w:name w:val="List 5"/>
    <w:basedOn w:val="Normal"/>
    <w:rsid w:val="0071447F"/>
    <w:pPr>
      <w:ind w:left="1415" w:hanging="283"/>
    </w:pPr>
  </w:style>
  <w:style w:type="paragraph" w:styleId="ListBullet4">
    <w:name w:val="List Bullet 4"/>
    <w:basedOn w:val="Normal"/>
    <w:rsid w:val="0071447F"/>
    <w:pPr>
      <w:numPr>
        <w:numId w:val="17"/>
      </w:numPr>
    </w:pPr>
  </w:style>
  <w:style w:type="paragraph" w:styleId="ListBullet5">
    <w:name w:val="List Bullet 5"/>
    <w:basedOn w:val="Normal"/>
    <w:rsid w:val="0071447F"/>
    <w:pPr>
      <w:numPr>
        <w:numId w:val="18"/>
      </w:numPr>
    </w:pPr>
  </w:style>
  <w:style w:type="paragraph" w:styleId="ListContinue">
    <w:name w:val="List Continue"/>
    <w:basedOn w:val="Normal"/>
    <w:rsid w:val="0071447F"/>
    <w:pPr>
      <w:spacing w:after="120"/>
      <w:ind w:left="283"/>
    </w:pPr>
  </w:style>
  <w:style w:type="paragraph" w:styleId="ListContinue2">
    <w:name w:val="List Continue 2"/>
    <w:basedOn w:val="Normal"/>
    <w:rsid w:val="0071447F"/>
    <w:pPr>
      <w:spacing w:after="120"/>
      <w:ind w:left="566"/>
    </w:pPr>
  </w:style>
  <w:style w:type="paragraph" w:styleId="ListContinue3">
    <w:name w:val="List Continue 3"/>
    <w:basedOn w:val="Normal"/>
    <w:rsid w:val="0071447F"/>
    <w:pPr>
      <w:spacing w:after="120"/>
      <w:ind w:left="849"/>
    </w:pPr>
  </w:style>
  <w:style w:type="paragraph" w:styleId="ListContinue4">
    <w:name w:val="List Continue 4"/>
    <w:basedOn w:val="Normal"/>
    <w:rsid w:val="0071447F"/>
    <w:pPr>
      <w:spacing w:after="120"/>
      <w:ind w:left="1132"/>
    </w:pPr>
  </w:style>
  <w:style w:type="paragraph" w:styleId="ListContinue5">
    <w:name w:val="List Continue 5"/>
    <w:basedOn w:val="Normal"/>
    <w:rsid w:val="0071447F"/>
    <w:pPr>
      <w:spacing w:after="120"/>
      <w:ind w:left="1415"/>
    </w:pPr>
  </w:style>
  <w:style w:type="paragraph" w:styleId="ListNumber4">
    <w:name w:val="List Number 4"/>
    <w:basedOn w:val="Normal"/>
    <w:rsid w:val="0071447F"/>
    <w:pPr>
      <w:numPr>
        <w:numId w:val="19"/>
      </w:numPr>
    </w:pPr>
  </w:style>
  <w:style w:type="paragraph" w:styleId="ListNumber5">
    <w:name w:val="List Number 5"/>
    <w:basedOn w:val="Normal"/>
    <w:rsid w:val="0071447F"/>
    <w:pPr>
      <w:numPr>
        <w:numId w:val="20"/>
      </w:numPr>
    </w:pPr>
  </w:style>
  <w:style w:type="paragraph" w:styleId="MacroText">
    <w:name w:val="macro"/>
    <w:link w:val="MacroTextChar"/>
    <w:rsid w:val="0071447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
    <w:rsid w:val="0071447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Indent">
    <w:name w:val="Normal Indent"/>
    <w:basedOn w:val="Normal"/>
    <w:rsid w:val="0071447F"/>
    <w:pPr>
      <w:ind w:left="720"/>
    </w:pPr>
  </w:style>
  <w:style w:type="paragraph" w:styleId="NoteHeading">
    <w:name w:val="Note Heading"/>
    <w:basedOn w:val="Normal"/>
    <w:next w:val="Normal"/>
    <w:link w:val="NoteHeadingChar"/>
    <w:rsid w:val="0071447F"/>
  </w:style>
  <w:style w:type="character" w:customStyle="1" w:styleId="NoteHeadingChar">
    <w:name w:val="Note Heading Char"/>
    <w:basedOn w:val="DefaultParagraphFont"/>
    <w:link w:val="NoteHeading"/>
    <w:rsid w:val="00F15CF0"/>
    <w:rPr>
      <w:sz w:val="26"/>
      <w:szCs w:val="24"/>
      <w:lang w:val="en-AU" w:eastAsia="en-AU" w:bidi="ar-SA"/>
    </w:rPr>
  </w:style>
  <w:style w:type="paragraph" w:styleId="PlainText">
    <w:name w:val="Plain Text"/>
    <w:basedOn w:val="Normal"/>
    <w:link w:val="PlainTextChar"/>
    <w:rsid w:val="0071447F"/>
    <w:rPr>
      <w:rFonts w:ascii="Courier New" w:hAnsi="Courier New" w:cs="Courier New"/>
      <w:sz w:val="20"/>
      <w:szCs w:val="20"/>
    </w:rPr>
  </w:style>
  <w:style w:type="paragraph" w:styleId="Salutation">
    <w:name w:val="Salutation"/>
    <w:basedOn w:val="Normal"/>
    <w:next w:val="Normal"/>
    <w:link w:val="SalutationChar"/>
    <w:rsid w:val="0071447F"/>
  </w:style>
  <w:style w:type="paragraph" w:styleId="Signature">
    <w:name w:val="Signature"/>
    <w:basedOn w:val="Normal"/>
    <w:link w:val="SignatureChar"/>
    <w:rsid w:val="0071447F"/>
    <w:pPr>
      <w:ind w:left="4252"/>
    </w:pPr>
  </w:style>
  <w:style w:type="paragraph" w:styleId="TableofAuthorities">
    <w:name w:val="table of authorities"/>
    <w:basedOn w:val="Normal"/>
    <w:next w:val="Normal"/>
    <w:rsid w:val="0071447F"/>
    <w:pPr>
      <w:ind w:left="260" w:hanging="260"/>
    </w:pPr>
  </w:style>
  <w:style w:type="paragraph" w:styleId="Title">
    <w:name w:val="Title"/>
    <w:basedOn w:val="Normal"/>
    <w:link w:val="TitleChar"/>
    <w:qFormat/>
    <w:rsid w:val="0071447F"/>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71447F"/>
    <w:pPr>
      <w:spacing w:before="120"/>
    </w:pPr>
    <w:rPr>
      <w:rFonts w:ascii="Arial" w:hAnsi="Arial" w:cs="Arial"/>
      <w:b/>
      <w:bCs/>
      <w:sz w:val="24"/>
    </w:rPr>
  </w:style>
  <w:style w:type="paragraph" w:styleId="TOC5">
    <w:name w:val="toc 5"/>
    <w:basedOn w:val="Normal"/>
    <w:next w:val="Normal"/>
    <w:autoRedefine/>
    <w:rsid w:val="0071447F"/>
    <w:pPr>
      <w:ind w:left="1040"/>
    </w:pPr>
  </w:style>
  <w:style w:type="paragraph" w:styleId="TOC6">
    <w:name w:val="toc 6"/>
    <w:basedOn w:val="Normal"/>
    <w:next w:val="Normal"/>
    <w:autoRedefine/>
    <w:rsid w:val="0071447F"/>
    <w:pPr>
      <w:ind w:left="1300"/>
    </w:pPr>
  </w:style>
  <w:style w:type="paragraph" w:styleId="TOC7">
    <w:name w:val="toc 7"/>
    <w:basedOn w:val="Normal"/>
    <w:next w:val="Normal"/>
    <w:autoRedefine/>
    <w:rsid w:val="0071447F"/>
    <w:pPr>
      <w:ind w:left="1560"/>
    </w:pPr>
  </w:style>
  <w:style w:type="paragraph" w:styleId="TOC8">
    <w:name w:val="toc 8"/>
    <w:basedOn w:val="Normal"/>
    <w:next w:val="Normal"/>
    <w:autoRedefine/>
    <w:rsid w:val="0071447F"/>
    <w:pPr>
      <w:ind w:left="1820"/>
    </w:pPr>
  </w:style>
  <w:style w:type="paragraph" w:styleId="TOC9">
    <w:name w:val="toc 9"/>
    <w:basedOn w:val="Normal"/>
    <w:next w:val="Normal"/>
    <w:autoRedefine/>
    <w:rsid w:val="0071447F"/>
    <w:pPr>
      <w:ind w:left="2080"/>
    </w:pPr>
  </w:style>
  <w:style w:type="paragraph" w:customStyle="1" w:styleId="Default">
    <w:name w:val="Default"/>
    <w:rsid w:val="00C64E15"/>
    <w:pPr>
      <w:autoSpaceDE w:val="0"/>
      <w:autoSpaceDN w:val="0"/>
      <w:adjustRightInd w:val="0"/>
    </w:pPr>
    <w:rPr>
      <w:rFonts w:ascii="Arial" w:hAnsi="Arial" w:cs="Arial"/>
      <w:color w:val="000000"/>
      <w:sz w:val="24"/>
      <w:szCs w:val="24"/>
      <w:lang w:eastAsia="en-US"/>
    </w:rPr>
  </w:style>
  <w:style w:type="character" w:customStyle="1" w:styleId="apple-style-span">
    <w:name w:val="apple-style-span"/>
    <w:basedOn w:val="DefaultParagraphFont"/>
    <w:rsid w:val="001D6C46"/>
    <w:rPr>
      <w:rFonts w:cs="Times New Roman"/>
    </w:rPr>
  </w:style>
  <w:style w:type="character" w:customStyle="1" w:styleId="apple-converted-space">
    <w:name w:val="apple-converted-space"/>
    <w:basedOn w:val="DefaultParagraphFont"/>
    <w:rsid w:val="001D6C46"/>
    <w:rPr>
      <w:rFonts w:cs="Times New Roman"/>
    </w:rPr>
  </w:style>
  <w:style w:type="character" w:customStyle="1" w:styleId="Heading1Char">
    <w:name w:val="Heading 1 Char"/>
    <w:basedOn w:val="DefaultParagraphFont"/>
    <w:link w:val="Heading1"/>
    <w:rsid w:val="00D11E31"/>
    <w:rPr>
      <w:sz w:val="52"/>
    </w:rPr>
  </w:style>
  <w:style w:type="character" w:customStyle="1" w:styleId="Heading2Char">
    <w:name w:val="Heading 2 Char"/>
    <w:basedOn w:val="DefaultParagraphFont"/>
    <w:link w:val="Heading2"/>
    <w:rsid w:val="00D11E31"/>
    <w:rPr>
      <w:rFonts w:ascii="Arial" w:hAnsi="Arial"/>
      <w:b/>
      <w:sz w:val="32"/>
    </w:rPr>
  </w:style>
  <w:style w:type="character" w:customStyle="1" w:styleId="Heading4Char">
    <w:name w:val="Heading 4 Char"/>
    <w:basedOn w:val="DefaultParagraphFont"/>
    <w:link w:val="Heading4"/>
    <w:rsid w:val="00D11E31"/>
    <w:rPr>
      <w:rFonts w:ascii="Arial" w:hAnsi="Arial"/>
      <w:i/>
      <w:sz w:val="24"/>
    </w:rPr>
  </w:style>
  <w:style w:type="character" w:customStyle="1" w:styleId="Heading5Char">
    <w:name w:val="Heading 5 Char"/>
    <w:basedOn w:val="DefaultParagraphFont"/>
    <w:link w:val="Heading5"/>
    <w:rsid w:val="00D11E31"/>
    <w:rPr>
      <w:i/>
      <w:sz w:val="26"/>
    </w:rPr>
  </w:style>
  <w:style w:type="character" w:customStyle="1" w:styleId="Heading6Char">
    <w:name w:val="Heading 6 Char"/>
    <w:basedOn w:val="DefaultParagraphFont"/>
    <w:link w:val="Heading6"/>
    <w:rsid w:val="00D11E31"/>
    <w:rPr>
      <w:i/>
      <w:sz w:val="22"/>
      <w:szCs w:val="24"/>
    </w:rPr>
  </w:style>
  <w:style w:type="character" w:customStyle="1" w:styleId="Heading7Char">
    <w:name w:val="Heading 7 Char"/>
    <w:basedOn w:val="DefaultParagraphFont"/>
    <w:link w:val="Heading7"/>
    <w:rsid w:val="00D11E31"/>
    <w:rPr>
      <w:rFonts w:ascii="Arial" w:hAnsi="Arial"/>
      <w:szCs w:val="24"/>
    </w:rPr>
  </w:style>
  <w:style w:type="character" w:customStyle="1" w:styleId="Heading8Char">
    <w:name w:val="Heading 8 Char"/>
    <w:basedOn w:val="DefaultParagraphFont"/>
    <w:link w:val="Heading8"/>
    <w:rsid w:val="00D11E31"/>
    <w:rPr>
      <w:rFonts w:ascii="Arial" w:hAnsi="Arial"/>
      <w:i/>
      <w:szCs w:val="24"/>
    </w:rPr>
  </w:style>
  <w:style w:type="character" w:customStyle="1" w:styleId="Heading9Char">
    <w:name w:val="Heading 9 Char"/>
    <w:basedOn w:val="DefaultParagraphFont"/>
    <w:link w:val="Heading9"/>
    <w:rsid w:val="00D11E31"/>
    <w:rPr>
      <w:rFonts w:ascii="Arial" w:hAnsi="Arial"/>
      <w:b/>
      <w:i/>
      <w:sz w:val="18"/>
      <w:szCs w:val="24"/>
    </w:rPr>
  </w:style>
  <w:style w:type="character" w:customStyle="1" w:styleId="BalloonTextChar">
    <w:name w:val="Balloon Text Char"/>
    <w:basedOn w:val="DefaultParagraphFont"/>
    <w:link w:val="BalloonText"/>
    <w:semiHidden/>
    <w:rsid w:val="00D11E31"/>
    <w:rPr>
      <w:rFonts w:ascii="Tahoma" w:hAnsi="Tahoma" w:cs="Tahoma"/>
      <w:sz w:val="16"/>
      <w:szCs w:val="16"/>
    </w:rPr>
  </w:style>
  <w:style w:type="character" w:customStyle="1" w:styleId="HeaderChar">
    <w:name w:val="Header Char"/>
    <w:basedOn w:val="DefaultParagraphFont"/>
    <w:link w:val="Header"/>
    <w:rsid w:val="00D11E31"/>
    <w:rPr>
      <w:rFonts w:ascii="Arial" w:hAnsi="Arial"/>
      <w:caps/>
      <w:sz w:val="26"/>
    </w:rPr>
  </w:style>
  <w:style w:type="character" w:customStyle="1" w:styleId="FooterChar">
    <w:name w:val="Footer Char"/>
    <w:basedOn w:val="DefaultParagraphFont"/>
    <w:link w:val="Footer"/>
    <w:rsid w:val="00D11E31"/>
    <w:rPr>
      <w:caps/>
      <w:spacing w:val="-4"/>
      <w:sz w:val="16"/>
    </w:rPr>
  </w:style>
  <w:style w:type="character" w:customStyle="1" w:styleId="FootnoteTextChar">
    <w:name w:val="Footnote Text Char"/>
    <w:basedOn w:val="DefaultParagraphFont"/>
    <w:link w:val="FootnoteText"/>
    <w:rsid w:val="00D11E31"/>
    <w:rPr>
      <w:sz w:val="22"/>
    </w:rPr>
  </w:style>
  <w:style w:type="paragraph" w:customStyle="1" w:styleId="BoxContinued">
    <w:name w:val="Box Continued"/>
    <w:basedOn w:val="BodyText"/>
    <w:next w:val="BodyText"/>
    <w:semiHidden/>
    <w:rsid w:val="00D11E31"/>
    <w:pPr>
      <w:spacing w:before="180" w:line="220" w:lineRule="exact"/>
      <w:jc w:val="right"/>
    </w:pPr>
    <w:rPr>
      <w:rFonts w:ascii="Arial" w:hAnsi="Arial"/>
      <w:sz w:val="18"/>
    </w:rPr>
  </w:style>
  <w:style w:type="character" w:customStyle="1" w:styleId="QuoteChar">
    <w:name w:val="Quote Char"/>
    <w:basedOn w:val="DefaultParagraphFont"/>
    <w:link w:val="Quote"/>
    <w:rsid w:val="00D11E31"/>
    <w:rPr>
      <w:sz w:val="24"/>
    </w:rPr>
  </w:style>
  <w:style w:type="paragraph" w:customStyle="1" w:styleId="Action">
    <w:name w:val="Action"/>
    <w:basedOn w:val="Normal"/>
    <w:rsid w:val="00D11E31"/>
    <w:pPr>
      <w:tabs>
        <w:tab w:val="num" w:pos="284"/>
        <w:tab w:val="num" w:pos="425"/>
      </w:tabs>
      <w:spacing w:before="120"/>
      <w:ind w:left="425" w:hanging="425"/>
      <w:jc w:val="both"/>
    </w:pPr>
    <w:rPr>
      <w:rFonts w:ascii="Arial" w:hAnsi="Arial"/>
      <w:b/>
      <w:sz w:val="20"/>
    </w:rPr>
  </w:style>
  <w:style w:type="paragraph" w:customStyle="1" w:styleId="SAG">
    <w:name w:val="SAG"/>
    <w:basedOn w:val="Normal"/>
    <w:rsid w:val="00D11E31"/>
    <w:pPr>
      <w:keepNext/>
      <w:spacing w:before="140"/>
    </w:pPr>
    <w:rPr>
      <w:rFonts w:ascii="Arial" w:hAnsi="Arial"/>
      <w:b/>
      <w:smallCaps/>
      <w:sz w:val="20"/>
    </w:rPr>
  </w:style>
  <w:style w:type="paragraph" w:customStyle="1" w:styleId="Actionitem">
    <w:name w:val="Action item"/>
    <w:basedOn w:val="BodyText"/>
    <w:rsid w:val="00D11E31"/>
    <w:pPr>
      <w:spacing w:before="40" w:after="40" w:line="240" w:lineRule="auto"/>
      <w:ind w:left="340"/>
    </w:pPr>
    <w:rPr>
      <w:rFonts w:ascii="Arial" w:hAnsi="Arial"/>
      <w:b/>
      <w:sz w:val="20"/>
    </w:rPr>
  </w:style>
  <w:style w:type="character" w:styleId="Strong">
    <w:name w:val="Strong"/>
    <w:qFormat/>
    <w:rsid w:val="00D11E31"/>
    <w:rPr>
      <w:rFonts w:cs="Times New Roman"/>
      <w:b/>
      <w:bCs/>
    </w:rPr>
  </w:style>
  <w:style w:type="table" w:styleId="TableList4">
    <w:name w:val="Table List 4"/>
    <w:basedOn w:val="TableNormal"/>
    <w:rsid w:val="00D11E3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ingleParagraph">
    <w:name w:val="Single Paragraph"/>
    <w:basedOn w:val="Normal"/>
    <w:rsid w:val="00D11E31"/>
  </w:style>
  <w:style w:type="character" w:customStyle="1" w:styleId="CommentTextChar">
    <w:name w:val="Comment Text Char"/>
    <w:basedOn w:val="DefaultParagraphFont"/>
    <w:link w:val="CommentText"/>
    <w:semiHidden/>
    <w:rsid w:val="00D11E31"/>
    <w:rPr>
      <w:szCs w:val="24"/>
    </w:rPr>
  </w:style>
  <w:style w:type="character" w:customStyle="1" w:styleId="CommentSubjectChar">
    <w:name w:val="Comment Subject Char"/>
    <w:basedOn w:val="CommentTextChar"/>
    <w:link w:val="CommentSubject"/>
    <w:semiHidden/>
    <w:rsid w:val="00D11E31"/>
    <w:rPr>
      <w:b/>
      <w:bCs/>
      <w:szCs w:val="24"/>
    </w:rPr>
  </w:style>
  <w:style w:type="character" w:customStyle="1" w:styleId="SubtitleChar">
    <w:name w:val="Subtitle Char"/>
    <w:basedOn w:val="DefaultParagraphFont"/>
    <w:link w:val="Subtitle"/>
    <w:rsid w:val="00D11E31"/>
    <w:rPr>
      <w:rFonts w:ascii="Arial" w:hAnsi="Arial"/>
      <w:szCs w:val="24"/>
    </w:rPr>
  </w:style>
  <w:style w:type="character" w:customStyle="1" w:styleId="BodyText2Char">
    <w:name w:val="Body Text 2 Char"/>
    <w:basedOn w:val="DefaultParagraphFont"/>
    <w:link w:val="BodyText2"/>
    <w:rsid w:val="00D11E31"/>
    <w:rPr>
      <w:sz w:val="26"/>
      <w:szCs w:val="24"/>
    </w:rPr>
  </w:style>
  <w:style w:type="character" w:customStyle="1" w:styleId="BodyText3Char">
    <w:name w:val="Body Text 3 Char"/>
    <w:basedOn w:val="DefaultParagraphFont"/>
    <w:link w:val="BodyText3"/>
    <w:rsid w:val="00D11E31"/>
    <w:rPr>
      <w:sz w:val="16"/>
      <w:szCs w:val="16"/>
    </w:rPr>
  </w:style>
  <w:style w:type="character" w:customStyle="1" w:styleId="BodyTextFirstIndentChar">
    <w:name w:val="Body Text First Indent Char"/>
    <w:basedOn w:val="BodyTextChar"/>
    <w:link w:val="BodyTextFirstIndent"/>
    <w:rsid w:val="00D11E31"/>
    <w:rPr>
      <w:sz w:val="26"/>
      <w:szCs w:val="24"/>
      <w:lang w:val="en-AU" w:eastAsia="en-AU" w:bidi="ar-SA"/>
    </w:rPr>
  </w:style>
  <w:style w:type="character" w:customStyle="1" w:styleId="BodyTextIndentChar">
    <w:name w:val="Body Text Indent Char"/>
    <w:basedOn w:val="DefaultParagraphFont"/>
    <w:link w:val="BodyTextIndent"/>
    <w:rsid w:val="00D11E31"/>
    <w:rPr>
      <w:sz w:val="26"/>
      <w:szCs w:val="24"/>
    </w:rPr>
  </w:style>
  <w:style w:type="character" w:customStyle="1" w:styleId="BodyTextFirstIndent2Char">
    <w:name w:val="Body Text First Indent 2 Char"/>
    <w:basedOn w:val="BodyTextIndentChar"/>
    <w:link w:val="BodyTextFirstIndent2"/>
    <w:rsid w:val="00D11E31"/>
    <w:rPr>
      <w:sz w:val="26"/>
      <w:szCs w:val="24"/>
    </w:rPr>
  </w:style>
  <w:style w:type="character" w:customStyle="1" w:styleId="BodyTextIndent2Char">
    <w:name w:val="Body Text Indent 2 Char"/>
    <w:basedOn w:val="DefaultParagraphFont"/>
    <w:link w:val="BodyTextIndent2"/>
    <w:rsid w:val="00D11E31"/>
    <w:rPr>
      <w:sz w:val="26"/>
      <w:szCs w:val="24"/>
    </w:rPr>
  </w:style>
  <w:style w:type="character" w:customStyle="1" w:styleId="BodyTextIndent3Char">
    <w:name w:val="Body Text Indent 3 Char"/>
    <w:basedOn w:val="DefaultParagraphFont"/>
    <w:link w:val="BodyTextIndent3"/>
    <w:rsid w:val="00D11E31"/>
    <w:rPr>
      <w:sz w:val="16"/>
      <w:szCs w:val="16"/>
    </w:rPr>
  </w:style>
  <w:style w:type="character" w:customStyle="1" w:styleId="ClosingChar">
    <w:name w:val="Closing Char"/>
    <w:basedOn w:val="DefaultParagraphFont"/>
    <w:link w:val="Closing"/>
    <w:rsid w:val="00D11E31"/>
    <w:rPr>
      <w:sz w:val="26"/>
      <w:szCs w:val="24"/>
    </w:rPr>
  </w:style>
  <w:style w:type="character" w:customStyle="1" w:styleId="DateChar">
    <w:name w:val="Date Char"/>
    <w:basedOn w:val="DefaultParagraphFont"/>
    <w:link w:val="Date"/>
    <w:rsid w:val="00D11E31"/>
    <w:rPr>
      <w:sz w:val="26"/>
      <w:szCs w:val="24"/>
    </w:rPr>
  </w:style>
  <w:style w:type="character" w:customStyle="1" w:styleId="DocumentMapChar">
    <w:name w:val="Document Map Char"/>
    <w:basedOn w:val="DefaultParagraphFont"/>
    <w:link w:val="DocumentMap"/>
    <w:rsid w:val="00D11E31"/>
    <w:rPr>
      <w:rFonts w:ascii="Tahoma" w:hAnsi="Tahoma" w:cs="Tahoma"/>
      <w:shd w:val="clear" w:color="auto" w:fill="000080"/>
    </w:rPr>
  </w:style>
  <w:style w:type="character" w:customStyle="1" w:styleId="E-mailSignatureChar">
    <w:name w:val="E-mail Signature Char"/>
    <w:basedOn w:val="DefaultParagraphFont"/>
    <w:link w:val="E-mailSignature"/>
    <w:rsid w:val="00D11E31"/>
    <w:rPr>
      <w:sz w:val="26"/>
      <w:szCs w:val="24"/>
    </w:rPr>
  </w:style>
  <w:style w:type="character" w:customStyle="1" w:styleId="EndnoteTextChar">
    <w:name w:val="Endnote Text Char"/>
    <w:basedOn w:val="DefaultParagraphFont"/>
    <w:link w:val="EndnoteText"/>
    <w:rsid w:val="00D11E31"/>
  </w:style>
  <w:style w:type="character" w:customStyle="1" w:styleId="HTMLAddressChar">
    <w:name w:val="HTML Address Char"/>
    <w:basedOn w:val="DefaultParagraphFont"/>
    <w:link w:val="HTMLAddress"/>
    <w:rsid w:val="00D11E31"/>
    <w:rPr>
      <w:i/>
      <w:iCs/>
      <w:sz w:val="26"/>
      <w:szCs w:val="24"/>
    </w:rPr>
  </w:style>
  <w:style w:type="character" w:customStyle="1" w:styleId="HTMLPreformattedChar">
    <w:name w:val="HTML Preformatted Char"/>
    <w:basedOn w:val="DefaultParagraphFont"/>
    <w:link w:val="HTMLPreformatted"/>
    <w:rsid w:val="00D11E31"/>
    <w:rPr>
      <w:rFonts w:ascii="Courier New" w:hAnsi="Courier New" w:cs="Courier New"/>
    </w:rPr>
  </w:style>
  <w:style w:type="character" w:customStyle="1" w:styleId="MacroTextChar">
    <w:name w:val="Macro Text Char"/>
    <w:basedOn w:val="DefaultParagraphFont"/>
    <w:link w:val="MacroText"/>
    <w:rsid w:val="00D11E31"/>
    <w:rPr>
      <w:rFonts w:ascii="Courier New" w:hAnsi="Courier New" w:cs="Courier New"/>
    </w:rPr>
  </w:style>
  <w:style w:type="character" w:customStyle="1" w:styleId="MessageHeaderChar">
    <w:name w:val="Message Header Char"/>
    <w:basedOn w:val="DefaultParagraphFont"/>
    <w:link w:val="MessageHeader"/>
    <w:rsid w:val="00D11E31"/>
    <w:rPr>
      <w:rFonts w:ascii="Arial" w:hAnsi="Arial" w:cs="Arial"/>
      <w:sz w:val="24"/>
      <w:szCs w:val="24"/>
      <w:shd w:val="pct20" w:color="auto" w:fill="auto"/>
    </w:rPr>
  </w:style>
  <w:style w:type="character" w:customStyle="1" w:styleId="PlainTextChar">
    <w:name w:val="Plain Text Char"/>
    <w:basedOn w:val="DefaultParagraphFont"/>
    <w:link w:val="PlainText"/>
    <w:rsid w:val="00D11E31"/>
    <w:rPr>
      <w:rFonts w:ascii="Courier New" w:hAnsi="Courier New" w:cs="Courier New"/>
    </w:rPr>
  </w:style>
  <w:style w:type="character" w:customStyle="1" w:styleId="SalutationChar">
    <w:name w:val="Salutation Char"/>
    <w:basedOn w:val="DefaultParagraphFont"/>
    <w:link w:val="Salutation"/>
    <w:rsid w:val="00D11E31"/>
    <w:rPr>
      <w:sz w:val="26"/>
      <w:szCs w:val="24"/>
    </w:rPr>
  </w:style>
  <w:style w:type="character" w:customStyle="1" w:styleId="SignatureChar">
    <w:name w:val="Signature Char"/>
    <w:basedOn w:val="DefaultParagraphFont"/>
    <w:link w:val="Signature"/>
    <w:rsid w:val="00D11E31"/>
    <w:rPr>
      <w:sz w:val="26"/>
      <w:szCs w:val="24"/>
    </w:rPr>
  </w:style>
  <w:style w:type="character" w:customStyle="1" w:styleId="TitleChar">
    <w:name w:val="Title Char"/>
    <w:basedOn w:val="DefaultParagraphFont"/>
    <w:link w:val="Title"/>
    <w:rsid w:val="00D11E31"/>
    <w:rPr>
      <w:rFonts w:ascii="Arial" w:hAnsi="Arial" w:cs="Arial"/>
      <w:b/>
      <w:bCs/>
      <w:kern w:val="28"/>
      <w:sz w:val="32"/>
      <w:szCs w:val="32"/>
    </w:rPr>
  </w:style>
  <w:style w:type="character" w:customStyle="1" w:styleId="CharChar8">
    <w:name w:val="Char Char8"/>
    <w:basedOn w:val="DefaultParagraphFont"/>
    <w:locked/>
    <w:rsid w:val="00D11E31"/>
    <w:rPr>
      <w:sz w:val="26"/>
      <w:lang w:val="en-AU" w:eastAsia="en-AU" w:bidi="ar-SA"/>
    </w:rPr>
  </w:style>
  <w:style w:type="paragraph" w:styleId="ListParagraph">
    <w:name w:val="List Paragraph"/>
    <w:basedOn w:val="Normal"/>
    <w:uiPriority w:val="34"/>
    <w:qFormat/>
    <w:rsid w:val="00072721"/>
    <w:pPr>
      <w:ind w:left="720"/>
      <w:contextualSpacing/>
    </w:pPr>
  </w:style>
  <w:style w:type="paragraph" w:styleId="Revision">
    <w:name w:val="Revision"/>
    <w:hidden/>
    <w:uiPriority w:val="99"/>
    <w:semiHidden/>
    <w:rsid w:val="000F31B2"/>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42393">
      <w:bodyDiv w:val="1"/>
      <w:marLeft w:val="0"/>
      <w:marRight w:val="0"/>
      <w:marTop w:val="0"/>
      <w:marBottom w:val="0"/>
      <w:divBdr>
        <w:top w:val="none" w:sz="0" w:space="0" w:color="auto"/>
        <w:left w:val="none" w:sz="0" w:space="0" w:color="auto"/>
        <w:bottom w:val="none" w:sz="0" w:space="0" w:color="auto"/>
        <w:right w:val="none" w:sz="0" w:space="0" w:color="auto"/>
      </w:divBdr>
    </w:div>
    <w:div w:id="316224906">
      <w:bodyDiv w:val="1"/>
      <w:marLeft w:val="0"/>
      <w:marRight w:val="0"/>
      <w:marTop w:val="0"/>
      <w:marBottom w:val="0"/>
      <w:divBdr>
        <w:top w:val="none" w:sz="0" w:space="0" w:color="auto"/>
        <w:left w:val="none" w:sz="0" w:space="0" w:color="auto"/>
        <w:bottom w:val="none" w:sz="0" w:space="0" w:color="auto"/>
        <w:right w:val="none" w:sz="0" w:space="0" w:color="auto"/>
      </w:divBdr>
    </w:div>
    <w:div w:id="366686573">
      <w:bodyDiv w:val="1"/>
      <w:marLeft w:val="0"/>
      <w:marRight w:val="0"/>
      <w:marTop w:val="0"/>
      <w:marBottom w:val="0"/>
      <w:divBdr>
        <w:top w:val="none" w:sz="0" w:space="0" w:color="auto"/>
        <w:left w:val="none" w:sz="0" w:space="0" w:color="auto"/>
        <w:bottom w:val="none" w:sz="0" w:space="0" w:color="auto"/>
        <w:right w:val="none" w:sz="0" w:space="0" w:color="auto"/>
      </w:divBdr>
    </w:div>
    <w:div w:id="392897358">
      <w:bodyDiv w:val="1"/>
      <w:marLeft w:val="0"/>
      <w:marRight w:val="0"/>
      <w:marTop w:val="0"/>
      <w:marBottom w:val="0"/>
      <w:divBdr>
        <w:top w:val="none" w:sz="0" w:space="0" w:color="auto"/>
        <w:left w:val="none" w:sz="0" w:space="0" w:color="auto"/>
        <w:bottom w:val="none" w:sz="0" w:space="0" w:color="auto"/>
        <w:right w:val="none" w:sz="0" w:space="0" w:color="auto"/>
      </w:divBdr>
    </w:div>
    <w:div w:id="519589150">
      <w:bodyDiv w:val="1"/>
      <w:marLeft w:val="0"/>
      <w:marRight w:val="0"/>
      <w:marTop w:val="0"/>
      <w:marBottom w:val="0"/>
      <w:divBdr>
        <w:top w:val="none" w:sz="0" w:space="0" w:color="auto"/>
        <w:left w:val="none" w:sz="0" w:space="0" w:color="auto"/>
        <w:bottom w:val="none" w:sz="0" w:space="0" w:color="auto"/>
        <w:right w:val="none" w:sz="0" w:space="0" w:color="auto"/>
      </w:divBdr>
    </w:div>
    <w:div w:id="542668808">
      <w:bodyDiv w:val="1"/>
      <w:marLeft w:val="0"/>
      <w:marRight w:val="0"/>
      <w:marTop w:val="0"/>
      <w:marBottom w:val="0"/>
      <w:divBdr>
        <w:top w:val="none" w:sz="0" w:space="0" w:color="auto"/>
        <w:left w:val="none" w:sz="0" w:space="0" w:color="auto"/>
        <w:bottom w:val="none" w:sz="0" w:space="0" w:color="auto"/>
        <w:right w:val="none" w:sz="0" w:space="0" w:color="auto"/>
      </w:divBdr>
    </w:div>
    <w:div w:id="657734797">
      <w:bodyDiv w:val="1"/>
      <w:marLeft w:val="0"/>
      <w:marRight w:val="0"/>
      <w:marTop w:val="0"/>
      <w:marBottom w:val="0"/>
      <w:divBdr>
        <w:top w:val="none" w:sz="0" w:space="0" w:color="auto"/>
        <w:left w:val="none" w:sz="0" w:space="0" w:color="auto"/>
        <w:bottom w:val="none" w:sz="0" w:space="0" w:color="auto"/>
        <w:right w:val="none" w:sz="0" w:space="0" w:color="auto"/>
      </w:divBdr>
    </w:div>
    <w:div w:id="719861905">
      <w:bodyDiv w:val="1"/>
      <w:marLeft w:val="0"/>
      <w:marRight w:val="0"/>
      <w:marTop w:val="0"/>
      <w:marBottom w:val="0"/>
      <w:divBdr>
        <w:top w:val="none" w:sz="0" w:space="0" w:color="auto"/>
        <w:left w:val="none" w:sz="0" w:space="0" w:color="auto"/>
        <w:bottom w:val="none" w:sz="0" w:space="0" w:color="auto"/>
        <w:right w:val="none" w:sz="0" w:space="0" w:color="auto"/>
      </w:divBdr>
    </w:div>
    <w:div w:id="756556999">
      <w:bodyDiv w:val="1"/>
      <w:marLeft w:val="0"/>
      <w:marRight w:val="0"/>
      <w:marTop w:val="0"/>
      <w:marBottom w:val="0"/>
      <w:divBdr>
        <w:top w:val="none" w:sz="0" w:space="0" w:color="auto"/>
        <w:left w:val="none" w:sz="0" w:space="0" w:color="auto"/>
        <w:bottom w:val="none" w:sz="0" w:space="0" w:color="auto"/>
        <w:right w:val="none" w:sz="0" w:space="0" w:color="auto"/>
      </w:divBdr>
    </w:div>
    <w:div w:id="765460942">
      <w:bodyDiv w:val="1"/>
      <w:marLeft w:val="0"/>
      <w:marRight w:val="0"/>
      <w:marTop w:val="0"/>
      <w:marBottom w:val="0"/>
      <w:divBdr>
        <w:top w:val="none" w:sz="0" w:space="0" w:color="auto"/>
        <w:left w:val="none" w:sz="0" w:space="0" w:color="auto"/>
        <w:bottom w:val="none" w:sz="0" w:space="0" w:color="auto"/>
        <w:right w:val="none" w:sz="0" w:space="0" w:color="auto"/>
      </w:divBdr>
    </w:div>
    <w:div w:id="819688991">
      <w:bodyDiv w:val="1"/>
      <w:marLeft w:val="0"/>
      <w:marRight w:val="0"/>
      <w:marTop w:val="0"/>
      <w:marBottom w:val="0"/>
      <w:divBdr>
        <w:top w:val="none" w:sz="0" w:space="0" w:color="auto"/>
        <w:left w:val="none" w:sz="0" w:space="0" w:color="auto"/>
        <w:bottom w:val="none" w:sz="0" w:space="0" w:color="auto"/>
        <w:right w:val="none" w:sz="0" w:space="0" w:color="auto"/>
      </w:divBdr>
    </w:div>
    <w:div w:id="833187014">
      <w:bodyDiv w:val="1"/>
      <w:marLeft w:val="0"/>
      <w:marRight w:val="0"/>
      <w:marTop w:val="0"/>
      <w:marBottom w:val="0"/>
      <w:divBdr>
        <w:top w:val="none" w:sz="0" w:space="0" w:color="auto"/>
        <w:left w:val="none" w:sz="0" w:space="0" w:color="auto"/>
        <w:bottom w:val="none" w:sz="0" w:space="0" w:color="auto"/>
        <w:right w:val="none" w:sz="0" w:space="0" w:color="auto"/>
      </w:divBdr>
    </w:div>
    <w:div w:id="982857786">
      <w:bodyDiv w:val="1"/>
      <w:marLeft w:val="0"/>
      <w:marRight w:val="0"/>
      <w:marTop w:val="0"/>
      <w:marBottom w:val="0"/>
      <w:divBdr>
        <w:top w:val="none" w:sz="0" w:space="0" w:color="auto"/>
        <w:left w:val="none" w:sz="0" w:space="0" w:color="auto"/>
        <w:bottom w:val="none" w:sz="0" w:space="0" w:color="auto"/>
        <w:right w:val="none" w:sz="0" w:space="0" w:color="auto"/>
      </w:divBdr>
    </w:div>
    <w:div w:id="1086027999">
      <w:bodyDiv w:val="1"/>
      <w:marLeft w:val="0"/>
      <w:marRight w:val="0"/>
      <w:marTop w:val="0"/>
      <w:marBottom w:val="0"/>
      <w:divBdr>
        <w:top w:val="none" w:sz="0" w:space="0" w:color="auto"/>
        <w:left w:val="none" w:sz="0" w:space="0" w:color="auto"/>
        <w:bottom w:val="none" w:sz="0" w:space="0" w:color="auto"/>
        <w:right w:val="none" w:sz="0" w:space="0" w:color="auto"/>
      </w:divBdr>
    </w:div>
    <w:div w:id="1102382584">
      <w:bodyDiv w:val="1"/>
      <w:marLeft w:val="0"/>
      <w:marRight w:val="0"/>
      <w:marTop w:val="0"/>
      <w:marBottom w:val="0"/>
      <w:divBdr>
        <w:top w:val="none" w:sz="0" w:space="0" w:color="auto"/>
        <w:left w:val="none" w:sz="0" w:space="0" w:color="auto"/>
        <w:bottom w:val="none" w:sz="0" w:space="0" w:color="auto"/>
        <w:right w:val="none" w:sz="0" w:space="0" w:color="auto"/>
      </w:divBdr>
    </w:div>
    <w:div w:id="1107194182">
      <w:bodyDiv w:val="1"/>
      <w:marLeft w:val="0"/>
      <w:marRight w:val="0"/>
      <w:marTop w:val="0"/>
      <w:marBottom w:val="0"/>
      <w:divBdr>
        <w:top w:val="none" w:sz="0" w:space="0" w:color="auto"/>
        <w:left w:val="none" w:sz="0" w:space="0" w:color="auto"/>
        <w:bottom w:val="none" w:sz="0" w:space="0" w:color="auto"/>
        <w:right w:val="none" w:sz="0" w:space="0" w:color="auto"/>
      </w:divBdr>
    </w:div>
    <w:div w:id="1209686598">
      <w:bodyDiv w:val="1"/>
      <w:marLeft w:val="0"/>
      <w:marRight w:val="0"/>
      <w:marTop w:val="0"/>
      <w:marBottom w:val="0"/>
      <w:divBdr>
        <w:top w:val="none" w:sz="0" w:space="0" w:color="auto"/>
        <w:left w:val="none" w:sz="0" w:space="0" w:color="auto"/>
        <w:bottom w:val="none" w:sz="0" w:space="0" w:color="auto"/>
        <w:right w:val="none" w:sz="0" w:space="0" w:color="auto"/>
      </w:divBdr>
    </w:div>
    <w:div w:id="1217277220">
      <w:bodyDiv w:val="1"/>
      <w:marLeft w:val="0"/>
      <w:marRight w:val="0"/>
      <w:marTop w:val="0"/>
      <w:marBottom w:val="0"/>
      <w:divBdr>
        <w:top w:val="none" w:sz="0" w:space="0" w:color="auto"/>
        <w:left w:val="none" w:sz="0" w:space="0" w:color="auto"/>
        <w:bottom w:val="none" w:sz="0" w:space="0" w:color="auto"/>
        <w:right w:val="none" w:sz="0" w:space="0" w:color="auto"/>
      </w:divBdr>
    </w:div>
    <w:div w:id="1498375845">
      <w:bodyDiv w:val="1"/>
      <w:marLeft w:val="0"/>
      <w:marRight w:val="0"/>
      <w:marTop w:val="0"/>
      <w:marBottom w:val="0"/>
      <w:divBdr>
        <w:top w:val="none" w:sz="0" w:space="0" w:color="auto"/>
        <w:left w:val="none" w:sz="0" w:space="0" w:color="auto"/>
        <w:bottom w:val="none" w:sz="0" w:space="0" w:color="auto"/>
        <w:right w:val="none" w:sz="0" w:space="0" w:color="auto"/>
      </w:divBdr>
    </w:div>
    <w:div w:id="1560089176">
      <w:bodyDiv w:val="1"/>
      <w:marLeft w:val="0"/>
      <w:marRight w:val="0"/>
      <w:marTop w:val="0"/>
      <w:marBottom w:val="0"/>
      <w:divBdr>
        <w:top w:val="none" w:sz="0" w:space="0" w:color="auto"/>
        <w:left w:val="none" w:sz="0" w:space="0" w:color="auto"/>
        <w:bottom w:val="none" w:sz="0" w:space="0" w:color="auto"/>
        <w:right w:val="none" w:sz="0" w:space="0" w:color="auto"/>
      </w:divBdr>
    </w:div>
    <w:div w:id="1583097571">
      <w:bodyDiv w:val="1"/>
      <w:marLeft w:val="0"/>
      <w:marRight w:val="0"/>
      <w:marTop w:val="0"/>
      <w:marBottom w:val="0"/>
      <w:divBdr>
        <w:top w:val="none" w:sz="0" w:space="0" w:color="auto"/>
        <w:left w:val="none" w:sz="0" w:space="0" w:color="auto"/>
        <w:bottom w:val="none" w:sz="0" w:space="0" w:color="auto"/>
        <w:right w:val="none" w:sz="0" w:space="0" w:color="auto"/>
      </w:divBdr>
    </w:div>
    <w:div w:id="1781098728">
      <w:bodyDiv w:val="1"/>
      <w:marLeft w:val="0"/>
      <w:marRight w:val="0"/>
      <w:marTop w:val="0"/>
      <w:marBottom w:val="0"/>
      <w:divBdr>
        <w:top w:val="none" w:sz="0" w:space="0" w:color="auto"/>
        <w:left w:val="none" w:sz="0" w:space="0" w:color="auto"/>
        <w:bottom w:val="none" w:sz="0" w:space="0" w:color="auto"/>
        <w:right w:val="none" w:sz="0" w:space="0" w:color="auto"/>
      </w:divBdr>
    </w:div>
    <w:div w:id="1929074562">
      <w:bodyDiv w:val="1"/>
      <w:marLeft w:val="0"/>
      <w:marRight w:val="0"/>
      <w:marTop w:val="0"/>
      <w:marBottom w:val="0"/>
      <w:divBdr>
        <w:top w:val="none" w:sz="0" w:space="0" w:color="auto"/>
        <w:left w:val="none" w:sz="0" w:space="0" w:color="auto"/>
        <w:bottom w:val="none" w:sz="0" w:space="0" w:color="auto"/>
        <w:right w:val="none" w:sz="0" w:space="0" w:color="auto"/>
      </w:divBdr>
    </w:div>
    <w:div w:id="1962682219">
      <w:bodyDiv w:val="1"/>
      <w:marLeft w:val="0"/>
      <w:marRight w:val="0"/>
      <w:marTop w:val="0"/>
      <w:marBottom w:val="0"/>
      <w:divBdr>
        <w:top w:val="none" w:sz="0" w:space="0" w:color="auto"/>
        <w:left w:val="none" w:sz="0" w:space="0" w:color="auto"/>
        <w:bottom w:val="none" w:sz="0" w:space="0" w:color="auto"/>
        <w:right w:val="none" w:sz="0" w:space="0" w:color="auto"/>
      </w:divBdr>
    </w:div>
    <w:div w:id="1977950615">
      <w:bodyDiv w:val="1"/>
      <w:marLeft w:val="0"/>
      <w:marRight w:val="0"/>
      <w:marTop w:val="0"/>
      <w:marBottom w:val="0"/>
      <w:divBdr>
        <w:top w:val="none" w:sz="0" w:space="0" w:color="auto"/>
        <w:left w:val="none" w:sz="0" w:space="0" w:color="auto"/>
        <w:bottom w:val="none" w:sz="0" w:space="0" w:color="auto"/>
        <w:right w:val="none" w:sz="0" w:space="0" w:color="auto"/>
      </w:divBdr>
    </w:div>
    <w:div w:id="2043284613">
      <w:bodyDiv w:val="1"/>
      <w:marLeft w:val="0"/>
      <w:marRight w:val="0"/>
      <w:marTop w:val="0"/>
      <w:marBottom w:val="0"/>
      <w:divBdr>
        <w:top w:val="none" w:sz="0" w:space="0" w:color="auto"/>
        <w:left w:val="none" w:sz="0" w:space="0" w:color="auto"/>
        <w:bottom w:val="none" w:sz="0" w:space="0" w:color="auto"/>
        <w:right w:val="none" w:sz="0" w:space="0" w:color="auto"/>
      </w:divBdr>
    </w:div>
    <w:div w:id="211296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C:\Users\jdrysdale\AppData\Local\Microsoft\Windows\Temporary%20Internet%20Files\Content.MSO\D819CC75.xlsx" TargetMode="External"/><Relationship Id="rId21" Type="http://schemas.openxmlformats.org/officeDocument/2006/relationships/hyperlink" Target="file:///C:\Users\jdrysdale\AppData\Local\Microsoft\Windows\Temporary%20Internet%20Files\Content.MSO\D819CC75.xlsx" TargetMode="External"/><Relationship Id="rId42" Type="http://schemas.openxmlformats.org/officeDocument/2006/relationships/hyperlink" Target="file:///C:\Users\jdrysdale\AppData\Local\Microsoft\Windows\Temporary%20Internet%20Files\Content.MSO\D819CC75.xlsx" TargetMode="External"/><Relationship Id="rId63" Type="http://schemas.openxmlformats.org/officeDocument/2006/relationships/hyperlink" Target="file:///C:\Users\jdrysdale\AppData\Local\Microsoft\Windows\Temporary%20Internet%20Files\Content.MSO\D819CC75.xlsx" TargetMode="External"/><Relationship Id="rId84" Type="http://schemas.openxmlformats.org/officeDocument/2006/relationships/hyperlink" Target="file:///C:\Users\jdrysdale\AppData\Local\Microsoft\Windows\Temporary%20Internet%20Files\Content.MSO\D819CC75.xlsx" TargetMode="External"/><Relationship Id="rId138" Type="http://schemas.openxmlformats.org/officeDocument/2006/relationships/hyperlink" Target="file:///C:\Users\jdrysdale\AppData\Local\Microsoft\Windows\Temporary%20Internet%20Files\Content.MSO\D819CC75.xlsx" TargetMode="External"/><Relationship Id="rId159" Type="http://schemas.openxmlformats.org/officeDocument/2006/relationships/footer" Target="footer2.xml"/><Relationship Id="rId170" Type="http://schemas.openxmlformats.org/officeDocument/2006/relationships/hyperlink" Target="http://www.deewr.gov.au/Schooling/Programs/Pages/SchoolsAssistanceAct2008.aspx" TargetMode="External"/><Relationship Id="rId191" Type="http://schemas.openxmlformats.org/officeDocument/2006/relationships/hyperlink" Target="http://www.abs.gov.au" TargetMode="External"/><Relationship Id="rId205" Type="http://schemas.openxmlformats.org/officeDocument/2006/relationships/hyperlink" Target="http://www.abs.gov.au/websitedbs/d3310114.nsf/" TargetMode="External"/><Relationship Id="rId226" Type="http://schemas.openxmlformats.org/officeDocument/2006/relationships/header" Target="header4.xml"/><Relationship Id="rId107" Type="http://schemas.openxmlformats.org/officeDocument/2006/relationships/hyperlink" Target="file:///C:\Users\jdrysdale\AppData\Local\Microsoft\Windows\Temporary%20Internet%20Files\Content.MSO\D819CC75.xlsx" TargetMode="External"/><Relationship Id="rId11" Type="http://schemas.openxmlformats.org/officeDocument/2006/relationships/hyperlink" Target="file:///C:\Users\jdrysdale\AppData\Local\Microsoft\Windows\Temporary%20Internet%20Files\Content.MSO\D819CC75.xlsx" TargetMode="External"/><Relationship Id="rId32" Type="http://schemas.openxmlformats.org/officeDocument/2006/relationships/hyperlink" Target="file:///C:\Users\jdrysdale\AppData\Local\Microsoft\Windows\Temporary%20Internet%20Files\Content.MSO\D819CC75.xlsx" TargetMode="External"/><Relationship Id="rId53" Type="http://schemas.openxmlformats.org/officeDocument/2006/relationships/hyperlink" Target="file:///C:\Users\jdrysdale\AppData\Local\Microsoft\Windows\Temporary%20Internet%20Files\Content.MSO\D819CC75.xlsx" TargetMode="External"/><Relationship Id="rId74" Type="http://schemas.openxmlformats.org/officeDocument/2006/relationships/hyperlink" Target="file:///C:\Users\jdrysdale\AppData\Local\Microsoft\Windows\Temporary%20Internet%20Files\Content.MSO\D819CC75.xlsx" TargetMode="External"/><Relationship Id="rId128" Type="http://schemas.openxmlformats.org/officeDocument/2006/relationships/hyperlink" Target="file:///C:\Users\jdrysdale\AppData\Local\Microsoft\Windows\Temporary%20Internet%20Files\Content.MSO\D819CC75.xlsx" TargetMode="External"/><Relationship Id="rId149" Type="http://schemas.openxmlformats.org/officeDocument/2006/relationships/hyperlink" Target="file:///C:\Users\jdrysdale\AppData\Local\Microsoft\Windows\Temporary%20Internet%20Files\Content.MSO\D819CC75.xlsx" TargetMode="External"/><Relationship Id="rId5" Type="http://schemas.openxmlformats.org/officeDocument/2006/relationships/settings" Target="settings.xml"/><Relationship Id="rId95" Type="http://schemas.openxmlformats.org/officeDocument/2006/relationships/hyperlink" Target="file:///C:\Users\jdrysdale\AppData\Local\Microsoft\Windows\Temporary%20Internet%20Files\Content.MSO\D819CC75.xlsx" TargetMode="External"/><Relationship Id="rId160" Type="http://schemas.openxmlformats.org/officeDocument/2006/relationships/hyperlink" Target="http://www.abs.gov.au/websitedbs/d3310114.nsf/4a256353001af3ed4b2562bb00121564/10ca14cb967e5b83ca2573ae00197b65!OpenDocument" TargetMode="External"/><Relationship Id="rId181" Type="http://schemas.openxmlformats.org/officeDocument/2006/relationships/hyperlink" Target="http://www.abs.gov.au/ausstats/" TargetMode="External"/><Relationship Id="rId216" Type="http://schemas.openxmlformats.org/officeDocument/2006/relationships/hyperlink" Target="file://\\mel_1\groups\Monitor\09%20National%20Agreement%20Report\02%20NAR%20Report%20WIP\2011%20NAR%20Report%20-%20Ed%20and%20training\2011%20NAR%20Second%20Draft\NEA\Australian%20Standard%20Classification%20of%20Education%20(ASCED)%20(http:\www.abs.gov.au\AUSSTATS\ABS@.NSF\0\F501C031BD9AC9C5CA256AAF001FCA33?opendocument%20)%20(cat.%20no.%201272.0)" TargetMode="External"/><Relationship Id="rId22" Type="http://schemas.openxmlformats.org/officeDocument/2006/relationships/hyperlink" Target="file:///C:\Users\jdrysdale\AppData\Local\Microsoft\Windows\Temporary%20Internet%20Files\Content.MSO\D819CC75.xlsx" TargetMode="External"/><Relationship Id="rId27" Type="http://schemas.openxmlformats.org/officeDocument/2006/relationships/hyperlink" Target="file:///C:\Users\jdrysdale\AppData\Local\Microsoft\Windows\Temporary%20Internet%20Files\Content.MSO\D819CC75.xlsx" TargetMode="External"/><Relationship Id="rId43" Type="http://schemas.openxmlformats.org/officeDocument/2006/relationships/hyperlink" Target="file:///C:\Users\jdrysdale\AppData\Local\Microsoft\Windows\Temporary%20Internet%20Files\Content.MSO\D819CC75.xlsx" TargetMode="External"/><Relationship Id="rId48" Type="http://schemas.openxmlformats.org/officeDocument/2006/relationships/hyperlink" Target="file:///C:\Users\jdrysdale\AppData\Local\Microsoft\Windows\Temporary%20Internet%20Files\Content.MSO\D819CC75.xlsx" TargetMode="External"/><Relationship Id="rId64" Type="http://schemas.openxmlformats.org/officeDocument/2006/relationships/hyperlink" Target="file:///C:\Users\jdrysdale\AppData\Local\Microsoft\Windows\Temporary%20Internet%20Files\Content.MSO\D819CC75.xlsx" TargetMode="External"/><Relationship Id="rId69" Type="http://schemas.openxmlformats.org/officeDocument/2006/relationships/hyperlink" Target="file:///C:\Users\jdrysdale\AppData\Local\Microsoft\Windows\Temporary%20Internet%20Files\Content.MSO\D819CC75.xlsx" TargetMode="External"/><Relationship Id="rId113" Type="http://schemas.openxmlformats.org/officeDocument/2006/relationships/hyperlink" Target="file:///C:\Users\jdrysdale\AppData\Local\Microsoft\Windows\Temporary%20Internet%20Files\Content.MSO\D819CC75.xlsx" TargetMode="External"/><Relationship Id="rId118" Type="http://schemas.openxmlformats.org/officeDocument/2006/relationships/hyperlink" Target="file:///C:\Users\jdrysdale\AppData\Local\Microsoft\Windows\Temporary%20Internet%20Files\Content.MSO\D819CC75.xlsx" TargetMode="External"/><Relationship Id="rId134" Type="http://schemas.openxmlformats.org/officeDocument/2006/relationships/hyperlink" Target="file:///C:\Users\jdrysdale\AppData\Local\Microsoft\Windows\Temporary%20Internet%20Files\Content.MSO\D819CC75.xlsx" TargetMode="External"/><Relationship Id="rId139" Type="http://schemas.openxmlformats.org/officeDocument/2006/relationships/hyperlink" Target="file:///C:\Users\jdrysdale\AppData\Local\Microsoft\Windows\Temporary%20Internet%20Files\Content.MSO\D819CC75.xlsx" TargetMode="External"/><Relationship Id="rId80" Type="http://schemas.openxmlformats.org/officeDocument/2006/relationships/hyperlink" Target="file:///C:\Users\jdrysdale\AppData\Local\Microsoft\Windows\Temporary%20Internet%20Files\Content.MSO\D819CC75.xlsx" TargetMode="External"/><Relationship Id="rId85" Type="http://schemas.openxmlformats.org/officeDocument/2006/relationships/hyperlink" Target="file:///C:\Users\jdrysdale\AppData\Local\Microsoft\Windows\Temporary%20Internet%20Files\Content.MSO\D819CC75.xlsx" TargetMode="External"/><Relationship Id="rId150" Type="http://schemas.openxmlformats.org/officeDocument/2006/relationships/hyperlink" Target="file:///C:\Users\jdrysdale\AppData\Local\Microsoft\Windows\Temporary%20Internet%20Files\Content.MSO\D819CC75.xlsx" TargetMode="External"/><Relationship Id="rId155" Type="http://schemas.openxmlformats.org/officeDocument/2006/relationships/hyperlink" Target="file:///C:\Users\jdrysdale\AppData\Local\Microsoft\Windows\Temporary%20Internet%20Files\Content.MSO\D819CC75.xlsx" TargetMode="External"/><Relationship Id="rId171" Type="http://schemas.openxmlformats.org/officeDocument/2006/relationships/hyperlink" Target="http://www.abs.gov.au/websitedbs/censushome.nsf/home/data?opendocument" TargetMode="External"/><Relationship Id="rId176" Type="http://schemas.openxmlformats.org/officeDocument/2006/relationships/hyperlink" Target="file://\\mel_1\groups\Monitor\09%20National%20Agreement%20Report\02%20NAR%20Report%20WIP\2011%20NAR%20Report%20-%20Ed%20and%20training\2011%20NAR%20Second%20Draft\NEA\ABS%20Institutional%20Environment%20%20(http:\www.abs.gov.au\websitedbs\d3310114.nsf\4a256353001af3ed4b2562bb00121564\10ca14cb967e5b83ca2573ae00197b65!OpenDocument)." TargetMode="External"/><Relationship Id="rId192" Type="http://schemas.openxmlformats.org/officeDocument/2006/relationships/hyperlink" Target="file://\\mel_1\groups\Monitor\09%20National%20Agreement%20Report\02%20NAR%20Report%20WIP\2011%20NAR%20Report%20-%20Ed%20and%20training\2011%20NAR%20Second%20Draft\NEA\Education%20and%20Work,%20Australia%20(http:\www.abs.gov.au\AUSSTATS\abs@.nsf\ProductsbyCatalogue\556A439CD3D7E8A8CA257242007B3F32?OpenDocument)%20(cat.%20no.%206227.0)" TargetMode="External"/><Relationship Id="rId197" Type="http://schemas.openxmlformats.org/officeDocument/2006/relationships/hyperlink" Target="file://\\mel_1\groups\Monitor\09%20National%20Agreement%20Report\02%20NAR%20Report%20WIP\2011%20NAR%20Report%20-%20Ed%20and%20training\2011%20NAR%20Second%20Draft\NEA\Australian%20Standard%20Classification%20of%20Education%20(ASCED)%20(http:\www.abs.gov.au\AUSSTATS\ABS@.NSF\0\F501C031BD9AC9C5CA256AAF001FCA33?opendocument)%20(cat.%20no.%201272.0)" TargetMode="External"/><Relationship Id="rId206" Type="http://schemas.openxmlformats.org/officeDocument/2006/relationships/hyperlink" Target="file://\\mel_1\groups\Monitor\09%20National%20Agreement%20Report\02%20NAR%20Report%20WIP\2011%20NAR%20Report%20-%20Ed%20and%20training\2011%20NAR%20Second%20Draft\NEA\Australian%20Standard%20Classification%20of%20Education%20(ASCED)%20(http:\www.abs.gov.au\AUSSTATS\ABS@.NSF\0\F501C031BD9AC9C5CA256AAF001FCA33?opendocument)%20(cat.%20no.%201272.0)" TargetMode="External"/><Relationship Id="rId227" Type="http://schemas.openxmlformats.org/officeDocument/2006/relationships/footer" Target="footer3.xml"/><Relationship Id="rId201" Type="http://schemas.openxmlformats.org/officeDocument/2006/relationships/hyperlink" Target="file://\\mel_1\groups\Monitor\09%20National%20Agreement%20Report\02%20NAR%20Report%20WIP\2011%20NAR%20Report%20-%20Ed%20and%20training\2011%20NAR%20Second%20Draft\NEA\Education%20and%20Work,%20Australia%20(http:\www.abs.gov.au\AUSSTATS\abs@.nsf\ProductsbyCatalogue\556A439CD3D7E8A8CA257242007B3F32?OpenDocument)%20(cat.%20no.%206227.0)" TargetMode="External"/><Relationship Id="rId222" Type="http://schemas.openxmlformats.org/officeDocument/2006/relationships/hyperlink" Target="http://www.federalfinancialrelations.gov.au/" TargetMode="External"/><Relationship Id="rId12" Type="http://schemas.openxmlformats.org/officeDocument/2006/relationships/hyperlink" Target="file:///C:\Users\jdrysdale\AppData\Local\Microsoft\Windows\Temporary%20Internet%20Files\Content.MSO\D819CC75.xlsx" TargetMode="External"/><Relationship Id="rId17" Type="http://schemas.openxmlformats.org/officeDocument/2006/relationships/hyperlink" Target="file:///C:\Users\jdrysdale\AppData\Local\Microsoft\Windows\Temporary%20Internet%20Files\Content.MSO\D819CC75.xlsx" TargetMode="External"/><Relationship Id="rId33" Type="http://schemas.openxmlformats.org/officeDocument/2006/relationships/hyperlink" Target="file:///C:\Users\jdrysdale\AppData\Local\Microsoft\Windows\Temporary%20Internet%20Files\Content.MSO\D819CC75.xlsx" TargetMode="External"/><Relationship Id="rId38" Type="http://schemas.openxmlformats.org/officeDocument/2006/relationships/hyperlink" Target="file:///C:\Users\jdrysdale\AppData\Local\Microsoft\Windows\Temporary%20Internet%20Files\Content.MSO\D819CC75.xlsx" TargetMode="External"/><Relationship Id="rId59" Type="http://schemas.openxmlformats.org/officeDocument/2006/relationships/hyperlink" Target="file:///C:\Users\jdrysdale\AppData\Local\Microsoft\Windows\Temporary%20Internet%20Files\Content.MSO\D819CC75.xlsx" TargetMode="External"/><Relationship Id="rId103" Type="http://schemas.openxmlformats.org/officeDocument/2006/relationships/hyperlink" Target="file:///C:\Users\jdrysdale\AppData\Local\Microsoft\Windows\Temporary%20Internet%20Files\Content.MSO\D819CC75.xlsx" TargetMode="External"/><Relationship Id="rId108" Type="http://schemas.openxmlformats.org/officeDocument/2006/relationships/hyperlink" Target="file:///C:\Users\jdrysdale\AppData\Local\Microsoft\Windows\Temporary%20Internet%20Files\Content.MSO\D819CC75.xlsx" TargetMode="External"/><Relationship Id="rId124" Type="http://schemas.openxmlformats.org/officeDocument/2006/relationships/hyperlink" Target="file:///C:\Users\jdrysdale\AppData\Local\Microsoft\Windows\Temporary%20Internet%20Files\Content.MSO\D819CC75.xlsx" TargetMode="External"/><Relationship Id="rId129" Type="http://schemas.openxmlformats.org/officeDocument/2006/relationships/hyperlink" Target="file:///C:\Users\jdrysdale\AppData\Local\Microsoft\Windows\Temporary%20Internet%20Files\Content.MSO\D819CC75.xlsx" TargetMode="External"/><Relationship Id="rId54" Type="http://schemas.openxmlformats.org/officeDocument/2006/relationships/hyperlink" Target="file:///C:\Users\jdrysdale\AppData\Local\Microsoft\Windows\Temporary%20Internet%20Files\Content.MSO\D819CC75.xlsx" TargetMode="External"/><Relationship Id="rId70" Type="http://schemas.openxmlformats.org/officeDocument/2006/relationships/hyperlink" Target="file:///C:\Users\jdrysdale\AppData\Local\Microsoft\Windows\Temporary%20Internet%20Files\Content.MSO\D819CC75.xlsx" TargetMode="External"/><Relationship Id="rId75" Type="http://schemas.openxmlformats.org/officeDocument/2006/relationships/hyperlink" Target="file:///C:\Users\jdrysdale\AppData\Local\Microsoft\Windows\Temporary%20Internet%20Files\Content.MSO\D819CC75.xlsx" TargetMode="External"/><Relationship Id="rId91" Type="http://schemas.openxmlformats.org/officeDocument/2006/relationships/hyperlink" Target="file:///C:\Users\jdrysdale\AppData\Local\Microsoft\Windows\Temporary%20Internet%20Files\Content.MSO\D819CC75.xlsx" TargetMode="External"/><Relationship Id="rId96" Type="http://schemas.openxmlformats.org/officeDocument/2006/relationships/hyperlink" Target="file:///C:\Users\jdrysdale\AppData\Local\Microsoft\Windows\Temporary%20Internet%20Files\Content.MSO\D819CC75.xlsx" TargetMode="External"/><Relationship Id="rId140" Type="http://schemas.openxmlformats.org/officeDocument/2006/relationships/hyperlink" Target="file:///C:\Users\jdrysdale\AppData\Local\Microsoft\Windows\Temporary%20Internet%20Files\Content.MSO\D819CC75.xlsx" TargetMode="External"/><Relationship Id="rId145" Type="http://schemas.openxmlformats.org/officeDocument/2006/relationships/hyperlink" Target="file:///C:\Users\jdrysdale\AppData\Local\Microsoft\Windows\Temporary%20Internet%20Files\Content.MSO\D819CC75.xlsx" TargetMode="External"/><Relationship Id="rId161" Type="http://schemas.openxmlformats.org/officeDocument/2006/relationships/hyperlink" Target="file://\\mel_1\groups\Monitor\09%20National%20Agreement%20Report\02%20NAR%20Report%20WIP\2011%20NAR%20Report%20-%20Ed%20and%20training\2011%20NAR%20Second%20Draft\NEA\Australian%20Standard%20Classification%20of%20Education%20(ASCED)%20(cat.%20no.%201272.0)%20(http:\www.abs.gov.au\AUSSTATS\ABS@.NSF\0\F501C031BD9AC9C5CA256AAF001FCA33?opendocument)." TargetMode="External"/><Relationship Id="rId166" Type="http://schemas.openxmlformats.org/officeDocument/2006/relationships/hyperlink" Target="http://www.abs.gov.au" TargetMode="External"/><Relationship Id="rId182" Type="http://schemas.openxmlformats.org/officeDocument/2006/relationships/hyperlink" Target="http://www.abs.gov.au/ausstats/abs@.nsf/mf/4221.0" TargetMode="External"/><Relationship Id="rId187" Type="http://schemas.openxmlformats.org/officeDocument/2006/relationships/hyperlink" Target="file://\\mel_1\groups\Monitor\09%20National%20Agreement%20Report\02%20NAR%20Report%20WIP\2011%20NAR%20Report%20-%20Ed%20and%20training\2011%20NAR%20Second%20Draft\NEA\Australian%20Standard%20Classification%20of%20Education%20(ASCED)%20(http:\www.abs.gov.au\AUSSTATS\abs@.nsf\DetailsPage\1272.02001?OpenDocument%20)%20(cat.%20no.%201272.0)" TargetMode="External"/><Relationship Id="rId217" Type="http://schemas.openxmlformats.org/officeDocument/2006/relationships/hyperlink" Target="file:///\\MEL_1\groups\Monitor\09%20National%20Agreement%20Report\02%20NAR%20Report%20WIP\2011%20NAR%20Report%20-%20Ed%20and%20training\2011%20NAR%20Second%20Draft\NEA\Survey%20of%20Learning%20and%20Work%20(http:\www.abs.gov.au\ausstats\abs@.nsf\mf\4235.0)%20(cat.%20no.%204235.0)"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file://\\mel_1\groups\Monitor\09%20National%20Agreement%20Report\02%20NAR%20Report%20WIP\2011%20NAR%20Report%20-%20Ed%20and%20training\2011%20NAR%20Second%20Draft\NEA\Education%20and%20Work,%20Australia%20(http:\www.abs.gov.au\AUSSTATS\abs@.nsf\ProductsbyCatalogue\556A439CD3D7E8A8CA257242007B3F32?OpenDocument)%20(cat.%20no.%206227.0)" TargetMode="External"/><Relationship Id="rId23" Type="http://schemas.openxmlformats.org/officeDocument/2006/relationships/hyperlink" Target="file:///C:\Users\jdrysdale\AppData\Local\Microsoft\Windows\Temporary%20Internet%20Files\Content.MSO\D819CC75.xlsx" TargetMode="External"/><Relationship Id="rId28" Type="http://schemas.openxmlformats.org/officeDocument/2006/relationships/hyperlink" Target="file:///C:\Users\jdrysdale\AppData\Local\Microsoft\Windows\Temporary%20Internet%20Files\Content.MSO\D819CC75.xlsx" TargetMode="External"/><Relationship Id="rId49" Type="http://schemas.openxmlformats.org/officeDocument/2006/relationships/hyperlink" Target="file:///C:\Users\jdrysdale\AppData\Local\Microsoft\Windows\Temporary%20Internet%20Files\Content.MSO\D819CC75.xlsx" TargetMode="External"/><Relationship Id="rId114" Type="http://schemas.openxmlformats.org/officeDocument/2006/relationships/hyperlink" Target="file:///C:\Users\jdrysdale\AppData\Local\Microsoft\Windows\Temporary%20Internet%20Files\Content.MSO\D819CC75.xlsx" TargetMode="External"/><Relationship Id="rId119" Type="http://schemas.openxmlformats.org/officeDocument/2006/relationships/hyperlink" Target="file:///C:\Users\jdrysdale\AppData\Local\Microsoft\Windows\Temporary%20Internet%20Files\Content.MSO\D819CC75.xlsx" TargetMode="External"/><Relationship Id="rId44" Type="http://schemas.openxmlformats.org/officeDocument/2006/relationships/hyperlink" Target="file:///C:\Users\jdrysdale\AppData\Local\Microsoft\Windows\Temporary%20Internet%20Files\Content.MSO\D819CC75.xlsx" TargetMode="External"/><Relationship Id="rId60" Type="http://schemas.openxmlformats.org/officeDocument/2006/relationships/hyperlink" Target="file:///C:\Users\jdrysdale\AppData\Local\Microsoft\Windows\Temporary%20Internet%20Files\Content.MSO\D819CC75.xlsx" TargetMode="External"/><Relationship Id="rId65" Type="http://schemas.openxmlformats.org/officeDocument/2006/relationships/hyperlink" Target="file:///C:\Users\jdrysdale\AppData\Local\Microsoft\Windows\Temporary%20Internet%20Files\Content.MSO\D819CC75.xlsx" TargetMode="External"/><Relationship Id="rId81" Type="http://schemas.openxmlformats.org/officeDocument/2006/relationships/hyperlink" Target="file:///C:\Users\jdrysdale\AppData\Local\Microsoft\Windows\Temporary%20Internet%20Files\Content.MSO\D819CC75.xlsx" TargetMode="External"/><Relationship Id="rId86" Type="http://schemas.openxmlformats.org/officeDocument/2006/relationships/hyperlink" Target="file:///C:\Users\jdrysdale\AppData\Local\Microsoft\Windows\Temporary%20Internet%20Files\Content.MSO\D819CC75.xlsx" TargetMode="External"/><Relationship Id="rId130" Type="http://schemas.openxmlformats.org/officeDocument/2006/relationships/hyperlink" Target="file:///C:\Users\jdrysdale\AppData\Local\Microsoft\Windows\Temporary%20Internet%20Files\Content.MSO\D819CC75.xlsx" TargetMode="External"/><Relationship Id="rId135" Type="http://schemas.openxmlformats.org/officeDocument/2006/relationships/hyperlink" Target="file:///C:\Users\jdrysdale\AppData\Local\Microsoft\Windows\Temporary%20Internet%20Files\Content.MSO\D819CC75.xlsx" TargetMode="External"/><Relationship Id="rId151" Type="http://schemas.openxmlformats.org/officeDocument/2006/relationships/hyperlink" Target="file:///C:\Users\jdrysdale\AppData\Local\Microsoft\Windows\Temporary%20Internet%20Files\Content.MSO\D819CC75.xlsx" TargetMode="External"/><Relationship Id="rId156" Type="http://schemas.openxmlformats.org/officeDocument/2006/relationships/header" Target="header1.xml"/><Relationship Id="rId177" Type="http://schemas.openxmlformats.org/officeDocument/2006/relationships/hyperlink" Target="http://www.deewr.gov.au/Schooling/Programs/Pages/SchoolsAssistanceAct2008.aspx" TargetMode="External"/><Relationship Id="rId198" Type="http://schemas.openxmlformats.org/officeDocument/2006/relationships/hyperlink" Target="http://www.abs.gov.au/AUSSTATS/abs@.nsf/Lookup/6227.0Explanatory%20Notes1May%202011?OpenDocument" TargetMode="External"/><Relationship Id="rId172" Type="http://schemas.openxmlformats.org/officeDocument/2006/relationships/hyperlink" Target="http://www.abs.gov.au/websitedbs/censushome.nsf/home/data?opendocument" TargetMode="External"/><Relationship Id="rId193" Type="http://schemas.openxmlformats.org/officeDocument/2006/relationships/hyperlink" Target="http://www.abs.gov.au/websitedbs/D3310114.nsf/home/National+Information+and+Referral+Service" TargetMode="External"/><Relationship Id="rId202" Type="http://schemas.openxmlformats.org/officeDocument/2006/relationships/hyperlink" Target="http://www.abs.gov.au/websitedbs/D3310114.nsf/home/National+Information+and+Referral+Service" TargetMode="External"/><Relationship Id="rId207" Type="http://schemas.openxmlformats.org/officeDocument/2006/relationships/hyperlink" Target="file://\\mel_1\groups\Monitor\09%20National%20Agreement%20Report\02%20NAR%20Report%20WIP\2011%20NAR%20Report%20-%20Ed%20and%20training\2011%20NAR%20Second%20Draft\NEA\Australian%20Standard%20Classification%20of%20Education%20(ASCED)%20(http:\www.abs.gov.au\AUSSTATS\ABS@.NSF\0\F501C031BD9AC9C5CA256AAF001FCA33?opendocument)%20(cat.%20no.%201272.0)" TargetMode="External"/><Relationship Id="rId223" Type="http://schemas.openxmlformats.org/officeDocument/2006/relationships/hyperlink" Target="http://www.coag.gov.au/coag_%20meeting_outcomes/2011-08-19/docs/COAGCommunique19August2011.pdf" TargetMode="External"/><Relationship Id="rId228" Type="http://schemas.openxmlformats.org/officeDocument/2006/relationships/footer" Target="footer4.xml"/><Relationship Id="rId13" Type="http://schemas.openxmlformats.org/officeDocument/2006/relationships/hyperlink" Target="file:///C:\Users\jdrysdale\AppData\Local\Microsoft\Windows\Temporary%20Internet%20Files\Content.MSO\D819CC75.xlsx" TargetMode="External"/><Relationship Id="rId18" Type="http://schemas.openxmlformats.org/officeDocument/2006/relationships/hyperlink" Target="file:///C:\Users\jdrysdale\AppData\Local\Microsoft\Windows\Temporary%20Internet%20Files\Content.MSO\D819CC75.xlsx" TargetMode="External"/><Relationship Id="rId39" Type="http://schemas.openxmlformats.org/officeDocument/2006/relationships/hyperlink" Target="file:///C:\Users\jdrysdale\AppData\Local\Microsoft\Windows\Temporary%20Internet%20Files\Content.MSO\D819CC75.xlsx" TargetMode="External"/><Relationship Id="rId109" Type="http://schemas.openxmlformats.org/officeDocument/2006/relationships/hyperlink" Target="file:///C:\Users\jdrysdale\AppData\Local\Microsoft\Windows\Temporary%20Internet%20Files\Content.MSO\D819CC75.xlsx" TargetMode="External"/><Relationship Id="rId34" Type="http://schemas.openxmlformats.org/officeDocument/2006/relationships/hyperlink" Target="file:///C:\Users\jdrysdale\AppData\Local\Microsoft\Windows\Temporary%20Internet%20Files\Content.MSO\D819CC75.xlsx" TargetMode="External"/><Relationship Id="rId50" Type="http://schemas.openxmlformats.org/officeDocument/2006/relationships/hyperlink" Target="file:///C:\Users\jdrysdale\AppData\Local\Microsoft\Windows\Temporary%20Internet%20Files\Content.MSO\D819CC75.xlsx" TargetMode="External"/><Relationship Id="rId55" Type="http://schemas.openxmlformats.org/officeDocument/2006/relationships/hyperlink" Target="file:///C:\Users\jdrysdale\AppData\Local\Microsoft\Windows\Temporary%20Internet%20Files\Content.MSO\D819CC75.xlsx" TargetMode="External"/><Relationship Id="rId76" Type="http://schemas.openxmlformats.org/officeDocument/2006/relationships/hyperlink" Target="file:///C:\Users\jdrysdale\AppData\Local\Microsoft\Windows\Temporary%20Internet%20Files\Content.MSO\D819CC75.xlsx" TargetMode="External"/><Relationship Id="rId97" Type="http://schemas.openxmlformats.org/officeDocument/2006/relationships/hyperlink" Target="file:///C:\Users\jdrysdale\AppData\Local\Microsoft\Windows\Temporary%20Internet%20Files\Content.MSO\D819CC75.xlsx" TargetMode="External"/><Relationship Id="rId104" Type="http://schemas.openxmlformats.org/officeDocument/2006/relationships/hyperlink" Target="file:///C:\Users\jdrysdale\AppData\Local\Microsoft\Windows\Temporary%20Internet%20Files\Content.MSO\D819CC75.xlsx" TargetMode="External"/><Relationship Id="rId120" Type="http://schemas.openxmlformats.org/officeDocument/2006/relationships/hyperlink" Target="file:///C:\Users\jdrysdale\AppData\Local\Microsoft\Windows\Temporary%20Internet%20Files\Content.MSO\D819CC75.xlsx" TargetMode="External"/><Relationship Id="rId125" Type="http://schemas.openxmlformats.org/officeDocument/2006/relationships/hyperlink" Target="file:///C:\Users\jdrysdale\AppData\Local\Microsoft\Windows\Temporary%20Internet%20Files\Content.MSO\D819CC75.xlsx" TargetMode="External"/><Relationship Id="rId141" Type="http://schemas.openxmlformats.org/officeDocument/2006/relationships/hyperlink" Target="file:///C:\Users\jdrysdale\AppData\Local\Microsoft\Windows\Temporary%20Internet%20Files\Content.MSO\D819CC75.xlsx" TargetMode="External"/><Relationship Id="rId146" Type="http://schemas.openxmlformats.org/officeDocument/2006/relationships/hyperlink" Target="file:///C:\Users\jdrysdale\AppData\Local\Microsoft\Windows\Temporary%20Internet%20Files\Content.MSO\D819CC75.xlsx" TargetMode="External"/><Relationship Id="rId167" Type="http://schemas.openxmlformats.org/officeDocument/2006/relationships/hyperlink" Target="file://\\mel_1\groups\Monitor\09%20National%20Agreement%20Report\02%20NAR%20Report%20WIP\2011%20NAR%20Report%20-%20Ed%20and%20training\2011%20NAR%20Second%20Draft\NEA\Education%20and%20Work,%20Australia%20(http:\www.abs.gov.au\AUSSTATS\abs@.nsf\ProductsbyCatalogue\556A439CD3D7E8A8CA257242007B3F32?OpenDocument%20)%20(cat.%20no.%206227.0)" TargetMode="External"/><Relationship Id="rId188" Type="http://schemas.openxmlformats.org/officeDocument/2006/relationships/hyperlink" Target="file:///\\MEL_1\groups\Monitor\09%20National%20Agreement%20Report\02%20NAR%20Report%20WIP\2011%20NAR%20Report%20-%20Ed%20and%20training\2011%20NAR%20Second%20Draft\NEA\Survey%20of%20Learning%20and%20Work%20(http:\www.abs.gov.au\ausstats\abs@.nsf\mf\4235.0%20)%20(cat.%20no.%204235.0)" TargetMode="External"/><Relationship Id="rId7" Type="http://schemas.openxmlformats.org/officeDocument/2006/relationships/footnotes" Target="footnotes.xml"/><Relationship Id="rId71" Type="http://schemas.openxmlformats.org/officeDocument/2006/relationships/hyperlink" Target="file:///C:\Users\jdrysdale\AppData\Local\Microsoft\Windows\Temporary%20Internet%20Files\Content.MSO\D819CC75.xlsx" TargetMode="External"/><Relationship Id="rId92" Type="http://schemas.openxmlformats.org/officeDocument/2006/relationships/hyperlink" Target="file:///C:\Users\jdrysdale\AppData\Local\Microsoft\Windows\Temporary%20Internet%20Files\Content.MSO\D819CC75.xlsx" TargetMode="External"/><Relationship Id="rId162" Type="http://schemas.openxmlformats.org/officeDocument/2006/relationships/hyperlink" Target="file://\\mel_1\groups\Monitor\09%20National%20Agreement%20Report\02%20NAR%20Report%20WIP\2011%20NAR%20Report%20-%20Ed%20and%20training\2011%20NAR%20Second%20Draft\NEA\Australian%20Standard%20Classification%20of%20Education%20(ASCED)%20(http:\www.abs.gov.au\AUSSTATS\abs@.nsf\DetailsPage\1272.02001?OpenDocument)%20(cat.%20no.%201272.0)" TargetMode="External"/><Relationship Id="rId183" Type="http://schemas.openxmlformats.org/officeDocument/2006/relationships/hyperlink" Target="http://www.abs.gov.au/ausstats/abs@.nsf/mf/4221.0" TargetMode="External"/><Relationship Id="rId213" Type="http://schemas.openxmlformats.org/officeDocument/2006/relationships/hyperlink" Target="http://www.abs.gov.au/websitedbs/D3310114.nsf/home/National+Information+and+Referral+Service" TargetMode="External"/><Relationship Id="rId218" Type="http://schemas.openxmlformats.org/officeDocument/2006/relationships/hyperlink" Target="http://www.abs.gov.au/AUSSTATS/abs@.nsf/Lookup/6227.0Explanatory%20Notes1May%202011?OpenDocument" TargetMode="External"/><Relationship Id="rId2" Type="http://schemas.openxmlformats.org/officeDocument/2006/relationships/numbering" Target="numbering.xml"/><Relationship Id="rId29" Type="http://schemas.openxmlformats.org/officeDocument/2006/relationships/hyperlink" Target="file:///C:\Users\jdrysdale\AppData\Local\Microsoft\Windows\Temporary%20Internet%20Files\Content.MSO\D819CC75.xlsx" TargetMode="External"/><Relationship Id="rId24" Type="http://schemas.openxmlformats.org/officeDocument/2006/relationships/hyperlink" Target="file:///C:\Users\jdrysdale\AppData\Local\Microsoft\Windows\Temporary%20Internet%20Files\Content.MSO\D819CC75.xlsx" TargetMode="External"/><Relationship Id="rId40" Type="http://schemas.openxmlformats.org/officeDocument/2006/relationships/hyperlink" Target="file:///C:\Users\jdrysdale\AppData\Local\Microsoft\Windows\Temporary%20Internet%20Files\Content.MSO\D819CC75.xlsx" TargetMode="External"/><Relationship Id="rId45" Type="http://schemas.openxmlformats.org/officeDocument/2006/relationships/hyperlink" Target="file:///C:\Users\jdrysdale\AppData\Local\Microsoft\Windows\Temporary%20Internet%20Files\Content.MSO\D819CC75.xlsx" TargetMode="External"/><Relationship Id="rId66" Type="http://schemas.openxmlformats.org/officeDocument/2006/relationships/hyperlink" Target="file:///C:\Users\jdrysdale\AppData\Local\Microsoft\Windows\Temporary%20Internet%20Files\Content.MSO\D819CC75.xlsx" TargetMode="External"/><Relationship Id="rId87" Type="http://schemas.openxmlformats.org/officeDocument/2006/relationships/hyperlink" Target="file:///C:\Users\jdrysdale\AppData\Local\Microsoft\Windows\Temporary%20Internet%20Files\Content.MSO\D819CC75.xlsx" TargetMode="External"/><Relationship Id="rId110" Type="http://schemas.openxmlformats.org/officeDocument/2006/relationships/hyperlink" Target="file:///C:\Users\jdrysdale\AppData\Local\Microsoft\Windows\Temporary%20Internet%20Files\Content.MSO\D819CC75.xlsx" TargetMode="External"/><Relationship Id="rId115" Type="http://schemas.openxmlformats.org/officeDocument/2006/relationships/hyperlink" Target="file:///C:\Users\jdrysdale\AppData\Local\Microsoft\Windows\Temporary%20Internet%20Files\Content.MSO\D819CC75.xlsx" TargetMode="External"/><Relationship Id="rId131" Type="http://schemas.openxmlformats.org/officeDocument/2006/relationships/hyperlink" Target="file:///C:\Users\jdrysdale\AppData\Local\Microsoft\Windows\Temporary%20Internet%20Files\Content.MSO\D819CC75.xlsx" TargetMode="External"/><Relationship Id="rId136" Type="http://schemas.openxmlformats.org/officeDocument/2006/relationships/hyperlink" Target="file:///C:\Users\jdrysdale\AppData\Local\Microsoft\Windows\Temporary%20Internet%20Files\Content.MSO\D819CC75.xlsx" TargetMode="External"/><Relationship Id="rId157" Type="http://schemas.openxmlformats.org/officeDocument/2006/relationships/header" Target="header2.xml"/><Relationship Id="rId178" Type="http://schemas.openxmlformats.org/officeDocument/2006/relationships/hyperlink" Target="http://www.abs.gov.au/websitedbs/censushome.nsf/home/data?opendocument" TargetMode="External"/><Relationship Id="rId61" Type="http://schemas.openxmlformats.org/officeDocument/2006/relationships/hyperlink" Target="file:///C:\Users\jdrysdale\AppData\Local\Microsoft\Windows\Temporary%20Internet%20Files\Content.MSO\D819CC75.xlsx" TargetMode="External"/><Relationship Id="rId82" Type="http://schemas.openxmlformats.org/officeDocument/2006/relationships/hyperlink" Target="file:///C:\Users\jdrysdale\AppData\Local\Microsoft\Windows\Temporary%20Internet%20Files\Content.MSO\D819CC75.xlsx" TargetMode="External"/><Relationship Id="rId152" Type="http://schemas.openxmlformats.org/officeDocument/2006/relationships/hyperlink" Target="file:///C:\Users\jdrysdale\AppData\Local\Microsoft\Windows\Temporary%20Internet%20Files\Content.MSO\D819CC75.xlsx" TargetMode="External"/><Relationship Id="rId173" Type="http://schemas.openxmlformats.org/officeDocument/2006/relationships/hyperlink" Target="http://www.abs.gov.au/ausstats/abs@.nsf/mf/3201.0" TargetMode="External"/><Relationship Id="rId194" Type="http://schemas.openxmlformats.org/officeDocument/2006/relationships/hyperlink" Target="http://www.abs.gov.au/websitedbs/d3310114.nsf/4a256353001af3ed4b2562bb00121564/10ca14cb967e5b83ca2573ae00197b65!OpenDocument" TargetMode="External"/><Relationship Id="rId199" Type="http://schemas.openxmlformats.org/officeDocument/2006/relationships/hyperlink" Target="http://www.abs.gov.au/AUSSTATS/abs@.nsf/Lookup/6227.0Explanatory%20Notes1May%202011?OpenDocument" TargetMode="External"/><Relationship Id="rId203" Type="http://schemas.openxmlformats.org/officeDocument/2006/relationships/hyperlink" Target="http://www.abs.gov.au/websitedbs/" TargetMode="External"/><Relationship Id="rId208" Type="http://schemas.openxmlformats.org/officeDocument/2006/relationships/hyperlink" Target="file:///\\MEL_1\groups\Monitor\09%20National%20Agreement%20Report\02%20NAR%20Report%20WIP\2011%20NAR%20Report%20-%20Ed%20and%20training\2011%20NAR%20Second%20Draft\NEA\Survey%20of%20Learning%20and%20Work%20(http:\www.abs.gov.au\ausstats\abs@.nsf\mf\4235.0%20)%20(4235.0)" TargetMode="External"/><Relationship Id="rId229" Type="http://schemas.openxmlformats.org/officeDocument/2006/relationships/fontTable" Target="fontTable.xml"/><Relationship Id="rId19" Type="http://schemas.openxmlformats.org/officeDocument/2006/relationships/hyperlink" Target="file:///C:\Users\jdrysdale\AppData\Local\Microsoft\Windows\Temporary%20Internet%20Files\Content.MSO\D819CC75.xlsx" TargetMode="External"/><Relationship Id="rId224" Type="http://schemas.openxmlformats.org/officeDocument/2006/relationships/hyperlink" Target="http://www.coag.gov.au/coag_" TargetMode="External"/><Relationship Id="rId14" Type="http://schemas.openxmlformats.org/officeDocument/2006/relationships/hyperlink" Target="file:///C:\Users\jdrysdale\AppData\Local\Microsoft\Windows\Temporary%20Internet%20Files\Content.MSO\D819CC75.xlsx" TargetMode="External"/><Relationship Id="rId30" Type="http://schemas.openxmlformats.org/officeDocument/2006/relationships/hyperlink" Target="file:///C:\Users\jdrysdale\AppData\Local\Microsoft\Windows\Temporary%20Internet%20Files\Content.MSO\D819CC75.xlsx" TargetMode="External"/><Relationship Id="rId35" Type="http://schemas.openxmlformats.org/officeDocument/2006/relationships/hyperlink" Target="file:///C:\Users\jdrysdale\AppData\Local\Microsoft\Windows\Temporary%20Internet%20Files\Content.MSO\D819CC75.xlsx" TargetMode="External"/><Relationship Id="rId56" Type="http://schemas.openxmlformats.org/officeDocument/2006/relationships/hyperlink" Target="file:///C:\Users\jdrysdale\AppData\Local\Microsoft\Windows\Temporary%20Internet%20Files\Content.MSO\D819CC75.xlsx" TargetMode="External"/><Relationship Id="rId77" Type="http://schemas.openxmlformats.org/officeDocument/2006/relationships/hyperlink" Target="file:///C:\Users\jdrysdale\AppData\Local\Microsoft\Windows\Temporary%20Internet%20Files\Content.MSO\D819CC75.xlsx" TargetMode="External"/><Relationship Id="rId100" Type="http://schemas.openxmlformats.org/officeDocument/2006/relationships/hyperlink" Target="file:///C:\Users\jdrysdale\AppData\Local\Microsoft\Windows\Temporary%20Internet%20Files\Content.MSO\D819CC75.xlsx" TargetMode="External"/><Relationship Id="rId105" Type="http://schemas.openxmlformats.org/officeDocument/2006/relationships/hyperlink" Target="file:///C:\Users\jdrysdale\AppData\Local\Microsoft\Windows\Temporary%20Internet%20Files\Content.MSO\D819CC75.xlsx" TargetMode="External"/><Relationship Id="rId126" Type="http://schemas.openxmlformats.org/officeDocument/2006/relationships/hyperlink" Target="file:///C:\Users\jdrysdale\AppData\Local\Microsoft\Windows\Temporary%20Internet%20Files\Content.MSO\D819CC75.xlsx" TargetMode="External"/><Relationship Id="rId147" Type="http://schemas.openxmlformats.org/officeDocument/2006/relationships/hyperlink" Target="file:///C:\Users\jdrysdale\AppData\Local\Microsoft\Windows\Temporary%20Internet%20Files\Content.MSO\D819CC75.xlsx" TargetMode="External"/><Relationship Id="rId168" Type="http://schemas.openxmlformats.org/officeDocument/2006/relationships/hyperlink" Target="http://www.abs.gov.au/websitedbs/D3310114.nsf/home/National+Information+and+Referral+Service" TargetMode="External"/><Relationship Id="rId8" Type="http://schemas.openxmlformats.org/officeDocument/2006/relationships/endnotes" Target="endnotes.xml"/><Relationship Id="rId51" Type="http://schemas.openxmlformats.org/officeDocument/2006/relationships/hyperlink" Target="file:///C:\Users\jdrysdale\AppData\Local\Microsoft\Windows\Temporary%20Internet%20Files\Content.MSO\D819CC75.xlsx" TargetMode="External"/><Relationship Id="rId72" Type="http://schemas.openxmlformats.org/officeDocument/2006/relationships/hyperlink" Target="file:///C:\Users\jdrysdale\AppData\Local\Microsoft\Windows\Temporary%20Internet%20Files\Content.MSO\D819CC75.xlsx" TargetMode="External"/><Relationship Id="rId93" Type="http://schemas.openxmlformats.org/officeDocument/2006/relationships/hyperlink" Target="file:///C:\Users\jdrysdale\AppData\Local\Microsoft\Windows\Temporary%20Internet%20Files\Content.MSO\D819CC75.xlsx" TargetMode="External"/><Relationship Id="rId98" Type="http://schemas.openxmlformats.org/officeDocument/2006/relationships/hyperlink" Target="file:///C:\Users\jdrysdale\AppData\Local\Microsoft\Windows\Temporary%20Internet%20Files\Content.MSO\D819CC75.xlsx" TargetMode="External"/><Relationship Id="rId121" Type="http://schemas.openxmlformats.org/officeDocument/2006/relationships/hyperlink" Target="file:///C:\Users\jdrysdale\AppData\Local\Microsoft\Windows\Temporary%20Internet%20Files\Content.MSO\D819CC75.xlsx" TargetMode="External"/><Relationship Id="rId142" Type="http://schemas.openxmlformats.org/officeDocument/2006/relationships/hyperlink" Target="file:///C:\Users\jdrysdale\AppData\Local\Microsoft\Windows\Temporary%20Internet%20Files\Content.MSO\D819CC75.xlsx" TargetMode="External"/><Relationship Id="rId163" Type="http://schemas.openxmlformats.org/officeDocument/2006/relationships/hyperlink" Target="file:///\\MEL_1\groups\Monitor\09%20National%20Agreement%20Report\02%20NAR%20Report%20WIP\2011%20NAR%20Report%20-%20Ed%20and%20training\2011%20NAR%20Second%20Draft\NEA\Survey%20of%20Learning%20and%20Work%20(http:\www.abs.gov.au\ausstats\abs@.nsf\mf\4235.0)%20(cat.%20no.%204235.0)" TargetMode="External"/><Relationship Id="rId184" Type="http://schemas.openxmlformats.org/officeDocument/2006/relationships/hyperlink" Target="http://www.abs.gov.au/ausstats/abs@.nsf/mf/4221.0" TargetMode="External"/><Relationship Id="rId189" Type="http://schemas.openxmlformats.org/officeDocument/2006/relationships/hyperlink" Target="http://www.abs.gov.au/AUSSTATS/abs@.nsf/Lookup/6227.0Explanatory%20Notes1May%202011?OpenDocument" TargetMode="External"/><Relationship Id="rId219" Type="http://schemas.openxmlformats.org/officeDocument/2006/relationships/hyperlink" Target="http://www.abs.gov.au" TargetMode="External"/><Relationship Id="rId3" Type="http://schemas.openxmlformats.org/officeDocument/2006/relationships/styles" Target="styles.xml"/><Relationship Id="rId214" Type="http://schemas.openxmlformats.org/officeDocument/2006/relationships/hyperlink" Target="http://www.abs.gov.au/websitedbs/d3310114.nsf/4a256353001af3ed4b2562bb00121564/10ca14cb967e5b83ca2573ae00197b65!OpenDocument" TargetMode="External"/><Relationship Id="rId230" Type="http://schemas.openxmlformats.org/officeDocument/2006/relationships/theme" Target="theme/theme1.xml"/><Relationship Id="rId25" Type="http://schemas.openxmlformats.org/officeDocument/2006/relationships/hyperlink" Target="file:///C:\Users\jdrysdale\AppData\Local\Microsoft\Windows\Temporary%20Internet%20Files\Content.MSO\D819CC75.xlsx" TargetMode="External"/><Relationship Id="rId46" Type="http://schemas.openxmlformats.org/officeDocument/2006/relationships/hyperlink" Target="file:///C:\Users\jdrysdale\AppData\Local\Microsoft\Windows\Temporary%20Internet%20Files\Content.MSO\D819CC75.xlsx" TargetMode="External"/><Relationship Id="rId67" Type="http://schemas.openxmlformats.org/officeDocument/2006/relationships/hyperlink" Target="file:///C:\Users\jdrysdale\AppData\Local\Microsoft\Windows\Temporary%20Internet%20Files\Content.MSO\D819CC75.xlsx" TargetMode="External"/><Relationship Id="rId116" Type="http://schemas.openxmlformats.org/officeDocument/2006/relationships/hyperlink" Target="file:///C:\Users\jdrysdale\AppData\Local\Microsoft\Windows\Temporary%20Internet%20Files\Content.MSO\D819CC75.xlsx" TargetMode="External"/><Relationship Id="rId137" Type="http://schemas.openxmlformats.org/officeDocument/2006/relationships/hyperlink" Target="file:///C:\Users\jdrysdale\AppData\Local\Microsoft\Windows\Temporary%20Internet%20Files\Content.MSO\D819CC75.xlsx" TargetMode="External"/><Relationship Id="rId158" Type="http://schemas.openxmlformats.org/officeDocument/2006/relationships/footer" Target="footer1.xml"/><Relationship Id="rId20" Type="http://schemas.openxmlformats.org/officeDocument/2006/relationships/hyperlink" Target="file:///C:\Users\jdrysdale\AppData\Local\Microsoft\Windows\Temporary%20Internet%20Files\Content.MSO\D819CC75.xlsx" TargetMode="External"/><Relationship Id="rId41" Type="http://schemas.openxmlformats.org/officeDocument/2006/relationships/hyperlink" Target="file:///C:\Users\jdrysdale\AppData\Local\Microsoft\Windows\Temporary%20Internet%20Files\Content.MSO\D819CC75.xlsx" TargetMode="External"/><Relationship Id="rId62" Type="http://schemas.openxmlformats.org/officeDocument/2006/relationships/hyperlink" Target="file:///C:\Users\jdrysdale\AppData\Local\Microsoft\Windows\Temporary%20Internet%20Files\Content.MSO\D819CC75.xlsx" TargetMode="External"/><Relationship Id="rId83" Type="http://schemas.openxmlformats.org/officeDocument/2006/relationships/hyperlink" Target="file:///C:\Users\jdrysdale\AppData\Local\Microsoft\Windows\Temporary%20Internet%20Files\Content.MSO\D819CC75.xlsx" TargetMode="External"/><Relationship Id="rId88" Type="http://schemas.openxmlformats.org/officeDocument/2006/relationships/hyperlink" Target="file:///C:\Users\jdrysdale\AppData\Local\Microsoft\Windows\Temporary%20Internet%20Files\Content.MSO\D819CC75.xlsx" TargetMode="External"/><Relationship Id="rId111" Type="http://schemas.openxmlformats.org/officeDocument/2006/relationships/hyperlink" Target="file:///C:\Users\jdrysdale\AppData\Local\Microsoft\Windows\Temporary%20Internet%20Files\Content.MSO\D819CC75.xlsx" TargetMode="External"/><Relationship Id="rId132" Type="http://schemas.openxmlformats.org/officeDocument/2006/relationships/hyperlink" Target="file:///C:\Users\jdrysdale\AppData\Local\Microsoft\Windows\Temporary%20Internet%20Files\Content.MSO\D819CC75.xlsx" TargetMode="External"/><Relationship Id="rId153" Type="http://schemas.openxmlformats.org/officeDocument/2006/relationships/hyperlink" Target="file:///C:\Users\jdrysdale\AppData\Local\Microsoft\Windows\Temporary%20Internet%20Files\Content.MSO\D819CC75.xlsx" TargetMode="External"/><Relationship Id="rId174" Type="http://schemas.openxmlformats.org/officeDocument/2006/relationships/hyperlink" Target="http://www.abs.gov.au/ausstats/abs@.nsf/mf/4221.0" TargetMode="External"/><Relationship Id="rId179" Type="http://schemas.openxmlformats.org/officeDocument/2006/relationships/hyperlink" Target="http://www.abs.gov.au/websitedbs/censushome.nsf/home/data?opendocument" TargetMode="External"/><Relationship Id="rId195" Type="http://schemas.openxmlformats.org/officeDocument/2006/relationships/hyperlink" Target="http://www.abs.gov.au/websitedbs/d3310114.nsf/" TargetMode="External"/><Relationship Id="rId209" Type="http://schemas.openxmlformats.org/officeDocument/2006/relationships/hyperlink" Target="http://www.abs.gov.au/AUSSTATS/abs@.nsf/allprimarymainfeatures/556A439CD3D7E8A8CA257242007B3F32?opendocument" TargetMode="External"/><Relationship Id="rId190" Type="http://schemas.openxmlformats.org/officeDocument/2006/relationships/hyperlink" Target="http://www.abs.gov.au/AUSSTATS/abs@.nsf/Lookup/6227.0Explanatory%20Notes1May%202011?OpenDocument" TargetMode="External"/><Relationship Id="rId204" Type="http://schemas.openxmlformats.org/officeDocument/2006/relationships/hyperlink" Target="http://www.abs.gov.au/websitedbs/d3310114.nsf/4a256353001af3ed4b2562bb00121564/10ca14cb967e5b83ca2573ae00197b65!OpenDocument" TargetMode="External"/><Relationship Id="rId220" Type="http://schemas.openxmlformats.org/officeDocument/2006/relationships/hyperlink" Target="file:///\\MEL_1\groups\Monitor\09%20National%20Agreement%20Report\02%20NAR%20Report%20WIP\2011%20NAR%20Report%20-%20Ed%20and%20training\2011%20NAR%20Second%20Draft\NEA\Education%20and%20Work,%20Australia%20(http:\www.abs.gov.au\ausstats\abs@.nsf\mf\4235.0)%20(cat.%20no.%206227.0)" TargetMode="External"/><Relationship Id="rId225" Type="http://schemas.openxmlformats.org/officeDocument/2006/relationships/header" Target="header3.xml"/><Relationship Id="rId15" Type="http://schemas.openxmlformats.org/officeDocument/2006/relationships/hyperlink" Target="file:///C:\Users\jdrysdale\AppData\Local\Microsoft\Windows\Temporary%20Internet%20Files\Content.MSO\D819CC75.xlsx" TargetMode="External"/><Relationship Id="rId36" Type="http://schemas.openxmlformats.org/officeDocument/2006/relationships/hyperlink" Target="file:///C:\Users\jdrysdale\AppData\Local\Microsoft\Windows\Temporary%20Internet%20Files\Content.MSO\D819CC75.xlsx" TargetMode="External"/><Relationship Id="rId57" Type="http://schemas.openxmlformats.org/officeDocument/2006/relationships/hyperlink" Target="file:///C:\Users\jdrysdale\AppData\Local\Microsoft\Windows\Temporary%20Internet%20Files\Content.MSO\D819CC75.xlsx" TargetMode="External"/><Relationship Id="rId106" Type="http://schemas.openxmlformats.org/officeDocument/2006/relationships/hyperlink" Target="file:///C:\Users\jdrysdale\AppData\Local\Microsoft\Windows\Temporary%20Internet%20Files\Content.MSO\D819CC75.xlsx" TargetMode="External"/><Relationship Id="rId127" Type="http://schemas.openxmlformats.org/officeDocument/2006/relationships/hyperlink" Target="file:///C:\Users\jdrysdale\AppData\Local\Microsoft\Windows\Temporary%20Internet%20Files\Content.MSO\D819CC75.xlsx" TargetMode="External"/><Relationship Id="rId10" Type="http://schemas.openxmlformats.org/officeDocument/2006/relationships/hyperlink" Target="file:///C:\Users\jdrysdale\AppData\Local\Microsoft\Windows\Temporary%20Internet%20Files\Content.MSO\D819CC75.xlsx" TargetMode="External"/><Relationship Id="rId31" Type="http://schemas.openxmlformats.org/officeDocument/2006/relationships/hyperlink" Target="file:///C:\Users\jdrysdale\AppData\Local\Microsoft\Windows\Temporary%20Internet%20Files\Content.MSO\D819CC75.xlsx" TargetMode="External"/><Relationship Id="rId52" Type="http://schemas.openxmlformats.org/officeDocument/2006/relationships/hyperlink" Target="file:///C:\Users\jdrysdale\AppData\Local\Microsoft\Windows\Temporary%20Internet%20Files\Content.MSO\D819CC75.xlsx" TargetMode="External"/><Relationship Id="rId73" Type="http://schemas.openxmlformats.org/officeDocument/2006/relationships/hyperlink" Target="file:///C:\Users\jdrysdale\AppData\Local\Microsoft\Windows\Temporary%20Internet%20Files\Content.MSO\D819CC75.xlsx" TargetMode="External"/><Relationship Id="rId78" Type="http://schemas.openxmlformats.org/officeDocument/2006/relationships/hyperlink" Target="file:///C:\Users\jdrysdale\AppData\Local\Microsoft\Windows\Temporary%20Internet%20Files\Content.MSO\D819CC75.xlsx" TargetMode="External"/><Relationship Id="rId94" Type="http://schemas.openxmlformats.org/officeDocument/2006/relationships/hyperlink" Target="file:///C:\Users\jdrysdale\AppData\Local\Microsoft\Windows\Temporary%20Internet%20Files\Content.MSO\D819CC75.xlsx" TargetMode="External"/><Relationship Id="rId99" Type="http://schemas.openxmlformats.org/officeDocument/2006/relationships/hyperlink" Target="file:///C:\Users\jdrysdale\AppData\Local\Microsoft\Windows\Temporary%20Internet%20Files\Content.MSO\D819CC75.xlsx" TargetMode="External"/><Relationship Id="rId101" Type="http://schemas.openxmlformats.org/officeDocument/2006/relationships/hyperlink" Target="file:///C:\Users\jdrysdale\AppData\Local\Microsoft\Windows\Temporary%20Internet%20Files\Content.MSO\D819CC75.xlsx" TargetMode="External"/><Relationship Id="rId122" Type="http://schemas.openxmlformats.org/officeDocument/2006/relationships/hyperlink" Target="file:///C:\Users\jdrysdale\AppData\Local\Microsoft\Windows\Temporary%20Internet%20Files\Content.MSO\D819CC75.xlsx" TargetMode="External"/><Relationship Id="rId143" Type="http://schemas.openxmlformats.org/officeDocument/2006/relationships/hyperlink" Target="file:///C:\Users\jdrysdale\AppData\Local\Microsoft\Windows\Temporary%20Internet%20Files\Content.MSO\D819CC75.xlsx" TargetMode="External"/><Relationship Id="rId148" Type="http://schemas.openxmlformats.org/officeDocument/2006/relationships/hyperlink" Target="file:///C:\Users\jdrysdale\AppData\Local\Microsoft\Windows\Temporary%20Internet%20Files\Content.MSO\D819CC75.xlsx" TargetMode="External"/><Relationship Id="rId164" Type="http://schemas.openxmlformats.org/officeDocument/2006/relationships/hyperlink" Target="http://www.abs.gov.au/AUSSTATS/abs@.nsf/Lookup/6227.0Explanatory%20Notes1May%202011?OpenDocument" TargetMode="External"/><Relationship Id="rId169" Type="http://schemas.openxmlformats.org/officeDocument/2006/relationships/hyperlink" Target="http://www.abs.gov.au/websitedbs/" TargetMode="External"/><Relationship Id="rId185" Type="http://schemas.openxmlformats.org/officeDocument/2006/relationships/hyperlink" Target="http://www.abs.gov.au/websitedbs/d3310114.nsf/4a256353001af3ed4b2562bb00121564/10ca14cb967e5b83ca2573ae00197b65!OpenDocument" TargetMode="External"/><Relationship Id="rId4" Type="http://schemas.microsoft.com/office/2007/relationships/stylesWithEffects" Target="stylesWithEffects.xml"/><Relationship Id="rId9" Type="http://schemas.openxmlformats.org/officeDocument/2006/relationships/hyperlink" Target="file:///C:\Users\jdrysdale\AppData\Local\Microsoft\Windows\Temporary%20Internet%20Files\Content.MSO\D819CC75.xlsx" TargetMode="External"/><Relationship Id="rId180" Type="http://schemas.openxmlformats.org/officeDocument/2006/relationships/hyperlink" Target="http://www.abs.gov.au/ausstats/abs@.nsf/mf/3201.0" TargetMode="External"/><Relationship Id="rId210" Type="http://schemas.openxmlformats.org/officeDocument/2006/relationships/hyperlink" Target="http://www.abs.gov.au/AUSSTATS/abs@.nsf/allprimarymainfeatures/556A439CD3D7E8A8CA257242007B3F32?opendocument" TargetMode="External"/><Relationship Id="rId215" Type="http://schemas.openxmlformats.org/officeDocument/2006/relationships/hyperlink" Target="file://\\mel_1\groups\Monitor\09%20National%20Agreement%20Report\02%20NAR%20Report%20WIP\2011%20NAR%20Report%20-%20Ed%20and%20training\2011%20NAR%20Second%20Draft\NEA\Australian%20Standard%20Classification%20of%20Education%20(ASCED)%20(http:\www.abs.gov.au\AUSSTATS\ABS@.NSF\0\F501C031BD9AC9C5CA256AAF001FCA33?opendocument%20)%20(cat.%20no.%201272.0)" TargetMode="External"/><Relationship Id="rId26" Type="http://schemas.openxmlformats.org/officeDocument/2006/relationships/hyperlink" Target="file:///C:\Users\jdrysdale\AppData\Local\Microsoft\Windows\Temporary%20Internet%20Files\Content.MSO\D819CC75.xlsx" TargetMode="External"/><Relationship Id="rId47" Type="http://schemas.openxmlformats.org/officeDocument/2006/relationships/hyperlink" Target="file:///C:\Users\jdrysdale\AppData\Local\Microsoft\Windows\Temporary%20Internet%20Files\Content.MSO\D819CC75.xlsx" TargetMode="External"/><Relationship Id="rId68" Type="http://schemas.openxmlformats.org/officeDocument/2006/relationships/hyperlink" Target="file:///C:\Users\jdrysdale\AppData\Local\Microsoft\Windows\Temporary%20Internet%20Files\Content.MSO\D819CC75.xlsx" TargetMode="External"/><Relationship Id="rId89" Type="http://schemas.openxmlformats.org/officeDocument/2006/relationships/hyperlink" Target="file:///C:\Users\jdrysdale\AppData\Local\Microsoft\Windows\Temporary%20Internet%20Files\Content.MSO\D819CC75.xlsx" TargetMode="External"/><Relationship Id="rId112" Type="http://schemas.openxmlformats.org/officeDocument/2006/relationships/hyperlink" Target="file:///C:\Users\jdrysdale\AppData\Local\Microsoft\Windows\Temporary%20Internet%20Files\Content.MSO\D819CC75.xlsx" TargetMode="External"/><Relationship Id="rId133" Type="http://schemas.openxmlformats.org/officeDocument/2006/relationships/hyperlink" Target="file:///C:\Users\jdrysdale\AppData\Local\Microsoft\Windows\Temporary%20Internet%20Files\Content.MSO\D819CC75.xlsx" TargetMode="External"/><Relationship Id="rId154" Type="http://schemas.openxmlformats.org/officeDocument/2006/relationships/hyperlink" Target="file:///C:\Users\jdrysdale\AppData\Local\Microsoft\Windows\Temporary%20Internet%20Files\Content.MSO\D819CC75.xlsx" TargetMode="External"/><Relationship Id="rId175" Type="http://schemas.openxmlformats.org/officeDocument/2006/relationships/hyperlink" Target="http://www.abs.gov.au/ausstats/abs@.nsf/mf/4221.0" TargetMode="External"/><Relationship Id="rId196" Type="http://schemas.openxmlformats.org/officeDocument/2006/relationships/hyperlink" Target="file://\\mel_1\groups\Monitor\09%20National%20Agreement%20Report\02%20NAR%20Report%20WIP\2011%20NAR%20Report%20-%20Ed%20and%20training\2011%20NAR%20Second%20Draft\NEA\Australian%20Standard%20Classification%20of%20Education%20(ASCED)%20(http:\www.abs.gov.au\AUSSTATS\ABS@.NSF\0\F501C031BD9AC9C5CA256AAF001FCA33?opendocument)%20(cat.%20no.%201272.0)" TargetMode="External"/><Relationship Id="rId200" Type="http://schemas.openxmlformats.org/officeDocument/2006/relationships/hyperlink" Target="http://www.abs.gov.au" TargetMode="External"/><Relationship Id="rId16" Type="http://schemas.openxmlformats.org/officeDocument/2006/relationships/hyperlink" Target="file:///C:\Users\jdrysdale\AppData\Local\Microsoft\Windows\Temporary%20Internet%20Files\Content.MSO\D819CC75.xlsx" TargetMode="External"/><Relationship Id="rId221" Type="http://schemas.openxmlformats.org/officeDocument/2006/relationships/hyperlink" Target="http://www.abs.gov.au/websitedbs/D3310114.nsf/home/National+Information+and+Referral+Service" TargetMode="External"/><Relationship Id="rId37" Type="http://schemas.openxmlformats.org/officeDocument/2006/relationships/hyperlink" Target="file:///C:\Users\jdrysdale\AppData\Local\Microsoft\Windows\Temporary%20Internet%20Files\Content.MSO\D819CC75.xlsx" TargetMode="External"/><Relationship Id="rId58" Type="http://schemas.openxmlformats.org/officeDocument/2006/relationships/hyperlink" Target="file:///C:\Users\jdrysdale\AppData\Local\Microsoft\Windows\Temporary%20Internet%20Files\Content.MSO\D819CC75.xlsx" TargetMode="External"/><Relationship Id="rId79" Type="http://schemas.openxmlformats.org/officeDocument/2006/relationships/hyperlink" Target="file:///C:\Users\jdrysdale\AppData\Local\Microsoft\Windows\Temporary%20Internet%20Files\Content.MSO\D819CC75.xlsx" TargetMode="External"/><Relationship Id="rId102" Type="http://schemas.openxmlformats.org/officeDocument/2006/relationships/hyperlink" Target="file:///C:\Users\jdrysdale\AppData\Local\Microsoft\Windows\Temporary%20Internet%20Files\Content.MSO\D819CC75.xlsx" TargetMode="External"/><Relationship Id="rId123" Type="http://schemas.openxmlformats.org/officeDocument/2006/relationships/hyperlink" Target="file:///C:\Users\jdrysdale\AppData\Local\Microsoft\Windows\Temporary%20Internet%20Files\Content.MSO\D819CC75.xlsx" TargetMode="External"/><Relationship Id="rId144" Type="http://schemas.openxmlformats.org/officeDocument/2006/relationships/hyperlink" Target="file:///C:\Users\jdrysdale\AppData\Local\Microsoft\Windows\Temporary%20Internet%20Files\Content.MSO\D819CC75.xlsx" TargetMode="External"/><Relationship Id="rId90" Type="http://schemas.openxmlformats.org/officeDocument/2006/relationships/hyperlink" Target="file:///C:\Users\jdrysdale\AppData\Local\Microsoft\Windows\Temporary%20Internet%20Files\Content.MSO\D819CC75.xlsx" TargetMode="External"/><Relationship Id="rId165" Type="http://schemas.openxmlformats.org/officeDocument/2006/relationships/hyperlink" Target="http://www.abs.gov.au/%20AUSSTATS/" TargetMode="External"/><Relationship Id="rId186" Type="http://schemas.openxmlformats.org/officeDocument/2006/relationships/hyperlink" Target="file://\\mel_1\groups\Monitor\09%20National%20Agreement%20Report\02%20NAR%20Report%20WIP\2011%20NAR%20Report%20-%20Ed%20and%20training\2011%20NAR%20Second%20Draft\NEA\Australian%20Standard%20Classification%20of%20Education%20(ASCED)%20(http:\www.abs.gov.au\AUSSTATS\ABS@.NSF\0\F501C031BD9AC9C5CA256AAF001FCA33?opendocument)%20(cat.%20no.%201272.0)." TargetMode="External"/><Relationship Id="rId211" Type="http://schemas.openxmlformats.org/officeDocument/2006/relationships/hyperlink" Target="http://www.abs.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2003\si\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9D65B-31ED-4ACC-8018-039B64CE2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280</TotalTime>
  <Pages>118</Pages>
  <Words>34172</Words>
  <Characters>230902</Characters>
  <Application>Microsoft Office Word</Application>
  <DocSecurity>0</DocSecurity>
  <Lines>1924</Lines>
  <Paragraphs>529</Paragraphs>
  <ScaleCrop>false</ScaleCrop>
  <HeadingPairs>
    <vt:vector size="2" baseType="variant">
      <vt:variant>
        <vt:lpstr>Title</vt:lpstr>
      </vt:variant>
      <vt:variant>
        <vt:i4>1</vt:i4>
      </vt:variant>
    </vt:vector>
  </HeadingPairs>
  <TitlesOfParts>
    <vt:vector size="1" baseType="lpstr">
      <vt:lpstr>National Education Agreement performance reporting</vt:lpstr>
    </vt:vector>
  </TitlesOfParts>
  <Company>Productivity Commission</Company>
  <LinksUpToDate>false</LinksUpToDate>
  <CharactersWithSpaces>264545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Education Agreement performance reporting</dc:title>
  <dc:subject>SCRGSP REPORT TO CRC JUNE 2011</dc:subject>
  <dc:creator>amcpherson</dc:creator>
  <cp:lastModifiedBy>Andersson, Catherine</cp:lastModifiedBy>
  <cp:revision>45</cp:revision>
  <cp:lastPrinted>2012-08-28T00:33:00Z</cp:lastPrinted>
  <dcterms:created xsi:type="dcterms:W3CDTF">2012-06-25T01:15:00Z</dcterms:created>
  <dcterms:modified xsi:type="dcterms:W3CDTF">2012-11-12T05:53:00Z</dcterms:modified>
</cp:coreProperties>
</file>